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94" w:rsidRPr="00922EF4" w:rsidRDefault="003744AC" w:rsidP="00922EF4">
      <w:pPr>
        <w:widowControl/>
        <w:ind w:left="720" w:hanging="720"/>
        <w:jc w:val="left"/>
        <w:outlineLvl w:val="0"/>
        <w:rPr>
          <w:b/>
          <w:sz w:val="36"/>
          <w:szCs w:val="36"/>
        </w:rPr>
      </w:pPr>
      <w:r w:rsidRPr="00B51DEF">
        <w:rPr>
          <w:b/>
          <w:sz w:val="36"/>
          <w:szCs w:val="36"/>
        </w:rPr>
        <w:t>6.07</w:t>
      </w:r>
      <w:r w:rsidR="00B60939" w:rsidRPr="00B51DEF">
        <w:rPr>
          <w:b/>
          <w:sz w:val="36"/>
          <w:szCs w:val="36"/>
        </w:rPr>
        <w:tab/>
      </w:r>
      <w:r w:rsidR="00DE5AE1" w:rsidRPr="00B51DEF">
        <w:rPr>
          <w:b/>
          <w:sz w:val="36"/>
          <w:szCs w:val="36"/>
        </w:rPr>
        <w:t>TOFACITINIB</w:t>
      </w:r>
      <w:r w:rsidR="002F051B" w:rsidRPr="00B51DEF">
        <w:rPr>
          <w:b/>
          <w:sz w:val="36"/>
          <w:szCs w:val="36"/>
        </w:rPr>
        <w:t xml:space="preserve">, </w:t>
      </w:r>
      <w:r w:rsidR="002F051B" w:rsidRPr="00B51DEF">
        <w:rPr>
          <w:b/>
          <w:sz w:val="36"/>
          <w:szCs w:val="36"/>
        </w:rPr>
        <w:br/>
        <w:t>T</w:t>
      </w:r>
      <w:r w:rsidR="00EC2B55" w:rsidRPr="00B51DEF">
        <w:rPr>
          <w:b/>
          <w:sz w:val="36"/>
          <w:szCs w:val="36"/>
        </w:rPr>
        <w:t xml:space="preserve">ablet 5mg, tablet </w:t>
      </w:r>
      <w:r w:rsidR="00DE5AE1" w:rsidRPr="00B51DEF">
        <w:rPr>
          <w:b/>
          <w:sz w:val="36"/>
          <w:szCs w:val="36"/>
        </w:rPr>
        <w:t>10mg</w:t>
      </w:r>
      <w:proofErr w:type="gramStart"/>
      <w:r w:rsidR="002F051B" w:rsidRPr="00B51DEF">
        <w:rPr>
          <w:b/>
          <w:sz w:val="36"/>
          <w:szCs w:val="36"/>
        </w:rPr>
        <w:t>,</w:t>
      </w:r>
      <w:proofErr w:type="gramEnd"/>
      <w:r w:rsidR="002F051B" w:rsidRPr="00B51DEF">
        <w:rPr>
          <w:b/>
          <w:sz w:val="36"/>
          <w:szCs w:val="36"/>
        </w:rPr>
        <w:br/>
      </w:r>
      <w:proofErr w:type="spellStart"/>
      <w:r w:rsidR="00DE5AE1" w:rsidRPr="00B51DEF">
        <w:rPr>
          <w:b/>
          <w:sz w:val="36"/>
          <w:szCs w:val="36"/>
        </w:rPr>
        <w:t>Xeljanz</w:t>
      </w:r>
      <w:proofErr w:type="spellEnd"/>
      <w:r w:rsidR="00B60939" w:rsidRPr="00B51DEF">
        <w:rPr>
          <w:b/>
          <w:sz w:val="36"/>
          <w:szCs w:val="36"/>
          <w:vertAlign w:val="superscript"/>
        </w:rPr>
        <w:t>®</w:t>
      </w:r>
      <w:r w:rsidR="00B60939" w:rsidRPr="00B51DEF">
        <w:rPr>
          <w:b/>
          <w:sz w:val="36"/>
          <w:szCs w:val="36"/>
        </w:rPr>
        <w:t xml:space="preserve">, </w:t>
      </w:r>
      <w:r w:rsidR="00DE5AE1" w:rsidRPr="00B51DEF">
        <w:rPr>
          <w:b/>
          <w:sz w:val="36"/>
          <w:szCs w:val="36"/>
        </w:rPr>
        <w:t>Pfizer Australia</w:t>
      </w:r>
    </w:p>
    <w:p w:rsidR="00022D31" w:rsidRPr="00B51DEF" w:rsidRDefault="00022D31" w:rsidP="004D7F38">
      <w:pPr>
        <w:pStyle w:val="PBACHeading1"/>
        <w:spacing w:before="240" w:after="120"/>
      </w:pPr>
      <w:bookmarkStart w:id="0" w:name="_Toc535929139"/>
      <w:r w:rsidRPr="00B51DEF">
        <w:t>Purpose of Application</w:t>
      </w:r>
      <w:bookmarkEnd w:id="0"/>
    </w:p>
    <w:p w:rsidR="00022D31" w:rsidRPr="00B51DEF" w:rsidRDefault="00022D31" w:rsidP="004D7F38">
      <w:pPr>
        <w:pStyle w:val="ListParagraph"/>
        <w:widowControl/>
        <w:numPr>
          <w:ilvl w:val="1"/>
          <w:numId w:val="3"/>
        </w:numPr>
        <w:spacing w:after="120"/>
      </w:pPr>
      <w:r w:rsidRPr="00B51DEF">
        <w:t>Section 85</w:t>
      </w:r>
      <w:r w:rsidR="00A339AD" w:rsidRPr="00B51DEF">
        <w:t xml:space="preserve"> (General Schedule)</w:t>
      </w:r>
      <w:r w:rsidRPr="00B51DEF">
        <w:t xml:space="preserve">, Authority </w:t>
      </w:r>
      <w:proofErr w:type="gramStart"/>
      <w:r w:rsidRPr="00B51DEF">
        <w:t>Required</w:t>
      </w:r>
      <w:proofErr w:type="gramEnd"/>
      <w:r w:rsidRPr="00B51DEF">
        <w:t xml:space="preserve">, listing for </w:t>
      </w:r>
      <w:proofErr w:type="spellStart"/>
      <w:r w:rsidRPr="00B51DEF">
        <w:t>tofacitinib</w:t>
      </w:r>
      <w:proofErr w:type="spellEnd"/>
      <w:r w:rsidRPr="00B51DEF">
        <w:t xml:space="preserve"> (TOF) for </w:t>
      </w:r>
      <w:r w:rsidR="006028FE" w:rsidRPr="00B51DEF">
        <w:t xml:space="preserve">the </w:t>
      </w:r>
      <w:r w:rsidRPr="00B51DEF">
        <w:t xml:space="preserve">treatment of moderate to severe ulcerative colitis (MSUC). </w:t>
      </w:r>
      <w:r w:rsidRPr="00B51DEF">
        <w:rPr>
          <w:iCs/>
        </w:rPr>
        <w:t>The PBAC has not previously considered TOF for MSUC.</w:t>
      </w:r>
      <w:r w:rsidR="00CD1017" w:rsidRPr="00B51DEF">
        <w:rPr>
          <w:iCs/>
        </w:rPr>
        <w:t xml:space="preserve"> </w:t>
      </w:r>
      <w:r w:rsidR="00E34B10" w:rsidRPr="00B51DEF">
        <w:rPr>
          <w:iCs/>
        </w:rPr>
        <w:t xml:space="preserve">TOF is </w:t>
      </w:r>
      <w:r w:rsidR="00CD1017" w:rsidRPr="00B51DEF">
        <w:rPr>
          <w:iCs/>
        </w:rPr>
        <w:t>PBS listed for rheumatoid arthritis (RA) and has been recommended for listing for psoriatic arthritis (</w:t>
      </w:r>
      <w:proofErr w:type="spellStart"/>
      <w:r w:rsidR="00CD1017" w:rsidRPr="00B51DEF">
        <w:rPr>
          <w:iCs/>
        </w:rPr>
        <w:t>PsA</w:t>
      </w:r>
      <w:proofErr w:type="spellEnd"/>
      <w:r w:rsidR="00CD1017" w:rsidRPr="00B51DEF">
        <w:rPr>
          <w:iCs/>
        </w:rPr>
        <w:t>).</w:t>
      </w:r>
    </w:p>
    <w:p w:rsidR="00022D31" w:rsidRPr="00B51DEF" w:rsidRDefault="00022D31" w:rsidP="004D7F38">
      <w:pPr>
        <w:pStyle w:val="ListParagraph"/>
        <w:widowControl/>
        <w:numPr>
          <w:ilvl w:val="1"/>
          <w:numId w:val="3"/>
        </w:numPr>
        <w:spacing w:after="120"/>
      </w:pPr>
      <w:r w:rsidRPr="00B51DEF">
        <w:t xml:space="preserve">The requested basis for listing TOF was a cost-minimisation to infliximab (IFX). Other </w:t>
      </w:r>
      <w:r w:rsidR="002B40F3" w:rsidRPr="00B51DEF">
        <w:t>biological therapies</w:t>
      </w:r>
      <w:r w:rsidRPr="00B51DEF">
        <w:t xml:space="preserve"> currently listed on the PBS include </w:t>
      </w:r>
      <w:proofErr w:type="spellStart"/>
      <w:r w:rsidRPr="00B51DEF">
        <w:t>adalimumab</w:t>
      </w:r>
      <w:proofErr w:type="spellEnd"/>
      <w:r w:rsidRPr="00B51DEF">
        <w:t xml:space="preserve"> (ADA), </w:t>
      </w:r>
      <w:proofErr w:type="spellStart"/>
      <w:r w:rsidRPr="00B51DEF">
        <w:t>vedolizumab</w:t>
      </w:r>
      <w:proofErr w:type="spellEnd"/>
      <w:r w:rsidRPr="00B51DEF">
        <w:t xml:space="preserve"> (VDZ) and </w:t>
      </w:r>
      <w:proofErr w:type="spellStart"/>
      <w:r w:rsidRPr="00B51DEF">
        <w:t>golimumab</w:t>
      </w:r>
      <w:proofErr w:type="spellEnd"/>
      <w:r w:rsidRPr="00B51DEF">
        <w:t xml:space="preserve"> (GOL). </w:t>
      </w:r>
    </w:p>
    <w:p w:rsidR="00022D31" w:rsidRPr="00B51DEF" w:rsidRDefault="00022D31" w:rsidP="009467BF">
      <w:pPr>
        <w:pStyle w:val="TableHeading0"/>
        <w:rPr>
          <w:rStyle w:val="CommentReference"/>
          <w:b/>
          <w:bCs/>
        </w:rPr>
      </w:pPr>
      <w:r w:rsidRPr="00B51DEF">
        <w:rPr>
          <w:rStyle w:val="CommentReference"/>
          <w:b/>
          <w:bCs/>
        </w:rPr>
        <w:t xml:space="preserve">Table </w:t>
      </w:r>
      <w:r w:rsidR="004D1D00" w:rsidRPr="00B51DEF">
        <w:rPr>
          <w:rStyle w:val="CommentReference"/>
          <w:b/>
          <w:bCs/>
        </w:rPr>
        <w:t>1</w:t>
      </w:r>
      <w:r w:rsidR="006D40D3" w:rsidRPr="00B51DEF">
        <w:rPr>
          <w:rStyle w:val="CommentReference"/>
          <w:b/>
          <w:bCs/>
        </w:rPr>
        <w:t>:</w:t>
      </w:r>
      <w:r w:rsidRPr="00B51DEF">
        <w:rPr>
          <w:rStyle w:val="CommentReference"/>
          <w:b/>
          <w:bCs/>
        </w:rPr>
        <w:t xml:space="preserve">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components of the clinical issue addressed by the submission"/>
      </w:tblPr>
      <w:tblGrid>
        <w:gridCol w:w="1129"/>
        <w:gridCol w:w="8027"/>
      </w:tblGrid>
      <w:tr w:rsidR="00022D31" w:rsidRPr="00B51DEF" w:rsidTr="006D40D3">
        <w:tc>
          <w:tcPr>
            <w:tcW w:w="1129" w:type="dxa"/>
            <w:shd w:val="clear" w:color="auto" w:fill="auto"/>
            <w:vAlign w:val="center"/>
          </w:tcPr>
          <w:p w:rsidR="00022D31" w:rsidRPr="00B51DEF" w:rsidRDefault="00022D31" w:rsidP="009467BF">
            <w:pPr>
              <w:pStyle w:val="Tabletext"/>
              <w:rPr>
                <w:b/>
                <w:sz w:val="20"/>
                <w:szCs w:val="24"/>
              </w:rPr>
            </w:pPr>
            <w:r w:rsidRPr="00B51DEF">
              <w:rPr>
                <w:b/>
                <w:sz w:val="20"/>
                <w:szCs w:val="24"/>
              </w:rPr>
              <w:t>Component</w:t>
            </w:r>
          </w:p>
        </w:tc>
        <w:tc>
          <w:tcPr>
            <w:tcW w:w="8027" w:type="dxa"/>
            <w:shd w:val="clear" w:color="auto" w:fill="auto"/>
            <w:vAlign w:val="center"/>
          </w:tcPr>
          <w:p w:rsidR="00022D31" w:rsidRPr="00B51DEF" w:rsidRDefault="00022D31" w:rsidP="009467BF">
            <w:pPr>
              <w:pStyle w:val="Tabletext"/>
              <w:jc w:val="center"/>
              <w:rPr>
                <w:b/>
                <w:sz w:val="20"/>
                <w:szCs w:val="24"/>
              </w:rPr>
            </w:pPr>
            <w:r w:rsidRPr="00B51DEF">
              <w:rPr>
                <w:b/>
                <w:sz w:val="20"/>
                <w:szCs w:val="24"/>
              </w:rPr>
              <w:t>Description</w:t>
            </w:r>
          </w:p>
        </w:tc>
      </w:tr>
      <w:tr w:rsidR="00022D31" w:rsidRPr="00B51DEF" w:rsidTr="006D40D3">
        <w:tc>
          <w:tcPr>
            <w:tcW w:w="1129" w:type="dxa"/>
            <w:shd w:val="clear" w:color="auto" w:fill="auto"/>
            <w:vAlign w:val="center"/>
          </w:tcPr>
          <w:p w:rsidR="00022D31" w:rsidRPr="00B51DEF" w:rsidRDefault="00022D31" w:rsidP="009467BF">
            <w:pPr>
              <w:pStyle w:val="Tabletext"/>
              <w:rPr>
                <w:sz w:val="20"/>
                <w:szCs w:val="24"/>
              </w:rPr>
            </w:pPr>
            <w:r w:rsidRPr="00B51DEF">
              <w:rPr>
                <w:sz w:val="20"/>
                <w:szCs w:val="24"/>
              </w:rPr>
              <w:t>Population</w:t>
            </w:r>
          </w:p>
        </w:tc>
        <w:tc>
          <w:tcPr>
            <w:tcW w:w="8027" w:type="dxa"/>
            <w:shd w:val="clear" w:color="auto" w:fill="auto"/>
          </w:tcPr>
          <w:p w:rsidR="00022D31" w:rsidRPr="00B51DEF" w:rsidRDefault="00022D31" w:rsidP="009467BF">
            <w:pPr>
              <w:pStyle w:val="Tabletext"/>
              <w:rPr>
                <w:sz w:val="20"/>
                <w:szCs w:val="24"/>
              </w:rPr>
            </w:pPr>
            <w:r w:rsidRPr="00B51DEF">
              <w:rPr>
                <w:sz w:val="20"/>
                <w:szCs w:val="24"/>
              </w:rPr>
              <w:t>Adult patients with moderate to severe ulcerative colitis who have had an inadequate response, lost response, or were intolerant to standard treatment.</w:t>
            </w:r>
          </w:p>
        </w:tc>
      </w:tr>
      <w:tr w:rsidR="00022D31" w:rsidRPr="00B51DEF" w:rsidTr="006D40D3">
        <w:tc>
          <w:tcPr>
            <w:tcW w:w="1129" w:type="dxa"/>
            <w:shd w:val="clear" w:color="auto" w:fill="auto"/>
            <w:vAlign w:val="center"/>
          </w:tcPr>
          <w:p w:rsidR="00022D31" w:rsidRPr="00B51DEF" w:rsidRDefault="00022D31" w:rsidP="009467BF">
            <w:pPr>
              <w:pStyle w:val="Tabletext"/>
              <w:rPr>
                <w:sz w:val="20"/>
                <w:szCs w:val="24"/>
              </w:rPr>
            </w:pPr>
            <w:r w:rsidRPr="00B51DEF">
              <w:rPr>
                <w:sz w:val="20"/>
                <w:szCs w:val="24"/>
              </w:rPr>
              <w:t>Intervention</w:t>
            </w:r>
          </w:p>
        </w:tc>
        <w:tc>
          <w:tcPr>
            <w:tcW w:w="8027" w:type="dxa"/>
            <w:shd w:val="clear" w:color="auto" w:fill="auto"/>
          </w:tcPr>
          <w:p w:rsidR="00022D31" w:rsidRPr="00B51DEF" w:rsidRDefault="00022D31" w:rsidP="009467BF">
            <w:pPr>
              <w:pStyle w:val="Tabletext"/>
              <w:rPr>
                <w:sz w:val="20"/>
                <w:szCs w:val="24"/>
              </w:rPr>
            </w:pPr>
            <w:proofErr w:type="spellStart"/>
            <w:r w:rsidRPr="00B51DEF">
              <w:rPr>
                <w:sz w:val="20"/>
                <w:szCs w:val="24"/>
              </w:rPr>
              <w:t>Tofacitinib</w:t>
            </w:r>
            <w:proofErr w:type="spellEnd"/>
            <w:r w:rsidRPr="00B51DEF">
              <w:rPr>
                <w:sz w:val="20"/>
                <w:szCs w:val="24"/>
              </w:rPr>
              <w:t xml:space="preserve"> 10 mg twice daily for at least 8 weeks for induction and then </w:t>
            </w:r>
            <w:proofErr w:type="spellStart"/>
            <w:r w:rsidRPr="00B51DEF">
              <w:rPr>
                <w:sz w:val="20"/>
                <w:szCs w:val="24"/>
              </w:rPr>
              <w:t>tofacitinib</w:t>
            </w:r>
            <w:proofErr w:type="spellEnd"/>
            <w:r w:rsidRPr="00B51DEF">
              <w:rPr>
                <w:sz w:val="20"/>
                <w:szCs w:val="24"/>
              </w:rPr>
              <w:t xml:space="preserve"> 5 mg twice daily (for maintenance) or </w:t>
            </w:r>
            <w:proofErr w:type="spellStart"/>
            <w:r w:rsidRPr="00B51DEF">
              <w:rPr>
                <w:sz w:val="20"/>
                <w:szCs w:val="24"/>
              </w:rPr>
              <w:t>tofacitinib</w:t>
            </w:r>
            <w:proofErr w:type="spellEnd"/>
            <w:r w:rsidRPr="00B51DEF">
              <w:rPr>
                <w:sz w:val="20"/>
                <w:szCs w:val="24"/>
              </w:rPr>
              <w:t xml:space="preserve"> 10 mg twice daily in a small proportion of patients who fail to maintain a response on </w:t>
            </w:r>
            <w:proofErr w:type="spellStart"/>
            <w:r w:rsidRPr="00B51DEF">
              <w:rPr>
                <w:sz w:val="20"/>
                <w:szCs w:val="24"/>
              </w:rPr>
              <w:t>tofacitinib</w:t>
            </w:r>
            <w:proofErr w:type="spellEnd"/>
            <w:r w:rsidRPr="00B51DEF">
              <w:rPr>
                <w:sz w:val="20"/>
                <w:szCs w:val="24"/>
              </w:rPr>
              <w:t xml:space="preserve"> 5 mg twice daily.</w:t>
            </w:r>
          </w:p>
        </w:tc>
      </w:tr>
      <w:tr w:rsidR="00022D31" w:rsidRPr="00B51DEF" w:rsidTr="006D40D3">
        <w:tc>
          <w:tcPr>
            <w:tcW w:w="1129" w:type="dxa"/>
            <w:shd w:val="clear" w:color="auto" w:fill="auto"/>
            <w:vAlign w:val="center"/>
          </w:tcPr>
          <w:p w:rsidR="00022D31" w:rsidRPr="00B51DEF" w:rsidRDefault="00022D31" w:rsidP="009467BF">
            <w:pPr>
              <w:pStyle w:val="Tabletext"/>
              <w:rPr>
                <w:sz w:val="20"/>
                <w:szCs w:val="24"/>
              </w:rPr>
            </w:pPr>
            <w:r w:rsidRPr="00B51DEF">
              <w:rPr>
                <w:sz w:val="20"/>
                <w:szCs w:val="24"/>
              </w:rPr>
              <w:t>Comparator</w:t>
            </w:r>
          </w:p>
        </w:tc>
        <w:tc>
          <w:tcPr>
            <w:tcW w:w="8027" w:type="dxa"/>
            <w:shd w:val="clear" w:color="auto" w:fill="auto"/>
          </w:tcPr>
          <w:p w:rsidR="00022D31" w:rsidRPr="00B51DEF" w:rsidRDefault="00022D31" w:rsidP="009467BF">
            <w:pPr>
              <w:pStyle w:val="Tabletext"/>
              <w:rPr>
                <w:sz w:val="20"/>
                <w:szCs w:val="24"/>
              </w:rPr>
            </w:pPr>
            <w:r w:rsidRPr="00B51DEF">
              <w:rPr>
                <w:sz w:val="20"/>
                <w:szCs w:val="24"/>
              </w:rPr>
              <w:t>Main comparator: Infliximab 5mg/kg IV infusion at 0, 2 and 6 weeks then Q8W thereafter.</w:t>
            </w:r>
          </w:p>
          <w:p w:rsidR="00022D31" w:rsidRPr="00B51DEF" w:rsidRDefault="00022D31" w:rsidP="009467BF">
            <w:pPr>
              <w:pStyle w:val="Tabletext"/>
              <w:rPr>
                <w:sz w:val="20"/>
                <w:szCs w:val="24"/>
              </w:rPr>
            </w:pPr>
            <w:r w:rsidRPr="00B51DEF">
              <w:rPr>
                <w:sz w:val="20"/>
                <w:szCs w:val="24"/>
              </w:rPr>
              <w:t>Other comparators:</w:t>
            </w:r>
          </w:p>
          <w:p w:rsidR="00022D31" w:rsidRPr="00B51DEF" w:rsidRDefault="00022D31" w:rsidP="009467BF">
            <w:pPr>
              <w:pStyle w:val="Tabletext"/>
              <w:numPr>
                <w:ilvl w:val="0"/>
                <w:numId w:val="1"/>
              </w:numPr>
              <w:ind w:left="406" w:hanging="284"/>
              <w:rPr>
                <w:sz w:val="20"/>
                <w:szCs w:val="24"/>
              </w:rPr>
            </w:pPr>
            <w:proofErr w:type="spellStart"/>
            <w:r w:rsidRPr="00B51DEF">
              <w:rPr>
                <w:sz w:val="20"/>
                <w:szCs w:val="24"/>
              </w:rPr>
              <w:t>Adalimumab</w:t>
            </w:r>
            <w:proofErr w:type="spellEnd"/>
            <w:r w:rsidRPr="00B51DEF">
              <w:rPr>
                <w:sz w:val="20"/>
                <w:szCs w:val="24"/>
              </w:rPr>
              <w:t xml:space="preserve"> SC injection, 160mg at week 0, 80mg at week 2 then 40mg Q2W thereafter.</w:t>
            </w:r>
          </w:p>
          <w:p w:rsidR="00022D31" w:rsidRPr="00B51DEF" w:rsidRDefault="00022D31" w:rsidP="009467BF">
            <w:pPr>
              <w:pStyle w:val="Tabletext"/>
              <w:numPr>
                <w:ilvl w:val="0"/>
                <w:numId w:val="1"/>
              </w:numPr>
              <w:ind w:left="406" w:hanging="284"/>
              <w:rPr>
                <w:sz w:val="20"/>
                <w:szCs w:val="24"/>
              </w:rPr>
            </w:pPr>
            <w:proofErr w:type="spellStart"/>
            <w:r w:rsidRPr="00B51DEF">
              <w:rPr>
                <w:sz w:val="20"/>
                <w:szCs w:val="24"/>
              </w:rPr>
              <w:t>Vedolizumab</w:t>
            </w:r>
            <w:proofErr w:type="spellEnd"/>
            <w:r w:rsidRPr="00B51DEF">
              <w:rPr>
                <w:sz w:val="20"/>
                <w:szCs w:val="24"/>
              </w:rPr>
              <w:t xml:space="preserve"> IV infusion, 300mg at 0, 2 and 6 weeks then Q8W thereafter.</w:t>
            </w:r>
          </w:p>
          <w:p w:rsidR="00022D31" w:rsidRPr="00B51DEF" w:rsidRDefault="00022D31" w:rsidP="009467BF">
            <w:pPr>
              <w:pStyle w:val="Tabletext"/>
              <w:numPr>
                <w:ilvl w:val="0"/>
                <w:numId w:val="1"/>
              </w:numPr>
              <w:ind w:left="406" w:hanging="284"/>
              <w:rPr>
                <w:sz w:val="20"/>
                <w:szCs w:val="24"/>
              </w:rPr>
            </w:pPr>
            <w:proofErr w:type="spellStart"/>
            <w:r w:rsidRPr="00B51DEF">
              <w:rPr>
                <w:sz w:val="20"/>
                <w:szCs w:val="24"/>
              </w:rPr>
              <w:t>Golimumab</w:t>
            </w:r>
            <w:proofErr w:type="spellEnd"/>
            <w:r w:rsidRPr="00B51DEF">
              <w:rPr>
                <w:sz w:val="20"/>
                <w:szCs w:val="24"/>
              </w:rPr>
              <w:t xml:space="preserve"> SC injection, 200mg at week 0, 100mg at week 2, then 100mg Q4W thereafter</w:t>
            </w:r>
          </w:p>
        </w:tc>
      </w:tr>
      <w:tr w:rsidR="00022D31" w:rsidRPr="00B51DEF" w:rsidTr="006D40D3">
        <w:tc>
          <w:tcPr>
            <w:tcW w:w="1129" w:type="dxa"/>
            <w:shd w:val="clear" w:color="auto" w:fill="auto"/>
            <w:vAlign w:val="center"/>
          </w:tcPr>
          <w:p w:rsidR="00022D31" w:rsidRPr="00B51DEF" w:rsidRDefault="00022D31" w:rsidP="009467BF">
            <w:pPr>
              <w:pStyle w:val="Tabletext"/>
              <w:rPr>
                <w:sz w:val="20"/>
                <w:szCs w:val="24"/>
              </w:rPr>
            </w:pPr>
            <w:r w:rsidRPr="00B51DEF">
              <w:rPr>
                <w:sz w:val="20"/>
                <w:szCs w:val="24"/>
              </w:rPr>
              <w:t>Outcomes</w:t>
            </w:r>
          </w:p>
        </w:tc>
        <w:tc>
          <w:tcPr>
            <w:tcW w:w="8027" w:type="dxa"/>
            <w:shd w:val="clear" w:color="auto" w:fill="auto"/>
          </w:tcPr>
          <w:p w:rsidR="00022D31" w:rsidRPr="00B51DEF" w:rsidRDefault="00022D31" w:rsidP="009467BF">
            <w:pPr>
              <w:pStyle w:val="Tabletext"/>
              <w:rPr>
                <w:sz w:val="20"/>
                <w:szCs w:val="24"/>
              </w:rPr>
            </w:pPr>
            <w:r w:rsidRPr="00B51DEF">
              <w:rPr>
                <w:sz w:val="20"/>
                <w:szCs w:val="24"/>
              </w:rPr>
              <w:t xml:space="preserve">Indirect comparison of </w:t>
            </w:r>
            <w:proofErr w:type="spellStart"/>
            <w:r w:rsidR="00C87392" w:rsidRPr="00B51DEF">
              <w:rPr>
                <w:sz w:val="20"/>
                <w:szCs w:val="24"/>
              </w:rPr>
              <w:t>tofacitinib</w:t>
            </w:r>
            <w:proofErr w:type="spellEnd"/>
            <w:r w:rsidRPr="00B51DEF">
              <w:rPr>
                <w:sz w:val="20"/>
                <w:szCs w:val="24"/>
              </w:rPr>
              <w:t xml:space="preserve"> and comparators was conducted for the following outcomes, for induction and maintenance therapy:</w:t>
            </w:r>
          </w:p>
          <w:p w:rsidR="00022D31" w:rsidRPr="00B51DEF" w:rsidRDefault="00022D31" w:rsidP="009467BF">
            <w:pPr>
              <w:pStyle w:val="Tabletext"/>
              <w:numPr>
                <w:ilvl w:val="0"/>
                <w:numId w:val="1"/>
              </w:numPr>
              <w:ind w:left="406" w:hanging="284"/>
              <w:rPr>
                <w:sz w:val="20"/>
                <w:szCs w:val="24"/>
              </w:rPr>
            </w:pPr>
            <w:r w:rsidRPr="00B51DEF">
              <w:rPr>
                <w:sz w:val="20"/>
                <w:szCs w:val="24"/>
              </w:rPr>
              <w:t xml:space="preserve">Clinical response, defined by a decrease from baseline in Mayo score of ≥3 and at least 30%, with an accompanying decrease in the </w:t>
            </w:r>
            <w:proofErr w:type="spellStart"/>
            <w:r w:rsidRPr="00B51DEF">
              <w:rPr>
                <w:sz w:val="20"/>
                <w:szCs w:val="24"/>
              </w:rPr>
              <w:t>subscore</w:t>
            </w:r>
            <w:proofErr w:type="spellEnd"/>
            <w:r w:rsidRPr="00B51DEF">
              <w:rPr>
                <w:sz w:val="20"/>
                <w:szCs w:val="24"/>
              </w:rPr>
              <w:t xml:space="preserve"> for rectal bleeding of ≥1 point or absolute </w:t>
            </w:r>
            <w:proofErr w:type="spellStart"/>
            <w:r w:rsidRPr="00B51DEF">
              <w:rPr>
                <w:sz w:val="20"/>
                <w:szCs w:val="24"/>
              </w:rPr>
              <w:t>subscore</w:t>
            </w:r>
            <w:proofErr w:type="spellEnd"/>
            <w:r w:rsidRPr="00B51DEF">
              <w:rPr>
                <w:sz w:val="20"/>
                <w:szCs w:val="24"/>
              </w:rPr>
              <w:t xml:space="preserve"> for rectal bleeding of 0 or 1;</w:t>
            </w:r>
          </w:p>
          <w:p w:rsidR="00022D31" w:rsidRPr="00B51DEF" w:rsidRDefault="00022D31" w:rsidP="009467BF">
            <w:pPr>
              <w:pStyle w:val="Tabletext"/>
              <w:numPr>
                <w:ilvl w:val="0"/>
                <w:numId w:val="1"/>
              </w:numPr>
              <w:ind w:left="406" w:hanging="284"/>
              <w:rPr>
                <w:sz w:val="20"/>
                <w:szCs w:val="24"/>
              </w:rPr>
            </w:pPr>
            <w:r w:rsidRPr="00B51DEF">
              <w:rPr>
                <w:sz w:val="20"/>
                <w:szCs w:val="24"/>
              </w:rPr>
              <w:t xml:space="preserve">Clinical remission, defined by a total Mayo score of ≤2, with no individual </w:t>
            </w:r>
            <w:proofErr w:type="spellStart"/>
            <w:r w:rsidRPr="00B51DEF">
              <w:rPr>
                <w:sz w:val="20"/>
                <w:szCs w:val="24"/>
              </w:rPr>
              <w:t>subscore</w:t>
            </w:r>
            <w:proofErr w:type="spellEnd"/>
            <w:r w:rsidRPr="00B51DEF">
              <w:rPr>
                <w:sz w:val="20"/>
                <w:szCs w:val="24"/>
              </w:rPr>
              <w:t xml:space="preserve"> exceeding 1.</w:t>
            </w:r>
          </w:p>
          <w:p w:rsidR="00022D31" w:rsidRPr="00B51DEF" w:rsidRDefault="00022D31" w:rsidP="009467BF">
            <w:pPr>
              <w:pStyle w:val="Tabletext"/>
              <w:numPr>
                <w:ilvl w:val="0"/>
                <w:numId w:val="1"/>
              </w:numPr>
              <w:ind w:left="406" w:hanging="284"/>
              <w:rPr>
                <w:sz w:val="20"/>
                <w:szCs w:val="24"/>
              </w:rPr>
            </w:pPr>
            <w:r w:rsidRPr="00B51DEF">
              <w:rPr>
                <w:sz w:val="20"/>
                <w:szCs w:val="24"/>
              </w:rPr>
              <w:t xml:space="preserve">Mucosal healing, defined by a Mayo endoscopic </w:t>
            </w:r>
            <w:proofErr w:type="spellStart"/>
            <w:r w:rsidRPr="00B51DEF">
              <w:rPr>
                <w:sz w:val="20"/>
                <w:szCs w:val="24"/>
              </w:rPr>
              <w:t>subscore</w:t>
            </w:r>
            <w:proofErr w:type="spellEnd"/>
            <w:r w:rsidRPr="00B51DEF">
              <w:rPr>
                <w:sz w:val="20"/>
                <w:szCs w:val="24"/>
              </w:rPr>
              <w:t xml:space="preserve"> of 0 or 1.</w:t>
            </w:r>
          </w:p>
        </w:tc>
      </w:tr>
      <w:tr w:rsidR="00022D31" w:rsidRPr="00B51DEF" w:rsidTr="006D40D3">
        <w:tc>
          <w:tcPr>
            <w:tcW w:w="1129" w:type="dxa"/>
            <w:shd w:val="clear" w:color="auto" w:fill="auto"/>
            <w:vAlign w:val="center"/>
          </w:tcPr>
          <w:p w:rsidR="00022D31" w:rsidRPr="00B51DEF" w:rsidRDefault="00022D31" w:rsidP="009467BF">
            <w:pPr>
              <w:pStyle w:val="Tabletext"/>
              <w:rPr>
                <w:sz w:val="20"/>
                <w:szCs w:val="24"/>
              </w:rPr>
            </w:pPr>
            <w:r w:rsidRPr="00B51DEF">
              <w:rPr>
                <w:sz w:val="20"/>
                <w:szCs w:val="24"/>
              </w:rPr>
              <w:t>Clinical claim</w:t>
            </w:r>
          </w:p>
        </w:tc>
        <w:tc>
          <w:tcPr>
            <w:tcW w:w="8027" w:type="dxa"/>
            <w:shd w:val="clear" w:color="auto" w:fill="auto"/>
          </w:tcPr>
          <w:p w:rsidR="00022D31" w:rsidRPr="00B51DEF" w:rsidRDefault="00022D31" w:rsidP="009467BF">
            <w:pPr>
              <w:pStyle w:val="Tabletext"/>
              <w:rPr>
                <w:sz w:val="20"/>
                <w:szCs w:val="24"/>
              </w:rPr>
            </w:pPr>
            <w:proofErr w:type="spellStart"/>
            <w:r w:rsidRPr="00B51DEF">
              <w:rPr>
                <w:sz w:val="20"/>
                <w:szCs w:val="24"/>
              </w:rPr>
              <w:t>Tofacitinib</w:t>
            </w:r>
            <w:proofErr w:type="spellEnd"/>
            <w:r w:rsidRPr="00B51DEF">
              <w:rPr>
                <w:sz w:val="20"/>
                <w:szCs w:val="24"/>
              </w:rPr>
              <w:t xml:space="preserve"> is non-inferior in terms of efficacy and safety to infliximab for induction and maintenance treatment of moderate to severe ulcerative colitis.</w:t>
            </w:r>
          </w:p>
        </w:tc>
      </w:tr>
    </w:tbl>
    <w:p w:rsidR="00022D31" w:rsidRPr="00B51DEF" w:rsidRDefault="00022D31" w:rsidP="009467BF">
      <w:pPr>
        <w:pStyle w:val="TableFooter"/>
        <w:widowControl/>
      </w:pPr>
      <w:r w:rsidRPr="00B51DEF">
        <w:t>Source: Table 1.1.1, p3 of the submission.</w:t>
      </w:r>
    </w:p>
    <w:p w:rsidR="00022D31" w:rsidRPr="00B51DEF" w:rsidRDefault="00022D31" w:rsidP="009467BF">
      <w:pPr>
        <w:pStyle w:val="TableFooter"/>
        <w:widowControl/>
      </w:pPr>
      <w:r w:rsidRPr="00B51DEF">
        <w:t>Abbreviations: IV=intravenous, SC=subcutaneous; Q2W=every two weeks; Q4W=every four weeks; Q8W=every eight weeks</w:t>
      </w:r>
    </w:p>
    <w:p w:rsidR="0008156B" w:rsidRPr="00B51DEF" w:rsidRDefault="00022D31" w:rsidP="00DA16F2">
      <w:pPr>
        <w:pStyle w:val="PBACHeading1"/>
        <w:keepNext/>
        <w:spacing w:before="120" w:after="120"/>
      </w:pPr>
      <w:bookmarkStart w:id="1" w:name="_Toc535929140"/>
      <w:r w:rsidRPr="00B51DEF">
        <w:t>Requested listing</w:t>
      </w:r>
      <w:bookmarkEnd w:id="1"/>
    </w:p>
    <w:p w:rsidR="003521B2" w:rsidRPr="00B51DEF" w:rsidRDefault="00022D31" w:rsidP="00DA16F2">
      <w:pPr>
        <w:pStyle w:val="ListParagraph"/>
        <w:widowControl/>
        <w:numPr>
          <w:ilvl w:val="1"/>
          <w:numId w:val="3"/>
        </w:numPr>
        <w:spacing w:before="120" w:after="120"/>
        <w:rPr>
          <w:i/>
          <w:iCs/>
        </w:rPr>
      </w:pPr>
      <w:r w:rsidRPr="00B51DEF">
        <w:t xml:space="preserve">The Sponsor requested several restrictions for TOF 10 mg and TOF 5 mg to provide for </w:t>
      </w:r>
      <w:proofErr w:type="gramStart"/>
      <w:r w:rsidRPr="00B51DEF">
        <w:t>initial</w:t>
      </w:r>
      <w:proofErr w:type="gramEnd"/>
      <w:r w:rsidRPr="00B51DEF">
        <w:t xml:space="preserve"> treatment (1&amp;2), continuing treatment, grandfathered patients and balance of supply</w:t>
      </w:r>
      <w:r w:rsidR="000C6615" w:rsidRPr="00B51DEF">
        <w:t>.</w:t>
      </w:r>
      <w:r w:rsidRPr="00B51DEF">
        <w:t xml:space="preserve"> The requested restrictions were generally similar to that of currently PBS listed </w:t>
      </w:r>
      <w:r w:rsidR="002B40F3" w:rsidRPr="00B51DEF">
        <w:t xml:space="preserve">biological therapies </w:t>
      </w:r>
      <w:r w:rsidRPr="00B51DEF">
        <w:t xml:space="preserve">for MSUC. </w:t>
      </w:r>
      <w:r w:rsidR="009A57B8" w:rsidRPr="00B51DEF">
        <w:t>Table 2</w:t>
      </w:r>
      <w:r w:rsidR="009A57B8" w:rsidRPr="00B51DEF">
        <w:rPr>
          <w:b/>
          <w:bCs/>
          <w:iCs/>
        </w:rPr>
        <w:t xml:space="preserve"> </w:t>
      </w:r>
      <w:r w:rsidRPr="00B51DEF">
        <w:rPr>
          <w:iCs/>
        </w:rPr>
        <w:t>provides a summary of the restrictions for initial 1 and continuing treatment</w:t>
      </w:r>
      <w:r w:rsidRPr="00B51DEF">
        <w:t>.</w:t>
      </w:r>
      <w:r w:rsidR="002E7BDF" w:rsidRPr="00B51DEF">
        <w:t xml:space="preserve"> </w:t>
      </w:r>
    </w:p>
    <w:p w:rsidR="00022D31" w:rsidRPr="00B51DEF" w:rsidRDefault="00022D31" w:rsidP="00922EF4">
      <w:pPr>
        <w:pStyle w:val="TableHeading0"/>
        <w:keepLines/>
        <w:rPr>
          <w:rStyle w:val="CommentReference"/>
          <w:b/>
          <w:bCs/>
        </w:rPr>
      </w:pPr>
      <w:bookmarkStart w:id="2" w:name="_Ref1373192"/>
      <w:r w:rsidRPr="00B51DEF">
        <w:lastRenderedPageBreak/>
        <w:t xml:space="preserve">Table </w:t>
      </w:r>
      <w:r w:rsidR="004D1D00" w:rsidRPr="00B51DEF">
        <w:t>2</w:t>
      </w:r>
      <w:bookmarkEnd w:id="2"/>
      <w:r w:rsidR="00C87392" w:rsidRPr="00B51DEF">
        <w:t>:</w:t>
      </w:r>
      <w:r w:rsidRPr="00B51DEF">
        <w:t xml:space="preserve"> </w:t>
      </w:r>
      <w:r w:rsidRPr="00B51DEF">
        <w:rPr>
          <w:rStyle w:val="CommentReference"/>
          <w:b/>
          <w:bCs/>
        </w:rPr>
        <w:t>Abbreviated version of requested restriction for TOF (Initial 1 and continuing therapy)</w:t>
      </w:r>
    </w:p>
    <w:tbl>
      <w:tblPr>
        <w:tblW w:w="5000"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Caption w:val="Abbreviated version of requested restriction for TOF (Initial 1 and continuing therapy)"/>
      </w:tblPr>
      <w:tblGrid>
        <w:gridCol w:w="6"/>
        <w:gridCol w:w="1408"/>
        <w:gridCol w:w="804"/>
        <w:gridCol w:w="1383"/>
        <w:gridCol w:w="1381"/>
        <w:gridCol w:w="830"/>
        <w:gridCol w:w="1659"/>
        <w:gridCol w:w="1546"/>
      </w:tblGrid>
      <w:tr w:rsidR="00022D31" w:rsidRPr="006B6856" w:rsidTr="004C5800">
        <w:trPr>
          <w:gridBefore w:val="1"/>
          <w:wBefore w:w="3" w:type="pct"/>
        </w:trPr>
        <w:tc>
          <w:tcPr>
            <w:tcW w:w="1227" w:type="pct"/>
            <w:gridSpan w:val="2"/>
            <w:tcBorders>
              <w:left w:val="single" w:sz="4" w:space="0" w:color="auto"/>
            </w:tcBorders>
            <w:vAlign w:val="center"/>
          </w:tcPr>
          <w:p w:rsidR="00022D31" w:rsidRPr="006B6856" w:rsidRDefault="00022D31" w:rsidP="00922EF4">
            <w:pPr>
              <w:pStyle w:val="Tabletext"/>
              <w:keepNext/>
              <w:keepLines/>
              <w:rPr>
                <w:b/>
                <w:bCs/>
                <w:sz w:val="20"/>
                <w:szCs w:val="20"/>
              </w:rPr>
            </w:pPr>
            <w:r w:rsidRPr="006B6856">
              <w:rPr>
                <w:b/>
                <w:sz w:val="20"/>
                <w:szCs w:val="20"/>
              </w:rPr>
              <w:t>Name, restriction, manner of administration, form</w:t>
            </w:r>
          </w:p>
        </w:tc>
        <w:tc>
          <w:tcPr>
            <w:tcW w:w="767" w:type="pct"/>
            <w:vAlign w:val="center"/>
          </w:tcPr>
          <w:p w:rsidR="00022D31" w:rsidRPr="006B6856" w:rsidRDefault="00022D31" w:rsidP="00922EF4">
            <w:pPr>
              <w:pStyle w:val="Tabletext"/>
              <w:keepNext/>
              <w:keepLines/>
              <w:rPr>
                <w:b/>
                <w:bCs/>
                <w:sz w:val="20"/>
                <w:szCs w:val="20"/>
              </w:rPr>
            </w:pPr>
            <w:r w:rsidRPr="006B6856">
              <w:rPr>
                <w:b/>
                <w:sz w:val="20"/>
                <w:szCs w:val="20"/>
              </w:rPr>
              <w:t>Maximum quantity (packs)</w:t>
            </w:r>
          </w:p>
        </w:tc>
        <w:tc>
          <w:tcPr>
            <w:tcW w:w="766" w:type="pct"/>
            <w:vAlign w:val="center"/>
          </w:tcPr>
          <w:p w:rsidR="00022D31" w:rsidRPr="006B6856" w:rsidRDefault="00022D31" w:rsidP="00922EF4">
            <w:pPr>
              <w:pStyle w:val="Tabletext"/>
              <w:keepNext/>
              <w:keepLines/>
              <w:rPr>
                <w:b/>
                <w:bCs/>
                <w:sz w:val="20"/>
                <w:szCs w:val="20"/>
              </w:rPr>
            </w:pPr>
            <w:r w:rsidRPr="006B6856">
              <w:rPr>
                <w:b/>
                <w:sz w:val="20"/>
                <w:szCs w:val="20"/>
              </w:rPr>
              <w:t>Maximum quantity (units)</w:t>
            </w:r>
          </w:p>
        </w:tc>
        <w:tc>
          <w:tcPr>
            <w:tcW w:w="460" w:type="pct"/>
            <w:vAlign w:val="center"/>
          </w:tcPr>
          <w:p w:rsidR="00022D31" w:rsidRPr="006B6856" w:rsidRDefault="00022D31" w:rsidP="00922EF4">
            <w:pPr>
              <w:pStyle w:val="Tabletext"/>
              <w:keepNext/>
              <w:keepLines/>
              <w:rPr>
                <w:b/>
                <w:bCs/>
                <w:sz w:val="20"/>
                <w:szCs w:val="20"/>
              </w:rPr>
            </w:pPr>
            <w:r w:rsidRPr="006B6856">
              <w:rPr>
                <w:b/>
                <w:sz w:val="20"/>
                <w:szCs w:val="20"/>
              </w:rPr>
              <w:t>No. of repeats</w:t>
            </w:r>
          </w:p>
        </w:tc>
        <w:tc>
          <w:tcPr>
            <w:tcW w:w="920" w:type="pct"/>
            <w:vAlign w:val="center"/>
          </w:tcPr>
          <w:p w:rsidR="00022D31" w:rsidRPr="006B6856" w:rsidRDefault="00022D31" w:rsidP="00922EF4">
            <w:pPr>
              <w:pStyle w:val="Tabletext"/>
              <w:keepNext/>
              <w:keepLines/>
              <w:rPr>
                <w:b/>
                <w:bCs/>
                <w:sz w:val="20"/>
                <w:szCs w:val="20"/>
              </w:rPr>
            </w:pPr>
            <w:r w:rsidRPr="006B6856">
              <w:rPr>
                <w:b/>
                <w:sz w:val="20"/>
                <w:szCs w:val="20"/>
              </w:rPr>
              <w:t>Dispensed price for maximum quantity</w:t>
            </w:r>
          </w:p>
        </w:tc>
        <w:tc>
          <w:tcPr>
            <w:tcW w:w="858" w:type="pct"/>
            <w:tcBorders>
              <w:right w:val="single" w:sz="4" w:space="0" w:color="auto"/>
            </w:tcBorders>
            <w:vAlign w:val="center"/>
          </w:tcPr>
          <w:p w:rsidR="00022D31" w:rsidRPr="006B6856" w:rsidRDefault="00022D31" w:rsidP="00922EF4">
            <w:pPr>
              <w:pStyle w:val="Tabletext"/>
              <w:keepNext/>
              <w:keepLines/>
              <w:rPr>
                <w:b/>
                <w:bCs/>
                <w:sz w:val="20"/>
                <w:szCs w:val="20"/>
              </w:rPr>
            </w:pPr>
            <w:r w:rsidRPr="006B6856">
              <w:rPr>
                <w:b/>
                <w:sz w:val="20"/>
                <w:szCs w:val="20"/>
              </w:rPr>
              <w:t>Proprietary name and manufacturer</w:t>
            </w:r>
          </w:p>
        </w:tc>
      </w:tr>
      <w:tr w:rsidR="00022D31" w:rsidRPr="006B6856" w:rsidTr="004C5800">
        <w:trPr>
          <w:gridBefore w:val="1"/>
          <w:wBefore w:w="3" w:type="pct"/>
          <w:trHeight w:val="102"/>
        </w:trPr>
        <w:tc>
          <w:tcPr>
            <w:tcW w:w="1227" w:type="pct"/>
            <w:gridSpan w:val="2"/>
            <w:tcBorders>
              <w:left w:val="single" w:sz="4" w:space="0" w:color="auto"/>
              <w:bottom w:val="single" w:sz="4" w:space="0" w:color="auto"/>
            </w:tcBorders>
            <w:vAlign w:val="center"/>
          </w:tcPr>
          <w:p w:rsidR="00022D31" w:rsidRPr="006B6856" w:rsidRDefault="00022D31" w:rsidP="00922EF4">
            <w:pPr>
              <w:pStyle w:val="Tabletext"/>
              <w:keepNext/>
              <w:keepLines/>
              <w:rPr>
                <w:b/>
                <w:bCs/>
                <w:sz w:val="20"/>
                <w:szCs w:val="20"/>
              </w:rPr>
            </w:pPr>
            <w:r w:rsidRPr="006B6856">
              <w:rPr>
                <w:b/>
                <w:bCs/>
                <w:sz w:val="20"/>
                <w:szCs w:val="20"/>
              </w:rPr>
              <w:t>Induction treatment</w:t>
            </w:r>
          </w:p>
        </w:tc>
        <w:tc>
          <w:tcPr>
            <w:tcW w:w="767" w:type="pct"/>
            <w:tcBorders>
              <w:bottom w:val="single" w:sz="4" w:space="0" w:color="auto"/>
            </w:tcBorders>
            <w:vAlign w:val="center"/>
          </w:tcPr>
          <w:p w:rsidR="00022D31" w:rsidRPr="006B6856" w:rsidRDefault="00022D31" w:rsidP="00922EF4">
            <w:pPr>
              <w:pStyle w:val="Tabletext"/>
              <w:keepNext/>
              <w:keepLines/>
              <w:rPr>
                <w:b/>
                <w:bCs/>
                <w:sz w:val="20"/>
                <w:szCs w:val="20"/>
              </w:rPr>
            </w:pPr>
          </w:p>
        </w:tc>
        <w:tc>
          <w:tcPr>
            <w:tcW w:w="766" w:type="pct"/>
            <w:tcBorders>
              <w:bottom w:val="single" w:sz="4" w:space="0" w:color="auto"/>
            </w:tcBorders>
            <w:vAlign w:val="center"/>
          </w:tcPr>
          <w:p w:rsidR="00022D31" w:rsidRPr="006B6856" w:rsidRDefault="00022D31" w:rsidP="00922EF4">
            <w:pPr>
              <w:pStyle w:val="Tabletext"/>
              <w:keepNext/>
              <w:keepLines/>
              <w:rPr>
                <w:b/>
                <w:bCs/>
                <w:sz w:val="20"/>
                <w:szCs w:val="20"/>
              </w:rPr>
            </w:pPr>
          </w:p>
        </w:tc>
        <w:tc>
          <w:tcPr>
            <w:tcW w:w="460" w:type="pct"/>
            <w:tcBorders>
              <w:bottom w:val="single" w:sz="4" w:space="0" w:color="auto"/>
            </w:tcBorders>
            <w:vAlign w:val="center"/>
          </w:tcPr>
          <w:p w:rsidR="00022D31" w:rsidRPr="006B6856" w:rsidRDefault="00022D31" w:rsidP="00922EF4">
            <w:pPr>
              <w:pStyle w:val="Tabletext"/>
              <w:keepNext/>
              <w:keepLines/>
              <w:rPr>
                <w:b/>
                <w:bCs/>
                <w:sz w:val="20"/>
                <w:szCs w:val="20"/>
              </w:rPr>
            </w:pPr>
          </w:p>
        </w:tc>
        <w:tc>
          <w:tcPr>
            <w:tcW w:w="920" w:type="pct"/>
            <w:tcBorders>
              <w:bottom w:val="single" w:sz="4" w:space="0" w:color="auto"/>
            </w:tcBorders>
            <w:vAlign w:val="center"/>
          </w:tcPr>
          <w:p w:rsidR="00022D31" w:rsidRPr="006B6856" w:rsidRDefault="00022D31" w:rsidP="00922EF4">
            <w:pPr>
              <w:pStyle w:val="Tabletext"/>
              <w:keepNext/>
              <w:keepLines/>
              <w:rPr>
                <w:rFonts w:ascii="Times" w:hAnsi="Times"/>
                <w:b/>
                <w:bCs/>
                <w:sz w:val="20"/>
                <w:szCs w:val="20"/>
              </w:rPr>
            </w:pPr>
          </w:p>
        </w:tc>
        <w:tc>
          <w:tcPr>
            <w:tcW w:w="858" w:type="pct"/>
            <w:tcBorders>
              <w:bottom w:val="single" w:sz="4" w:space="0" w:color="auto"/>
              <w:right w:val="single" w:sz="4" w:space="0" w:color="auto"/>
            </w:tcBorders>
            <w:vAlign w:val="center"/>
          </w:tcPr>
          <w:p w:rsidR="00022D31" w:rsidRPr="006B6856" w:rsidRDefault="00022D31" w:rsidP="00922EF4">
            <w:pPr>
              <w:pStyle w:val="Tabletext"/>
              <w:keepNext/>
              <w:keepLines/>
              <w:rPr>
                <w:b/>
                <w:bCs/>
                <w:sz w:val="20"/>
                <w:szCs w:val="20"/>
              </w:rPr>
            </w:pPr>
          </w:p>
        </w:tc>
      </w:tr>
      <w:tr w:rsidR="00022D31" w:rsidRPr="006B6856" w:rsidTr="004C5800">
        <w:trPr>
          <w:gridBefore w:val="1"/>
          <w:wBefore w:w="3" w:type="pct"/>
          <w:trHeight w:val="317"/>
        </w:trPr>
        <w:tc>
          <w:tcPr>
            <w:tcW w:w="1227" w:type="pct"/>
            <w:gridSpan w:val="2"/>
            <w:tcBorders>
              <w:top w:val="single" w:sz="4" w:space="0" w:color="auto"/>
              <w:left w:val="single" w:sz="4" w:space="0" w:color="auto"/>
              <w:bottom w:val="dotted" w:sz="4" w:space="0" w:color="auto"/>
            </w:tcBorders>
            <w:vAlign w:val="center"/>
          </w:tcPr>
          <w:p w:rsidR="00022D31" w:rsidRPr="006B6856" w:rsidRDefault="00022D31" w:rsidP="00922EF4">
            <w:pPr>
              <w:pStyle w:val="Tabletext"/>
              <w:keepNext/>
              <w:keepLines/>
              <w:rPr>
                <w:sz w:val="20"/>
                <w:szCs w:val="20"/>
              </w:rPr>
            </w:pPr>
            <w:r w:rsidRPr="006B6856">
              <w:rPr>
                <w:sz w:val="20"/>
                <w:szCs w:val="20"/>
              </w:rPr>
              <w:t>TOFACITINIB</w:t>
            </w:r>
          </w:p>
          <w:p w:rsidR="00022D31" w:rsidRPr="006B6856" w:rsidRDefault="00022D31" w:rsidP="00922EF4">
            <w:pPr>
              <w:pStyle w:val="Tabletext"/>
              <w:keepNext/>
              <w:keepLines/>
              <w:rPr>
                <w:rFonts w:ascii="Times" w:hAnsi="Times"/>
                <w:sz w:val="20"/>
                <w:szCs w:val="20"/>
              </w:rPr>
            </w:pPr>
            <w:r w:rsidRPr="006B6856">
              <w:rPr>
                <w:sz w:val="20"/>
                <w:szCs w:val="20"/>
              </w:rPr>
              <w:t>5 mg tablet</w:t>
            </w:r>
          </w:p>
        </w:tc>
        <w:tc>
          <w:tcPr>
            <w:tcW w:w="767" w:type="pct"/>
            <w:tcBorders>
              <w:top w:val="single" w:sz="4" w:space="0" w:color="auto"/>
              <w:bottom w:val="dotted" w:sz="4" w:space="0" w:color="auto"/>
            </w:tcBorders>
            <w:vAlign w:val="center"/>
          </w:tcPr>
          <w:p w:rsidR="00022D31" w:rsidRPr="006B6856" w:rsidRDefault="00022D31" w:rsidP="00922EF4">
            <w:pPr>
              <w:pStyle w:val="Tabletext"/>
              <w:keepNext/>
              <w:keepLines/>
              <w:rPr>
                <w:rFonts w:ascii="Times" w:hAnsi="Times"/>
                <w:sz w:val="20"/>
                <w:szCs w:val="20"/>
              </w:rPr>
            </w:pPr>
            <w:r w:rsidRPr="006B6856">
              <w:rPr>
                <w:sz w:val="20"/>
                <w:szCs w:val="20"/>
              </w:rPr>
              <w:t>1</w:t>
            </w:r>
          </w:p>
        </w:tc>
        <w:tc>
          <w:tcPr>
            <w:tcW w:w="766" w:type="pct"/>
            <w:tcBorders>
              <w:top w:val="single" w:sz="4" w:space="0" w:color="auto"/>
              <w:bottom w:val="dotted" w:sz="4" w:space="0" w:color="auto"/>
            </w:tcBorders>
            <w:vAlign w:val="center"/>
          </w:tcPr>
          <w:p w:rsidR="00022D31" w:rsidRPr="006B6856" w:rsidRDefault="00022D31" w:rsidP="00922EF4">
            <w:pPr>
              <w:pStyle w:val="Tabletext"/>
              <w:keepNext/>
              <w:keepLines/>
              <w:rPr>
                <w:rFonts w:ascii="Times" w:hAnsi="Times"/>
                <w:sz w:val="20"/>
                <w:szCs w:val="20"/>
              </w:rPr>
            </w:pPr>
            <w:r w:rsidRPr="006B6856">
              <w:rPr>
                <w:sz w:val="20"/>
                <w:szCs w:val="20"/>
              </w:rPr>
              <w:t>56</w:t>
            </w:r>
          </w:p>
        </w:tc>
        <w:tc>
          <w:tcPr>
            <w:tcW w:w="460" w:type="pct"/>
            <w:tcBorders>
              <w:top w:val="single" w:sz="4" w:space="0" w:color="auto"/>
              <w:bottom w:val="dotted" w:sz="4" w:space="0" w:color="auto"/>
            </w:tcBorders>
            <w:vAlign w:val="center"/>
          </w:tcPr>
          <w:p w:rsidR="00022D31" w:rsidRPr="001510DE" w:rsidRDefault="00022D31" w:rsidP="00922EF4">
            <w:pPr>
              <w:pStyle w:val="Tabletext"/>
              <w:keepNext/>
              <w:keepLines/>
              <w:rPr>
                <w:rFonts w:ascii="Times" w:hAnsi="Times"/>
                <w:sz w:val="20"/>
                <w:szCs w:val="20"/>
              </w:rPr>
            </w:pPr>
            <w:r w:rsidRPr="001510DE">
              <w:rPr>
                <w:sz w:val="20"/>
                <w:szCs w:val="20"/>
              </w:rPr>
              <w:t>2</w:t>
            </w:r>
          </w:p>
        </w:tc>
        <w:tc>
          <w:tcPr>
            <w:tcW w:w="920" w:type="pct"/>
            <w:tcBorders>
              <w:top w:val="single" w:sz="4" w:space="0" w:color="auto"/>
              <w:bottom w:val="dotted" w:sz="4" w:space="0" w:color="auto"/>
            </w:tcBorders>
            <w:vAlign w:val="center"/>
          </w:tcPr>
          <w:p w:rsidR="00022D31" w:rsidRPr="001510DE" w:rsidRDefault="00022D31" w:rsidP="00922EF4">
            <w:pPr>
              <w:pStyle w:val="Tabletext"/>
              <w:keepNext/>
              <w:keepLines/>
              <w:rPr>
                <w:sz w:val="20"/>
                <w:szCs w:val="20"/>
              </w:rPr>
            </w:pPr>
            <w:r w:rsidRPr="001510DE">
              <w:rPr>
                <w:sz w:val="20"/>
                <w:szCs w:val="20"/>
              </w:rPr>
              <w:t>$</w:t>
            </w:r>
            <w:r w:rsidR="00922EF4">
              <w:rPr>
                <w:noProof/>
                <w:color w:val="000000"/>
                <w:sz w:val="20"/>
                <w:szCs w:val="20"/>
                <w:highlight w:val="black"/>
              </w:rPr>
              <w:t>'''''''''''''''''''</w:t>
            </w:r>
            <w:r w:rsidRPr="001510DE">
              <w:rPr>
                <w:sz w:val="20"/>
                <w:szCs w:val="20"/>
              </w:rPr>
              <w:t xml:space="preserve"> published </w:t>
            </w:r>
          </w:p>
          <w:p w:rsidR="00022D31" w:rsidRPr="001510DE" w:rsidRDefault="00022D31" w:rsidP="00922EF4">
            <w:pPr>
              <w:pStyle w:val="Tabletext"/>
              <w:keepNext/>
              <w:keepLines/>
              <w:rPr>
                <w:rFonts w:ascii="Times" w:hAnsi="Times"/>
                <w:sz w:val="20"/>
                <w:szCs w:val="20"/>
              </w:rPr>
            </w:pPr>
            <w:r w:rsidRPr="001510DE">
              <w:rPr>
                <w:sz w:val="20"/>
                <w:szCs w:val="20"/>
              </w:rPr>
              <w:t>$</w:t>
            </w:r>
            <w:r w:rsidR="00922EF4">
              <w:rPr>
                <w:noProof/>
                <w:color w:val="000000"/>
                <w:sz w:val="20"/>
                <w:szCs w:val="20"/>
                <w:highlight w:val="black"/>
              </w:rPr>
              <w:t>''''''''''''''''''</w:t>
            </w:r>
            <w:r w:rsidRPr="001510DE">
              <w:rPr>
                <w:sz w:val="20"/>
                <w:szCs w:val="20"/>
              </w:rPr>
              <w:t xml:space="preserve"> effective </w:t>
            </w:r>
          </w:p>
        </w:tc>
        <w:tc>
          <w:tcPr>
            <w:tcW w:w="858" w:type="pct"/>
            <w:vMerge w:val="restart"/>
            <w:tcBorders>
              <w:top w:val="single" w:sz="4" w:space="0" w:color="auto"/>
              <w:right w:val="single" w:sz="4" w:space="0" w:color="auto"/>
            </w:tcBorders>
            <w:vAlign w:val="center"/>
          </w:tcPr>
          <w:p w:rsidR="00022D31" w:rsidRPr="006B6856" w:rsidRDefault="00022D31" w:rsidP="00922EF4">
            <w:pPr>
              <w:pStyle w:val="Tabletext"/>
              <w:keepNext/>
              <w:keepLines/>
              <w:rPr>
                <w:sz w:val="20"/>
                <w:szCs w:val="20"/>
              </w:rPr>
            </w:pPr>
            <w:proofErr w:type="spellStart"/>
            <w:r w:rsidRPr="006B6856">
              <w:rPr>
                <w:sz w:val="20"/>
                <w:szCs w:val="20"/>
              </w:rPr>
              <w:t>Xeljanz</w:t>
            </w:r>
            <w:proofErr w:type="spellEnd"/>
            <w:r w:rsidRPr="006B6856">
              <w:rPr>
                <w:sz w:val="20"/>
                <w:szCs w:val="20"/>
              </w:rPr>
              <w:t>®</w:t>
            </w:r>
          </w:p>
          <w:p w:rsidR="00022D31" w:rsidRPr="006B6856" w:rsidRDefault="00022D31" w:rsidP="00922EF4">
            <w:pPr>
              <w:pStyle w:val="Tabletext"/>
              <w:keepNext/>
              <w:keepLines/>
              <w:rPr>
                <w:rFonts w:ascii="Times" w:hAnsi="Times"/>
                <w:sz w:val="20"/>
                <w:szCs w:val="20"/>
              </w:rPr>
            </w:pPr>
            <w:r w:rsidRPr="006B6856">
              <w:rPr>
                <w:sz w:val="20"/>
                <w:szCs w:val="20"/>
              </w:rPr>
              <w:t>Pfizer Australia</w:t>
            </w:r>
          </w:p>
        </w:tc>
      </w:tr>
      <w:tr w:rsidR="00022D31" w:rsidRPr="006B6856" w:rsidTr="004C5800">
        <w:trPr>
          <w:gridBefore w:val="1"/>
          <w:wBefore w:w="3" w:type="pct"/>
          <w:trHeight w:val="317"/>
        </w:trPr>
        <w:tc>
          <w:tcPr>
            <w:tcW w:w="1227" w:type="pct"/>
            <w:gridSpan w:val="2"/>
            <w:tcBorders>
              <w:top w:val="dotted" w:sz="4" w:space="0" w:color="auto"/>
              <w:left w:val="single" w:sz="4" w:space="0" w:color="auto"/>
              <w:bottom w:val="single" w:sz="4" w:space="0" w:color="auto"/>
            </w:tcBorders>
            <w:vAlign w:val="center"/>
          </w:tcPr>
          <w:p w:rsidR="00022D31" w:rsidRPr="006B6856" w:rsidRDefault="00022D31" w:rsidP="00922EF4">
            <w:pPr>
              <w:pStyle w:val="Tabletext"/>
              <w:keepNext/>
              <w:keepLines/>
              <w:rPr>
                <w:sz w:val="20"/>
                <w:szCs w:val="20"/>
              </w:rPr>
            </w:pPr>
            <w:r w:rsidRPr="006B6856">
              <w:rPr>
                <w:sz w:val="20"/>
                <w:szCs w:val="20"/>
              </w:rPr>
              <w:t>TOFACITINIB</w:t>
            </w:r>
          </w:p>
          <w:p w:rsidR="00022D31" w:rsidRPr="006B6856" w:rsidRDefault="00022D31" w:rsidP="00922EF4">
            <w:pPr>
              <w:pStyle w:val="Tabletext"/>
              <w:keepNext/>
              <w:keepLines/>
              <w:rPr>
                <w:sz w:val="20"/>
                <w:szCs w:val="20"/>
              </w:rPr>
            </w:pPr>
            <w:r w:rsidRPr="006B6856">
              <w:rPr>
                <w:sz w:val="20"/>
                <w:szCs w:val="20"/>
              </w:rPr>
              <w:t>10 mg tablet</w:t>
            </w:r>
          </w:p>
        </w:tc>
        <w:tc>
          <w:tcPr>
            <w:tcW w:w="767" w:type="pct"/>
            <w:tcBorders>
              <w:top w:val="dotted" w:sz="4" w:space="0" w:color="auto"/>
              <w:bottom w:val="single" w:sz="4" w:space="0" w:color="auto"/>
            </w:tcBorders>
            <w:vAlign w:val="center"/>
          </w:tcPr>
          <w:p w:rsidR="00022D31" w:rsidRPr="006B6856" w:rsidRDefault="00022D31" w:rsidP="00922EF4">
            <w:pPr>
              <w:pStyle w:val="Tabletext"/>
              <w:keepNext/>
              <w:keepLines/>
              <w:rPr>
                <w:sz w:val="20"/>
                <w:szCs w:val="20"/>
              </w:rPr>
            </w:pPr>
            <w:r w:rsidRPr="006B6856">
              <w:rPr>
                <w:sz w:val="20"/>
                <w:szCs w:val="20"/>
              </w:rPr>
              <w:t>1</w:t>
            </w:r>
          </w:p>
        </w:tc>
        <w:tc>
          <w:tcPr>
            <w:tcW w:w="766" w:type="pct"/>
            <w:tcBorders>
              <w:top w:val="dotted" w:sz="4" w:space="0" w:color="auto"/>
              <w:bottom w:val="single" w:sz="4" w:space="0" w:color="auto"/>
            </w:tcBorders>
            <w:vAlign w:val="center"/>
          </w:tcPr>
          <w:p w:rsidR="00022D31" w:rsidRPr="006B6856" w:rsidRDefault="00022D31" w:rsidP="00922EF4">
            <w:pPr>
              <w:pStyle w:val="Tabletext"/>
              <w:keepNext/>
              <w:keepLines/>
              <w:rPr>
                <w:sz w:val="20"/>
                <w:szCs w:val="20"/>
              </w:rPr>
            </w:pPr>
            <w:r w:rsidRPr="006B6856">
              <w:rPr>
                <w:sz w:val="20"/>
                <w:szCs w:val="20"/>
              </w:rPr>
              <w:t>56</w:t>
            </w:r>
          </w:p>
        </w:tc>
        <w:tc>
          <w:tcPr>
            <w:tcW w:w="460" w:type="pct"/>
            <w:tcBorders>
              <w:top w:val="dotted" w:sz="4" w:space="0" w:color="auto"/>
              <w:bottom w:val="single" w:sz="4" w:space="0" w:color="auto"/>
            </w:tcBorders>
            <w:vAlign w:val="center"/>
          </w:tcPr>
          <w:p w:rsidR="00022D31" w:rsidRPr="001510DE" w:rsidRDefault="00022D31" w:rsidP="00922EF4">
            <w:pPr>
              <w:pStyle w:val="Tabletext"/>
              <w:keepNext/>
              <w:keepLines/>
              <w:rPr>
                <w:sz w:val="20"/>
                <w:szCs w:val="20"/>
              </w:rPr>
            </w:pPr>
            <w:r w:rsidRPr="001510DE">
              <w:rPr>
                <w:sz w:val="20"/>
                <w:szCs w:val="20"/>
              </w:rPr>
              <w:t>3</w:t>
            </w:r>
          </w:p>
        </w:tc>
        <w:tc>
          <w:tcPr>
            <w:tcW w:w="920" w:type="pct"/>
            <w:tcBorders>
              <w:top w:val="dotted" w:sz="4" w:space="0" w:color="auto"/>
              <w:bottom w:val="single" w:sz="4" w:space="0" w:color="auto"/>
            </w:tcBorders>
            <w:vAlign w:val="center"/>
          </w:tcPr>
          <w:p w:rsidR="00022D31" w:rsidRPr="001510DE" w:rsidRDefault="00022D31" w:rsidP="00922EF4">
            <w:pPr>
              <w:pStyle w:val="Tabletext"/>
              <w:keepNext/>
              <w:keepLines/>
              <w:rPr>
                <w:sz w:val="20"/>
                <w:szCs w:val="20"/>
              </w:rPr>
            </w:pPr>
            <w:r w:rsidRPr="001510DE">
              <w:rPr>
                <w:sz w:val="20"/>
                <w:szCs w:val="20"/>
              </w:rPr>
              <w:t>$</w:t>
            </w:r>
            <w:r w:rsidR="00922EF4">
              <w:rPr>
                <w:noProof/>
                <w:color w:val="000000"/>
                <w:sz w:val="20"/>
                <w:szCs w:val="20"/>
                <w:highlight w:val="black"/>
              </w:rPr>
              <w:t>'''''''''''''''''''</w:t>
            </w:r>
            <w:r w:rsidR="00B113BD" w:rsidRPr="001510DE">
              <w:rPr>
                <w:sz w:val="20"/>
                <w:szCs w:val="20"/>
              </w:rPr>
              <w:t xml:space="preserve"> </w:t>
            </w:r>
            <w:r w:rsidRPr="001510DE">
              <w:rPr>
                <w:sz w:val="20"/>
                <w:szCs w:val="20"/>
              </w:rPr>
              <w:t xml:space="preserve">published </w:t>
            </w:r>
          </w:p>
          <w:p w:rsidR="00022D31" w:rsidRPr="001510DE" w:rsidRDefault="00022D31" w:rsidP="00922EF4">
            <w:pPr>
              <w:pStyle w:val="Tabletext"/>
              <w:keepNext/>
              <w:keepLines/>
              <w:rPr>
                <w:sz w:val="20"/>
                <w:szCs w:val="20"/>
              </w:rPr>
            </w:pPr>
            <w:r w:rsidRPr="001510DE">
              <w:rPr>
                <w:sz w:val="20"/>
                <w:szCs w:val="20"/>
              </w:rPr>
              <w:t>$</w:t>
            </w:r>
            <w:r w:rsidR="00922EF4">
              <w:rPr>
                <w:noProof/>
                <w:color w:val="000000"/>
                <w:sz w:val="20"/>
                <w:szCs w:val="20"/>
                <w:highlight w:val="black"/>
              </w:rPr>
              <w:t>''''''''''''''''''''</w:t>
            </w:r>
            <w:r w:rsidRPr="001510DE">
              <w:rPr>
                <w:sz w:val="20"/>
                <w:szCs w:val="20"/>
              </w:rPr>
              <w:t xml:space="preserve"> effective </w:t>
            </w:r>
          </w:p>
        </w:tc>
        <w:tc>
          <w:tcPr>
            <w:tcW w:w="858" w:type="pct"/>
            <w:vMerge/>
            <w:tcBorders>
              <w:bottom w:val="single" w:sz="4" w:space="0" w:color="auto"/>
              <w:right w:val="single" w:sz="4" w:space="0" w:color="auto"/>
            </w:tcBorders>
            <w:vAlign w:val="center"/>
          </w:tcPr>
          <w:p w:rsidR="00022D31" w:rsidRPr="006B6856" w:rsidRDefault="00022D31" w:rsidP="00922EF4">
            <w:pPr>
              <w:pStyle w:val="Tabletext"/>
              <w:keepNext/>
              <w:keepLines/>
              <w:rPr>
                <w:sz w:val="20"/>
                <w:szCs w:val="20"/>
              </w:rPr>
            </w:pPr>
          </w:p>
        </w:tc>
      </w:tr>
      <w:tr w:rsidR="00022D31" w:rsidRPr="006B6856" w:rsidTr="004C5800">
        <w:trPr>
          <w:gridBefore w:val="1"/>
          <w:wBefore w:w="3" w:type="pct"/>
          <w:trHeight w:val="70"/>
        </w:trPr>
        <w:tc>
          <w:tcPr>
            <w:tcW w:w="1227" w:type="pct"/>
            <w:gridSpan w:val="2"/>
            <w:tcBorders>
              <w:top w:val="single" w:sz="4" w:space="0" w:color="auto"/>
              <w:left w:val="single" w:sz="4" w:space="0" w:color="auto"/>
            </w:tcBorders>
            <w:vAlign w:val="center"/>
          </w:tcPr>
          <w:p w:rsidR="00022D31" w:rsidRPr="006B6856" w:rsidRDefault="00022D31" w:rsidP="009467BF">
            <w:pPr>
              <w:pStyle w:val="Tabletext"/>
              <w:rPr>
                <w:b/>
                <w:bCs/>
                <w:sz w:val="20"/>
                <w:szCs w:val="20"/>
              </w:rPr>
            </w:pPr>
            <w:r w:rsidRPr="006B6856">
              <w:rPr>
                <w:b/>
                <w:bCs/>
                <w:sz w:val="20"/>
                <w:szCs w:val="20"/>
              </w:rPr>
              <w:t>Maintenance treatment</w:t>
            </w:r>
          </w:p>
        </w:tc>
        <w:tc>
          <w:tcPr>
            <w:tcW w:w="767" w:type="pct"/>
            <w:tcBorders>
              <w:top w:val="single" w:sz="4" w:space="0" w:color="auto"/>
            </w:tcBorders>
            <w:vAlign w:val="center"/>
          </w:tcPr>
          <w:p w:rsidR="00022D31" w:rsidRPr="006B6856" w:rsidRDefault="00022D31" w:rsidP="009467BF">
            <w:pPr>
              <w:pStyle w:val="Tabletext"/>
              <w:rPr>
                <w:b/>
                <w:bCs/>
                <w:sz w:val="20"/>
                <w:szCs w:val="20"/>
              </w:rPr>
            </w:pPr>
          </w:p>
        </w:tc>
        <w:tc>
          <w:tcPr>
            <w:tcW w:w="766" w:type="pct"/>
            <w:tcBorders>
              <w:top w:val="single" w:sz="4" w:space="0" w:color="auto"/>
            </w:tcBorders>
            <w:vAlign w:val="center"/>
          </w:tcPr>
          <w:p w:rsidR="00022D31" w:rsidRPr="006B6856" w:rsidRDefault="00022D31" w:rsidP="009467BF">
            <w:pPr>
              <w:pStyle w:val="Tabletext"/>
              <w:rPr>
                <w:b/>
                <w:bCs/>
                <w:sz w:val="20"/>
                <w:szCs w:val="20"/>
              </w:rPr>
            </w:pPr>
          </w:p>
        </w:tc>
        <w:tc>
          <w:tcPr>
            <w:tcW w:w="460" w:type="pct"/>
            <w:tcBorders>
              <w:top w:val="single" w:sz="4" w:space="0" w:color="auto"/>
            </w:tcBorders>
            <w:vAlign w:val="center"/>
          </w:tcPr>
          <w:p w:rsidR="00022D31" w:rsidRPr="001510DE" w:rsidRDefault="00022D31" w:rsidP="009467BF">
            <w:pPr>
              <w:pStyle w:val="Tabletext"/>
              <w:rPr>
                <w:b/>
                <w:bCs/>
                <w:sz w:val="20"/>
                <w:szCs w:val="20"/>
              </w:rPr>
            </w:pPr>
          </w:p>
        </w:tc>
        <w:tc>
          <w:tcPr>
            <w:tcW w:w="920" w:type="pct"/>
            <w:tcBorders>
              <w:top w:val="single" w:sz="4" w:space="0" w:color="auto"/>
            </w:tcBorders>
            <w:vAlign w:val="center"/>
          </w:tcPr>
          <w:p w:rsidR="00022D31" w:rsidRPr="001510DE" w:rsidRDefault="00022D31" w:rsidP="009467BF">
            <w:pPr>
              <w:pStyle w:val="Tabletext"/>
              <w:rPr>
                <w:b/>
                <w:bCs/>
                <w:sz w:val="20"/>
                <w:szCs w:val="20"/>
              </w:rPr>
            </w:pPr>
          </w:p>
        </w:tc>
        <w:tc>
          <w:tcPr>
            <w:tcW w:w="858" w:type="pct"/>
            <w:tcBorders>
              <w:top w:val="single" w:sz="4" w:space="0" w:color="auto"/>
              <w:right w:val="single" w:sz="4" w:space="0" w:color="auto"/>
            </w:tcBorders>
            <w:vAlign w:val="center"/>
          </w:tcPr>
          <w:p w:rsidR="00022D31" w:rsidRPr="006B6856" w:rsidRDefault="00022D31" w:rsidP="009467BF">
            <w:pPr>
              <w:pStyle w:val="Tabletext"/>
              <w:rPr>
                <w:b/>
                <w:bCs/>
                <w:sz w:val="20"/>
                <w:szCs w:val="20"/>
              </w:rPr>
            </w:pPr>
          </w:p>
        </w:tc>
      </w:tr>
      <w:tr w:rsidR="00022D31" w:rsidRPr="006B6856" w:rsidTr="004C5800">
        <w:trPr>
          <w:gridBefore w:val="1"/>
          <w:wBefore w:w="3" w:type="pct"/>
          <w:trHeight w:val="317"/>
        </w:trPr>
        <w:tc>
          <w:tcPr>
            <w:tcW w:w="1227" w:type="pct"/>
            <w:gridSpan w:val="2"/>
            <w:tcBorders>
              <w:left w:val="single" w:sz="4" w:space="0" w:color="auto"/>
              <w:bottom w:val="dotted" w:sz="4" w:space="0" w:color="000000"/>
            </w:tcBorders>
            <w:vAlign w:val="center"/>
          </w:tcPr>
          <w:p w:rsidR="00022D31" w:rsidRPr="006B6856" w:rsidRDefault="00022D31" w:rsidP="009467BF">
            <w:pPr>
              <w:pStyle w:val="Tabletext"/>
              <w:rPr>
                <w:sz w:val="20"/>
                <w:szCs w:val="20"/>
              </w:rPr>
            </w:pPr>
            <w:r w:rsidRPr="006B6856">
              <w:rPr>
                <w:sz w:val="20"/>
                <w:szCs w:val="20"/>
              </w:rPr>
              <w:t>TOFACITINIB</w:t>
            </w:r>
          </w:p>
          <w:p w:rsidR="00022D31" w:rsidRPr="006B6856" w:rsidRDefault="00022D31" w:rsidP="009467BF">
            <w:pPr>
              <w:pStyle w:val="Tabletext"/>
              <w:rPr>
                <w:sz w:val="20"/>
                <w:szCs w:val="20"/>
              </w:rPr>
            </w:pPr>
            <w:r w:rsidRPr="006B6856">
              <w:rPr>
                <w:sz w:val="20"/>
                <w:szCs w:val="20"/>
              </w:rPr>
              <w:t>5 mg tablet</w:t>
            </w:r>
          </w:p>
        </w:tc>
        <w:tc>
          <w:tcPr>
            <w:tcW w:w="767" w:type="pct"/>
            <w:tcBorders>
              <w:bottom w:val="dotted" w:sz="4" w:space="0" w:color="000000"/>
            </w:tcBorders>
            <w:vAlign w:val="center"/>
          </w:tcPr>
          <w:p w:rsidR="00022D31" w:rsidRPr="006B6856" w:rsidRDefault="00022D31" w:rsidP="009467BF">
            <w:pPr>
              <w:pStyle w:val="Tabletext"/>
              <w:rPr>
                <w:sz w:val="20"/>
                <w:szCs w:val="20"/>
              </w:rPr>
            </w:pPr>
            <w:r w:rsidRPr="006B6856">
              <w:rPr>
                <w:sz w:val="20"/>
                <w:szCs w:val="20"/>
              </w:rPr>
              <w:t>1</w:t>
            </w:r>
          </w:p>
        </w:tc>
        <w:tc>
          <w:tcPr>
            <w:tcW w:w="766" w:type="pct"/>
            <w:tcBorders>
              <w:bottom w:val="dotted" w:sz="4" w:space="0" w:color="000000"/>
            </w:tcBorders>
            <w:vAlign w:val="center"/>
          </w:tcPr>
          <w:p w:rsidR="00022D31" w:rsidRPr="006B6856" w:rsidRDefault="00022D31" w:rsidP="009467BF">
            <w:pPr>
              <w:pStyle w:val="Tabletext"/>
              <w:rPr>
                <w:sz w:val="20"/>
                <w:szCs w:val="20"/>
              </w:rPr>
            </w:pPr>
            <w:r w:rsidRPr="006B6856">
              <w:rPr>
                <w:sz w:val="20"/>
                <w:szCs w:val="20"/>
              </w:rPr>
              <w:t>56</w:t>
            </w:r>
          </w:p>
        </w:tc>
        <w:tc>
          <w:tcPr>
            <w:tcW w:w="460" w:type="pct"/>
            <w:tcBorders>
              <w:bottom w:val="dotted" w:sz="4" w:space="0" w:color="000000"/>
            </w:tcBorders>
            <w:vAlign w:val="center"/>
          </w:tcPr>
          <w:p w:rsidR="00022D31" w:rsidRPr="001510DE" w:rsidRDefault="00022D31" w:rsidP="009467BF">
            <w:pPr>
              <w:pStyle w:val="Tabletext"/>
              <w:rPr>
                <w:sz w:val="20"/>
                <w:szCs w:val="20"/>
              </w:rPr>
            </w:pPr>
            <w:r w:rsidRPr="001510DE">
              <w:rPr>
                <w:sz w:val="20"/>
                <w:szCs w:val="20"/>
              </w:rPr>
              <w:t>5</w:t>
            </w:r>
          </w:p>
        </w:tc>
        <w:tc>
          <w:tcPr>
            <w:tcW w:w="920" w:type="pct"/>
            <w:tcBorders>
              <w:bottom w:val="dotted" w:sz="4" w:space="0" w:color="000000"/>
            </w:tcBorders>
            <w:vAlign w:val="center"/>
          </w:tcPr>
          <w:p w:rsidR="00022D31" w:rsidRPr="001510DE" w:rsidRDefault="00022D31" w:rsidP="009467BF">
            <w:pPr>
              <w:pStyle w:val="Tabletext"/>
              <w:rPr>
                <w:sz w:val="20"/>
                <w:szCs w:val="20"/>
              </w:rPr>
            </w:pPr>
            <w:r w:rsidRPr="001510DE">
              <w:rPr>
                <w:sz w:val="20"/>
                <w:szCs w:val="20"/>
              </w:rPr>
              <w:t>$</w:t>
            </w:r>
            <w:r w:rsidR="00922EF4">
              <w:rPr>
                <w:noProof/>
                <w:color w:val="000000"/>
                <w:sz w:val="20"/>
                <w:szCs w:val="20"/>
                <w:highlight w:val="black"/>
              </w:rPr>
              <w:t>''''''''''''''''''</w:t>
            </w:r>
            <w:r w:rsidR="00B113BD" w:rsidRPr="001510DE">
              <w:rPr>
                <w:sz w:val="20"/>
                <w:szCs w:val="20"/>
              </w:rPr>
              <w:t xml:space="preserve"> </w:t>
            </w:r>
            <w:r w:rsidRPr="001510DE">
              <w:rPr>
                <w:sz w:val="20"/>
                <w:szCs w:val="20"/>
              </w:rPr>
              <w:t xml:space="preserve">published </w:t>
            </w:r>
          </w:p>
          <w:p w:rsidR="00022D31" w:rsidRPr="001510DE" w:rsidRDefault="00022D31" w:rsidP="009467BF">
            <w:pPr>
              <w:pStyle w:val="Tabletext"/>
              <w:rPr>
                <w:sz w:val="20"/>
                <w:szCs w:val="20"/>
              </w:rPr>
            </w:pPr>
            <w:r w:rsidRPr="001510DE">
              <w:rPr>
                <w:sz w:val="20"/>
                <w:szCs w:val="20"/>
              </w:rPr>
              <w:t>$</w:t>
            </w:r>
            <w:r w:rsidR="00922EF4">
              <w:rPr>
                <w:noProof/>
                <w:color w:val="000000"/>
                <w:sz w:val="20"/>
                <w:szCs w:val="20"/>
                <w:highlight w:val="black"/>
              </w:rPr>
              <w:t>''''''''''''''''''''</w:t>
            </w:r>
            <w:r w:rsidRPr="001510DE">
              <w:rPr>
                <w:sz w:val="20"/>
                <w:szCs w:val="20"/>
              </w:rPr>
              <w:t xml:space="preserve"> effective </w:t>
            </w:r>
          </w:p>
        </w:tc>
        <w:tc>
          <w:tcPr>
            <w:tcW w:w="858" w:type="pct"/>
            <w:vMerge w:val="restart"/>
            <w:tcBorders>
              <w:right w:val="single" w:sz="4" w:space="0" w:color="auto"/>
            </w:tcBorders>
            <w:vAlign w:val="center"/>
          </w:tcPr>
          <w:p w:rsidR="00022D31" w:rsidRPr="006B6856" w:rsidRDefault="00022D31" w:rsidP="009467BF">
            <w:pPr>
              <w:pStyle w:val="Tabletext"/>
              <w:rPr>
                <w:sz w:val="20"/>
                <w:szCs w:val="20"/>
              </w:rPr>
            </w:pPr>
            <w:proofErr w:type="spellStart"/>
            <w:r w:rsidRPr="006B6856">
              <w:rPr>
                <w:sz w:val="20"/>
                <w:szCs w:val="20"/>
              </w:rPr>
              <w:t>Xeljanz</w:t>
            </w:r>
            <w:proofErr w:type="spellEnd"/>
            <w:r w:rsidRPr="006B6856">
              <w:rPr>
                <w:sz w:val="20"/>
                <w:szCs w:val="20"/>
              </w:rPr>
              <w:t>®</w:t>
            </w:r>
          </w:p>
          <w:p w:rsidR="00022D31" w:rsidRPr="006B6856" w:rsidRDefault="00022D31" w:rsidP="009467BF">
            <w:pPr>
              <w:pStyle w:val="Tabletext"/>
              <w:rPr>
                <w:sz w:val="20"/>
                <w:szCs w:val="20"/>
              </w:rPr>
            </w:pPr>
            <w:r w:rsidRPr="006B6856">
              <w:rPr>
                <w:sz w:val="20"/>
                <w:szCs w:val="20"/>
              </w:rPr>
              <w:t>Pfizer Australia</w:t>
            </w:r>
          </w:p>
        </w:tc>
      </w:tr>
      <w:tr w:rsidR="00022D31" w:rsidRPr="006B6856" w:rsidTr="004C5800">
        <w:trPr>
          <w:gridBefore w:val="1"/>
          <w:wBefore w:w="3" w:type="pct"/>
          <w:trHeight w:val="317"/>
        </w:trPr>
        <w:tc>
          <w:tcPr>
            <w:tcW w:w="1227" w:type="pct"/>
            <w:gridSpan w:val="2"/>
            <w:tcBorders>
              <w:top w:val="dotted" w:sz="4" w:space="0" w:color="000000"/>
              <w:left w:val="single" w:sz="4" w:space="0" w:color="auto"/>
            </w:tcBorders>
            <w:vAlign w:val="center"/>
          </w:tcPr>
          <w:p w:rsidR="00022D31" w:rsidRPr="006B6856" w:rsidRDefault="00022D31" w:rsidP="009467BF">
            <w:pPr>
              <w:pStyle w:val="Tabletext"/>
              <w:rPr>
                <w:sz w:val="20"/>
                <w:szCs w:val="20"/>
              </w:rPr>
            </w:pPr>
            <w:r w:rsidRPr="006B6856">
              <w:rPr>
                <w:sz w:val="20"/>
                <w:szCs w:val="20"/>
              </w:rPr>
              <w:t>TOFACITINIB</w:t>
            </w:r>
          </w:p>
          <w:p w:rsidR="00022D31" w:rsidRPr="006B6856" w:rsidRDefault="00022D31" w:rsidP="009467BF">
            <w:pPr>
              <w:pStyle w:val="Tabletext"/>
              <w:rPr>
                <w:sz w:val="20"/>
                <w:szCs w:val="20"/>
              </w:rPr>
            </w:pPr>
            <w:r w:rsidRPr="006B6856">
              <w:rPr>
                <w:sz w:val="20"/>
                <w:szCs w:val="20"/>
              </w:rPr>
              <w:t>10 mg tablet</w:t>
            </w:r>
          </w:p>
        </w:tc>
        <w:tc>
          <w:tcPr>
            <w:tcW w:w="767" w:type="pct"/>
            <w:tcBorders>
              <w:top w:val="dotted" w:sz="4" w:space="0" w:color="000000"/>
            </w:tcBorders>
            <w:vAlign w:val="center"/>
          </w:tcPr>
          <w:p w:rsidR="00022D31" w:rsidRPr="006B6856" w:rsidRDefault="00022D31" w:rsidP="009467BF">
            <w:pPr>
              <w:pStyle w:val="Tabletext"/>
              <w:rPr>
                <w:sz w:val="20"/>
                <w:szCs w:val="20"/>
              </w:rPr>
            </w:pPr>
            <w:r w:rsidRPr="006B6856">
              <w:rPr>
                <w:sz w:val="20"/>
                <w:szCs w:val="20"/>
              </w:rPr>
              <w:t>1</w:t>
            </w:r>
          </w:p>
        </w:tc>
        <w:tc>
          <w:tcPr>
            <w:tcW w:w="766" w:type="pct"/>
            <w:tcBorders>
              <w:top w:val="dotted" w:sz="4" w:space="0" w:color="000000"/>
            </w:tcBorders>
            <w:vAlign w:val="center"/>
          </w:tcPr>
          <w:p w:rsidR="00022D31" w:rsidRPr="006B6856" w:rsidRDefault="00022D31" w:rsidP="009467BF">
            <w:pPr>
              <w:pStyle w:val="Tabletext"/>
              <w:rPr>
                <w:sz w:val="20"/>
                <w:szCs w:val="20"/>
              </w:rPr>
            </w:pPr>
            <w:r w:rsidRPr="006B6856">
              <w:rPr>
                <w:sz w:val="20"/>
                <w:szCs w:val="20"/>
              </w:rPr>
              <w:t>56</w:t>
            </w:r>
          </w:p>
        </w:tc>
        <w:tc>
          <w:tcPr>
            <w:tcW w:w="460" w:type="pct"/>
            <w:tcBorders>
              <w:top w:val="dotted" w:sz="4" w:space="0" w:color="000000"/>
            </w:tcBorders>
            <w:vAlign w:val="center"/>
          </w:tcPr>
          <w:p w:rsidR="00022D31" w:rsidRPr="001510DE" w:rsidRDefault="00022D31" w:rsidP="009467BF">
            <w:pPr>
              <w:pStyle w:val="Tabletext"/>
              <w:rPr>
                <w:sz w:val="20"/>
                <w:szCs w:val="20"/>
              </w:rPr>
            </w:pPr>
            <w:r w:rsidRPr="001510DE">
              <w:rPr>
                <w:sz w:val="20"/>
                <w:szCs w:val="20"/>
              </w:rPr>
              <w:t>5</w:t>
            </w:r>
          </w:p>
        </w:tc>
        <w:tc>
          <w:tcPr>
            <w:tcW w:w="920" w:type="pct"/>
            <w:tcBorders>
              <w:top w:val="dotted" w:sz="4" w:space="0" w:color="000000"/>
            </w:tcBorders>
            <w:vAlign w:val="center"/>
          </w:tcPr>
          <w:p w:rsidR="00022D31" w:rsidRPr="001510DE" w:rsidRDefault="00022D31" w:rsidP="009467BF">
            <w:pPr>
              <w:pStyle w:val="Tabletext"/>
              <w:rPr>
                <w:sz w:val="20"/>
                <w:szCs w:val="20"/>
              </w:rPr>
            </w:pPr>
            <w:r w:rsidRPr="001510DE">
              <w:rPr>
                <w:sz w:val="20"/>
                <w:szCs w:val="20"/>
              </w:rPr>
              <w:t>$</w:t>
            </w:r>
            <w:r w:rsidR="00922EF4">
              <w:rPr>
                <w:noProof/>
                <w:color w:val="000000"/>
                <w:sz w:val="20"/>
                <w:szCs w:val="20"/>
                <w:highlight w:val="black"/>
              </w:rPr>
              <w:t>''''''''''''''''''</w:t>
            </w:r>
            <w:r w:rsidR="00B113BD" w:rsidRPr="001510DE">
              <w:rPr>
                <w:sz w:val="20"/>
                <w:szCs w:val="20"/>
              </w:rPr>
              <w:t xml:space="preserve"> </w:t>
            </w:r>
            <w:r w:rsidRPr="001510DE">
              <w:rPr>
                <w:sz w:val="20"/>
                <w:szCs w:val="20"/>
              </w:rPr>
              <w:t xml:space="preserve">published </w:t>
            </w:r>
          </w:p>
          <w:p w:rsidR="00022D31" w:rsidRPr="001510DE" w:rsidRDefault="00022D31" w:rsidP="009467BF">
            <w:pPr>
              <w:pStyle w:val="Tabletext"/>
              <w:rPr>
                <w:sz w:val="20"/>
                <w:szCs w:val="20"/>
              </w:rPr>
            </w:pPr>
            <w:r w:rsidRPr="001510DE">
              <w:rPr>
                <w:sz w:val="20"/>
                <w:szCs w:val="20"/>
              </w:rPr>
              <w:t>$</w:t>
            </w:r>
            <w:r w:rsidR="00922EF4">
              <w:rPr>
                <w:noProof/>
                <w:color w:val="000000"/>
                <w:sz w:val="20"/>
                <w:szCs w:val="20"/>
                <w:highlight w:val="black"/>
              </w:rPr>
              <w:t>'''''''''''''''''''''</w:t>
            </w:r>
            <w:r w:rsidRPr="001510DE">
              <w:rPr>
                <w:sz w:val="20"/>
                <w:szCs w:val="20"/>
              </w:rPr>
              <w:t xml:space="preserve"> effective </w:t>
            </w:r>
          </w:p>
        </w:tc>
        <w:tc>
          <w:tcPr>
            <w:tcW w:w="858" w:type="pct"/>
            <w:vMerge/>
            <w:tcBorders>
              <w:right w:val="single" w:sz="4" w:space="0" w:color="auto"/>
            </w:tcBorders>
            <w:vAlign w:val="center"/>
          </w:tcPr>
          <w:p w:rsidR="00022D31" w:rsidRPr="006B6856" w:rsidRDefault="00022D31" w:rsidP="009467BF">
            <w:pPr>
              <w:pStyle w:val="Tabletext"/>
              <w:rPr>
                <w:sz w:val="20"/>
                <w:szCs w:val="20"/>
              </w:rPr>
            </w:pP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b/>
                <w:sz w:val="20"/>
                <w:szCs w:val="20"/>
              </w:rPr>
            </w:pPr>
            <w:r w:rsidRPr="006B6856">
              <w:rPr>
                <w:b/>
                <w:sz w:val="20"/>
                <w:szCs w:val="20"/>
              </w:rPr>
              <w:t>Category:</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sz w:val="20"/>
                <w:szCs w:val="20"/>
              </w:rPr>
            </w:pPr>
            <w:r w:rsidRPr="006B6856">
              <w:rPr>
                <w:sz w:val="20"/>
                <w:szCs w:val="20"/>
              </w:rPr>
              <w:t>General Schedule (Section 85)</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b/>
                <w:sz w:val="20"/>
                <w:szCs w:val="20"/>
              </w:rPr>
            </w:pPr>
            <w:r w:rsidRPr="006B6856">
              <w:rPr>
                <w:b/>
                <w:sz w:val="20"/>
                <w:szCs w:val="20"/>
              </w:rPr>
              <w:t>PBS Indication:</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sz w:val="20"/>
                <w:szCs w:val="20"/>
              </w:rPr>
            </w:pPr>
            <w:r w:rsidRPr="006B6856">
              <w:rPr>
                <w:sz w:val="20"/>
                <w:szCs w:val="20"/>
              </w:rPr>
              <w:t>Moderate to severe ulcerative colitis</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b/>
                <w:sz w:val="20"/>
                <w:szCs w:val="20"/>
              </w:rPr>
            </w:pPr>
            <w:r w:rsidRPr="006B6856">
              <w:rPr>
                <w:b/>
                <w:sz w:val="20"/>
                <w:szCs w:val="20"/>
              </w:rPr>
              <w:t>Treatment criteria:</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rFonts w:cs="Arial"/>
                <w:sz w:val="20"/>
                <w:szCs w:val="20"/>
              </w:rPr>
            </w:pPr>
            <w:r w:rsidRPr="006B6856">
              <w:rPr>
                <w:rFonts w:cs="Arial"/>
                <w:sz w:val="20"/>
                <w:szCs w:val="20"/>
              </w:rPr>
              <w:t>Must be treated by a gastroenterologist; OR</w:t>
            </w:r>
          </w:p>
          <w:p w:rsidR="00022D31" w:rsidRPr="006B6856" w:rsidRDefault="00022D31" w:rsidP="009467BF">
            <w:pPr>
              <w:pStyle w:val="Tabletext"/>
              <w:rPr>
                <w:sz w:val="20"/>
                <w:szCs w:val="20"/>
              </w:rPr>
            </w:pPr>
            <w:r w:rsidRPr="006B6856">
              <w:rPr>
                <w:rFonts w:cs="Arial"/>
                <w:sz w:val="20"/>
                <w:szCs w:val="20"/>
              </w:rPr>
              <w:t>Must be treated by a consultant physician (internal or general medicine specialising in gastroenterology)</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b/>
                <w:sz w:val="20"/>
                <w:szCs w:val="20"/>
              </w:rPr>
            </w:pPr>
            <w:r w:rsidRPr="006B6856">
              <w:rPr>
                <w:b/>
                <w:sz w:val="20"/>
                <w:szCs w:val="20"/>
              </w:rPr>
              <w:t>Population criteria:</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sz w:val="20"/>
                <w:szCs w:val="20"/>
              </w:rPr>
            </w:pPr>
            <w:r w:rsidRPr="006B6856">
              <w:rPr>
                <w:sz w:val="20"/>
                <w:szCs w:val="20"/>
              </w:rPr>
              <w:t>Patient must be aged 18 years or older</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b/>
                <w:sz w:val="20"/>
                <w:szCs w:val="20"/>
              </w:rPr>
            </w:pPr>
            <w:r w:rsidRPr="006B6856">
              <w:rPr>
                <w:b/>
                <w:sz w:val="20"/>
                <w:szCs w:val="20"/>
              </w:rPr>
              <w:t>Treatment phase:</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rFonts w:cs="Arial"/>
                <w:sz w:val="20"/>
                <w:szCs w:val="20"/>
              </w:rPr>
            </w:pPr>
            <w:r w:rsidRPr="006B6856">
              <w:rPr>
                <w:rFonts w:cs="Arial"/>
                <w:sz w:val="20"/>
                <w:szCs w:val="20"/>
              </w:rPr>
              <w:t xml:space="preserve">Initial treatment – </w:t>
            </w:r>
            <w:r w:rsidRPr="006B6856">
              <w:rPr>
                <w:sz w:val="20"/>
                <w:szCs w:val="20"/>
              </w:rPr>
              <w:t>new patient or recommencement of treatment after ≥5 years break in therapy (Initial 1)</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b/>
                <w:sz w:val="20"/>
                <w:szCs w:val="20"/>
              </w:rPr>
            </w:pPr>
            <w:r w:rsidRPr="006B6856">
              <w:rPr>
                <w:b/>
                <w:sz w:val="20"/>
                <w:szCs w:val="20"/>
              </w:rPr>
              <w:t>Restriction:</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sz w:val="20"/>
                <w:szCs w:val="20"/>
              </w:rPr>
            </w:pPr>
            <w:r w:rsidRPr="006B6856">
              <w:rPr>
                <w:sz w:val="20"/>
                <w:szCs w:val="20"/>
              </w:rPr>
              <w:fldChar w:fldCharType="begin">
                <w:ffData>
                  <w:name w:val=""/>
                  <w:enabled/>
                  <w:calcOnExit w:val="0"/>
                  <w:checkBox>
                    <w:sizeAuto/>
                    <w:default w:val="1"/>
                  </w:checkBox>
                </w:ffData>
              </w:fldChar>
            </w:r>
            <w:r w:rsidRPr="006B6856">
              <w:rPr>
                <w:sz w:val="20"/>
                <w:szCs w:val="20"/>
              </w:rPr>
              <w:instrText xml:space="preserve"> FORMCHECKBOX </w:instrText>
            </w:r>
            <w:r w:rsidR="003C1244">
              <w:rPr>
                <w:sz w:val="20"/>
                <w:szCs w:val="20"/>
              </w:rPr>
            </w:r>
            <w:r w:rsidR="003C1244">
              <w:rPr>
                <w:sz w:val="20"/>
                <w:szCs w:val="20"/>
              </w:rPr>
              <w:fldChar w:fldCharType="separate"/>
            </w:r>
            <w:r w:rsidRPr="006B6856">
              <w:rPr>
                <w:sz w:val="20"/>
                <w:szCs w:val="20"/>
              </w:rPr>
              <w:fldChar w:fldCharType="end"/>
            </w:r>
            <w:r w:rsidRPr="006B6856">
              <w:rPr>
                <w:sz w:val="20"/>
                <w:szCs w:val="20"/>
              </w:rPr>
              <w:t>Authority Required - In Writing</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b/>
                <w:sz w:val="20"/>
                <w:szCs w:val="20"/>
              </w:rPr>
            </w:pPr>
            <w:r w:rsidRPr="006B6856">
              <w:rPr>
                <w:b/>
                <w:sz w:val="20"/>
                <w:szCs w:val="20"/>
              </w:rPr>
              <w:t>Clinical criteria:</w:t>
            </w:r>
          </w:p>
          <w:p w:rsidR="00022D31" w:rsidRPr="006B6856" w:rsidRDefault="00022D31" w:rsidP="009467BF">
            <w:pPr>
              <w:pStyle w:val="Tabletext"/>
              <w:rPr>
                <w:b/>
                <w:sz w:val="20"/>
                <w:szCs w:val="20"/>
              </w:rPr>
            </w:pP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rFonts w:cs="Arial"/>
                <w:sz w:val="20"/>
                <w:szCs w:val="20"/>
              </w:rPr>
            </w:pPr>
            <w:r w:rsidRPr="006B6856">
              <w:rPr>
                <w:rFonts w:cs="Arial"/>
                <w:sz w:val="20"/>
                <w:szCs w:val="20"/>
              </w:rPr>
              <w:t>Patient must have failed to achieve an adequate response (or intolerance) to standard medical management (5-aminosalicylate, azathioprine, 6-mercaptopurine, oral steroids);</w:t>
            </w:r>
          </w:p>
          <w:p w:rsidR="00022D31" w:rsidRPr="006B6856" w:rsidRDefault="00022D31" w:rsidP="009467BF">
            <w:pPr>
              <w:pStyle w:val="Tabletext"/>
              <w:rPr>
                <w:rFonts w:cs="Arial"/>
                <w:sz w:val="20"/>
                <w:szCs w:val="20"/>
              </w:rPr>
            </w:pPr>
            <w:r w:rsidRPr="006B6856">
              <w:rPr>
                <w:rFonts w:cs="Arial"/>
                <w:sz w:val="20"/>
                <w:szCs w:val="20"/>
              </w:rPr>
              <w:t>AND</w:t>
            </w:r>
          </w:p>
          <w:p w:rsidR="00022D31" w:rsidRPr="006B6856" w:rsidRDefault="00022D31" w:rsidP="009467BF">
            <w:pPr>
              <w:pStyle w:val="Tabletext"/>
              <w:rPr>
                <w:rFonts w:cs="Arial"/>
                <w:sz w:val="20"/>
                <w:szCs w:val="20"/>
              </w:rPr>
            </w:pPr>
            <w:r w:rsidRPr="006B6856">
              <w:rPr>
                <w:rFonts w:cs="Arial"/>
                <w:sz w:val="20"/>
                <w:szCs w:val="20"/>
              </w:rPr>
              <w:t xml:space="preserve">Patient must have a Mayo clinic score greater than or equal to 6; </w:t>
            </w:r>
          </w:p>
          <w:p w:rsidR="00022D31" w:rsidRPr="006B6856" w:rsidRDefault="00022D31" w:rsidP="009467BF">
            <w:pPr>
              <w:pStyle w:val="Tabletext"/>
              <w:rPr>
                <w:rFonts w:cs="Arial"/>
                <w:sz w:val="20"/>
                <w:szCs w:val="20"/>
              </w:rPr>
            </w:pPr>
            <w:r w:rsidRPr="006B6856">
              <w:rPr>
                <w:rFonts w:cs="Arial"/>
                <w:sz w:val="20"/>
                <w:szCs w:val="20"/>
              </w:rPr>
              <w:t>OR</w:t>
            </w:r>
          </w:p>
          <w:p w:rsidR="00022D31" w:rsidRPr="006B6856" w:rsidRDefault="00022D31" w:rsidP="009467BF">
            <w:pPr>
              <w:pStyle w:val="Tabletext"/>
              <w:rPr>
                <w:sz w:val="20"/>
                <w:szCs w:val="20"/>
              </w:rPr>
            </w:pPr>
            <w:r w:rsidRPr="006B6856">
              <w:rPr>
                <w:rFonts w:cs="Arial"/>
                <w:sz w:val="20"/>
                <w:szCs w:val="20"/>
              </w:rPr>
              <w:t xml:space="preserve">Patient must have a partial Mayo clinic score greater than or equal to 6, provided the rectal bleeding and stool frequency </w:t>
            </w:r>
            <w:proofErr w:type="spellStart"/>
            <w:r w:rsidRPr="006B6856">
              <w:rPr>
                <w:rFonts w:cs="Arial"/>
                <w:sz w:val="20"/>
                <w:szCs w:val="20"/>
              </w:rPr>
              <w:t>subscores</w:t>
            </w:r>
            <w:proofErr w:type="spellEnd"/>
            <w:r w:rsidRPr="006B6856">
              <w:rPr>
                <w:rFonts w:cs="Arial"/>
                <w:sz w:val="20"/>
                <w:szCs w:val="20"/>
              </w:rPr>
              <w:t xml:space="preserve"> are both greater than or equal to 2 (endoscopy </w:t>
            </w:r>
            <w:proofErr w:type="spellStart"/>
            <w:r w:rsidRPr="006B6856">
              <w:rPr>
                <w:rFonts w:cs="Arial"/>
                <w:sz w:val="20"/>
                <w:szCs w:val="20"/>
              </w:rPr>
              <w:t>subscore</w:t>
            </w:r>
            <w:proofErr w:type="spellEnd"/>
            <w:r w:rsidRPr="006B6856">
              <w:rPr>
                <w:rFonts w:cs="Arial"/>
                <w:sz w:val="20"/>
                <w:szCs w:val="20"/>
              </w:rPr>
              <w:t xml:space="preserve"> is not required).</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b/>
                <w:sz w:val="20"/>
                <w:szCs w:val="20"/>
              </w:rPr>
            </w:pPr>
            <w:r w:rsidRPr="006B6856">
              <w:rPr>
                <w:b/>
                <w:sz w:val="20"/>
                <w:szCs w:val="20"/>
              </w:rPr>
              <w:t>Prescriber instructions</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sz w:val="20"/>
                <w:szCs w:val="20"/>
              </w:rPr>
            </w:pPr>
            <w:r w:rsidRPr="006B6856">
              <w:rPr>
                <w:sz w:val="20"/>
                <w:szCs w:val="20"/>
              </w:rPr>
              <w:t xml:space="preserve">A partial Mayo clinic assessment of the patient's response to this initial course of treatment must be made up to 8 weeks after the first dose </w:t>
            </w:r>
          </w:p>
          <w:p w:rsidR="00022D31" w:rsidRPr="006B6856" w:rsidRDefault="00022D31" w:rsidP="009467BF">
            <w:pPr>
              <w:pStyle w:val="Tabletext"/>
              <w:rPr>
                <w:sz w:val="20"/>
                <w:szCs w:val="20"/>
              </w:rPr>
            </w:pPr>
            <w:r w:rsidRPr="006B6856">
              <w:rPr>
                <w:sz w:val="20"/>
                <w:szCs w:val="20"/>
              </w:rPr>
              <w:t xml:space="preserve">A maximum of </w:t>
            </w:r>
            <w:r w:rsidRPr="006B6856">
              <w:rPr>
                <w:bCs/>
                <w:sz w:val="20"/>
                <w:szCs w:val="20"/>
              </w:rPr>
              <w:t>16 weeks of treatment</w:t>
            </w:r>
            <w:r w:rsidRPr="006B6856">
              <w:rPr>
                <w:sz w:val="20"/>
                <w:szCs w:val="20"/>
              </w:rPr>
              <w:t xml:space="preserve"> with this drug will be approved under this criterion. </w:t>
            </w:r>
            <w:r w:rsidRPr="006B6856">
              <w:rPr>
                <w:sz w:val="20"/>
                <w:szCs w:val="20"/>
                <w:u w:val="single"/>
              </w:rPr>
              <w:t>The recommended dose is 10 mg twice daily for at least 8 weeks followed by 5 mg twice daily.</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tabs>
                <w:tab w:val="left" w:pos="1245"/>
              </w:tabs>
              <w:rPr>
                <w:b/>
                <w:sz w:val="20"/>
                <w:szCs w:val="20"/>
              </w:rPr>
            </w:pPr>
            <w:r w:rsidRPr="006B6856">
              <w:rPr>
                <w:b/>
                <w:sz w:val="20"/>
                <w:szCs w:val="20"/>
              </w:rPr>
              <w:t>Treatment phase:</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sz w:val="20"/>
                <w:szCs w:val="20"/>
              </w:rPr>
            </w:pPr>
            <w:r w:rsidRPr="006B6856">
              <w:rPr>
                <w:sz w:val="20"/>
                <w:szCs w:val="20"/>
              </w:rPr>
              <w:t>Continuing treatment</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tabs>
                <w:tab w:val="left" w:pos="1245"/>
              </w:tabs>
              <w:rPr>
                <w:b/>
                <w:sz w:val="20"/>
                <w:szCs w:val="20"/>
              </w:rPr>
            </w:pPr>
            <w:r w:rsidRPr="006B6856">
              <w:rPr>
                <w:b/>
                <w:sz w:val="20"/>
                <w:szCs w:val="20"/>
              </w:rPr>
              <w:t>Restriction:</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sz w:val="20"/>
                <w:szCs w:val="20"/>
              </w:rPr>
            </w:pPr>
            <w:r w:rsidRPr="006B6856">
              <w:rPr>
                <w:sz w:val="20"/>
                <w:szCs w:val="20"/>
              </w:rPr>
              <w:fldChar w:fldCharType="begin">
                <w:ffData>
                  <w:name w:val=""/>
                  <w:enabled/>
                  <w:calcOnExit w:val="0"/>
                  <w:checkBox>
                    <w:sizeAuto/>
                    <w:default w:val="1"/>
                  </w:checkBox>
                </w:ffData>
              </w:fldChar>
            </w:r>
            <w:r w:rsidRPr="006B6856">
              <w:rPr>
                <w:sz w:val="20"/>
                <w:szCs w:val="20"/>
              </w:rPr>
              <w:instrText xml:space="preserve"> FORMCHECKBOX </w:instrText>
            </w:r>
            <w:r w:rsidR="003C1244">
              <w:rPr>
                <w:sz w:val="20"/>
                <w:szCs w:val="20"/>
              </w:rPr>
            </w:r>
            <w:r w:rsidR="003C1244">
              <w:rPr>
                <w:sz w:val="20"/>
                <w:szCs w:val="20"/>
              </w:rPr>
              <w:fldChar w:fldCharType="separate"/>
            </w:r>
            <w:r w:rsidRPr="006B6856">
              <w:rPr>
                <w:sz w:val="20"/>
                <w:szCs w:val="20"/>
              </w:rPr>
              <w:fldChar w:fldCharType="end"/>
            </w:r>
            <w:r w:rsidRPr="006B6856">
              <w:rPr>
                <w:sz w:val="20"/>
                <w:szCs w:val="20"/>
              </w:rPr>
              <w:t>Authority Required - Telephone</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tabs>
                <w:tab w:val="left" w:pos="1245"/>
              </w:tabs>
              <w:rPr>
                <w:b/>
                <w:sz w:val="20"/>
                <w:szCs w:val="20"/>
              </w:rPr>
            </w:pPr>
            <w:r w:rsidRPr="006B6856">
              <w:rPr>
                <w:b/>
                <w:sz w:val="20"/>
                <w:szCs w:val="20"/>
              </w:rPr>
              <w:t>Clinical criteria:</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rFonts w:cs="Arial"/>
                <w:sz w:val="20"/>
                <w:szCs w:val="20"/>
              </w:rPr>
            </w:pPr>
            <w:r w:rsidRPr="006B6856">
              <w:rPr>
                <w:rFonts w:cs="Arial"/>
                <w:sz w:val="20"/>
                <w:szCs w:val="20"/>
              </w:rPr>
              <w:t xml:space="preserve">Patient must have previously received PBS-subsidised treatment with this drug for this condition, </w:t>
            </w:r>
          </w:p>
          <w:p w:rsidR="00022D31" w:rsidRPr="006B6856" w:rsidRDefault="00022D31" w:rsidP="009467BF">
            <w:pPr>
              <w:pStyle w:val="Tabletext"/>
              <w:rPr>
                <w:rFonts w:cs="Arial"/>
                <w:sz w:val="20"/>
                <w:szCs w:val="20"/>
              </w:rPr>
            </w:pPr>
            <w:r w:rsidRPr="006B6856">
              <w:rPr>
                <w:rFonts w:cs="Arial"/>
                <w:sz w:val="20"/>
                <w:szCs w:val="20"/>
              </w:rPr>
              <w:t>AND</w:t>
            </w:r>
          </w:p>
          <w:p w:rsidR="00022D31" w:rsidRPr="006B6856" w:rsidRDefault="00022D31" w:rsidP="009467BF">
            <w:pPr>
              <w:pStyle w:val="Tabletext"/>
              <w:rPr>
                <w:sz w:val="20"/>
                <w:szCs w:val="20"/>
              </w:rPr>
            </w:pPr>
            <w:r w:rsidRPr="006B6856">
              <w:rPr>
                <w:rFonts w:cs="Arial"/>
                <w:sz w:val="20"/>
                <w:szCs w:val="20"/>
              </w:rPr>
              <w:t xml:space="preserve">Patient must have demonstrated or sustained an adequate response to treatment by having a partial Mayo clinic score less than or equal to 2, with no </w:t>
            </w:r>
            <w:proofErr w:type="spellStart"/>
            <w:r w:rsidRPr="006B6856">
              <w:rPr>
                <w:rFonts w:cs="Arial"/>
                <w:sz w:val="20"/>
                <w:szCs w:val="20"/>
              </w:rPr>
              <w:t>subscore</w:t>
            </w:r>
            <w:proofErr w:type="spellEnd"/>
            <w:r w:rsidRPr="006B6856">
              <w:rPr>
                <w:rFonts w:cs="Arial"/>
                <w:sz w:val="20"/>
                <w:szCs w:val="20"/>
              </w:rPr>
              <w:t xml:space="preserve"> greater than 1 while receiving treatment with this drug.</w:t>
            </w:r>
          </w:p>
        </w:tc>
      </w:tr>
      <w:tr w:rsidR="00022D31" w:rsidRPr="006B6856" w:rsidTr="004C5800">
        <w:tblPrEx>
          <w:tblBorders>
            <w:top w:val="none" w:sz="0" w:space="0" w:color="auto"/>
            <w:bottom w:val="none" w:sz="0" w:space="0" w:color="auto"/>
            <w:insideH w:val="none" w:sz="0" w:space="0" w:color="auto"/>
          </w:tblBorders>
          <w:tblLook w:val="0000" w:firstRow="0" w:lastRow="0" w:firstColumn="0" w:lastColumn="0" w:noHBand="0" w:noVBand="0"/>
        </w:tblPrEx>
        <w:tc>
          <w:tcPr>
            <w:tcW w:w="784" w:type="pct"/>
            <w:gridSpan w:val="2"/>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tabs>
                <w:tab w:val="left" w:pos="1245"/>
              </w:tabs>
              <w:rPr>
                <w:b/>
                <w:sz w:val="20"/>
                <w:szCs w:val="20"/>
              </w:rPr>
            </w:pPr>
            <w:r w:rsidRPr="006B6856">
              <w:rPr>
                <w:b/>
                <w:sz w:val="20"/>
                <w:szCs w:val="20"/>
              </w:rPr>
              <w:t>Prescriber instructions</w:t>
            </w:r>
          </w:p>
        </w:tc>
        <w:tc>
          <w:tcPr>
            <w:tcW w:w="4213" w:type="pct"/>
            <w:gridSpan w:val="6"/>
            <w:tcBorders>
              <w:top w:val="single" w:sz="4" w:space="0" w:color="auto"/>
              <w:left w:val="single" w:sz="4" w:space="0" w:color="auto"/>
              <w:bottom w:val="single" w:sz="4" w:space="0" w:color="auto"/>
              <w:right w:val="single" w:sz="4" w:space="0" w:color="auto"/>
            </w:tcBorders>
          </w:tcPr>
          <w:p w:rsidR="00022D31" w:rsidRPr="006B6856" w:rsidRDefault="00022D31" w:rsidP="009467BF">
            <w:pPr>
              <w:pStyle w:val="Tabletext"/>
              <w:rPr>
                <w:rFonts w:cs="Arial"/>
                <w:sz w:val="20"/>
                <w:szCs w:val="20"/>
              </w:rPr>
            </w:pPr>
            <w:r w:rsidRPr="006B6856">
              <w:rPr>
                <w:rFonts w:cs="Arial"/>
                <w:sz w:val="20"/>
                <w:szCs w:val="20"/>
              </w:rPr>
              <w:t xml:space="preserve">Patients are eligible to receive continuing treatment with this drug in </w:t>
            </w:r>
            <w:r w:rsidRPr="006B6856">
              <w:rPr>
                <w:rFonts w:cs="Arial"/>
                <w:bCs/>
                <w:sz w:val="20"/>
                <w:szCs w:val="20"/>
              </w:rPr>
              <w:t>courses of up to 24 weeks</w:t>
            </w:r>
            <w:r w:rsidRPr="006B6856">
              <w:rPr>
                <w:rFonts w:cs="Arial"/>
                <w:sz w:val="20"/>
                <w:szCs w:val="20"/>
              </w:rPr>
              <w:t xml:space="preserve"> providing they continue to sustain the response.</w:t>
            </w:r>
          </w:p>
        </w:tc>
      </w:tr>
    </w:tbl>
    <w:p w:rsidR="00022D31" w:rsidRPr="00B51DEF" w:rsidRDefault="00022D31" w:rsidP="009467BF">
      <w:pPr>
        <w:pStyle w:val="TableFooter"/>
        <w:widowControl/>
      </w:pPr>
      <w:r w:rsidRPr="00B51DEF">
        <w:t xml:space="preserve">  Source: pp22-29 of the submission</w:t>
      </w:r>
    </w:p>
    <w:p w:rsidR="00022D31" w:rsidRPr="00B51DEF" w:rsidRDefault="00022D31" w:rsidP="00FF2F22">
      <w:pPr>
        <w:pStyle w:val="ListParagraph"/>
        <w:widowControl/>
        <w:numPr>
          <w:ilvl w:val="1"/>
          <w:numId w:val="3"/>
        </w:numPr>
        <w:spacing w:before="120" w:after="120"/>
      </w:pPr>
      <w:r w:rsidRPr="00B51DEF">
        <w:t>The Sponsor requested PBS listing of the TOF 10 mg and 5 mg formulations for both induction and maintenance therapy. TOF 10 mg and TOF 5 mg are available in packs of 56 tablets, providing sufficient supply for 28 days (4 weeks). The submission stated that the requested number of repeats provided for 16 weeks of induction therapy and 24 weeks of maintenance therapy.</w:t>
      </w:r>
    </w:p>
    <w:p w:rsidR="00ED2FF9" w:rsidRPr="00B51DEF" w:rsidRDefault="00ED2FF9" w:rsidP="00FF2F22">
      <w:pPr>
        <w:widowControl/>
        <w:spacing w:before="120" w:after="120"/>
      </w:pPr>
    </w:p>
    <w:p w:rsidR="00656381" w:rsidRPr="00B51DEF" w:rsidRDefault="00656381" w:rsidP="00FF2F22">
      <w:pPr>
        <w:pStyle w:val="ListParagraph"/>
        <w:widowControl/>
        <w:numPr>
          <w:ilvl w:val="1"/>
          <w:numId w:val="3"/>
        </w:numPr>
        <w:spacing w:before="120" w:after="120"/>
        <w:rPr>
          <w:rFonts w:asciiTheme="minorHAnsi" w:hAnsiTheme="minorHAnsi"/>
          <w:i/>
        </w:rPr>
      </w:pPr>
      <w:r w:rsidRPr="00B51DEF">
        <w:rPr>
          <w:iCs/>
        </w:rPr>
        <w:lastRenderedPageBreak/>
        <w:t xml:space="preserve">The PBAC noted the dosage </w:t>
      </w:r>
      <w:r w:rsidR="009739C5" w:rsidRPr="00B51DEF">
        <w:rPr>
          <w:iCs/>
        </w:rPr>
        <w:t xml:space="preserve">section of the product information (PI) </w:t>
      </w:r>
      <w:r w:rsidRPr="00B51DEF">
        <w:rPr>
          <w:iCs/>
        </w:rPr>
        <w:t xml:space="preserve">(3.1) </w:t>
      </w:r>
      <w:r w:rsidR="009739C5" w:rsidRPr="00B51DEF">
        <w:rPr>
          <w:iCs/>
        </w:rPr>
        <w:t>included a recommendation to use the l</w:t>
      </w:r>
      <w:r w:rsidR="0035517E">
        <w:rPr>
          <w:iCs/>
        </w:rPr>
        <w:t xml:space="preserve">owest effective dose of </w:t>
      </w:r>
      <w:proofErr w:type="spellStart"/>
      <w:r w:rsidR="0035517E">
        <w:rPr>
          <w:iCs/>
        </w:rPr>
        <w:t>tofaciti</w:t>
      </w:r>
      <w:r w:rsidR="009739C5" w:rsidRPr="00B51DEF">
        <w:rPr>
          <w:iCs/>
        </w:rPr>
        <w:t>nib</w:t>
      </w:r>
      <w:proofErr w:type="spellEnd"/>
      <w:r w:rsidR="009739C5" w:rsidRPr="00B51DEF">
        <w:rPr>
          <w:iCs/>
        </w:rPr>
        <w:t xml:space="preserve"> which </w:t>
      </w:r>
      <w:r w:rsidRPr="00B51DEF">
        <w:rPr>
          <w:iCs/>
        </w:rPr>
        <w:t>may require clinicians to increase and decrease dosage depend</w:t>
      </w:r>
      <w:r w:rsidR="009739C5" w:rsidRPr="00B51DEF">
        <w:rPr>
          <w:iCs/>
        </w:rPr>
        <w:t>ing</w:t>
      </w:r>
      <w:r w:rsidRPr="00B51DEF">
        <w:rPr>
          <w:iCs/>
        </w:rPr>
        <w:t xml:space="preserve"> on a patient’s response to treatment</w:t>
      </w:r>
      <w:r w:rsidR="009739C5" w:rsidRPr="00B51DEF">
        <w:rPr>
          <w:iCs/>
        </w:rPr>
        <w:t>.</w:t>
      </w:r>
      <w:r w:rsidR="003B16A8" w:rsidRPr="00B51DEF">
        <w:rPr>
          <w:iCs/>
        </w:rPr>
        <w:t xml:space="preserve"> The PBAC considered </w:t>
      </w:r>
      <w:r w:rsidR="009739C5" w:rsidRPr="00B51DEF">
        <w:rPr>
          <w:iCs/>
        </w:rPr>
        <w:t>patients treated with TOF 10 mg in the maintenance setting may require more frequent monitoring to assess response and adverse events (AEs)</w:t>
      </w:r>
      <w:r w:rsidR="00B51DEF">
        <w:rPr>
          <w:iCs/>
        </w:rPr>
        <w:t xml:space="preserve">. </w:t>
      </w:r>
      <w:r w:rsidR="009739C5" w:rsidRPr="00B51DEF">
        <w:rPr>
          <w:iCs/>
        </w:rPr>
        <w:t>The PBAC considered it may be reasonable to include additional clarity around the recommended dose under ‘prescriber instructions’ for maintenance therapy.</w:t>
      </w:r>
    </w:p>
    <w:p w:rsidR="00F736B5" w:rsidRPr="00B51DEF" w:rsidRDefault="00022D31" w:rsidP="00FF2F22">
      <w:pPr>
        <w:pStyle w:val="ListParagraph"/>
        <w:widowControl/>
        <w:numPr>
          <w:ilvl w:val="1"/>
          <w:numId w:val="3"/>
        </w:numPr>
        <w:spacing w:before="120" w:after="120"/>
        <w:rPr>
          <w:rFonts w:asciiTheme="minorHAnsi" w:hAnsiTheme="minorHAnsi"/>
          <w:i/>
        </w:rPr>
      </w:pPr>
      <w:r w:rsidRPr="00B51DEF">
        <w:t xml:space="preserve">The submission requested a Special Pricing Arrangement (SPA). The proposed </w:t>
      </w:r>
      <w:r w:rsidRPr="00075E5E">
        <w:t>published prices (D</w:t>
      </w:r>
      <w:r w:rsidR="00E66827" w:rsidRPr="00075E5E">
        <w:t xml:space="preserve">ispensed </w:t>
      </w:r>
      <w:r w:rsidRPr="00075E5E">
        <w:t>P</w:t>
      </w:r>
      <w:r w:rsidR="00E66827" w:rsidRPr="00075E5E">
        <w:t xml:space="preserve">rice for </w:t>
      </w:r>
      <w:r w:rsidRPr="00075E5E">
        <w:t>M</w:t>
      </w:r>
      <w:r w:rsidR="00E66827" w:rsidRPr="00075E5E">
        <w:t xml:space="preserve">aximum </w:t>
      </w:r>
      <w:r w:rsidRPr="00075E5E">
        <w:t>Q</w:t>
      </w:r>
      <w:r w:rsidR="00E66827" w:rsidRPr="00075E5E">
        <w:t>uantity</w:t>
      </w:r>
      <w:r w:rsidRPr="00075E5E">
        <w:t>) for TOF 10 mg and TOF 5</w:t>
      </w:r>
      <w:r w:rsidR="00B85512" w:rsidRPr="00075E5E">
        <w:t> </w:t>
      </w:r>
      <w:r w:rsidRPr="00075E5E">
        <w:t>mg were $</w:t>
      </w:r>
      <w:r w:rsidR="00922EF4">
        <w:rPr>
          <w:noProof/>
          <w:color w:val="000000"/>
          <w:highlight w:val="black"/>
        </w:rPr>
        <w:t>''''''''''''''''</w:t>
      </w:r>
      <w:r w:rsidR="00A00FC5" w:rsidRPr="00075E5E">
        <w:t xml:space="preserve"> and $</w:t>
      </w:r>
      <w:r w:rsidR="00922EF4">
        <w:rPr>
          <w:noProof/>
          <w:color w:val="000000"/>
          <w:highlight w:val="black"/>
        </w:rPr>
        <w:t>'''''''''''''''''</w:t>
      </w:r>
      <w:r w:rsidR="00A00FC5" w:rsidRPr="00075E5E">
        <w:t xml:space="preserve"> </w:t>
      </w:r>
      <w:r w:rsidRPr="00075E5E">
        <w:t>respectively</w:t>
      </w:r>
      <w:r w:rsidRPr="00B51DEF">
        <w:t>, per 56 tablets. The proposed effective prices ($</w:t>
      </w:r>
      <w:r w:rsidR="00922EF4">
        <w:rPr>
          <w:noProof/>
          <w:color w:val="000000"/>
          <w:highlight w:val="black"/>
        </w:rPr>
        <w:t>''''''''''''''''</w:t>
      </w:r>
      <w:r w:rsidRPr="00B51DEF">
        <w:t xml:space="preserve"> and $</w:t>
      </w:r>
      <w:r w:rsidR="00922EF4">
        <w:rPr>
          <w:noProof/>
          <w:color w:val="000000"/>
          <w:highlight w:val="black"/>
        </w:rPr>
        <w:t>'''''''''''''''''</w:t>
      </w:r>
      <w:r w:rsidRPr="00B51DEF">
        <w:t xml:space="preserve"> respectively) were based on a cost-minimisation analysis versus IFX.</w:t>
      </w:r>
      <w:r w:rsidR="00F736B5" w:rsidRPr="00B51DEF">
        <w:rPr>
          <w:rFonts w:asciiTheme="minorHAnsi" w:hAnsiTheme="minorHAnsi"/>
          <w:i/>
        </w:rPr>
        <w:t xml:space="preserve"> </w:t>
      </w:r>
    </w:p>
    <w:p w:rsidR="00022D31" w:rsidRPr="001510DE" w:rsidRDefault="00F736B5" w:rsidP="00FF2F22">
      <w:pPr>
        <w:pStyle w:val="ListParagraph"/>
        <w:spacing w:before="120" w:after="120"/>
        <w:ind w:left="709"/>
        <w:rPr>
          <w:rFonts w:asciiTheme="minorHAnsi" w:hAnsiTheme="minorHAnsi"/>
          <w:i/>
        </w:rPr>
      </w:pPr>
      <w:r w:rsidRPr="00B51DEF">
        <w:rPr>
          <w:rFonts w:asciiTheme="minorHAnsi" w:hAnsiTheme="minorHAnsi"/>
          <w:i/>
        </w:rPr>
        <w:t>For more detail on PBAC’s view, see section 7 PBAC outcome.</w:t>
      </w:r>
    </w:p>
    <w:p w:rsidR="00022D31" w:rsidRPr="00B51DEF" w:rsidRDefault="00022D31" w:rsidP="00FF2F22">
      <w:pPr>
        <w:pStyle w:val="PBACHeading1"/>
        <w:spacing w:before="120" w:after="120"/>
      </w:pPr>
      <w:bookmarkStart w:id="3" w:name="_Toc535929141"/>
      <w:r w:rsidRPr="00B51DEF">
        <w:t>Background</w:t>
      </w:r>
      <w:bookmarkEnd w:id="3"/>
    </w:p>
    <w:p w:rsidR="00022D31" w:rsidRPr="00E80C11" w:rsidRDefault="00022D31" w:rsidP="00E80C11">
      <w:pPr>
        <w:spacing w:before="120" w:after="120"/>
        <w:outlineLvl w:val="1"/>
        <w:rPr>
          <w:rFonts w:asciiTheme="minorHAnsi" w:hAnsiTheme="minorHAnsi"/>
          <w:b/>
          <w:bCs/>
          <w:i/>
          <w:sz w:val="28"/>
          <w:szCs w:val="28"/>
        </w:rPr>
      </w:pPr>
      <w:r w:rsidRPr="00E80C11">
        <w:rPr>
          <w:rFonts w:asciiTheme="minorHAnsi" w:hAnsiTheme="minorHAnsi"/>
          <w:b/>
          <w:bCs/>
          <w:i/>
          <w:sz w:val="28"/>
          <w:szCs w:val="28"/>
        </w:rPr>
        <w:t>Registration status</w:t>
      </w:r>
    </w:p>
    <w:p w:rsidR="00286312" w:rsidRPr="00B51DEF" w:rsidRDefault="007772FD" w:rsidP="00FF2F22">
      <w:pPr>
        <w:pStyle w:val="ListParagraph"/>
        <w:widowControl/>
        <w:numPr>
          <w:ilvl w:val="1"/>
          <w:numId w:val="3"/>
        </w:numPr>
        <w:spacing w:before="120" w:after="120"/>
      </w:pPr>
      <w:bookmarkStart w:id="4" w:name="_Toc534648709"/>
      <w:r w:rsidRPr="00B51DEF">
        <w:rPr>
          <w:rFonts w:eastAsia="Calibri"/>
        </w:rPr>
        <w:t>TGA status at time of PBAC</w:t>
      </w:r>
      <w:r w:rsidR="00286312" w:rsidRPr="00B51DEF">
        <w:rPr>
          <w:rFonts w:eastAsia="Calibri"/>
        </w:rPr>
        <w:t xml:space="preserve"> advice:</w:t>
      </w:r>
      <w:r w:rsidR="00286312" w:rsidRPr="00B51DEF">
        <w:rPr>
          <w:rFonts w:eastAsia="Calibri"/>
          <w:color w:val="FF0000"/>
        </w:rPr>
        <w:t xml:space="preserve"> </w:t>
      </w:r>
      <w:proofErr w:type="spellStart"/>
      <w:r w:rsidR="00DE16B4" w:rsidRPr="00B51DEF">
        <w:rPr>
          <w:rFonts w:eastAsia="Calibri"/>
        </w:rPr>
        <w:t>tofacitinib</w:t>
      </w:r>
      <w:proofErr w:type="spellEnd"/>
      <w:r w:rsidR="00DE16B4" w:rsidRPr="00B51DEF">
        <w:rPr>
          <w:rFonts w:eastAsia="Calibri"/>
        </w:rPr>
        <w:t xml:space="preserve"> was approved by the TGA on 29 January 2019. The approved indication is for the treatment of adult patients with moderately to severely active ulcerative colitis who have had an inadequate response, lost response, or were intolerant to either conventional therapy or a biological therapy</w:t>
      </w:r>
      <w:r w:rsidR="00B51DEF">
        <w:t xml:space="preserve">. </w:t>
      </w:r>
    </w:p>
    <w:p w:rsidR="00BD7EE0" w:rsidRPr="00B51DEF" w:rsidRDefault="00022D31" w:rsidP="00FF2F22">
      <w:pPr>
        <w:pStyle w:val="ListParagraph"/>
        <w:widowControl/>
        <w:numPr>
          <w:ilvl w:val="1"/>
          <w:numId w:val="3"/>
        </w:numPr>
        <w:spacing w:before="120" w:after="120"/>
        <w:rPr>
          <w:i/>
        </w:rPr>
      </w:pPr>
      <w:r w:rsidRPr="00B51DEF">
        <w:t>The Sponsor made the submission under the TGA/PBAC Parallel Process. At the time of the submission, the TGA Clinical Evaluation Report was available. During evaluation, the TGA Delegate’s Summary</w:t>
      </w:r>
      <w:r w:rsidR="006751AC" w:rsidRPr="00B51DEF">
        <w:t xml:space="preserve">, </w:t>
      </w:r>
      <w:r w:rsidRPr="00B51DEF">
        <w:t xml:space="preserve">Request for ACM advice </w:t>
      </w:r>
      <w:r w:rsidR="00DE16B4" w:rsidRPr="00B51DEF">
        <w:t xml:space="preserve">and </w:t>
      </w:r>
      <w:r w:rsidR="00236718" w:rsidRPr="00B51DEF">
        <w:t xml:space="preserve">TGA approval letter </w:t>
      </w:r>
      <w:r w:rsidRPr="00B51DEF">
        <w:t xml:space="preserve">also became available. </w:t>
      </w:r>
      <w:bookmarkEnd w:id="4"/>
    </w:p>
    <w:p w:rsidR="00DE16B4" w:rsidRPr="00B51DEF" w:rsidRDefault="00DE16B4" w:rsidP="00FF2F22">
      <w:pPr>
        <w:pStyle w:val="ListParagraph"/>
        <w:widowControl/>
        <w:numPr>
          <w:ilvl w:val="1"/>
          <w:numId w:val="3"/>
        </w:numPr>
        <w:spacing w:before="120" w:after="120"/>
        <w:rPr>
          <w:i/>
        </w:rPr>
      </w:pPr>
      <w:r w:rsidRPr="00B51DEF">
        <w:t>The dose section of the</w:t>
      </w:r>
      <w:r w:rsidR="00A02F8B" w:rsidRPr="00B51DEF">
        <w:t xml:space="preserve"> approved</w:t>
      </w:r>
      <w:r w:rsidR="00FD0308" w:rsidRPr="00B51DEF">
        <w:t xml:space="preserve"> </w:t>
      </w:r>
      <w:r w:rsidR="003B16A8" w:rsidRPr="00B51DEF">
        <w:t>Product Information (</w:t>
      </w:r>
      <w:r w:rsidR="00FD0308" w:rsidRPr="00B51DEF">
        <w:t>PI</w:t>
      </w:r>
      <w:r w:rsidR="003B16A8" w:rsidRPr="00B51DEF">
        <w:t xml:space="preserve">) </w:t>
      </w:r>
      <w:r w:rsidRPr="00B51DEF">
        <w:t>states:</w:t>
      </w:r>
    </w:p>
    <w:p w:rsidR="00A02F8B" w:rsidRPr="00B51DEF" w:rsidRDefault="00A02F8B" w:rsidP="00FF2F22">
      <w:pPr>
        <w:widowControl/>
        <w:spacing w:before="120" w:after="120"/>
        <w:ind w:left="720"/>
        <w:rPr>
          <w:i/>
        </w:rPr>
      </w:pPr>
      <w:r w:rsidRPr="00B51DEF">
        <w:rPr>
          <w:i/>
        </w:rPr>
        <w:t>‘The recommended dose for adult patients with moderately to severely active ulcerative colitis is 10 mg twice daily for induction for 8 weeks and 5 mg twice daily for maintenance.</w:t>
      </w:r>
    </w:p>
    <w:p w:rsidR="00A02F8B" w:rsidRPr="00B51DEF" w:rsidRDefault="00A02F8B" w:rsidP="00FF2F22">
      <w:pPr>
        <w:widowControl/>
        <w:spacing w:before="120" w:after="120"/>
        <w:ind w:left="720"/>
        <w:rPr>
          <w:i/>
        </w:rPr>
      </w:pPr>
      <w:r w:rsidRPr="00B51DEF">
        <w:rPr>
          <w:i/>
        </w:rPr>
        <w:t>For patients who do not achieve adequate therapeutic benefit by week 8 (e.g. those with the greatest disease activity or those refractory to</w:t>
      </w:r>
      <w:r w:rsidR="006751AC" w:rsidRPr="00B51DEF">
        <w:rPr>
          <w:i/>
        </w:rPr>
        <w:t xml:space="preserve"> </w:t>
      </w:r>
      <w:r w:rsidRPr="00B51DEF">
        <w:rPr>
          <w:i/>
        </w:rPr>
        <w:t>tumour necrosis factor (TNF)-inhibitors), the induction dose of 10 mg twice daily can be extended for an additional 8 weeks (16 weeks total), followed by 5 mg twice daily for maintenance. Continued treatment is not recommended for patients who have not shown a clinical response by Week 16.</w:t>
      </w:r>
    </w:p>
    <w:p w:rsidR="00A02F8B" w:rsidRPr="00B51DEF" w:rsidRDefault="00A02F8B" w:rsidP="00FF2F22">
      <w:pPr>
        <w:widowControl/>
        <w:spacing w:before="120" w:after="120"/>
        <w:ind w:left="720"/>
        <w:rPr>
          <w:i/>
        </w:rPr>
      </w:pPr>
      <w:r w:rsidRPr="00B51DEF">
        <w:rPr>
          <w:i/>
        </w:rPr>
        <w:t>Use the lowest effective dose to maintain response. Following end of induction therapy, the choice of maintenance therapy should be based on individual consideration of the patient’s clinical response and treatment history. For refractory patients, such as those who have failed prior TNF inhibitor therapy, consideration may be given to continuation of the 10 mg twice daily dose for maintenance in order to maintain therapeutic benefit.</w:t>
      </w:r>
    </w:p>
    <w:p w:rsidR="00A02F8B" w:rsidRPr="00B51DEF" w:rsidRDefault="00A02F8B" w:rsidP="00FF2F22">
      <w:pPr>
        <w:widowControl/>
        <w:spacing w:before="120" w:after="120"/>
        <w:ind w:firstLine="720"/>
        <w:rPr>
          <w:i/>
        </w:rPr>
      </w:pPr>
    </w:p>
    <w:p w:rsidR="00DE16B4" w:rsidRPr="00B51DEF" w:rsidRDefault="00A02F8B" w:rsidP="00FF2F22">
      <w:pPr>
        <w:widowControl/>
        <w:spacing w:before="120" w:after="120"/>
        <w:ind w:left="720"/>
        <w:rPr>
          <w:i/>
        </w:rPr>
      </w:pPr>
      <w:r w:rsidRPr="00B51DEF">
        <w:rPr>
          <w:i/>
        </w:rPr>
        <w:t>Patients who fail to maintain therapeutic benefit on XELJANZ 5 mg twice daily may benefit from an increase to XELJANZ 10 mg administered twice daily for maintenance.’</w:t>
      </w:r>
    </w:p>
    <w:p w:rsidR="00DE16B4" w:rsidRPr="00B51DEF" w:rsidRDefault="00DE16B4" w:rsidP="00FF2F22">
      <w:pPr>
        <w:pStyle w:val="ListParagraph"/>
        <w:widowControl/>
        <w:numPr>
          <w:ilvl w:val="1"/>
          <w:numId w:val="3"/>
        </w:numPr>
        <w:spacing w:before="120" w:after="120"/>
      </w:pPr>
      <w:r w:rsidRPr="00B51DEF">
        <w:t xml:space="preserve">The PI includes the following Special Warnings and Precautions for Use: dose-dependent adverse reactions seen in patients treated with </w:t>
      </w:r>
      <w:proofErr w:type="spellStart"/>
      <w:r w:rsidRPr="00B51DEF">
        <w:t>Xeljanz</w:t>
      </w:r>
      <w:proofErr w:type="spellEnd"/>
      <w:r w:rsidRPr="00B51DEF">
        <w:t xml:space="preserve"> 10mg twice daily, in comparison to 5mg twice daily include the following: herpes zoster infections, serious infections and non-melanoma skin cancer</w:t>
      </w:r>
      <w:r w:rsidR="00B51DEF">
        <w:t xml:space="preserve">. </w:t>
      </w:r>
    </w:p>
    <w:p w:rsidR="00022D31" w:rsidRPr="00B51DEF" w:rsidRDefault="00022D31" w:rsidP="00FF2F22">
      <w:pPr>
        <w:pStyle w:val="PBACHeading1"/>
        <w:keepNext/>
        <w:spacing w:before="120" w:after="120"/>
      </w:pPr>
      <w:bookmarkStart w:id="5" w:name="_Toc535929142"/>
      <w:r w:rsidRPr="00B51DEF">
        <w:t>Population and disease</w:t>
      </w:r>
      <w:bookmarkEnd w:id="5"/>
    </w:p>
    <w:p w:rsidR="00022D31" w:rsidRPr="00B51DEF" w:rsidRDefault="00022D31" w:rsidP="00FF2F22">
      <w:pPr>
        <w:pStyle w:val="ListParagraph"/>
        <w:widowControl/>
        <w:numPr>
          <w:ilvl w:val="1"/>
          <w:numId w:val="3"/>
        </w:numPr>
        <w:spacing w:before="120" w:after="120"/>
      </w:pPr>
      <w:r w:rsidRPr="00B51DEF">
        <w:t xml:space="preserve">Ulcerative colitis is a life-long chronic relapsing and remitting inflammatory disease that involves ulceration of the mucosa of the colon. Patients with ulcerative colitis most commonly present with bloody diarrhoea, rectal bleeding, </w:t>
      </w:r>
      <w:proofErr w:type="spellStart"/>
      <w:r w:rsidRPr="00B51DEF">
        <w:t>tenesmus</w:t>
      </w:r>
      <w:proofErr w:type="spellEnd"/>
      <w:r w:rsidRPr="00B51DEF">
        <w:t xml:space="preserve"> (sensation of incomplete defecation), urgency, abdominal pain, and passage of mucus. Disease of moderate to severe activity may be associated with systemic symptoms, including fatigue, fever, anorexia, nausea, weight loss, and dehydration. The most serious complications of ulcerative colitis are bowel perforation and colorectal cancer.</w:t>
      </w:r>
    </w:p>
    <w:p w:rsidR="00413528" w:rsidRPr="00B51DEF" w:rsidRDefault="00022D31" w:rsidP="00FF2F22">
      <w:pPr>
        <w:pStyle w:val="ListParagraph"/>
        <w:widowControl/>
        <w:numPr>
          <w:ilvl w:val="1"/>
          <w:numId w:val="3"/>
        </w:numPr>
        <w:spacing w:before="120" w:after="120"/>
      </w:pPr>
      <w:r w:rsidRPr="00B51DEF">
        <w:t>TOF is an oral selective Janus-associated kinase (JAK) inhibitor. This leads to the inhibition of several cytokines, which contribute to the pathogenesis of autoimmune and inflammatory diseases.</w:t>
      </w:r>
    </w:p>
    <w:p w:rsidR="00F736B5" w:rsidRPr="00B51DEF" w:rsidRDefault="00022D31" w:rsidP="00FF2F22">
      <w:pPr>
        <w:pStyle w:val="ListParagraph"/>
        <w:widowControl/>
        <w:numPr>
          <w:ilvl w:val="1"/>
          <w:numId w:val="3"/>
        </w:numPr>
        <w:spacing w:before="120" w:after="120"/>
      </w:pPr>
      <w:r w:rsidRPr="00B51DEF">
        <w:t xml:space="preserve">The submission proposed TOF as an alternative to </w:t>
      </w:r>
      <w:r w:rsidR="002B40F3" w:rsidRPr="00B51DEF">
        <w:t xml:space="preserve">biological therapy </w:t>
      </w:r>
      <w:r w:rsidRPr="00B51DEF">
        <w:t xml:space="preserve">in the treatment of adult patients with MSUC (as defined by a Mayo score </w:t>
      </w:r>
      <w:r w:rsidRPr="00B51DEF">
        <w:rPr>
          <w:rFonts w:cs="Calibri"/>
        </w:rPr>
        <w:t>≥</w:t>
      </w:r>
      <w:r w:rsidRPr="00B51DEF">
        <w:t>6) who have had an inadequate response or failure to standard medical management. The addition of TOF to the clinical management algorithm will not alter current practice, but will allow for an additional option with a different mechanism of action</w:t>
      </w:r>
      <w:r w:rsidR="003B16A8" w:rsidRPr="00B51DEF">
        <w:t xml:space="preserve"> and an oral manner of administration</w:t>
      </w:r>
      <w:r w:rsidRPr="00B51DEF">
        <w:t>.</w:t>
      </w:r>
      <w:r w:rsidR="00F736B5" w:rsidRPr="00B51DEF">
        <w:rPr>
          <w:rFonts w:asciiTheme="minorHAnsi" w:hAnsiTheme="minorHAnsi"/>
          <w:i/>
        </w:rPr>
        <w:t xml:space="preserve"> </w:t>
      </w:r>
    </w:p>
    <w:p w:rsidR="00022D31" w:rsidRPr="001510DE" w:rsidRDefault="00F736B5" w:rsidP="00FF2F22">
      <w:pPr>
        <w:pStyle w:val="ListParagraph"/>
        <w:spacing w:before="120" w:after="120"/>
        <w:ind w:left="709"/>
        <w:rPr>
          <w:rFonts w:asciiTheme="minorHAnsi" w:hAnsiTheme="minorHAnsi"/>
          <w:i/>
        </w:rPr>
      </w:pPr>
      <w:r w:rsidRPr="00B51DEF">
        <w:rPr>
          <w:rFonts w:asciiTheme="minorHAnsi" w:hAnsiTheme="minorHAnsi"/>
          <w:i/>
        </w:rPr>
        <w:t>For more detail on PBAC’s view, see section 7 PBAC outcome.</w:t>
      </w:r>
    </w:p>
    <w:p w:rsidR="00022D31" w:rsidRPr="00B51DEF" w:rsidRDefault="00022D31" w:rsidP="00FF2F22">
      <w:pPr>
        <w:pStyle w:val="PBACHeading1"/>
        <w:spacing w:before="120" w:after="120"/>
      </w:pPr>
      <w:bookmarkStart w:id="6" w:name="_Toc535929143"/>
      <w:r w:rsidRPr="00B51DEF">
        <w:t>Comparator</w:t>
      </w:r>
      <w:bookmarkEnd w:id="6"/>
    </w:p>
    <w:p w:rsidR="00022D31" w:rsidRPr="00B51DEF" w:rsidRDefault="00022D31" w:rsidP="00FF2F22">
      <w:pPr>
        <w:pStyle w:val="ListParagraph"/>
        <w:widowControl/>
        <w:numPr>
          <w:ilvl w:val="1"/>
          <w:numId w:val="3"/>
        </w:numPr>
        <w:spacing w:before="120" w:after="120"/>
      </w:pPr>
      <w:r w:rsidRPr="00B51DEF">
        <w:t xml:space="preserve">The submission nominated IFX as the main comparator. The argument provided in support of this nomination was that IFX is the most commonly prescribed </w:t>
      </w:r>
      <w:r w:rsidR="002B40F3" w:rsidRPr="00B51DEF">
        <w:t xml:space="preserve">biological therapy </w:t>
      </w:r>
      <w:r w:rsidRPr="00B51DEF">
        <w:t xml:space="preserve">and the most likely to be replaced in practice. The submission also acknowledged that TOF would provide an alternative treatment option to any of the currently PBS-listed </w:t>
      </w:r>
      <w:r w:rsidR="002B40F3" w:rsidRPr="00B51DEF">
        <w:t xml:space="preserve">biological therapies </w:t>
      </w:r>
      <w:r w:rsidRPr="00B51DEF">
        <w:t xml:space="preserve">for ulcerative colitis; i.e. ADA, GOL, and VDZ. Therefore, all of the </w:t>
      </w:r>
      <w:r w:rsidR="002B40F3" w:rsidRPr="00B51DEF">
        <w:t xml:space="preserve">biological therapies </w:t>
      </w:r>
      <w:r w:rsidRPr="00B51DEF">
        <w:t>currently listed for MSUC were relevant comparators.</w:t>
      </w:r>
    </w:p>
    <w:p w:rsidR="00F736B5" w:rsidRPr="00B51DEF" w:rsidRDefault="00022D31" w:rsidP="00FF2F22">
      <w:pPr>
        <w:pStyle w:val="ListParagraph"/>
        <w:widowControl/>
        <w:numPr>
          <w:ilvl w:val="1"/>
          <w:numId w:val="3"/>
        </w:numPr>
        <w:spacing w:before="120" w:after="120"/>
        <w:rPr>
          <w:iCs/>
        </w:rPr>
      </w:pPr>
      <w:r w:rsidRPr="00B51DEF">
        <w:rPr>
          <w:iCs/>
        </w:rPr>
        <w:t xml:space="preserve">If </w:t>
      </w:r>
      <w:r w:rsidRPr="00B51DEF">
        <w:rPr>
          <w:rFonts w:cs="Calibri"/>
          <w:iCs/>
          <w:snapToGrid/>
          <w:szCs w:val="24"/>
          <w:lang w:eastAsia="en-AU"/>
        </w:rPr>
        <w:t xml:space="preserve">treatment with TOF were substantially more costly than any of the relevant comparators the PBAC could only recommend listing of TOF if it was satisfied that TOF provides, for some patients, a significant improvement in efficacy or reduction of toxicity over the alternative therapy or therapies (National Health Act 1953, Section 101(3B)). </w:t>
      </w:r>
    </w:p>
    <w:p w:rsidR="00F736B5" w:rsidRPr="00B51DEF" w:rsidRDefault="00F736B5" w:rsidP="00FF2F22">
      <w:pPr>
        <w:pStyle w:val="ListParagraph"/>
        <w:spacing w:before="120" w:after="120"/>
        <w:ind w:left="709"/>
        <w:rPr>
          <w:rFonts w:asciiTheme="minorHAnsi" w:hAnsiTheme="minorHAnsi"/>
          <w:i/>
        </w:rPr>
      </w:pPr>
      <w:r w:rsidRPr="00B51DEF">
        <w:rPr>
          <w:rFonts w:asciiTheme="minorHAnsi" w:hAnsiTheme="minorHAnsi"/>
          <w:i/>
        </w:rPr>
        <w:t>For more detail on PBAC’s view, see section 7 PBAC outcome.</w:t>
      </w:r>
    </w:p>
    <w:p w:rsidR="00022D31" w:rsidRPr="00B51DEF" w:rsidRDefault="00022D31" w:rsidP="00FF2F22">
      <w:pPr>
        <w:pStyle w:val="PBACHeading1"/>
        <w:keepNext/>
        <w:spacing w:before="120" w:after="120"/>
      </w:pPr>
      <w:bookmarkStart w:id="7" w:name="_Toc535929144"/>
      <w:r w:rsidRPr="00B51DEF">
        <w:lastRenderedPageBreak/>
        <w:t>Consideration of the evidence</w:t>
      </w:r>
      <w:bookmarkEnd w:id="7"/>
    </w:p>
    <w:p w:rsidR="00AE1BC4" w:rsidRPr="001510DE" w:rsidRDefault="00F736B5" w:rsidP="00FF2F22">
      <w:pPr>
        <w:spacing w:before="120" w:after="120"/>
        <w:outlineLvl w:val="1"/>
        <w:rPr>
          <w:rFonts w:asciiTheme="minorHAnsi" w:hAnsiTheme="minorHAnsi"/>
          <w:b/>
          <w:bCs/>
          <w:i/>
          <w:sz w:val="28"/>
          <w:szCs w:val="28"/>
        </w:rPr>
      </w:pPr>
      <w:r w:rsidRPr="00B51DEF">
        <w:rPr>
          <w:rFonts w:asciiTheme="minorHAnsi" w:hAnsiTheme="minorHAnsi"/>
          <w:b/>
          <w:bCs/>
          <w:i/>
          <w:sz w:val="28"/>
          <w:szCs w:val="28"/>
        </w:rPr>
        <w:t>Sponsor hearing</w:t>
      </w:r>
    </w:p>
    <w:p w:rsidR="00F736B5" w:rsidRPr="00B51DEF" w:rsidRDefault="00F736B5" w:rsidP="00FF2F22">
      <w:pPr>
        <w:numPr>
          <w:ilvl w:val="1"/>
          <w:numId w:val="3"/>
        </w:numPr>
        <w:spacing w:before="120" w:after="120"/>
        <w:rPr>
          <w:rFonts w:asciiTheme="minorHAnsi" w:hAnsiTheme="minorHAnsi"/>
          <w:bCs/>
        </w:rPr>
      </w:pPr>
      <w:r w:rsidRPr="00B51DEF">
        <w:rPr>
          <w:rFonts w:asciiTheme="minorHAnsi" w:hAnsiTheme="minorHAnsi"/>
          <w:bCs/>
        </w:rPr>
        <w:t>The sponsor requested a hearing for this item</w:t>
      </w:r>
      <w:r w:rsidR="00B51DEF">
        <w:rPr>
          <w:rFonts w:asciiTheme="minorHAnsi" w:hAnsiTheme="minorHAnsi"/>
          <w:bCs/>
        </w:rPr>
        <w:t xml:space="preserve">. </w:t>
      </w:r>
      <w:r w:rsidRPr="00B51DEF">
        <w:rPr>
          <w:rFonts w:asciiTheme="minorHAnsi" w:hAnsiTheme="minorHAnsi"/>
          <w:bCs/>
        </w:rPr>
        <w:t xml:space="preserve">The clinician </w:t>
      </w:r>
      <w:r w:rsidR="00DF4344" w:rsidRPr="00B51DEF">
        <w:rPr>
          <w:rFonts w:asciiTheme="minorHAnsi" w:hAnsiTheme="minorHAnsi"/>
          <w:bCs/>
        </w:rPr>
        <w:t>discussed</w:t>
      </w:r>
      <w:r w:rsidR="007864A0" w:rsidRPr="00B51DEF">
        <w:rPr>
          <w:rFonts w:asciiTheme="minorHAnsi" w:hAnsiTheme="minorHAnsi"/>
          <w:bCs/>
        </w:rPr>
        <w:t xml:space="preserve"> the limited treatment options for MSUC,</w:t>
      </w:r>
      <w:r w:rsidR="00DF4344" w:rsidRPr="00B51DEF">
        <w:rPr>
          <w:rFonts w:asciiTheme="minorHAnsi" w:hAnsiTheme="minorHAnsi"/>
          <w:bCs/>
        </w:rPr>
        <w:t xml:space="preserve"> the advantages of an additional treatment option </w:t>
      </w:r>
      <w:r w:rsidR="007864A0" w:rsidRPr="00B51DEF">
        <w:rPr>
          <w:rFonts w:asciiTheme="minorHAnsi" w:hAnsiTheme="minorHAnsi"/>
          <w:bCs/>
        </w:rPr>
        <w:t xml:space="preserve">with a new mechanism of action and the usefulness of </w:t>
      </w:r>
      <w:r w:rsidR="00932B65" w:rsidRPr="00B51DEF">
        <w:rPr>
          <w:rFonts w:asciiTheme="minorHAnsi" w:hAnsiTheme="minorHAnsi"/>
          <w:bCs/>
        </w:rPr>
        <w:t>having access to an</w:t>
      </w:r>
      <w:r w:rsidR="007864A0" w:rsidRPr="00B51DEF">
        <w:rPr>
          <w:rFonts w:asciiTheme="minorHAnsi" w:hAnsiTheme="minorHAnsi"/>
          <w:bCs/>
        </w:rPr>
        <w:t xml:space="preserve"> oral therapy which </w:t>
      </w:r>
      <w:r w:rsidR="00D145B6" w:rsidRPr="00B51DEF">
        <w:rPr>
          <w:rFonts w:asciiTheme="minorHAnsi" w:hAnsiTheme="minorHAnsi"/>
          <w:bCs/>
        </w:rPr>
        <w:t>avoids the need for</w:t>
      </w:r>
      <w:r w:rsidR="007864A0" w:rsidRPr="00B51DEF">
        <w:rPr>
          <w:rFonts w:asciiTheme="minorHAnsi" w:hAnsiTheme="minorHAnsi"/>
          <w:bCs/>
        </w:rPr>
        <w:t xml:space="preserve"> injections or infusions </w:t>
      </w:r>
      <w:r w:rsidR="00D145B6" w:rsidRPr="00B51DEF">
        <w:rPr>
          <w:rFonts w:asciiTheme="minorHAnsi" w:hAnsiTheme="minorHAnsi"/>
          <w:bCs/>
        </w:rPr>
        <w:t xml:space="preserve">and </w:t>
      </w:r>
      <w:r w:rsidR="007864A0" w:rsidRPr="00B51DEF">
        <w:rPr>
          <w:rFonts w:asciiTheme="minorHAnsi" w:hAnsiTheme="minorHAnsi"/>
          <w:bCs/>
        </w:rPr>
        <w:t xml:space="preserve">is </w:t>
      </w:r>
      <w:r w:rsidR="008D7DDF" w:rsidRPr="00B51DEF">
        <w:rPr>
          <w:rFonts w:asciiTheme="minorHAnsi" w:hAnsiTheme="minorHAnsi"/>
          <w:bCs/>
        </w:rPr>
        <w:t xml:space="preserve">particularly </w:t>
      </w:r>
      <w:r w:rsidR="007864A0" w:rsidRPr="00B51DEF">
        <w:rPr>
          <w:rFonts w:asciiTheme="minorHAnsi" w:hAnsiTheme="minorHAnsi"/>
          <w:bCs/>
        </w:rPr>
        <w:t xml:space="preserve">convenient for patients in rural and remote areas. The clinician also discussed the benefits of treatment with </w:t>
      </w:r>
      <w:r w:rsidR="00D145B6" w:rsidRPr="00B51DEF">
        <w:rPr>
          <w:rFonts w:asciiTheme="minorHAnsi" w:hAnsiTheme="minorHAnsi"/>
          <w:bCs/>
        </w:rPr>
        <w:t xml:space="preserve">TOF </w:t>
      </w:r>
      <w:r w:rsidR="007864A0" w:rsidRPr="00B51DEF">
        <w:rPr>
          <w:rFonts w:asciiTheme="minorHAnsi" w:hAnsiTheme="minorHAnsi"/>
          <w:bCs/>
        </w:rPr>
        <w:t>includ</w:t>
      </w:r>
      <w:r w:rsidR="00932B65" w:rsidRPr="00B51DEF">
        <w:rPr>
          <w:rFonts w:asciiTheme="minorHAnsi" w:hAnsiTheme="minorHAnsi"/>
          <w:bCs/>
        </w:rPr>
        <w:t>ing</w:t>
      </w:r>
      <w:r w:rsidR="007864A0" w:rsidRPr="00B51DEF">
        <w:rPr>
          <w:rFonts w:asciiTheme="minorHAnsi" w:hAnsiTheme="minorHAnsi"/>
          <w:bCs/>
        </w:rPr>
        <w:t xml:space="preserve"> mucosal healing, which supports the</w:t>
      </w:r>
      <w:r w:rsidR="00932B65" w:rsidRPr="00B51DEF">
        <w:rPr>
          <w:rFonts w:asciiTheme="minorHAnsi" w:hAnsiTheme="minorHAnsi"/>
          <w:bCs/>
        </w:rPr>
        <w:t xml:space="preserve"> restoration</w:t>
      </w:r>
      <w:r w:rsidR="00B111E4" w:rsidRPr="00B51DEF">
        <w:rPr>
          <w:rFonts w:asciiTheme="minorHAnsi" w:hAnsiTheme="minorHAnsi"/>
          <w:bCs/>
        </w:rPr>
        <w:t xml:space="preserve"> of normal bowel frequency and control of the primary symptoms of bleeding and urgency</w:t>
      </w:r>
      <w:r w:rsidR="00932B65" w:rsidRPr="00B51DEF">
        <w:rPr>
          <w:rFonts w:asciiTheme="minorHAnsi" w:hAnsiTheme="minorHAnsi"/>
          <w:bCs/>
        </w:rPr>
        <w:t xml:space="preserve">. </w:t>
      </w:r>
      <w:r w:rsidR="007864A0" w:rsidRPr="00B51DEF">
        <w:rPr>
          <w:rFonts w:asciiTheme="minorHAnsi" w:hAnsiTheme="minorHAnsi"/>
          <w:bCs/>
        </w:rPr>
        <w:t xml:space="preserve">The PBAC requested further clarification on the likely proportion of patients that would require dose escalation or ongoing use of </w:t>
      </w:r>
      <w:r w:rsidR="00FD0308" w:rsidRPr="00B51DEF">
        <w:rPr>
          <w:rFonts w:asciiTheme="minorHAnsi" w:hAnsiTheme="minorHAnsi"/>
          <w:bCs/>
        </w:rPr>
        <w:t xml:space="preserve">the </w:t>
      </w:r>
      <w:r w:rsidR="007864A0" w:rsidRPr="00B51DEF">
        <w:rPr>
          <w:rFonts w:asciiTheme="minorHAnsi" w:hAnsiTheme="minorHAnsi"/>
          <w:bCs/>
        </w:rPr>
        <w:t>10</w:t>
      </w:r>
      <w:r w:rsidR="00D145B6" w:rsidRPr="00B51DEF">
        <w:rPr>
          <w:rFonts w:asciiTheme="minorHAnsi" w:hAnsiTheme="minorHAnsi"/>
          <w:bCs/>
        </w:rPr>
        <w:t xml:space="preserve"> </w:t>
      </w:r>
      <w:r w:rsidR="007864A0" w:rsidRPr="00B51DEF">
        <w:rPr>
          <w:rFonts w:asciiTheme="minorHAnsi" w:hAnsiTheme="minorHAnsi"/>
          <w:bCs/>
        </w:rPr>
        <w:t>mg</w:t>
      </w:r>
      <w:r w:rsidR="00FD0308" w:rsidRPr="00B51DEF">
        <w:rPr>
          <w:rFonts w:asciiTheme="minorHAnsi" w:hAnsiTheme="minorHAnsi"/>
          <w:bCs/>
        </w:rPr>
        <w:t xml:space="preserve"> dose </w:t>
      </w:r>
      <w:r w:rsidR="007864A0" w:rsidRPr="00B51DEF">
        <w:rPr>
          <w:rFonts w:asciiTheme="minorHAnsi" w:hAnsiTheme="minorHAnsi"/>
          <w:bCs/>
        </w:rPr>
        <w:t xml:space="preserve">in maintenance therapy, which the clinician estimated at approximately 10-20%. </w:t>
      </w:r>
      <w:r w:rsidR="00932B65" w:rsidRPr="00B51DEF">
        <w:rPr>
          <w:rFonts w:asciiTheme="minorHAnsi" w:hAnsiTheme="minorHAnsi"/>
          <w:bCs/>
        </w:rPr>
        <w:t xml:space="preserve">The clinician confirmed there are dose related </w:t>
      </w:r>
      <w:r w:rsidR="006357DD" w:rsidRPr="00B51DEF">
        <w:rPr>
          <w:rFonts w:asciiTheme="minorHAnsi" w:hAnsiTheme="minorHAnsi"/>
          <w:bCs/>
        </w:rPr>
        <w:t>adverse events (</w:t>
      </w:r>
      <w:r w:rsidR="00932B65" w:rsidRPr="00B51DEF">
        <w:rPr>
          <w:rFonts w:asciiTheme="minorHAnsi" w:hAnsiTheme="minorHAnsi"/>
          <w:bCs/>
        </w:rPr>
        <w:t>AE’s</w:t>
      </w:r>
      <w:r w:rsidR="006357DD" w:rsidRPr="00B51DEF">
        <w:rPr>
          <w:rFonts w:asciiTheme="minorHAnsi" w:hAnsiTheme="minorHAnsi"/>
          <w:bCs/>
        </w:rPr>
        <w:t>)</w:t>
      </w:r>
      <w:r w:rsidR="00932B65" w:rsidRPr="00B51DEF">
        <w:rPr>
          <w:rFonts w:asciiTheme="minorHAnsi" w:hAnsiTheme="minorHAnsi"/>
          <w:bCs/>
        </w:rPr>
        <w:t xml:space="preserve"> associated with the 10</w:t>
      </w:r>
      <w:r w:rsidR="00D145B6" w:rsidRPr="00B51DEF">
        <w:rPr>
          <w:rFonts w:asciiTheme="minorHAnsi" w:hAnsiTheme="minorHAnsi"/>
          <w:bCs/>
        </w:rPr>
        <w:t xml:space="preserve"> </w:t>
      </w:r>
      <w:r w:rsidR="00932B65" w:rsidRPr="00B51DEF">
        <w:rPr>
          <w:rFonts w:asciiTheme="minorHAnsi" w:hAnsiTheme="minorHAnsi"/>
          <w:bCs/>
        </w:rPr>
        <w:t>mg dose with herpes zoster the most clinically relevant</w:t>
      </w:r>
      <w:r w:rsidR="00FD0308" w:rsidRPr="00B51DEF">
        <w:rPr>
          <w:rFonts w:asciiTheme="minorHAnsi" w:hAnsiTheme="minorHAnsi"/>
          <w:bCs/>
        </w:rPr>
        <w:t xml:space="preserve"> AE.</w:t>
      </w:r>
      <w:r w:rsidR="00932B65" w:rsidRPr="00B51DEF">
        <w:rPr>
          <w:rFonts w:asciiTheme="minorHAnsi" w:hAnsiTheme="minorHAnsi"/>
          <w:bCs/>
        </w:rPr>
        <w:t xml:space="preserve"> </w:t>
      </w:r>
    </w:p>
    <w:p w:rsidR="000D2856" w:rsidRPr="001510DE" w:rsidRDefault="00F736B5" w:rsidP="00FF2F22">
      <w:pPr>
        <w:spacing w:before="120" w:after="120"/>
        <w:outlineLvl w:val="1"/>
        <w:rPr>
          <w:rFonts w:asciiTheme="minorHAnsi" w:hAnsiTheme="minorHAnsi"/>
          <w:b/>
          <w:bCs/>
          <w:i/>
          <w:sz w:val="28"/>
          <w:szCs w:val="28"/>
        </w:rPr>
      </w:pPr>
      <w:r w:rsidRPr="00B51DEF">
        <w:rPr>
          <w:rFonts w:asciiTheme="minorHAnsi" w:hAnsiTheme="minorHAnsi"/>
          <w:b/>
          <w:bCs/>
          <w:i/>
          <w:sz w:val="28"/>
          <w:szCs w:val="28"/>
        </w:rPr>
        <w:t>Consumer comments</w:t>
      </w:r>
    </w:p>
    <w:p w:rsidR="00F736B5" w:rsidRPr="00FF2F22" w:rsidRDefault="00F736B5" w:rsidP="00FF2F22">
      <w:pPr>
        <w:numPr>
          <w:ilvl w:val="1"/>
          <w:numId w:val="3"/>
        </w:numPr>
        <w:spacing w:before="120" w:after="120"/>
        <w:rPr>
          <w:rFonts w:asciiTheme="minorHAnsi" w:hAnsiTheme="minorHAnsi"/>
          <w:bCs/>
        </w:rPr>
      </w:pPr>
      <w:r w:rsidRPr="00B51DEF">
        <w:rPr>
          <w:rFonts w:asciiTheme="minorHAnsi" w:hAnsiTheme="minorHAnsi"/>
          <w:bCs/>
        </w:rPr>
        <w:t>The PBAC noted and welcomed the input from individuals (7) and organisations (1) via the Consumer Comments facility on the PBS website</w:t>
      </w:r>
      <w:r w:rsidR="00B51DEF">
        <w:rPr>
          <w:rFonts w:asciiTheme="minorHAnsi" w:hAnsiTheme="minorHAnsi"/>
          <w:bCs/>
        </w:rPr>
        <w:t xml:space="preserve">. </w:t>
      </w:r>
      <w:r w:rsidRPr="00B51DEF">
        <w:rPr>
          <w:rFonts w:asciiTheme="minorHAnsi" w:hAnsiTheme="minorHAnsi"/>
          <w:bCs/>
        </w:rPr>
        <w:t xml:space="preserve">The comments described a range of benefits of treatment with </w:t>
      </w:r>
      <w:r w:rsidR="00D145B6" w:rsidRPr="00B51DEF">
        <w:rPr>
          <w:rFonts w:asciiTheme="minorHAnsi" w:hAnsiTheme="minorHAnsi"/>
          <w:bCs/>
        </w:rPr>
        <w:t xml:space="preserve">TOF </w:t>
      </w:r>
      <w:r w:rsidRPr="00B51DEF">
        <w:rPr>
          <w:rFonts w:asciiTheme="minorHAnsi" w:hAnsiTheme="minorHAnsi"/>
          <w:bCs/>
        </w:rPr>
        <w:t>for MSUC including advantages of an oral therapy over currently available inject</w:t>
      </w:r>
      <w:r w:rsidR="00885B88" w:rsidRPr="00B51DEF">
        <w:rPr>
          <w:rFonts w:asciiTheme="minorHAnsi" w:hAnsiTheme="minorHAnsi"/>
          <w:bCs/>
        </w:rPr>
        <w:t>ed</w:t>
      </w:r>
      <w:r w:rsidRPr="00B51DEF">
        <w:rPr>
          <w:rFonts w:asciiTheme="minorHAnsi" w:hAnsiTheme="minorHAnsi"/>
          <w:bCs/>
        </w:rPr>
        <w:t xml:space="preserve"> or infus</w:t>
      </w:r>
      <w:r w:rsidR="00885B88" w:rsidRPr="00B51DEF">
        <w:rPr>
          <w:rFonts w:asciiTheme="minorHAnsi" w:hAnsiTheme="minorHAnsi"/>
          <w:bCs/>
        </w:rPr>
        <w:t>ed</w:t>
      </w:r>
      <w:r w:rsidRPr="00B51DEF">
        <w:rPr>
          <w:rFonts w:asciiTheme="minorHAnsi" w:hAnsiTheme="minorHAnsi"/>
          <w:bCs/>
        </w:rPr>
        <w:t xml:space="preserve"> treatment options, reduced reliance on other immunosuppressant medication, </w:t>
      </w:r>
      <w:r w:rsidR="00EB66A5" w:rsidRPr="00B51DEF">
        <w:rPr>
          <w:rFonts w:asciiTheme="minorHAnsi" w:hAnsiTheme="minorHAnsi"/>
          <w:bCs/>
        </w:rPr>
        <w:t>potential ability to return to work for patients with severe disease and the importance of additional treatment options with new modes of action for patients who have not responded or stopped responding to alternatives</w:t>
      </w:r>
      <w:r w:rsidR="00B51DEF">
        <w:rPr>
          <w:rFonts w:asciiTheme="minorHAnsi" w:hAnsiTheme="minorHAnsi"/>
          <w:bCs/>
        </w:rPr>
        <w:t xml:space="preserve">. </w:t>
      </w:r>
    </w:p>
    <w:p w:rsidR="00022D31" w:rsidRPr="00B51DEF" w:rsidRDefault="00022D31" w:rsidP="00FF2F22">
      <w:pPr>
        <w:pStyle w:val="Heading2"/>
        <w:widowControl/>
        <w:spacing w:before="120" w:after="120"/>
      </w:pPr>
      <w:bookmarkStart w:id="8" w:name="_Toc535929145"/>
      <w:r w:rsidRPr="00B51DEF">
        <w:t>Clinical trials</w:t>
      </w:r>
      <w:bookmarkEnd w:id="8"/>
    </w:p>
    <w:p w:rsidR="00022D31" w:rsidRPr="00B51DEF" w:rsidRDefault="00022D31" w:rsidP="00FF2F22">
      <w:pPr>
        <w:pStyle w:val="ListParagraph"/>
        <w:widowControl/>
        <w:numPr>
          <w:ilvl w:val="1"/>
          <w:numId w:val="3"/>
        </w:numPr>
        <w:spacing w:before="120" w:after="120"/>
      </w:pPr>
      <w:r w:rsidRPr="00B51DEF">
        <w:t>There were no head-to-head trials of TOF vs. any relevant comparators for the treatment of MSUC. The submission presented a series of indirect comparisons using data from 12 randomised placebo-controlled trials:</w:t>
      </w:r>
    </w:p>
    <w:p w:rsidR="00022D31" w:rsidRPr="00B51DEF" w:rsidRDefault="00022D31" w:rsidP="00FF2F22">
      <w:pPr>
        <w:pStyle w:val="ListParagraph"/>
        <w:widowControl/>
        <w:numPr>
          <w:ilvl w:val="0"/>
          <w:numId w:val="6"/>
        </w:numPr>
        <w:spacing w:before="120" w:after="120"/>
        <w:ind w:left="1146" w:hanging="426"/>
      </w:pPr>
      <w:r w:rsidRPr="00B51DEF">
        <w:t>TOF vs. PBO (three RCTs): OCTAVE 1, OCTAVE 2, OCTAVE sustain;</w:t>
      </w:r>
    </w:p>
    <w:p w:rsidR="00022D31" w:rsidRPr="00B51DEF" w:rsidRDefault="00022D31" w:rsidP="00FF2F22">
      <w:pPr>
        <w:pStyle w:val="ListParagraph"/>
        <w:widowControl/>
        <w:numPr>
          <w:ilvl w:val="0"/>
          <w:numId w:val="6"/>
        </w:numPr>
        <w:spacing w:before="120" w:after="120"/>
        <w:ind w:left="1146" w:hanging="426"/>
      </w:pPr>
      <w:r w:rsidRPr="00B51DEF">
        <w:t>IFX vs. PBO (four RCTs): ACT 1, ACT 2, Jiang 2015, REMICADE;</w:t>
      </w:r>
    </w:p>
    <w:p w:rsidR="00022D31" w:rsidRPr="00B51DEF" w:rsidRDefault="00022D31" w:rsidP="00FF2F22">
      <w:pPr>
        <w:pStyle w:val="ListParagraph"/>
        <w:widowControl/>
        <w:numPr>
          <w:ilvl w:val="0"/>
          <w:numId w:val="7"/>
        </w:numPr>
        <w:spacing w:before="120" w:after="120"/>
        <w:ind w:left="1146" w:hanging="426"/>
      </w:pPr>
      <w:r w:rsidRPr="00B51DEF">
        <w:t>GOL vs PBO (two RCTs): PURSUIT-SC, PURSUIT-M;</w:t>
      </w:r>
    </w:p>
    <w:p w:rsidR="00022D31" w:rsidRPr="00B51DEF" w:rsidRDefault="00022D31" w:rsidP="00FF2F22">
      <w:pPr>
        <w:pStyle w:val="ListParagraph"/>
        <w:widowControl/>
        <w:numPr>
          <w:ilvl w:val="0"/>
          <w:numId w:val="7"/>
        </w:numPr>
        <w:spacing w:before="120" w:after="120"/>
        <w:ind w:left="1146" w:hanging="426"/>
      </w:pPr>
      <w:r w:rsidRPr="00B51DEF">
        <w:t>ADA vs. PBO (two RCTs): ULTRA 1, ULTRA 2;</w:t>
      </w:r>
    </w:p>
    <w:p w:rsidR="00022D31" w:rsidRPr="00B51DEF" w:rsidRDefault="00022D31" w:rsidP="00FF2F22">
      <w:pPr>
        <w:pStyle w:val="ListParagraph"/>
        <w:widowControl/>
        <w:numPr>
          <w:ilvl w:val="0"/>
          <w:numId w:val="7"/>
        </w:numPr>
        <w:spacing w:before="120" w:after="120"/>
        <w:ind w:left="1146" w:hanging="426"/>
      </w:pPr>
      <w:r w:rsidRPr="00B51DEF">
        <w:t>VDZ vs. PBO (one RCT): GEMINI-1.</w:t>
      </w:r>
    </w:p>
    <w:p w:rsidR="00022D31" w:rsidRPr="00B51DEF" w:rsidRDefault="00022D31" w:rsidP="00FF2F22">
      <w:pPr>
        <w:pStyle w:val="ListParagraph"/>
        <w:widowControl/>
        <w:numPr>
          <w:ilvl w:val="1"/>
          <w:numId w:val="3"/>
        </w:numPr>
        <w:spacing w:before="120" w:after="120"/>
        <w:rPr>
          <w:iCs/>
        </w:rPr>
      </w:pPr>
      <w:r w:rsidRPr="00B51DEF">
        <w:rPr>
          <w:iCs/>
        </w:rPr>
        <w:t>The submission’s criteria</w:t>
      </w:r>
      <w:r w:rsidR="00D145B6" w:rsidRPr="00B51DEF">
        <w:rPr>
          <w:iCs/>
        </w:rPr>
        <w:t xml:space="preserve"> for excluding trials</w:t>
      </w:r>
      <w:r w:rsidRPr="00B51DEF">
        <w:rPr>
          <w:iCs/>
        </w:rPr>
        <w:t xml:space="preserve"> were poorly justified and inconsistently applied. </w:t>
      </w:r>
      <w:r w:rsidRPr="00B51DEF">
        <w:rPr>
          <w:rFonts w:cs="Calibri"/>
          <w:iCs/>
          <w:snapToGrid/>
          <w:szCs w:val="24"/>
          <w:lang w:eastAsia="en-AU"/>
        </w:rPr>
        <w:t xml:space="preserve">Three trials were inappropriately excluded: PURSUIT-J (GOL vs. PBO), Suzuki 2014 (ADA vs. PBO), and Kobayashi 2016 (IFX vs. PBO). </w:t>
      </w:r>
      <w:r w:rsidR="00DB4453" w:rsidRPr="00B51DEF">
        <w:rPr>
          <w:rFonts w:cs="Calibri"/>
          <w:iCs/>
          <w:snapToGrid/>
          <w:szCs w:val="24"/>
          <w:lang w:eastAsia="en-AU"/>
        </w:rPr>
        <w:t>The three excluded trials were included in the evaluation.</w:t>
      </w:r>
    </w:p>
    <w:p w:rsidR="003C1244" w:rsidRDefault="00022D31" w:rsidP="007008A0">
      <w:pPr>
        <w:pStyle w:val="ListParagraph"/>
        <w:widowControl/>
        <w:numPr>
          <w:ilvl w:val="1"/>
          <w:numId w:val="3"/>
        </w:numPr>
        <w:spacing w:before="120" w:after="120"/>
        <w:rPr>
          <w:rFonts w:cs="Calibri"/>
          <w:iCs/>
          <w:snapToGrid/>
          <w:szCs w:val="24"/>
          <w:lang w:eastAsia="en-AU"/>
        </w:rPr>
      </w:pPr>
      <w:r w:rsidRPr="00B51DEF">
        <w:rPr>
          <w:rFonts w:cs="Calibri"/>
          <w:snapToGrid/>
          <w:szCs w:val="24"/>
          <w:lang w:eastAsia="en-AU"/>
        </w:rPr>
        <w:lastRenderedPageBreak/>
        <w:t xml:space="preserve">Details of the trials presented in the submission are provided in </w:t>
      </w:r>
      <w:r w:rsidRPr="00B51DEF">
        <w:t>Table 3</w:t>
      </w:r>
      <w:r w:rsidRPr="00B51DEF">
        <w:rPr>
          <w:rFonts w:cs="Calibri"/>
          <w:snapToGrid/>
          <w:szCs w:val="24"/>
          <w:lang w:eastAsia="en-AU"/>
        </w:rPr>
        <w:t xml:space="preserve">. </w:t>
      </w:r>
      <w:r w:rsidR="00D145B6" w:rsidRPr="00B51DEF">
        <w:rPr>
          <w:rFonts w:cs="Calibri"/>
          <w:iCs/>
          <w:snapToGrid/>
          <w:szCs w:val="24"/>
          <w:lang w:eastAsia="en-AU"/>
        </w:rPr>
        <w:t>With the exception of</w:t>
      </w:r>
      <w:r w:rsidRPr="00B51DEF">
        <w:rPr>
          <w:rFonts w:cs="Calibri"/>
          <w:iCs/>
          <w:snapToGrid/>
          <w:szCs w:val="24"/>
          <w:lang w:eastAsia="en-AU"/>
        </w:rPr>
        <w:t xml:space="preserve"> four trials (</w:t>
      </w:r>
      <w:r w:rsidRPr="00B51DEF">
        <w:rPr>
          <w:iCs/>
        </w:rPr>
        <w:t>OCTAVE 1, 2, and Sustain, and Kobayashi 2016</w:t>
      </w:r>
      <w:r w:rsidRPr="00B51DEF">
        <w:rPr>
          <w:rFonts w:cs="Calibri"/>
          <w:iCs/>
          <w:snapToGrid/>
          <w:szCs w:val="24"/>
          <w:lang w:eastAsia="en-AU"/>
        </w:rPr>
        <w:t>)</w:t>
      </w:r>
      <w:r w:rsidR="00D145B6" w:rsidRPr="00B51DEF">
        <w:rPr>
          <w:rFonts w:cs="Calibri"/>
          <w:iCs/>
          <w:snapToGrid/>
          <w:szCs w:val="24"/>
          <w:lang w:eastAsia="en-AU"/>
        </w:rPr>
        <w:t xml:space="preserve">, the </w:t>
      </w:r>
      <w:r w:rsidR="00A9654D" w:rsidRPr="00B51DEF">
        <w:rPr>
          <w:rFonts w:cs="Calibri"/>
          <w:iCs/>
          <w:snapToGrid/>
          <w:szCs w:val="24"/>
          <w:lang w:eastAsia="en-AU"/>
        </w:rPr>
        <w:t>trials have been included in previous PBAC applications for</w:t>
      </w:r>
      <w:r w:rsidRPr="00B51DEF">
        <w:rPr>
          <w:rFonts w:cs="Calibri"/>
          <w:iCs/>
          <w:snapToGrid/>
          <w:szCs w:val="24"/>
          <w:lang w:eastAsia="en-AU"/>
        </w:rPr>
        <w:t xml:space="preserve"> </w:t>
      </w:r>
      <w:r w:rsidR="002B40F3" w:rsidRPr="00B51DEF">
        <w:rPr>
          <w:rFonts w:cs="Calibri"/>
          <w:iCs/>
          <w:snapToGrid/>
          <w:szCs w:val="24"/>
          <w:lang w:eastAsia="en-AU"/>
        </w:rPr>
        <w:t xml:space="preserve">biological therapies </w:t>
      </w:r>
      <w:r w:rsidRPr="00B51DEF">
        <w:rPr>
          <w:rFonts w:cs="Calibri"/>
          <w:iCs/>
          <w:snapToGrid/>
          <w:szCs w:val="24"/>
          <w:lang w:eastAsia="en-AU"/>
        </w:rPr>
        <w:t>for MSUC.</w:t>
      </w:r>
    </w:p>
    <w:p w:rsidR="00022D31" w:rsidRPr="003C1244" w:rsidRDefault="003C1244" w:rsidP="003C1244">
      <w:pPr>
        <w:widowControl/>
        <w:jc w:val="left"/>
        <w:rPr>
          <w:rFonts w:cs="Calibri"/>
          <w:iCs/>
          <w:snapToGrid/>
          <w:szCs w:val="24"/>
          <w:lang w:eastAsia="en-AU"/>
        </w:rPr>
      </w:pPr>
      <w:r>
        <w:rPr>
          <w:rFonts w:cs="Calibri"/>
          <w:iCs/>
          <w:snapToGrid/>
          <w:szCs w:val="24"/>
          <w:lang w:eastAsia="en-AU"/>
        </w:rPr>
        <w:br w:type="page"/>
      </w:r>
    </w:p>
    <w:p w:rsidR="00022D31" w:rsidRPr="00B51DEF" w:rsidRDefault="00022D31" w:rsidP="009467BF">
      <w:pPr>
        <w:pStyle w:val="TableHeading0"/>
        <w:rPr>
          <w:rStyle w:val="CommentReference"/>
          <w:b/>
          <w:bCs/>
          <w:szCs w:val="22"/>
        </w:rPr>
      </w:pPr>
      <w:r w:rsidRPr="00B51DEF">
        <w:t xml:space="preserve">Table </w:t>
      </w:r>
      <w:r w:rsidR="004D1D00" w:rsidRPr="00B51DEF">
        <w:t>3</w:t>
      </w:r>
      <w:r w:rsidRPr="00B51DEF">
        <w:t xml:space="preserve"> </w:t>
      </w:r>
      <w:r w:rsidRPr="00B51DEF">
        <w:rPr>
          <w:rStyle w:val="CommentReference"/>
          <w:b/>
          <w:bCs/>
        </w:rPr>
        <w:t>Trials and associated reports presented in the submission</w:t>
      </w:r>
    </w:p>
    <w:tbl>
      <w:tblPr>
        <w:tblStyle w:val="TableGrid"/>
        <w:tblW w:w="5106" w:type="pct"/>
        <w:tblCellMar>
          <w:left w:w="28" w:type="dxa"/>
          <w:right w:w="28" w:type="dxa"/>
        </w:tblCellMar>
        <w:tblLook w:val="01E0" w:firstRow="1" w:lastRow="1" w:firstColumn="1" w:lastColumn="1" w:noHBand="0" w:noVBand="0"/>
        <w:tblCaption w:val="Trials and associated reports presented in the submission"/>
      </w:tblPr>
      <w:tblGrid>
        <w:gridCol w:w="1387"/>
        <w:gridCol w:w="5698"/>
        <w:gridCol w:w="2123"/>
      </w:tblGrid>
      <w:tr w:rsidR="00022D31" w:rsidRPr="00B51DEF" w:rsidTr="006D40D3">
        <w:trPr>
          <w:tblHeader/>
        </w:trPr>
        <w:tc>
          <w:tcPr>
            <w:tcW w:w="753" w:type="pct"/>
            <w:vAlign w:val="center"/>
          </w:tcPr>
          <w:p w:rsidR="00022D31" w:rsidRPr="00B51DEF" w:rsidRDefault="00022D31" w:rsidP="009467BF">
            <w:pPr>
              <w:pStyle w:val="Tabletext"/>
              <w:rPr>
                <w:b/>
                <w:bCs/>
                <w:sz w:val="20"/>
                <w:szCs w:val="20"/>
              </w:rPr>
            </w:pPr>
            <w:r w:rsidRPr="00B51DEF">
              <w:rPr>
                <w:b/>
                <w:bCs/>
                <w:sz w:val="20"/>
                <w:szCs w:val="20"/>
              </w:rPr>
              <w:t>Trial ID</w:t>
            </w:r>
          </w:p>
        </w:tc>
        <w:tc>
          <w:tcPr>
            <w:tcW w:w="3094" w:type="pct"/>
            <w:vAlign w:val="center"/>
          </w:tcPr>
          <w:p w:rsidR="00022D31" w:rsidRPr="00B51DEF" w:rsidRDefault="00022D31" w:rsidP="009467BF">
            <w:pPr>
              <w:pStyle w:val="Tabletext"/>
              <w:rPr>
                <w:b/>
                <w:bCs/>
                <w:sz w:val="20"/>
                <w:szCs w:val="20"/>
              </w:rPr>
            </w:pPr>
            <w:r w:rsidRPr="00B51DEF">
              <w:rPr>
                <w:b/>
                <w:bCs/>
                <w:sz w:val="20"/>
                <w:szCs w:val="20"/>
              </w:rPr>
              <w:t>Protocol title/ Publication title</w:t>
            </w:r>
          </w:p>
        </w:tc>
        <w:tc>
          <w:tcPr>
            <w:tcW w:w="1154" w:type="pct"/>
            <w:vAlign w:val="center"/>
          </w:tcPr>
          <w:p w:rsidR="00022D31" w:rsidRPr="00B51DEF" w:rsidRDefault="00022D31" w:rsidP="009467BF">
            <w:pPr>
              <w:pStyle w:val="Tabletext"/>
              <w:rPr>
                <w:b/>
                <w:bCs/>
                <w:sz w:val="20"/>
                <w:szCs w:val="20"/>
              </w:rPr>
            </w:pPr>
            <w:r w:rsidRPr="00B51DEF">
              <w:rPr>
                <w:b/>
                <w:bCs/>
                <w:sz w:val="20"/>
                <w:szCs w:val="20"/>
              </w:rPr>
              <w:t>Publication citation</w:t>
            </w:r>
          </w:p>
        </w:tc>
      </w:tr>
      <w:tr w:rsidR="00022D31" w:rsidRPr="00B51DEF" w:rsidTr="006D40D3">
        <w:tc>
          <w:tcPr>
            <w:tcW w:w="5000" w:type="pct"/>
            <w:gridSpan w:val="3"/>
            <w:vAlign w:val="center"/>
          </w:tcPr>
          <w:p w:rsidR="00022D31" w:rsidRPr="00B51DEF" w:rsidRDefault="00022D31" w:rsidP="009467BF">
            <w:pPr>
              <w:pStyle w:val="Tabletext"/>
              <w:rPr>
                <w:b/>
                <w:bCs/>
                <w:sz w:val="20"/>
                <w:szCs w:val="20"/>
              </w:rPr>
            </w:pPr>
            <w:proofErr w:type="spellStart"/>
            <w:r w:rsidRPr="00B51DEF">
              <w:rPr>
                <w:b/>
                <w:bCs/>
                <w:sz w:val="20"/>
                <w:szCs w:val="20"/>
              </w:rPr>
              <w:t>Tofacitinib</w:t>
            </w:r>
            <w:proofErr w:type="spellEnd"/>
            <w:r w:rsidRPr="00B51DEF">
              <w:rPr>
                <w:b/>
                <w:bCs/>
                <w:sz w:val="20"/>
                <w:szCs w:val="20"/>
              </w:rPr>
              <w:t xml:space="preserve"> trials</w:t>
            </w:r>
          </w:p>
        </w:tc>
      </w:tr>
      <w:tr w:rsidR="00022D31" w:rsidRPr="00B51DEF" w:rsidTr="006D40D3">
        <w:trPr>
          <w:trHeight w:val="519"/>
        </w:trPr>
        <w:tc>
          <w:tcPr>
            <w:tcW w:w="753" w:type="pct"/>
            <w:vAlign w:val="center"/>
          </w:tcPr>
          <w:p w:rsidR="00022D31" w:rsidRPr="00B51DEF" w:rsidRDefault="00022D31" w:rsidP="009467BF">
            <w:pPr>
              <w:pStyle w:val="Tabletext"/>
              <w:rPr>
                <w:sz w:val="20"/>
                <w:szCs w:val="20"/>
              </w:rPr>
            </w:pPr>
            <w:r w:rsidRPr="00B51DEF">
              <w:rPr>
                <w:sz w:val="20"/>
                <w:szCs w:val="20"/>
              </w:rPr>
              <w:t>OCTAVE 1</w:t>
            </w:r>
          </w:p>
        </w:tc>
        <w:tc>
          <w:tcPr>
            <w:tcW w:w="3094" w:type="pct"/>
            <w:vAlign w:val="center"/>
          </w:tcPr>
          <w:p w:rsidR="00022D31" w:rsidRPr="00B51DEF" w:rsidRDefault="00022D31" w:rsidP="009467BF">
            <w:pPr>
              <w:pStyle w:val="Tabletext"/>
              <w:rPr>
                <w:sz w:val="20"/>
                <w:szCs w:val="20"/>
              </w:rPr>
            </w:pPr>
            <w:r w:rsidRPr="00B51DEF">
              <w:rPr>
                <w:sz w:val="20"/>
                <w:szCs w:val="20"/>
              </w:rPr>
              <w:t>Study A3921094. A multicentre, randomized, double-blind, placebo-controlled, parallel-group study of oral CP-690,550 as an induction therapy in subjects with moderate to severe ulcerative colitis</w:t>
            </w:r>
          </w:p>
        </w:tc>
        <w:tc>
          <w:tcPr>
            <w:tcW w:w="1154" w:type="pct"/>
            <w:vAlign w:val="center"/>
          </w:tcPr>
          <w:p w:rsidR="00022D31" w:rsidRPr="00B51DEF" w:rsidRDefault="00022D31" w:rsidP="009467BF">
            <w:pPr>
              <w:pStyle w:val="Tabletext"/>
              <w:rPr>
                <w:sz w:val="20"/>
                <w:szCs w:val="20"/>
              </w:rPr>
            </w:pPr>
            <w:r w:rsidRPr="00B51DEF">
              <w:rPr>
                <w:sz w:val="20"/>
                <w:szCs w:val="20"/>
              </w:rPr>
              <w:t>Clinical study report – report date: 25 May 2016.</w:t>
            </w:r>
          </w:p>
        </w:tc>
      </w:tr>
      <w:tr w:rsidR="00022D31" w:rsidRPr="00B51DEF" w:rsidTr="006D40D3">
        <w:trPr>
          <w:trHeight w:val="598"/>
        </w:trPr>
        <w:tc>
          <w:tcPr>
            <w:tcW w:w="753" w:type="pct"/>
            <w:vAlign w:val="center"/>
          </w:tcPr>
          <w:p w:rsidR="00022D31" w:rsidRPr="00B51DEF" w:rsidRDefault="00022D31" w:rsidP="009467BF">
            <w:pPr>
              <w:pStyle w:val="Tabletext"/>
              <w:rPr>
                <w:sz w:val="20"/>
                <w:szCs w:val="20"/>
              </w:rPr>
            </w:pPr>
            <w:r w:rsidRPr="00B51DEF">
              <w:rPr>
                <w:sz w:val="20"/>
                <w:szCs w:val="20"/>
              </w:rPr>
              <w:t>OCTAVE 2</w:t>
            </w:r>
          </w:p>
        </w:tc>
        <w:tc>
          <w:tcPr>
            <w:tcW w:w="3094" w:type="pct"/>
            <w:vAlign w:val="center"/>
          </w:tcPr>
          <w:p w:rsidR="00022D31" w:rsidRPr="00B51DEF" w:rsidRDefault="00022D31" w:rsidP="009467BF">
            <w:pPr>
              <w:pStyle w:val="Tabletext"/>
              <w:rPr>
                <w:sz w:val="20"/>
                <w:szCs w:val="20"/>
              </w:rPr>
            </w:pPr>
            <w:r w:rsidRPr="00B51DEF">
              <w:rPr>
                <w:rFonts w:eastAsia="TimesNewRoman" w:cs="Arial"/>
                <w:sz w:val="20"/>
                <w:szCs w:val="20"/>
              </w:rPr>
              <w:t xml:space="preserve">Study A3921095. A multicentre, randomized, double-blind, placebo-controlled, parallel-group study of oral CP-690,550 as an induction therapy in subjects with moderate to severe ulcerative colitis. </w:t>
            </w:r>
          </w:p>
        </w:tc>
        <w:tc>
          <w:tcPr>
            <w:tcW w:w="1154" w:type="pct"/>
            <w:vAlign w:val="center"/>
          </w:tcPr>
          <w:p w:rsidR="00022D31" w:rsidRPr="00B51DEF" w:rsidRDefault="00022D31" w:rsidP="009467BF">
            <w:pPr>
              <w:pStyle w:val="Tabletext"/>
              <w:rPr>
                <w:sz w:val="20"/>
                <w:szCs w:val="20"/>
              </w:rPr>
            </w:pPr>
            <w:r w:rsidRPr="00B51DEF">
              <w:rPr>
                <w:sz w:val="20"/>
                <w:szCs w:val="20"/>
              </w:rPr>
              <w:t xml:space="preserve">Clinical study report – report date: </w:t>
            </w:r>
            <w:r w:rsidRPr="00B51DEF">
              <w:rPr>
                <w:rFonts w:eastAsia="TimesNewRoman" w:cs="Arial"/>
                <w:sz w:val="20"/>
                <w:szCs w:val="20"/>
              </w:rPr>
              <w:t>6 May 2016</w:t>
            </w:r>
          </w:p>
        </w:tc>
      </w:tr>
      <w:tr w:rsidR="00022D31" w:rsidRPr="00B51DEF" w:rsidTr="006D40D3">
        <w:tc>
          <w:tcPr>
            <w:tcW w:w="753" w:type="pct"/>
            <w:vAlign w:val="center"/>
          </w:tcPr>
          <w:p w:rsidR="00022D31" w:rsidRPr="00B51DEF" w:rsidRDefault="00022D31" w:rsidP="009467BF">
            <w:pPr>
              <w:pStyle w:val="Tabletext"/>
              <w:rPr>
                <w:i/>
                <w:sz w:val="20"/>
                <w:szCs w:val="20"/>
              </w:rPr>
            </w:pPr>
            <w:r w:rsidRPr="00B51DEF">
              <w:rPr>
                <w:i/>
                <w:sz w:val="20"/>
                <w:szCs w:val="20"/>
              </w:rPr>
              <w:t>OCTAVE SUSTAIN</w:t>
            </w:r>
          </w:p>
        </w:tc>
        <w:tc>
          <w:tcPr>
            <w:tcW w:w="3094" w:type="pct"/>
            <w:vAlign w:val="center"/>
          </w:tcPr>
          <w:p w:rsidR="00022D31" w:rsidRPr="00B51DEF" w:rsidRDefault="00022D31" w:rsidP="009467BF">
            <w:pPr>
              <w:pStyle w:val="Tabletext"/>
              <w:rPr>
                <w:sz w:val="20"/>
                <w:szCs w:val="20"/>
              </w:rPr>
            </w:pPr>
            <w:r w:rsidRPr="00B51DEF">
              <w:rPr>
                <w:rFonts w:eastAsia="TimesNewRoman" w:cs="Arial"/>
                <w:sz w:val="20"/>
                <w:szCs w:val="20"/>
              </w:rPr>
              <w:t xml:space="preserve">Study A3921096. A multicentre, randomized, double-blind, placebo-controlled, parallel-group study of oral CP-690,550 as a maintenance therapy in subjects with ulcerative colitis. </w:t>
            </w:r>
          </w:p>
        </w:tc>
        <w:tc>
          <w:tcPr>
            <w:tcW w:w="1154" w:type="pct"/>
            <w:vAlign w:val="center"/>
          </w:tcPr>
          <w:p w:rsidR="00022D31" w:rsidRPr="00B51DEF" w:rsidRDefault="00022D31" w:rsidP="009467BF">
            <w:pPr>
              <w:pStyle w:val="Tabletext"/>
              <w:rPr>
                <w:sz w:val="20"/>
                <w:szCs w:val="20"/>
              </w:rPr>
            </w:pPr>
            <w:r w:rsidRPr="00B51DEF">
              <w:rPr>
                <w:sz w:val="20"/>
                <w:szCs w:val="20"/>
              </w:rPr>
              <w:t xml:space="preserve">Clinical study report – report date: </w:t>
            </w:r>
            <w:r w:rsidRPr="00B51DEF">
              <w:rPr>
                <w:rFonts w:eastAsia="TimesNewRoman" w:cs="Arial"/>
                <w:sz w:val="20"/>
                <w:szCs w:val="20"/>
              </w:rPr>
              <w:t>16 December 2016</w:t>
            </w:r>
          </w:p>
        </w:tc>
      </w:tr>
      <w:tr w:rsidR="00022D31" w:rsidRPr="00B51DEF" w:rsidTr="006D40D3">
        <w:tc>
          <w:tcPr>
            <w:tcW w:w="753" w:type="pct"/>
            <w:vAlign w:val="center"/>
          </w:tcPr>
          <w:p w:rsidR="00022D31" w:rsidRPr="00B51DEF" w:rsidRDefault="00022D31" w:rsidP="009467BF">
            <w:pPr>
              <w:pStyle w:val="Tabletext"/>
              <w:rPr>
                <w:i/>
                <w:sz w:val="20"/>
                <w:szCs w:val="20"/>
              </w:rPr>
            </w:pPr>
            <w:r w:rsidRPr="00B51DEF">
              <w:rPr>
                <w:iCs/>
                <w:sz w:val="20"/>
                <w:szCs w:val="20"/>
              </w:rPr>
              <w:t>*OCTAVE trials (1, 2, sustain)</w:t>
            </w:r>
          </w:p>
        </w:tc>
        <w:tc>
          <w:tcPr>
            <w:tcW w:w="3094" w:type="pct"/>
            <w:vAlign w:val="center"/>
          </w:tcPr>
          <w:p w:rsidR="00022D31" w:rsidRPr="00B51DEF" w:rsidRDefault="00022D31" w:rsidP="009467BF">
            <w:pPr>
              <w:pStyle w:val="Tabletext"/>
              <w:rPr>
                <w:rFonts w:eastAsia="TimesNewRoman" w:cs="Arial"/>
                <w:sz w:val="20"/>
                <w:szCs w:val="20"/>
              </w:rPr>
            </w:pPr>
            <w:proofErr w:type="spellStart"/>
            <w:r w:rsidRPr="00B51DEF">
              <w:rPr>
                <w:rFonts w:eastAsia="TimesNewRoman" w:cs="Arial"/>
                <w:iCs/>
                <w:sz w:val="20"/>
                <w:szCs w:val="20"/>
              </w:rPr>
              <w:t>Sandborn</w:t>
            </w:r>
            <w:proofErr w:type="spellEnd"/>
            <w:r w:rsidRPr="00B51DEF">
              <w:rPr>
                <w:rFonts w:eastAsia="TimesNewRoman" w:cs="Arial"/>
                <w:iCs/>
                <w:sz w:val="20"/>
                <w:szCs w:val="20"/>
              </w:rPr>
              <w:t xml:space="preserve"> WJ, </w:t>
            </w:r>
            <w:proofErr w:type="spellStart"/>
            <w:r w:rsidRPr="00B51DEF">
              <w:rPr>
                <w:rFonts w:eastAsia="TimesNewRoman" w:cs="Arial"/>
                <w:iCs/>
                <w:sz w:val="20"/>
                <w:szCs w:val="20"/>
              </w:rPr>
              <w:t>Chinyu</w:t>
            </w:r>
            <w:proofErr w:type="spellEnd"/>
            <w:r w:rsidRPr="00B51DEF">
              <w:rPr>
                <w:rFonts w:eastAsia="TimesNewRoman" w:cs="Arial"/>
                <w:iCs/>
                <w:sz w:val="20"/>
                <w:szCs w:val="20"/>
              </w:rPr>
              <w:t xml:space="preserve"> S, Sands BE, et al; </w:t>
            </w:r>
            <w:proofErr w:type="spellStart"/>
            <w:r w:rsidRPr="00B51DEF">
              <w:rPr>
                <w:rFonts w:eastAsia="TimesNewRoman" w:cs="Arial"/>
                <w:iCs/>
                <w:sz w:val="20"/>
                <w:szCs w:val="20"/>
              </w:rPr>
              <w:t>Tofacitinib</w:t>
            </w:r>
            <w:proofErr w:type="spellEnd"/>
            <w:r w:rsidRPr="00B51DEF">
              <w:rPr>
                <w:rFonts w:eastAsia="TimesNewRoman" w:cs="Arial"/>
                <w:iCs/>
                <w:sz w:val="20"/>
                <w:szCs w:val="20"/>
              </w:rPr>
              <w:t xml:space="preserve"> as Induction and Maintenance Therapy for Ulcerative Colitis</w:t>
            </w:r>
          </w:p>
        </w:tc>
        <w:tc>
          <w:tcPr>
            <w:tcW w:w="1154" w:type="pct"/>
            <w:vAlign w:val="center"/>
          </w:tcPr>
          <w:p w:rsidR="00022D31" w:rsidRPr="00B51DEF" w:rsidRDefault="00022D31" w:rsidP="009467BF">
            <w:pPr>
              <w:pStyle w:val="Tabletext"/>
              <w:rPr>
                <w:sz w:val="20"/>
                <w:szCs w:val="20"/>
              </w:rPr>
            </w:pPr>
            <w:r w:rsidRPr="00B51DEF">
              <w:rPr>
                <w:sz w:val="20"/>
                <w:szCs w:val="20"/>
              </w:rPr>
              <w:t xml:space="preserve">N </w:t>
            </w:r>
            <w:proofErr w:type="spellStart"/>
            <w:r w:rsidRPr="00B51DEF">
              <w:rPr>
                <w:sz w:val="20"/>
                <w:szCs w:val="20"/>
              </w:rPr>
              <w:t>Engl</w:t>
            </w:r>
            <w:proofErr w:type="spellEnd"/>
            <w:r w:rsidRPr="00B51DEF">
              <w:rPr>
                <w:sz w:val="20"/>
                <w:szCs w:val="20"/>
              </w:rPr>
              <w:t xml:space="preserve"> J Med. </w:t>
            </w:r>
            <w:r w:rsidRPr="00B51DEF">
              <w:rPr>
                <w:rFonts w:eastAsia="TimesNewRoman" w:cs="Arial"/>
                <w:sz w:val="20"/>
                <w:szCs w:val="20"/>
              </w:rPr>
              <w:t>2017; 376 (18): 1723-1736</w:t>
            </w:r>
          </w:p>
        </w:tc>
      </w:tr>
      <w:tr w:rsidR="00022D31" w:rsidRPr="00B51DEF" w:rsidTr="006D40D3">
        <w:tc>
          <w:tcPr>
            <w:tcW w:w="5000" w:type="pct"/>
            <w:gridSpan w:val="3"/>
            <w:vAlign w:val="center"/>
          </w:tcPr>
          <w:p w:rsidR="00022D31" w:rsidRPr="00B51DEF" w:rsidRDefault="00022D31" w:rsidP="009467BF">
            <w:pPr>
              <w:pStyle w:val="Tabletext"/>
              <w:rPr>
                <w:b/>
                <w:bCs/>
                <w:sz w:val="20"/>
                <w:szCs w:val="20"/>
              </w:rPr>
            </w:pPr>
            <w:r w:rsidRPr="00B51DEF">
              <w:rPr>
                <w:b/>
                <w:bCs/>
                <w:sz w:val="20"/>
                <w:szCs w:val="20"/>
              </w:rPr>
              <w:t>Infliximab trials</w:t>
            </w:r>
          </w:p>
        </w:tc>
      </w:tr>
      <w:tr w:rsidR="00022D31" w:rsidRPr="00B51DEF" w:rsidTr="006D40D3">
        <w:trPr>
          <w:trHeight w:val="182"/>
        </w:trPr>
        <w:tc>
          <w:tcPr>
            <w:tcW w:w="753" w:type="pct"/>
            <w:vAlign w:val="center"/>
          </w:tcPr>
          <w:p w:rsidR="00022D31" w:rsidRPr="00B51DEF" w:rsidRDefault="00022D31" w:rsidP="009467BF">
            <w:pPr>
              <w:pStyle w:val="Tabletext"/>
              <w:rPr>
                <w:sz w:val="20"/>
                <w:szCs w:val="20"/>
              </w:rPr>
            </w:pPr>
            <w:r w:rsidRPr="00B51DEF">
              <w:rPr>
                <w:sz w:val="20"/>
                <w:szCs w:val="20"/>
              </w:rPr>
              <w:t>ACT 1</w:t>
            </w:r>
          </w:p>
        </w:tc>
        <w:tc>
          <w:tcPr>
            <w:tcW w:w="3094" w:type="pct"/>
            <w:vMerge w:val="restart"/>
            <w:vAlign w:val="center"/>
          </w:tcPr>
          <w:p w:rsidR="00022D31" w:rsidRPr="00B51DEF" w:rsidRDefault="00022D31" w:rsidP="009467BF">
            <w:pPr>
              <w:pStyle w:val="Tabletext"/>
              <w:rPr>
                <w:sz w:val="20"/>
                <w:szCs w:val="20"/>
              </w:rPr>
            </w:pPr>
            <w:proofErr w:type="spellStart"/>
            <w:r w:rsidRPr="00B51DEF">
              <w:rPr>
                <w:sz w:val="20"/>
                <w:szCs w:val="20"/>
              </w:rPr>
              <w:t>Rutgeerts</w:t>
            </w:r>
            <w:proofErr w:type="spellEnd"/>
            <w:r w:rsidRPr="00B51DEF">
              <w:rPr>
                <w:sz w:val="20"/>
                <w:szCs w:val="20"/>
              </w:rPr>
              <w:t xml:space="preserve"> P, </w:t>
            </w:r>
            <w:proofErr w:type="spellStart"/>
            <w:r w:rsidRPr="00B51DEF">
              <w:rPr>
                <w:sz w:val="20"/>
                <w:szCs w:val="20"/>
              </w:rPr>
              <w:t>Sandborn</w:t>
            </w:r>
            <w:proofErr w:type="spellEnd"/>
            <w:r w:rsidRPr="00B51DEF">
              <w:rPr>
                <w:sz w:val="20"/>
                <w:szCs w:val="20"/>
              </w:rPr>
              <w:t xml:space="preserve"> WJ, </w:t>
            </w:r>
            <w:proofErr w:type="spellStart"/>
            <w:r w:rsidRPr="00B51DEF">
              <w:rPr>
                <w:sz w:val="20"/>
                <w:szCs w:val="20"/>
              </w:rPr>
              <w:t>Feagan</w:t>
            </w:r>
            <w:proofErr w:type="spellEnd"/>
            <w:r w:rsidRPr="00B51DEF">
              <w:rPr>
                <w:sz w:val="20"/>
                <w:szCs w:val="20"/>
              </w:rPr>
              <w:t xml:space="preserve"> BG, et al. Infliximab for induction and maintenance therapy for ulcerative colitis. </w:t>
            </w:r>
          </w:p>
        </w:tc>
        <w:tc>
          <w:tcPr>
            <w:tcW w:w="1154" w:type="pct"/>
            <w:vMerge w:val="restart"/>
            <w:vAlign w:val="center"/>
          </w:tcPr>
          <w:p w:rsidR="00022D31" w:rsidRPr="00B51DEF" w:rsidRDefault="00022D31" w:rsidP="009467BF">
            <w:pPr>
              <w:pStyle w:val="Tabletext"/>
              <w:rPr>
                <w:sz w:val="20"/>
                <w:szCs w:val="20"/>
              </w:rPr>
            </w:pPr>
            <w:r w:rsidRPr="00B51DEF">
              <w:rPr>
                <w:sz w:val="20"/>
                <w:szCs w:val="20"/>
              </w:rPr>
              <w:t xml:space="preserve">N </w:t>
            </w:r>
            <w:proofErr w:type="spellStart"/>
            <w:r w:rsidRPr="00B51DEF">
              <w:rPr>
                <w:sz w:val="20"/>
                <w:szCs w:val="20"/>
              </w:rPr>
              <w:t>Engl</w:t>
            </w:r>
            <w:proofErr w:type="spellEnd"/>
            <w:r w:rsidRPr="00B51DEF">
              <w:rPr>
                <w:sz w:val="20"/>
                <w:szCs w:val="20"/>
              </w:rPr>
              <w:t xml:space="preserve"> J Med. 2005; 353:2462-2476. </w:t>
            </w:r>
          </w:p>
        </w:tc>
      </w:tr>
      <w:tr w:rsidR="00022D31" w:rsidRPr="00B51DEF" w:rsidTr="006D40D3">
        <w:trPr>
          <w:trHeight w:val="56"/>
        </w:trPr>
        <w:tc>
          <w:tcPr>
            <w:tcW w:w="753" w:type="pct"/>
            <w:vAlign w:val="center"/>
          </w:tcPr>
          <w:p w:rsidR="00022D31" w:rsidRPr="00B51DEF" w:rsidRDefault="00022D31" w:rsidP="009467BF">
            <w:pPr>
              <w:pStyle w:val="Tabletext"/>
              <w:rPr>
                <w:sz w:val="20"/>
                <w:szCs w:val="20"/>
              </w:rPr>
            </w:pPr>
            <w:r w:rsidRPr="00B51DEF">
              <w:rPr>
                <w:sz w:val="20"/>
                <w:szCs w:val="20"/>
              </w:rPr>
              <w:t>ACT 2</w:t>
            </w:r>
          </w:p>
        </w:tc>
        <w:tc>
          <w:tcPr>
            <w:tcW w:w="3094" w:type="pct"/>
            <w:vMerge/>
            <w:vAlign w:val="center"/>
          </w:tcPr>
          <w:p w:rsidR="00022D31" w:rsidRPr="00B51DEF" w:rsidRDefault="00022D31" w:rsidP="009467BF">
            <w:pPr>
              <w:pStyle w:val="Tabletext"/>
              <w:rPr>
                <w:sz w:val="20"/>
                <w:szCs w:val="20"/>
              </w:rPr>
            </w:pPr>
          </w:p>
        </w:tc>
        <w:tc>
          <w:tcPr>
            <w:tcW w:w="1154" w:type="pct"/>
            <w:vMerge/>
            <w:vAlign w:val="center"/>
          </w:tcPr>
          <w:p w:rsidR="00022D31" w:rsidRPr="00B51DEF" w:rsidRDefault="00022D31" w:rsidP="009467BF">
            <w:pPr>
              <w:pStyle w:val="Tabletext"/>
              <w:rPr>
                <w:sz w:val="20"/>
                <w:szCs w:val="20"/>
              </w:rPr>
            </w:pPr>
          </w:p>
        </w:tc>
      </w:tr>
      <w:tr w:rsidR="00022D31" w:rsidRPr="00B51DEF" w:rsidTr="006D40D3">
        <w:trPr>
          <w:trHeight w:val="56"/>
        </w:trPr>
        <w:tc>
          <w:tcPr>
            <w:tcW w:w="753" w:type="pct"/>
            <w:vAlign w:val="center"/>
          </w:tcPr>
          <w:p w:rsidR="00022D31" w:rsidRPr="00B51DEF" w:rsidRDefault="00022D31" w:rsidP="009467BF">
            <w:pPr>
              <w:pStyle w:val="Tabletext"/>
              <w:rPr>
                <w:sz w:val="20"/>
                <w:szCs w:val="20"/>
              </w:rPr>
            </w:pPr>
            <w:r w:rsidRPr="00B51DEF">
              <w:rPr>
                <w:sz w:val="20"/>
                <w:szCs w:val="20"/>
              </w:rPr>
              <w:t>Jiang 2015</w:t>
            </w:r>
          </w:p>
        </w:tc>
        <w:tc>
          <w:tcPr>
            <w:tcW w:w="3094" w:type="pct"/>
          </w:tcPr>
          <w:p w:rsidR="00022D31" w:rsidRPr="00B51DEF" w:rsidRDefault="00022D31" w:rsidP="009467BF">
            <w:pPr>
              <w:pStyle w:val="Tabletext"/>
              <w:rPr>
                <w:sz w:val="20"/>
                <w:szCs w:val="20"/>
              </w:rPr>
            </w:pPr>
            <w:r w:rsidRPr="00B51DEF">
              <w:rPr>
                <w:sz w:val="20"/>
                <w:szCs w:val="20"/>
              </w:rPr>
              <w:t>Jiang XL, Cui HF, Gao J, Fan H. Low-dose Infliximab for Induction and Maintenance Treatment in Chinese Patients With Moderate to Severe Active Ulcerative Colitis.</w:t>
            </w:r>
          </w:p>
        </w:tc>
        <w:tc>
          <w:tcPr>
            <w:tcW w:w="1154" w:type="pct"/>
            <w:vAlign w:val="center"/>
          </w:tcPr>
          <w:p w:rsidR="00022D31" w:rsidRPr="00B51DEF" w:rsidRDefault="00022D31" w:rsidP="009467BF">
            <w:pPr>
              <w:pStyle w:val="Tabletext"/>
              <w:rPr>
                <w:sz w:val="20"/>
                <w:szCs w:val="20"/>
              </w:rPr>
            </w:pPr>
            <w:r w:rsidRPr="00B51DEF">
              <w:rPr>
                <w:sz w:val="20"/>
                <w:szCs w:val="20"/>
              </w:rPr>
              <w:t>Journal of clinical gastroenterology. 2015, 49(7):582-588.</w:t>
            </w:r>
          </w:p>
        </w:tc>
      </w:tr>
      <w:tr w:rsidR="00022D31" w:rsidRPr="00B51DEF" w:rsidTr="006D40D3">
        <w:trPr>
          <w:trHeight w:val="56"/>
        </w:trPr>
        <w:tc>
          <w:tcPr>
            <w:tcW w:w="753" w:type="pct"/>
            <w:vAlign w:val="center"/>
          </w:tcPr>
          <w:p w:rsidR="00022D31" w:rsidRPr="00B51DEF" w:rsidRDefault="00022D31" w:rsidP="009467BF">
            <w:pPr>
              <w:pStyle w:val="Tabletext"/>
              <w:rPr>
                <w:sz w:val="20"/>
                <w:szCs w:val="20"/>
              </w:rPr>
            </w:pPr>
            <w:r w:rsidRPr="00B51DEF">
              <w:rPr>
                <w:sz w:val="20"/>
                <w:szCs w:val="20"/>
              </w:rPr>
              <w:t>REMICADE</w:t>
            </w:r>
          </w:p>
        </w:tc>
        <w:tc>
          <w:tcPr>
            <w:tcW w:w="3094" w:type="pct"/>
            <w:vAlign w:val="center"/>
          </w:tcPr>
          <w:p w:rsidR="00022D31" w:rsidRPr="00B51DEF" w:rsidRDefault="00022D31" w:rsidP="009467BF">
            <w:pPr>
              <w:pStyle w:val="Tabletext"/>
              <w:rPr>
                <w:sz w:val="20"/>
                <w:szCs w:val="20"/>
              </w:rPr>
            </w:pPr>
            <w:r w:rsidRPr="00B51DEF">
              <w:rPr>
                <w:sz w:val="20"/>
                <w:szCs w:val="20"/>
              </w:rPr>
              <w:t>Jansen Research and Development. Clinical Study Report Synopsis. CNTO312 (infliximab). A Phase 3, multicentre, randomised, double-blind, placebo-controlled study evaluating the efficacy and safety of infliximab in Chinese subjects with active ulcerative colitis. REMICADEUCO3001.</w:t>
            </w:r>
          </w:p>
        </w:tc>
        <w:tc>
          <w:tcPr>
            <w:tcW w:w="1154" w:type="pct"/>
            <w:vAlign w:val="center"/>
          </w:tcPr>
          <w:p w:rsidR="00022D31" w:rsidRPr="00B51DEF" w:rsidRDefault="00022D31" w:rsidP="009467BF">
            <w:pPr>
              <w:pStyle w:val="TableText0"/>
              <w:spacing w:before="40" w:after="40"/>
              <w:rPr>
                <w:rFonts w:ascii="Arial Narrow" w:hAnsi="Arial Narrow"/>
                <w:sz w:val="20"/>
                <w:szCs w:val="20"/>
              </w:rPr>
            </w:pPr>
            <w:r w:rsidRPr="00B51DEF">
              <w:rPr>
                <w:rFonts w:ascii="Arial Narrow" w:hAnsi="Arial Narrow"/>
                <w:sz w:val="20"/>
                <w:szCs w:val="20"/>
              </w:rPr>
              <w:t>NCT01551290</w:t>
            </w:r>
          </w:p>
        </w:tc>
      </w:tr>
      <w:tr w:rsidR="00022D31" w:rsidRPr="00B51DEF" w:rsidTr="006D40D3">
        <w:trPr>
          <w:trHeight w:val="56"/>
        </w:trPr>
        <w:tc>
          <w:tcPr>
            <w:tcW w:w="753" w:type="pct"/>
            <w:vAlign w:val="center"/>
          </w:tcPr>
          <w:p w:rsidR="00022D31" w:rsidRPr="00B51DEF" w:rsidRDefault="00022D31" w:rsidP="009467BF">
            <w:pPr>
              <w:pStyle w:val="Tabletext"/>
              <w:rPr>
                <w:i/>
                <w:iCs/>
                <w:sz w:val="20"/>
                <w:szCs w:val="20"/>
              </w:rPr>
            </w:pPr>
            <w:r w:rsidRPr="00B51DEF">
              <w:rPr>
                <w:i/>
                <w:iCs/>
                <w:sz w:val="20"/>
                <w:szCs w:val="20"/>
              </w:rPr>
              <w:t>Kobayashi 2016</w:t>
            </w:r>
          </w:p>
        </w:tc>
        <w:tc>
          <w:tcPr>
            <w:tcW w:w="3094" w:type="pct"/>
          </w:tcPr>
          <w:p w:rsidR="00022D31" w:rsidRPr="00B51DEF" w:rsidRDefault="00022D31" w:rsidP="009467BF">
            <w:pPr>
              <w:pStyle w:val="Tabletext"/>
              <w:rPr>
                <w:i/>
                <w:iCs/>
                <w:sz w:val="20"/>
                <w:szCs w:val="20"/>
              </w:rPr>
            </w:pPr>
            <w:r w:rsidRPr="00B51DEF">
              <w:rPr>
                <w:i/>
                <w:iCs/>
                <w:sz w:val="20"/>
                <w:szCs w:val="20"/>
              </w:rPr>
              <w:t xml:space="preserve">Kobayashi T, Suzuki Y, </w:t>
            </w:r>
            <w:proofErr w:type="spellStart"/>
            <w:r w:rsidRPr="00B51DEF">
              <w:rPr>
                <w:i/>
                <w:iCs/>
                <w:sz w:val="20"/>
                <w:szCs w:val="20"/>
              </w:rPr>
              <w:t>Motoya</w:t>
            </w:r>
            <w:proofErr w:type="spellEnd"/>
            <w:r w:rsidRPr="00B51DEF">
              <w:rPr>
                <w:i/>
                <w:iCs/>
                <w:sz w:val="20"/>
                <w:szCs w:val="20"/>
              </w:rPr>
              <w:t xml:space="preserve"> S, Hirai F, Ogata H, Ito H, Sato N, Ozaki K, Watanabe M, </w:t>
            </w:r>
            <w:proofErr w:type="spellStart"/>
            <w:r w:rsidRPr="00B51DEF">
              <w:rPr>
                <w:i/>
                <w:iCs/>
                <w:sz w:val="20"/>
                <w:szCs w:val="20"/>
              </w:rPr>
              <w:t>Hibi</w:t>
            </w:r>
            <w:proofErr w:type="spellEnd"/>
            <w:r w:rsidRPr="00B51DEF">
              <w:rPr>
                <w:i/>
                <w:iCs/>
                <w:sz w:val="20"/>
                <w:szCs w:val="20"/>
              </w:rPr>
              <w:t xml:space="preserve"> T. First trough level of infliximab at week 2 predicts future outcomes of induction therapy in ulcerative colitis-results from a </w:t>
            </w:r>
            <w:proofErr w:type="spellStart"/>
            <w:r w:rsidRPr="00B51DEF">
              <w:rPr>
                <w:i/>
                <w:iCs/>
                <w:sz w:val="20"/>
                <w:szCs w:val="20"/>
              </w:rPr>
              <w:t>multicenter</w:t>
            </w:r>
            <w:proofErr w:type="spellEnd"/>
            <w:r w:rsidRPr="00B51DEF">
              <w:rPr>
                <w:i/>
                <w:iCs/>
                <w:sz w:val="20"/>
                <w:szCs w:val="20"/>
              </w:rPr>
              <w:t xml:space="preserve"> prospective randomized controlled trial and its post hoc analysis. Serum trough level as predictor of response.</w:t>
            </w:r>
          </w:p>
        </w:tc>
        <w:tc>
          <w:tcPr>
            <w:tcW w:w="1154" w:type="pct"/>
            <w:vAlign w:val="center"/>
          </w:tcPr>
          <w:p w:rsidR="00022D31" w:rsidRPr="00B51DEF" w:rsidRDefault="00022D31" w:rsidP="009467BF">
            <w:pPr>
              <w:pStyle w:val="Tabletext"/>
              <w:rPr>
                <w:i/>
                <w:iCs/>
                <w:sz w:val="20"/>
                <w:szCs w:val="20"/>
              </w:rPr>
            </w:pPr>
            <w:r w:rsidRPr="00B51DEF">
              <w:rPr>
                <w:i/>
                <w:iCs/>
                <w:sz w:val="20"/>
                <w:szCs w:val="20"/>
              </w:rPr>
              <w:t>Journal of Gastroenterology 2016; 51(3):241-51</w:t>
            </w:r>
          </w:p>
        </w:tc>
      </w:tr>
      <w:tr w:rsidR="00022D31" w:rsidRPr="00B51DEF" w:rsidTr="006D40D3">
        <w:tc>
          <w:tcPr>
            <w:tcW w:w="5000" w:type="pct"/>
            <w:gridSpan w:val="3"/>
            <w:vAlign w:val="center"/>
          </w:tcPr>
          <w:p w:rsidR="00022D31" w:rsidRPr="00B51DEF" w:rsidRDefault="00022D31" w:rsidP="009467BF">
            <w:pPr>
              <w:pStyle w:val="Tabletext"/>
              <w:rPr>
                <w:b/>
                <w:bCs/>
                <w:sz w:val="20"/>
                <w:szCs w:val="20"/>
              </w:rPr>
            </w:pPr>
            <w:proofErr w:type="spellStart"/>
            <w:r w:rsidRPr="00B51DEF">
              <w:rPr>
                <w:b/>
                <w:bCs/>
                <w:sz w:val="20"/>
                <w:szCs w:val="20"/>
              </w:rPr>
              <w:t>Adalimumab</w:t>
            </w:r>
            <w:proofErr w:type="spellEnd"/>
            <w:r w:rsidRPr="00B51DEF">
              <w:rPr>
                <w:b/>
                <w:bCs/>
                <w:sz w:val="20"/>
                <w:szCs w:val="20"/>
              </w:rPr>
              <w:t xml:space="preserve"> trials</w:t>
            </w:r>
          </w:p>
        </w:tc>
      </w:tr>
      <w:tr w:rsidR="00022D31" w:rsidRPr="00B51DEF" w:rsidTr="006D40D3">
        <w:trPr>
          <w:trHeight w:val="620"/>
        </w:trPr>
        <w:tc>
          <w:tcPr>
            <w:tcW w:w="753" w:type="pct"/>
            <w:vAlign w:val="center"/>
          </w:tcPr>
          <w:p w:rsidR="00022D31" w:rsidRPr="00B51DEF" w:rsidRDefault="00022D31" w:rsidP="009467BF">
            <w:pPr>
              <w:pStyle w:val="Tabletext"/>
              <w:rPr>
                <w:sz w:val="20"/>
                <w:szCs w:val="20"/>
              </w:rPr>
            </w:pPr>
            <w:r w:rsidRPr="00B51DEF">
              <w:rPr>
                <w:sz w:val="20"/>
                <w:szCs w:val="20"/>
              </w:rPr>
              <w:t>ULTRA 1</w:t>
            </w:r>
          </w:p>
        </w:tc>
        <w:tc>
          <w:tcPr>
            <w:tcW w:w="3094" w:type="pct"/>
            <w:vAlign w:val="center"/>
          </w:tcPr>
          <w:p w:rsidR="00022D31" w:rsidRPr="00B51DEF" w:rsidRDefault="00022D31" w:rsidP="009467BF">
            <w:pPr>
              <w:pStyle w:val="Tabletext"/>
              <w:rPr>
                <w:sz w:val="20"/>
                <w:szCs w:val="20"/>
              </w:rPr>
            </w:pPr>
            <w:proofErr w:type="spellStart"/>
            <w:r w:rsidRPr="00B51DEF">
              <w:rPr>
                <w:sz w:val="20"/>
                <w:szCs w:val="20"/>
              </w:rPr>
              <w:t>Reinisch</w:t>
            </w:r>
            <w:proofErr w:type="spellEnd"/>
            <w:r w:rsidRPr="00B51DEF">
              <w:rPr>
                <w:sz w:val="20"/>
                <w:szCs w:val="20"/>
              </w:rPr>
              <w:t xml:space="preserve"> W, </w:t>
            </w:r>
            <w:proofErr w:type="spellStart"/>
            <w:r w:rsidRPr="00B51DEF">
              <w:rPr>
                <w:sz w:val="20"/>
                <w:szCs w:val="20"/>
              </w:rPr>
              <w:t>Sandborn</w:t>
            </w:r>
            <w:proofErr w:type="spellEnd"/>
            <w:r w:rsidRPr="00B51DEF">
              <w:rPr>
                <w:sz w:val="20"/>
                <w:szCs w:val="20"/>
              </w:rPr>
              <w:t xml:space="preserve"> WJ, Hommes DW, </w:t>
            </w:r>
            <w:r w:rsidRPr="00B51DEF">
              <w:rPr>
                <w:i/>
                <w:sz w:val="20"/>
                <w:szCs w:val="20"/>
              </w:rPr>
              <w:t>et al</w:t>
            </w:r>
            <w:r w:rsidRPr="00B51DEF">
              <w:rPr>
                <w:sz w:val="20"/>
                <w:szCs w:val="20"/>
              </w:rPr>
              <w:t xml:space="preserve">. </w:t>
            </w:r>
            <w:proofErr w:type="spellStart"/>
            <w:r w:rsidRPr="00B51DEF">
              <w:rPr>
                <w:sz w:val="20"/>
                <w:szCs w:val="20"/>
              </w:rPr>
              <w:t>Adalimumab</w:t>
            </w:r>
            <w:proofErr w:type="spellEnd"/>
            <w:r w:rsidRPr="00B51DEF">
              <w:rPr>
                <w:sz w:val="20"/>
                <w:szCs w:val="20"/>
              </w:rPr>
              <w:t xml:space="preserve"> for induction of clinical remission in moderately to severely active UC: results of a randomised controlled trial.</w:t>
            </w:r>
          </w:p>
        </w:tc>
        <w:tc>
          <w:tcPr>
            <w:tcW w:w="1154" w:type="pct"/>
            <w:vAlign w:val="center"/>
          </w:tcPr>
          <w:p w:rsidR="00022D31" w:rsidRPr="00B51DEF" w:rsidRDefault="00022D31" w:rsidP="009467BF">
            <w:pPr>
              <w:pStyle w:val="Tabletext"/>
              <w:rPr>
                <w:sz w:val="20"/>
                <w:szCs w:val="20"/>
              </w:rPr>
            </w:pPr>
            <w:r w:rsidRPr="00B51DEF">
              <w:rPr>
                <w:sz w:val="20"/>
                <w:szCs w:val="20"/>
              </w:rPr>
              <w:t>Gut. 2011;60(6):780-787</w:t>
            </w:r>
          </w:p>
        </w:tc>
      </w:tr>
      <w:tr w:rsidR="00022D31" w:rsidRPr="00B51DEF" w:rsidTr="006D40D3">
        <w:tc>
          <w:tcPr>
            <w:tcW w:w="753" w:type="pct"/>
            <w:vAlign w:val="center"/>
          </w:tcPr>
          <w:p w:rsidR="00022D31" w:rsidRPr="00B51DEF" w:rsidRDefault="00022D31" w:rsidP="009467BF">
            <w:pPr>
              <w:pStyle w:val="Tabletext"/>
              <w:rPr>
                <w:sz w:val="20"/>
                <w:szCs w:val="20"/>
              </w:rPr>
            </w:pPr>
            <w:r w:rsidRPr="00B51DEF">
              <w:rPr>
                <w:sz w:val="20"/>
                <w:szCs w:val="20"/>
              </w:rPr>
              <w:t>ULTRA 2</w:t>
            </w:r>
          </w:p>
        </w:tc>
        <w:tc>
          <w:tcPr>
            <w:tcW w:w="3094" w:type="pct"/>
            <w:vAlign w:val="center"/>
          </w:tcPr>
          <w:p w:rsidR="00022D31" w:rsidRPr="00B51DEF" w:rsidRDefault="00022D31" w:rsidP="009467BF">
            <w:pPr>
              <w:pStyle w:val="Tabletext"/>
              <w:rPr>
                <w:sz w:val="20"/>
                <w:szCs w:val="20"/>
              </w:rPr>
            </w:pPr>
            <w:proofErr w:type="spellStart"/>
            <w:r w:rsidRPr="00B51DEF">
              <w:rPr>
                <w:sz w:val="20"/>
                <w:szCs w:val="20"/>
              </w:rPr>
              <w:t>Sandborn</w:t>
            </w:r>
            <w:proofErr w:type="spellEnd"/>
            <w:r w:rsidRPr="00B51DEF">
              <w:rPr>
                <w:sz w:val="20"/>
                <w:szCs w:val="20"/>
              </w:rPr>
              <w:t xml:space="preserve"> WJ, van </w:t>
            </w:r>
            <w:proofErr w:type="spellStart"/>
            <w:r w:rsidRPr="00B51DEF">
              <w:rPr>
                <w:sz w:val="20"/>
                <w:szCs w:val="20"/>
              </w:rPr>
              <w:t>Assche</w:t>
            </w:r>
            <w:proofErr w:type="spellEnd"/>
            <w:r w:rsidRPr="00B51DEF">
              <w:rPr>
                <w:sz w:val="20"/>
                <w:szCs w:val="20"/>
              </w:rPr>
              <w:t xml:space="preserve"> G, </w:t>
            </w:r>
            <w:proofErr w:type="spellStart"/>
            <w:r w:rsidRPr="00B51DEF">
              <w:rPr>
                <w:sz w:val="20"/>
                <w:szCs w:val="20"/>
              </w:rPr>
              <w:t>Reinisch</w:t>
            </w:r>
            <w:proofErr w:type="spellEnd"/>
            <w:r w:rsidRPr="00B51DEF">
              <w:rPr>
                <w:sz w:val="20"/>
                <w:szCs w:val="20"/>
              </w:rPr>
              <w:t xml:space="preserve"> W, et al. </w:t>
            </w:r>
            <w:proofErr w:type="spellStart"/>
            <w:r w:rsidRPr="00B51DEF">
              <w:rPr>
                <w:sz w:val="20"/>
                <w:szCs w:val="20"/>
              </w:rPr>
              <w:t>Adalimumab</w:t>
            </w:r>
            <w:proofErr w:type="spellEnd"/>
            <w:r w:rsidRPr="00B51DEF">
              <w:rPr>
                <w:sz w:val="20"/>
                <w:szCs w:val="20"/>
              </w:rPr>
              <w:t xml:space="preserve"> induces and maintains clinical remission in patients with moderate to severe UC. </w:t>
            </w:r>
          </w:p>
        </w:tc>
        <w:tc>
          <w:tcPr>
            <w:tcW w:w="1154" w:type="pct"/>
            <w:vAlign w:val="center"/>
          </w:tcPr>
          <w:p w:rsidR="00022D31" w:rsidRPr="00B51DEF" w:rsidRDefault="00022D31" w:rsidP="009467BF">
            <w:pPr>
              <w:pStyle w:val="Tabletext"/>
              <w:rPr>
                <w:sz w:val="20"/>
                <w:szCs w:val="20"/>
              </w:rPr>
            </w:pPr>
            <w:r w:rsidRPr="00B51DEF">
              <w:rPr>
                <w:sz w:val="20"/>
                <w:szCs w:val="20"/>
              </w:rPr>
              <w:t>Gastroenterology. 2012;142(2):257-65[e1-3]</w:t>
            </w:r>
          </w:p>
        </w:tc>
      </w:tr>
      <w:tr w:rsidR="00022D31" w:rsidRPr="00B51DEF" w:rsidTr="006D40D3">
        <w:tc>
          <w:tcPr>
            <w:tcW w:w="753" w:type="pct"/>
            <w:vAlign w:val="center"/>
          </w:tcPr>
          <w:p w:rsidR="00022D31" w:rsidRPr="00B51DEF" w:rsidRDefault="00022D31" w:rsidP="009467BF">
            <w:pPr>
              <w:pStyle w:val="Tabletext"/>
              <w:rPr>
                <w:i/>
                <w:iCs/>
                <w:sz w:val="20"/>
                <w:szCs w:val="20"/>
              </w:rPr>
            </w:pPr>
            <w:r w:rsidRPr="00B51DEF">
              <w:rPr>
                <w:i/>
                <w:iCs/>
                <w:sz w:val="20"/>
                <w:szCs w:val="20"/>
              </w:rPr>
              <w:t>Suzuki 2014</w:t>
            </w:r>
          </w:p>
        </w:tc>
        <w:tc>
          <w:tcPr>
            <w:tcW w:w="3094" w:type="pct"/>
            <w:vAlign w:val="center"/>
          </w:tcPr>
          <w:p w:rsidR="00022D31" w:rsidRPr="00B51DEF" w:rsidRDefault="00022D31" w:rsidP="009467BF">
            <w:pPr>
              <w:pStyle w:val="Tabletext"/>
              <w:rPr>
                <w:i/>
                <w:iCs/>
                <w:sz w:val="20"/>
                <w:szCs w:val="20"/>
              </w:rPr>
            </w:pPr>
            <w:r w:rsidRPr="00B51DEF">
              <w:rPr>
                <w:i/>
                <w:iCs/>
                <w:sz w:val="20"/>
                <w:szCs w:val="20"/>
              </w:rPr>
              <w:t xml:space="preserve">Suzuki Y, </w:t>
            </w:r>
            <w:proofErr w:type="spellStart"/>
            <w:r w:rsidRPr="00B51DEF">
              <w:rPr>
                <w:i/>
                <w:iCs/>
                <w:sz w:val="20"/>
                <w:szCs w:val="20"/>
              </w:rPr>
              <w:t>Motoya</w:t>
            </w:r>
            <w:proofErr w:type="spellEnd"/>
            <w:r w:rsidRPr="00B51DEF">
              <w:rPr>
                <w:i/>
                <w:iCs/>
                <w:sz w:val="20"/>
                <w:szCs w:val="20"/>
              </w:rPr>
              <w:t xml:space="preserve"> S, </w:t>
            </w:r>
            <w:proofErr w:type="spellStart"/>
            <w:r w:rsidRPr="00B51DEF">
              <w:rPr>
                <w:i/>
                <w:iCs/>
                <w:sz w:val="20"/>
                <w:szCs w:val="20"/>
              </w:rPr>
              <w:t>Hanai</w:t>
            </w:r>
            <w:proofErr w:type="spellEnd"/>
            <w:r w:rsidRPr="00B51DEF">
              <w:rPr>
                <w:i/>
                <w:iCs/>
                <w:sz w:val="20"/>
                <w:szCs w:val="20"/>
              </w:rPr>
              <w:t xml:space="preserve"> H, et al. Efficacy and safety of </w:t>
            </w:r>
            <w:proofErr w:type="spellStart"/>
            <w:r w:rsidRPr="00B51DEF">
              <w:rPr>
                <w:i/>
                <w:iCs/>
                <w:sz w:val="20"/>
                <w:szCs w:val="20"/>
              </w:rPr>
              <w:t>adalimumab</w:t>
            </w:r>
            <w:proofErr w:type="spellEnd"/>
            <w:r w:rsidRPr="00B51DEF">
              <w:rPr>
                <w:i/>
                <w:iCs/>
                <w:sz w:val="20"/>
                <w:szCs w:val="20"/>
              </w:rPr>
              <w:t xml:space="preserve"> in Japanese patients with moderately to severely active ulcerative colitis. </w:t>
            </w:r>
          </w:p>
        </w:tc>
        <w:tc>
          <w:tcPr>
            <w:tcW w:w="1154" w:type="pct"/>
            <w:vAlign w:val="center"/>
          </w:tcPr>
          <w:p w:rsidR="00022D31" w:rsidRPr="00B51DEF" w:rsidRDefault="00022D31" w:rsidP="009467BF">
            <w:pPr>
              <w:pStyle w:val="Tabletext"/>
              <w:rPr>
                <w:i/>
                <w:iCs/>
                <w:sz w:val="20"/>
                <w:szCs w:val="20"/>
              </w:rPr>
            </w:pPr>
            <w:r w:rsidRPr="00B51DEF">
              <w:rPr>
                <w:i/>
                <w:iCs/>
                <w:sz w:val="20"/>
                <w:szCs w:val="20"/>
              </w:rPr>
              <w:t>J </w:t>
            </w:r>
            <w:proofErr w:type="spellStart"/>
            <w:r w:rsidRPr="00B51DEF">
              <w:rPr>
                <w:i/>
                <w:iCs/>
                <w:sz w:val="20"/>
                <w:szCs w:val="20"/>
              </w:rPr>
              <w:t>Gastroenterol</w:t>
            </w:r>
            <w:proofErr w:type="spellEnd"/>
            <w:r w:rsidRPr="00B51DEF">
              <w:rPr>
                <w:i/>
                <w:iCs/>
                <w:sz w:val="20"/>
                <w:szCs w:val="20"/>
              </w:rPr>
              <w:t>. 2014; 49:283-294.</w:t>
            </w:r>
          </w:p>
        </w:tc>
      </w:tr>
      <w:tr w:rsidR="00022D31" w:rsidRPr="00B51DEF" w:rsidTr="006D40D3">
        <w:tc>
          <w:tcPr>
            <w:tcW w:w="5000" w:type="pct"/>
            <w:gridSpan w:val="3"/>
            <w:vAlign w:val="center"/>
          </w:tcPr>
          <w:p w:rsidR="00022D31" w:rsidRPr="00B51DEF" w:rsidRDefault="00022D31" w:rsidP="009467BF">
            <w:pPr>
              <w:pStyle w:val="Tabletext"/>
              <w:rPr>
                <w:b/>
                <w:sz w:val="20"/>
                <w:szCs w:val="20"/>
              </w:rPr>
            </w:pPr>
            <w:proofErr w:type="spellStart"/>
            <w:r w:rsidRPr="00B51DEF">
              <w:rPr>
                <w:b/>
                <w:sz w:val="20"/>
                <w:szCs w:val="20"/>
              </w:rPr>
              <w:t>Golimumab</w:t>
            </w:r>
            <w:proofErr w:type="spellEnd"/>
            <w:r w:rsidRPr="00B51DEF">
              <w:rPr>
                <w:b/>
                <w:sz w:val="20"/>
                <w:szCs w:val="20"/>
              </w:rPr>
              <w:t xml:space="preserve"> trials</w:t>
            </w:r>
          </w:p>
        </w:tc>
      </w:tr>
      <w:tr w:rsidR="00022D31" w:rsidRPr="00B51DEF" w:rsidTr="006D40D3">
        <w:tc>
          <w:tcPr>
            <w:tcW w:w="753" w:type="pct"/>
            <w:vAlign w:val="center"/>
          </w:tcPr>
          <w:p w:rsidR="00022D31" w:rsidRPr="00B51DEF" w:rsidRDefault="00022D31" w:rsidP="009467BF">
            <w:pPr>
              <w:pStyle w:val="Tabletext"/>
              <w:rPr>
                <w:sz w:val="20"/>
                <w:szCs w:val="20"/>
              </w:rPr>
            </w:pPr>
            <w:r w:rsidRPr="00B51DEF">
              <w:rPr>
                <w:sz w:val="20"/>
                <w:szCs w:val="20"/>
              </w:rPr>
              <w:t>PURSUIT SC</w:t>
            </w:r>
          </w:p>
        </w:tc>
        <w:tc>
          <w:tcPr>
            <w:tcW w:w="3094" w:type="pct"/>
            <w:vAlign w:val="center"/>
          </w:tcPr>
          <w:p w:rsidR="00022D31" w:rsidRPr="00B51DEF" w:rsidRDefault="00022D31" w:rsidP="009467BF">
            <w:pPr>
              <w:pStyle w:val="Tabletext"/>
              <w:rPr>
                <w:sz w:val="20"/>
                <w:szCs w:val="20"/>
              </w:rPr>
            </w:pPr>
            <w:proofErr w:type="spellStart"/>
            <w:r w:rsidRPr="00B51DEF">
              <w:rPr>
                <w:sz w:val="20"/>
                <w:szCs w:val="20"/>
              </w:rPr>
              <w:t>Sandborn</w:t>
            </w:r>
            <w:proofErr w:type="spellEnd"/>
            <w:r w:rsidRPr="00B51DEF">
              <w:rPr>
                <w:sz w:val="20"/>
                <w:szCs w:val="20"/>
              </w:rPr>
              <w:t xml:space="preserve"> WJ, </w:t>
            </w:r>
            <w:proofErr w:type="spellStart"/>
            <w:r w:rsidRPr="00B51DEF">
              <w:rPr>
                <w:sz w:val="20"/>
                <w:szCs w:val="20"/>
              </w:rPr>
              <w:t>Feagan</w:t>
            </w:r>
            <w:proofErr w:type="spellEnd"/>
            <w:r w:rsidRPr="00B51DEF">
              <w:rPr>
                <w:sz w:val="20"/>
                <w:szCs w:val="20"/>
              </w:rPr>
              <w:t xml:space="preserve"> BG, </w:t>
            </w:r>
            <w:proofErr w:type="spellStart"/>
            <w:r w:rsidRPr="00B51DEF">
              <w:rPr>
                <w:sz w:val="20"/>
                <w:szCs w:val="20"/>
              </w:rPr>
              <w:t>Marano</w:t>
            </w:r>
            <w:proofErr w:type="spellEnd"/>
            <w:r w:rsidRPr="00B51DEF">
              <w:rPr>
                <w:sz w:val="20"/>
                <w:szCs w:val="20"/>
              </w:rPr>
              <w:t xml:space="preserve"> C, et al. Subcutaneous </w:t>
            </w:r>
            <w:proofErr w:type="spellStart"/>
            <w:r w:rsidRPr="00B51DEF">
              <w:rPr>
                <w:sz w:val="20"/>
                <w:szCs w:val="20"/>
              </w:rPr>
              <w:t>golimumab</w:t>
            </w:r>
            <w:proofErr w:type="spellEnd"/>
            <w:r w:rsidRPr="00B51DEF">
              <w:rPr>
                <w:sz w:val="20"/>
                <w:szCs w:val="20"/>
              </w:rPr>
              <w:t xml:space="preserve"> induces clinical response and remission in patients with moderate-to-severe ulcerative colitis</w:t>
            </w:r>
          </w:p>
        </w:tc>
        <w:tc>
          <w:tcPr>
            <w:tcW w:w="1154" w:type="pct"/>
            <w:vAlign w:val="center"/>
          </w:tcPr>
          <w:p w:rsidR="00022D31" w:rsidRPr="00B51DEF" w:rsidRDefault="00022D31" w:rsidP="009467BF">
            <w:pPr>
              <w:pStyle w:val="Tabletext"/>
              <w:rPr>
                <w:sz w:val="20"/>
                <w:szCs w:val="20"/>
              </w:rPr>
            </w:pPr>
            <w:r w:rsidRPr="00B51DEF">
              <w:rPr>
                <w:sz w:val="20"/>
                <w:szCs w:val="20"/>
              </w:rPr>
              <w:t>Gastroenterology. 2014,146(1):85-95</w:t>
            </w:r>
          </w:p>
        </w:tc>
      </w:tr>
      <w:tr w:rsidR="00022D31" w:rsidRPr="00B51DEF" w:rsidTr="006D40D3">
        <w:tc>
          <w:tcPr>
            <w:tcW w:w="753" w:type="pct"/>
            <w:vAlign w:val="center"/>
          </w:tcPr>
          <w:p w:rsidR="00022D31" w:rsidRPr="00B51DEF" w:rsidRDefault="00022D31" w:rsidP="009467BF">
            <w:pPr>
              <w:pStyle w:val="Tabletext"/>
              <w:rPr>
                <w:sz w:val="20"/>
                <w:szCs w:val="20"/>
              </w:rPr>
            </w:pPr>
            <w:r w:rsidRPr="00B51DEF">
              <w:rPr>
                <w:sz w:val="20"/>
                <w:szCs w:val="20"/>
              </w:rPr>
              <w:t>PURSUIT M</w:t>
            </w:r>
          </w:p>
        </w:tc>
        <w:tc>
          <w:tcPr>
            <w:tcW w:w="3094" w:type="pct"/>
            <w:vAlign w:val="center"/>
          </w:tcPr>
          <w:p w:rsidR="00022D31" w:rsidRPr="00B51DEF" w:rsidRDefault="00022D31" w:rsidP="009467BF">
            <w:pPr>
              <w:pStyle w:val="Tabletext"/>
              <w:rPr>
                <w:sz w:val="20"/>
                <w:szCs w:val="20"/>
              </w:rPr>
            </w:pPr>
            <w:proofErr w:type="spellStart"/>
            <w:r w:rsidRPr="00B51DEF">
              <w:rPr>
                <w:sz w:val="20"/>
                <w:szCs w:val="20"/>
              </w:rPr>
              <w:t>Sandborn</w:t>
            </w:r>
            <w:proofErr w:type="spellEnd"/>
            <w:r w:rsidRPr="00B51DEF">
              <w:rPr>
                <w:sz w:val="20"/>
                <w:szCs w:val="20"/>
              </w:rPr>
              <w:t xml:space="preserve"> WJ, </w:t>
            </w:r>
            <w:proofErr w:type="spellStart"/>
            <w:r w:rsidRPr="00B51DEF">
              <w:rPr>
                <w:sz w:val="20"/>
                <w:szCs w:val="20"/>
              </w:rPr>
              <w:t>Feagan</w:t>
            </w:r>
            <w:proofErr w:type="spellEnd"/>
            <w:r w:rsidRPr="00B51DEF">
              <w:rPr>
                <w:sz w:val="20"/>
                <w:szCs w:val="20"/>
              </w:rPr>
              <w:t xml:space="preserve"> BG, </w:t>
            </w:r>
            <w:proofErr w:type="spellStart"/>
            <w:r w:rsidRPr="00B51DEF">
              <w:rPr>
                <w:sz w:val="20"/>
                <w:szCs w:val="20"/>
              </w:rPr>
              <w:t>Marano</w:t>
            </w:r>
            <w:proofErr w:type="spellEnd"/>
            <w:r w:rsidRPr="00B51DEF">
              <w:rPr>
                <w:sz w:val="20"/>
                <w:szCs w:val="20"/>
              </w:rPr>
              <w:t xml:space="preserve"> C, et al. Subcutaneous </w:t>
            </w:r>
            <w:proofErr w:type="spellStart"/>
            <w:r w:rsidRPr="00B51DEF">
              <w:rPr>
                <w:sz w:val="20"/>
                <w:szCs w:val="20"/>
              </w:rPr>
              <w:t>golimumab</w:t>
            </w:r>
            <w:proofErr w:type="spellEnd"/>
            <w:r w:rsidRPr="00B51DEF">
              <w:rPr>
                <w:sz w:val="20"/>
                <w:szCs w:val="20"/>
              </w:rPr>
              <w:t xml:space="preserve"> maintains clinical response in patients with moderate-to-severe ulcerative colitis. </w:t>
            </w:r>
          </w:p>
        </w:tc>
        <w:tc>
          <w:tcPr>
            <w:tcW w:w="1154" w:type="pct"/>
            <w:vAlign w:val="center"/>
          </w:tcPr>
          <w:p w:rsidR="00022D31" w:rsidRPr="00B51DEF" w:rsidRDefault="00022D31" w:rsidP="009467BF">
            <w:pPr>
              <w:pStyle w:val="Tabletext"/>
              <w:rPr>
                <w:sz w:val="20"/>
                <w:szCs w:val="20"/>
              </w:rPr>
            </w:pPr>
            <w:r w:rsidRPr="00B51DEF">
              <w:rPr>
                <w:sz w:val="20"/>
                <w:szCs w:val="20"/>
              </w:rPr>
              <w:t xml:space="preserve">Gastroenterology. 2014,146(1):96-109 </w:t>
            </w:r>
          </w:p>
        </w:tc>
      </w:tr>
      <w:tr w:rsidR="00022D31" w:rsidRPr="00B51DEF" w:rsidTr="006D40D3">
        <w:tc>
          <w:tcPr>
            <w:tcW w:w="753" w:type="pct"/>
            <w:vAlign w:val="center"/>
          </w:tcPr>
          <w:p w:rsidR="00022D31" w:rsidRPr="00B51DEF" w:rsidRDefault="00022D31" w:rsidP="009467BF">
            <w:pPr>
              <w:pStyle w:val="Tabletext"/>
              <w:rPr>
                <w:i/>
                <w:iCs/>
                <w:sz w:val="20"/>
                <w:szCs w:val="20"/>
              </w:rPr>
            </w:pPr>
            <w:r w:rsidRPr="00B51DEF">
              <w:rPr>
                <w:i/>
                <w:iCs/>
                <w:sz w:val="20"/>
                <w:szCs w:val="20"/>
              </w:rPr>
              <w:t>PURSUIT J</w:t>
            </w:r>
          </w:p>
        </w:tc>
        <w:tc>
          <w:tcPr>
            <w:tcW w:w="3094" w:type="pct"/>
            <w:vAlign w:val="center"/>
          </w:tcPr>
          <w:p w:rsidR="00022D31" w:rsidRPr="00B51DEF" w:rsidRDefault="00022D31" w:rsidP="009467BF">
            <w:pPr>
              <w:pStyle w:val="Tabletext"/>
              <w:rPr>
                <w:i/>
                <w:iCs/>
                <w:sz w:val="20"/>
                <w:szCs w:val="20"/>
              </w:rPr>
            </w:pPr>
            <w:proofErr w:type="spellStart"/>
            <w:r w:rsidRPr="00B51DEF">
              <w:rPr>
                <w:i/>
                <w:iCs/>
                <w:sz w:val="20"/>
                <w:szCs w:val="20"/>
              </w:rPr>
              <w:t>Hibi</w:t>
            </w:r>
            <w:proofErr w:type="spellEnd"/>
            <w:r w:rsidRPr="00B51DEF">
              <w:rPr>
                <w:i/>
                <w:iCs/>
                <w:sz w:val="20"/>
                <w:szCs w:val="20"/>
              </w:rPr>
              <w:t xml:space="preserve"> T, Imai Y, </w:t>
            </w:r>
            <w:proofErr w:type="spellStart"/>
            <w:r w:rsidRPr="00B51DEF">
              <w:rPr>
                <w:i/>
                <w:iCs/>
                <w:sz w:val="20"/>
                <w:szCs w:val="20"/>
              </w:rPr>
              <w:t>Senoo</w:t>
            </w:r>
            <w:proofErr w:type="spellEnd"/>
            <w:r w:rsidRPr="00B51DEF">
              <w:rPr>
                <w:i/>
                <w:iCs/>
                <w:sz w:val="20"/>
                <w:szCs w:val="20"/>
              </w:rPr>
              <w:t xml:space="preserve"> A, </w:t>
            </w:r>
            <w:proofErr w:type="spellStart"/>
            <w:r w:rsidRPr="00B51DEF">
              <w:rPr>
                <w:i/>
                <w:iCs/>
                <w:sz w:val="20"/>
                <w:szCs w:val="20"/>
              </w:rPr>
              <w:t>Ohta</w:t>
            </w:r>
            <w:proofErr w:type="spellEnd"/>
            <w:r w:rsidRPr="00B51DEF">
              <w:rPr>
                <w:i/>
                <w:iCs/>
                <w:sz w:val="20"/>
                <w:szCs w:val="20"/>
              </w:rPr>
              <w:t xml:space="preserve"> K and Ukyo Y. Efficacy and safety of </w:t>
            </w:r>
            <w:proofErr w:type="spellStart"/>
            <w:r w:rsidRPr="00B51DEF">
              <w:rPr>
                <w:i/>
                <w:iCs/>
                <w:sz w:val="20"/>
                <w:szCs w:val="20"/>
              </w:rPr>
              <w:t>golimumab</w:t>
            </w:r>
            <w:proofErr w:type="spellEnd"/>
            <w:r w:rsidRPr="00B51DEF">
              <w:rPr>
                <w:i/>
                <w:iCs/>
                <w:sz w:val="20"/>
                <w:szCs w:val="20"/>
              </w:rPr>
              <w:t xml:space="preserve"> 52-week maintenance therapy in Japanese patients with moderate to severely active ulcerative colitis: a phase 3, double-blind, randomized, placebo-controlled study-(PURSUIT-J study). </w:t>
            </w:r>
          </w:p>
        </w:tc>
        <w:tc>
          <w:tcPr>
            <w:tcW w:w="1154" w:type="pct"/>
            <w:vAlign w:val="center"/>
          </w:tcPr>
          <w:p w:rsidR="00022D31" w:rsidRPr="00B51DEF" w:rsidRDefault="00022D31" w:rsidP="009467BF">
            <w:pPr>
              <w:pStyle w:val="Tabletext"/>
              <w:rPr>
                <w:i/>
                <w:iCs/>
                <w:sz w:val="20"/>
                <w:szCs w:val="20"/>
              </w:rPr>
            </w:pPr>
            <w:r w:rsidRPr="00B51DEF">
              <w:rPr>
                <w:i/>
                <w:iCs/>
                <w:sz w:val="20"/>
                <w:szCs w:val="20"/>
              </w:rPr>
              <w:t>Journal of Gastroenterology.2017: 52(10):1101-1111</w:t>
            </w:r>
          </w:p>
        </w:tc>
      </w:tr>
      <w:tr w:rsidR="00022D31" w:rsidRPr="00B51DEF" w:rsidTr="006D40D3">
        <w:tc>
          <w:tcPr>
            <w:tcW w:w="5000" w:type="pct"/>
            <w:gridSpan w:val="3"/>
            <w:vAlign w:val="center"/>
          </w:tcPr>
          <w:p w:rsidR="00022D31" w:rsidRPr="00B51DEF" w:rsidRDefault="00022D31" w:rsidP="009467BF">
            <w:pPr>
              <w:pStyle w:val="Tabletext"/>
              <w:rPr>
                <w:b/>
                <w:bCs/>
                <w:sz w:val="20"/>
                <w:szCs w:val="20"/>
              </w:rPr>
            </w:pPr>
            <w:proofErr w:type="spellStart"/>
            <w:r w:rsidRPr="00B51DEF">
              <w:rPr>
                <w:b/>
                <w:bCs/>
                <w:sz w:val="20"/>
                <w:szCs w:val="20"/>
              </w:rPr>
              <w:t>Vedolizumab</w:t>
            </w:r>
            <w:proofErr w:type="spellEnd"/>
            <w:r w:rsidRPr="00B51DEF">
              <w:rPr>
                <w:b/>
                <w:bCs/>
                <w:sz w:val="20"/>
                <w:szCs w:val="20"/>
              </w:rPr>
              <w:t xml:space="preserve"> trial</w:t>
            </w:r>
          </w:p>
        </w:tc>
      </w:tr>
      <w:tr w:rsidR="00022D31" w:rsidRPr="00B51DEF" w:rsidTr="006D40D3">
        <w:tc>
          <w:tcPr>
            <w:tcW w:w="753" w:type="pct"/>
            <w:vMerge w:val="restart"/>
            <w:vAlign w:val="center"/>
          </w:tcPr>
          <w:p w:rsidR="00022D31" w:rsidRPr="00B51DEF" w:rsidRDefault="00022D31" w:rsidP="009467BF">
            <w:pPr>
              <w:pStyle w:val="Tabletext"/>
              <w:rPr>
                <w:sz w:val="20"/>
                <w:szCs w:val="20"/>
              </w:rPr>
            </w:pPr>
            <w:r w:rsidRPr="00B51DEF">
              <w:rPr>
                <w:sz w:val="20"/>
                <w:szCs w:val="20"/>
              </w:rPr>
              <w:t>GEMINI 1</w:t>
            </w:r>
          </w:p>
        </w:tc>
        <w:tc>
          <w:tcPr>
            <w:tcW w:w="3094" w:type="pct"/>
            <w:vAlign w:val="center"/>
          </w:tcPr>
          <w:p w:rsidR="00022D31" w:rsidRPr="00B51DEF" w:rsidRDefault="00022D31" w:rsidP="009467BF">
            <w:pPr>
              <w:pStyle w:val="Tabletext"/>
              <w:rPr>
                <w:sz w:val="20"/>
                <w:szCs w:val="20"/>
              </w:rPr>
            </w:pPr>
            <w:proofErr w:type="spellStart"/>
            <w:r w:rsidRPr="00B51DEF">
              <w:rPr>
                <w:sz w:val="20"/>
                <w:szCs w:val="20"/>
              </w:rPr>
              <w:t>Feagan</w:t>
            </w:r>
            <w:proofErr w:type="spellEnd"/>
            <w:r w:rsidRPr="00B51DEF">
              <w:rPr>
                <w:sz w:val="20"/>
                <w:szCs w:val="20"/>
              </w:rPr>
              <w:t xml:space="preserve"> B, </w:t>
            </w:r>
            <w:proofErr w:type="spellStart"/>
            <w:r w:rsidRPr="00B51DEF">
              <w:rPr>
                <w:sz w:val="20"/>
                <w:szCs w:val="20"/>
              </w:rPr>
              <w:t>Rutgeerts</w:t>
            </w:r>
            <w:proofErr w:type="spellEnd"/>
            <w:r w:rsidRPr="00B51DEF">
              <w:rPr>
                <w:sz w:val="20"/>
                <w:szCs w:val="20"/>
              </w:rPr>
              <w:t xml:space="preserve"> P, Sands B, et al. </w:t>
            </w:r>
            <w:proofErr w:type="spellStart"/>
            <w:r w:rsidRPr="00B51DEF">
              <w:rPr>
                <w:sz w:val="20"/>
                <w:szCs w:val="20"/>
              </w:rPr>
              <w:t>Vedolizumab</w:t>
            </w:r>
            <w:proofErr w:type="spellEnd"/>
            <w:r w:rsidRPr="00B51DEF">
              <w:rPr>
                <w:sz w:val="20"/>
                <w:szCs w:val="20"/>
              </w:rPr>
              <w:t xml:space="preserve"> as induction and maintenance therapy for ulcerative colitis. </w:t>
            </w:r>
          </w:p>
        </w:tc>
        <w:tc>
          <w:tcPr>
            <w:tcW w:w="1154" w:type="pct"/>
            <w:vAlign w:val="center"/>
          </w:tcPr>
          <w:p w:rsidR="00022D31" w:rsidRPr="00B51DEF" w:rsidRDefault="00022D31" w:rsidP="009467BF">
            <w:pPr>
              <w:pStyle w:val="Tabletext"/>
              <w:rPr>
                <w:sz w:val="20"/>
                <w:szCs w:val="20"/>
              </w:rPr>
            </w:pPr>
            <w:r w:rsidRPr="00B51DEF">
              <w:rPr>
                <w:sz w:val="20"/>
                <w:szCs w:val="20"/>
              </w:rPr>
              <w:t xml:space="preserve">N </w:t>
            </w:r>
            <w:proofErr w:type="spellStart"/>
            <w:r w:rsidRPr="00B51DEF">
              <w:rPr>
                <w:sz w:val="20"/>
                <w:szCs w:val="20"/>
              </w:rPr>
              <w:t>Engl</w:t>
            </w:r>
            <w:proofErr w:type="spellEnd"/>
            <w:r w:rsidRPr="00B51DEF">
              <w:rPr>
                <w:sz w:val="20"/>
                <w:szCs w:val="20"/>
              </w:rPr>
              <w:t xml:space="preserve"> J Ned. 2013; 369(8):699-710.</w:t>
            </w:r>
          </w:p>
        </w:tc>
      </w:tr>
      <w:tr w:rsidR="00022D31" w:rsidRPr="00B51DEF" w:rsidTr="006D40D3">
        <w:tc>
          <w:tcPr>
            <w:tcW w:w="753" w:type="pct"/>
            <w:vMerge/>
            <w:vAlign w:val="center"/>
          </w:tcPr>
          <w:p w:rsidR="00022D31" w:rsidRPr="00B51DEF" w:rsidRDefault="00022D31" w:rsidP="009467BF">
            <w:pPr>
              <w:pStyle w:val="Tabletext"/>
              <w:rPr>
                <w:sz w:val="20"/>
                <w:szCs w:val="20"/>
              </w:rPr>
            </w:pPr>
          </w:p>
        </w:tc>
        <w:tc>
          <w:tcPr>
            <w:tcW w:w="3094" w:type="pct"/>
            <w:vAlign w:val="center"/>
          </w:tcPr>
          <w:p w:rsidR="00022D31" w:rsidRPr="00B51DEF" w:rsidRDefault="00022D31" w:rsidP="009467BF">
            <w:pPr>
              <w:pStyle w:val="Tabletext"/>
              <w:rPr>
                <w:i/>
                <w:iCs/>
                <w:sz w:val="20"/>
                <w:szCs w:val="20"/>
              </w:rPr>
            </w:pPr>
            <w:proofErr w:type="spellStart"/>
            <w:r w:rsidRPr="00B51DEF">
              <w:rPr>
                <w:i/>
                <w:iCs/>
                <w:sz w:val="20"/>
                <w:szCs w:val="20"/>
              </w:rPr>
              <w:t>Feagan</w:t>
            </w:r>
            <w:proofErr w:type="spellEnd"/>
            <w:r w:rsidRPr="00B51DEF">
              <w:rPr>
                <w:i/>
                <w:iCs/>
                <w:sz w:val="20"/>
                <w:szCs w:val="20"/>
              </w:rPr>
              <w:t xml:space="preserve"> BG, Rubin DT, </w:t>
            </w:r>
            <w:proofErr w:type="spellStart"/>
            <w:r w:rsidRPr="00B51DEF">
              <w:rPr>
                <w:i/>
                <w:iCs/>
                <w:sz w:val="20"/>
                <w:szCs w:val="20"/>
              </w:rPr>
              <w:t>Danese</w:t>
            </w:r>
            <w:proofErr w:type="spellEnd"/>
            <w:r w:rsidRPr="00B51DEF">
              <w:rPr>
                <w:i/>
                <w:iCs/>
                <w:sz w:val="20"/>
                <w:szCs w:val="20"/>
              </w:rPr>
              <w:t xml:space="preserve"> S, </w:t>
            </w:r>
            <w:proofErr w:type="spellStart"/>
            <w:r w:rsidRPr="00B51DEF">
              <w:rPr>
                <w:i/>
                <w:iCs/>
                <w:sz w:val="20"/>
                <w:szCs w:val="20"/>
              </w:rPr>
              <w:t>Vermeire</w:t>
            </w:r>
            <w:proofErr w:type="spellEnd"/>
            <w:r w:rsidRPr="00B51DEF">
              <w:rPr>
                <w:i/>
                <w:iCs/>
                <w:sz w:val="20"/>
                <w:szCs w:val="20"/>
              </w:rPr>
              <w:t xml:space="preserve"> S, Abhyankar B, </w:t>
            </w:r>
            <w:proofErr w:type="spellStart"/>
            <w:r w:rsidRPr="00B51DEF">
              <w:rPr>
                <w:i/>
                <w:iCs/>
                <w:sz w:val="20"/>
                <w:szCs w:val="20"/>
              </w:rPr>
              <w:t>Sankoh</w:t>
            </w:r>
            <w:proofErr w:type="spellEnd"/>
            <w:r w:rsidRPr="00B51DEF">
              <w:rPr>
                <w:i/>
                <w:iCs/>
                <w:sz w:val="20"/>
                <w:szCs w:val="20"/>
              </w:rPr>
              <w:t xml:space="preserve"> S, James A, Smyth M. Efficacy of </w:t>
            </w:r>
            <w:proofErr w:type="spellStart"/>
            <w:r w:rsidRPr="00B51DEF">
              <w:rPr>
                <w:i/>
                <w:iCs/>
                <w:sz w:val="20"/>
                <w:szCs w:val="20"/>
              </w:rPr>
              <w:t>Vedolizumab</w:t>
            </w:r>
            <w:proofErr w:type="spellEnd"/>
            <w:r w:rsidRPr="00B51DEF">
              <w:rPr>
                <w:i/>
                <w:iCs/>
                <w:sz w:val="20"/>
                <w:szCs w:val="20"/>
              </w:rPr>
              <w:t xml:space="preserve"> Induction and Maintenance Therapy in Patients With Ulcerative Colitis, Regardless of Prior Exposure to </w:t>
            </w:r>
            <w:proofErr w:type="spellStart"/>
            <w:r w:rsidRPr="00B51DEF">
              <w:rPr>
                <w:i/>
                <w:iCs/>
                <w:sz w:val="20"/>
                <w:szCs w:val="20"/>
              </w:rPr>
              <w:t>Tumor</w:t>
            </w:r>
            <w:proofErr w:type="spellEnd"/>
            <w:r w:rsidRPr="00B51DEF">
              <w:rPr>
                <w:i/>
                <w:iCs/>
                <w:sz w:val="20"/>
                <w:szCs w:val="20"/>
              </w:rPr>
              <w:t xml:space="preserve"> Necrosis Factor Antagonists. </w:t>
            </w:r>
          </w:p>
        </w:tc>
        <w:tc>
          <w:tcPr>
            <w:tcW w:w="1154" w:type="pct"/>
            <w:vAlign w:val="center"/>
          </w:tcPr>
          <w:p w:rsidR="00022D31" w:rsidRPr="00B51DEF" w:rsidRDefault="00022D31" w:rsidP="009467BF">
            <w:pPr>
              <w:pStyle w:val="Tabletext"/>
              <w:rPr>
                <w:i/>
                <w:iCs/>
                <w:sz w:val="20"/>
                <w:szCs w:val="20"/>
              </w:rPr>
            </w:pPr>
            <w:proofErr w:type="spellStart"/>
            <w:r w:rsidRPr="00B51DEF">
              <w:rPr>
                <w:i/>
                <w:iCs/>
                <w:sz w:val="20"/>
                <w:szCs w:val="20"/>
              </w:rPr>
              <w:t>Clin</w:t>
            </w:r>
            <w:proofErr w:type="spellEnd"/>
            <w:r w:rsidRPr="00B51DEF">
              <w:rPr>
                <w:i/>
                <w:iCs/>
                <w:sz w:val="20"/>
                <w:szCs w:val="20"/>
              </w:rPr>
              <w:t xml:space="preserve"> </w:t>
            </w:r>
            <w:proofErr w:type="spellStart"/>
            <w:r w:rsidRPr="00B51DEF">
              <w:rPr>
                <w:i/>
                <w:iCs/>
                <w:sz w:val="20"/>
                <w:szCs w:val="20"/>
              </w:rPr>
              <w:t>Gastroenterol</w:t>
            </w:r>
            <w:proofErr w:type="spellEnd"/>
            <w:r w:rsidRPr="00B51DEF">
              <w:rPr>
                <w:i/>
                <w:iCs/>
                <w:sz w:val="20"/>
                <w:szCs w:val="20"/>
              </w:rPr>
              <w:t xml:space="preserve"> </w:t>
            </w:r>
            <w:proofErr w:type="spellStart"/>
            <w:r w:rsidRPr="00B51DEF">
              <w:rPr>
                <w:i/>
                <w:iCs/>
                <w:sz w:val="20"/>
                <w:szCs w:val="20"/>
              </w:rPr>
              <w:t>Hepatol</w:t>
            </w:r>
            <w:proofErr w:type="spellEnd"/>
            <w:r w:rsidRPr="00B51DEF">
              <w:rPr>
                <w:i/>
                <w:iCs/>
                <w:sz w:val="20"/>
                <w:szCs w:val="20"/>
              </w:rPr>
              <w:t>. 2017 Feb</w:t>
            </w:r>
            <w:proofErr w:type="gramStart"/>
            <w:r w:rsidRPr="00B51DEF">
              <w:rPr>
                <w:i/>
                <w:iCs/>
                <w:sz w:val="20"/>
                <w:szCs w:val="20"/>
              </w:rPr>
              <w:t>;15</w:t>
            </w:r>
            <w:proofErr w:type="gramEnd"/>
            <w:r w:rsidRPr="00B51DEF">
              <w:rPr>
                <w:i/>
                <w:iCs/>
                <w:sz w:val="20"/>
                <w:szCs w:val="20"/>
              </w:rPr>
              <w:t xml:space="preserve">(2):229-239.e5. </w:t>
            </w:r>
          </w:p>
        </w:tc>
      </w:tr>
    </w:tbl>
    <w:p w:rsidR="00022D31" w:rsidRPr="00B51DEF" w:rsidRDefault="00022D31" w:rsidP="009467BF">
      <w:pPr>
        <w:pStyle w:val="TableFooter"/>
        <w:widowControl/>
      </w:pPr>
      <w:r w:rsidRPr="00B51DEF">
        <w:t>Source: Table 2.2.1-5, pp35-39 of the submission</w:t>
      </w:r>
    </w:p>
    <w:p w:rsidR="00022D31" w:rsidRPr="00B51DEF" w:rsidRDefault="00022D31" w:rsidP="009467BF">
      <w:pPr>
        <w:pStyle w:val="TableFooter"/>
        <w:widowControl/>
      </w:pPr>
      <w:r w:rsidRPr="00B51DEF">
        <w:t>Italics = these trials/publications were excluded in the submission, but included in the</w:t>
      </w:r>
      <w:r w:rsidR="00DB4453" w:rsidRPr="00B51DEF">
        <w:t xml:space="preserve"> evaluation</w:t>
      </w:r>
      <w:r w:rsidRPr="00B51DEF">
        <w:t>.</w:t>
      </w:r>
    </w:p>
    <w:p w:rsidR="006670A2" w:rsidRDefault="00022D31" w:rsidP="006670A2">
      <w:pPr>
        <w:pStyle w:val="ListParagraph"/>
        <w:widowControl/>
        <w:numPr>
          <w:ilvl w:val="1"/>
          <w:numId w:val="3"/>
        </w:numPr>
        <w:spacing w:before="120" w:after="120"/>
      </w:pPr>
      <w:r w:rsidRPr="00B51DEF">
        <w:t>Table 4 presents the key features of trials presented in the</w:t>
      </w:r>
      <w:r w:rsidR="00DB4453" w:rsidRPr="00B51DEF">
        <w:t xml:space="preserve"> evaluation</w:t>
      </w:r>
      <w:r w:rsidRPr="00B51DEF">
        <w:t xml:space="preserve">. </w:t>
      </w:r>
    </w:p>
    <w:p w:rsidR="00022D31" w:rsidRPr="00B51DEF" w:rsidRDefault="006670A2" w:rsidP="006670A2">
      <w:pPr>
        <w:widowControl/>
        <w:jc w:val="left"/>
      </w:pPr>
      <w:r>
        <w:br w:type="page"/>
      </w:r>
    </w:p>
    <w:p w:rsidR="00022D31" w:rsidRPr="00B51DEF" w:rsidRDefault="00022D31" w:rsidP="009467BF">
      <w:pPr>
        <w:pStyle w:val="TableHeading0"/>
        <w:rPr>
          <w:rStyle w:val="CommentReference"/>
        </w:rPr>
      </w:pPr>
      <w:r w:rsidRPr="00B51DEF">
        <w:lastRenderedPageBreak/>
        <w:t xml:space="preserve">Table </w:t>
      </w:r>
      <w:r w:rsidR="004D1D00" w:rsidRPr="00B51DEF">
        <w:t>4</w:t>
      </w:r>
      <w:r w:rsidRPr="00B51DEF">
        <w:t xml:space="preserve"> </w:t>
      </w:r>
      <w:r w:rsidRPr="00B51DEF">
        <w:rPr>
          <w:rStyle w:val="CommentReference"/>
          <w:b/>
          <w:bCs/>
        </w:rPr>
        <w:t>Key features of the included evidence</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550"/>
        <w:gridCol w:w="585"/>
        <w:gridCol w:w="2120"/>
        <w:gridCol w:w="848"/>
        <w:gridCol w:w="1273"/>
        <w:gridCol w:w="3117"/>
      </w:tblGrid>
      <w:tr w:rsidR="00022D31" w:rsidRPr="00B51DEF" w:rsidTr="006D40D3">
        <w:trPr>
          <w:tblHeader/>
        </w:trPr>
        <w:tc>
          <w:tcPr>
            <w:tcW w:w="818" w:type="pct"/>
            <w:shd w:val="clear" w:color="auto" w:fill="auto"/>
            <w:vAlign w:val="center"/>
          </w:tcPr>
          <w:p w:rsidR="00022D31" w:rsidRPr="00B51DEF" w:rsidRDefault="00022D31" w:rsidP="009467BF">
            <w:pPr>
              <w:pStyle w:val="Tabletext"/>
              <w:rPr>
                <w:b/>
                <w:sz w:val="20"/>
                <w:szCs w:val="20"/>
              </w:rPr>
            </w:pPr>
            <w:r w:rsidRPr="00B51DEF">
              <w:rPr>
                <w:b/>
                <w:sz w:val="20"/>
                <w:szCs w:val="20"/>
              </w:rPr>
              <w:t>Trial</w:t>
            </w:r>
          </w:p>
        </w:tc>
        <w:tc>
          <w:tcPr>
            <w:tcW w:w="301" w:type="pct"/>
            <w:shd w:val="clear" w:color="auto" w:fill="auto"/>
            <w:vAlign w:val="center"/>
          </w:tcPr>
          <w:p w:rsidR="00022D31" w:rsidRPr="00B51DEF" w:rsidRDefault="00022D31" w:rsidP="009467BF">
            <w:pPr>
              <w:pStyle w:val="Tabletext"/>
              <w:jc w:val="center"/>
              <w:rPr>
                <w:b/>
                <w:sz w:val="20"/>
                <w:szCs w:val="20"/>
              </w:rPr>
            </w:pPr>
            <w:r w:rsidRPr="00B51DEF">
              <w:rPr>
                <w:b/>
                <w:sz w:val="20"/>
                <w:szCs w:val="20"/>
              </w:rPr>
              <w:t>N</w:t>
            </w:r>
          </w:p>
        </w:tc>
        <w:tc>
          <w:tcPr>
            <w:tcW w:w="1118" w:type="pct"/>
            <w:shd w:val="clear" w:color="auto" w:fill="auto"/>
            <w:vAlign w:val="center"/>
          </w:tcPr>
          <w:p w:rsidR="00022D31" w:rsidRPr="00B51DEF" w:rsidRDefault="00022D31" w:rsidP="009467BF">
            <w:pPr>
              <w:pStyle w:val="Tabletext"/>
              <w:jc w:val="center"/>
              <w:rPr>
                <w:b/>
                <w:sz w:val="20"/>
                <w:szCs w:val="20"/>
              </w:rPr>
            </w:pPr>
            <w:r w:rsidRPr="00B51DEF">
              <w:rPr>
                <w:b/>
                <w:sz w:val="20"/>
                <w:szCs w:val="20"/>
              </w:rPr>
              <w:t>Design/ duration</w:t>
            </w:r>
          </w:p>
        </w:tc>
        <w:tc>
          <w:tcPr>
            <w:tcW w:w="448" w:type="pct"/>
            <w:shd w:val="clear" w:color="auto" w:fill="auto"/>
            <w:vAlign w:val="center"/>
          </w:tcPr>
          <w:p w:rsidR="00022D31" w:rsidRPr="00B51DEF" w:rsidRDefault="00022D31" w:rsidP="009467BF">
            <w:pPr>
              <w:pStyle w:val="Tabletext"/>
              <w:jc w:val="center"/>
              <w:rPr>
                <w:b/>
                <w:sz w:val="20"/>
                <w:szCs w:val="20"/>
              </w:rPr>
            </w:pPr>
            <w:r w:rsidRPr="00B51DEF">
              <w:rPr>
                <w:b/>
                <w:sz w:val="20"/>
                <w:szCs w:val="20"/>
              </w:rPr>
              <w:t>Risk of bias</w:t>
            </w:r>
          </w:p>
        </w:tc>
        <w:tc>
          <w:tcPr>
            <w:tcW w:w="672" w:type="pct"/>
            <w:shd w:val="clear" w:color="auto" w:fill="auto"/>
            <w:vAlign w:val="center"/>
          </w:tcPr>
          <w:p w:rsidR="00022D31" w:rsidRPr="00B51DEF" w:rsidRDefault="00022D31" w:rsidP="009467BF">
            <w:pPr>
              <w:pStyle w:val="Tabletext"/>
              <w:jc w:val="center"/>
              <w:rPr>
                <w:b/>
                <w:sz w:val="20"/>
                <w:szCs w:val="20"/>
              </w:rPr>
            </w:pPr>
            <w:r w:rsidRPr="00B51DEF">
              <w:rPr>
                <w:b/>
                <w:sz w:val="20"/>
                <w:szCs w:val="20"/>
              </w:rPr>
              <w:t>Patient population</w:t>
            </w:r>
          </w:p>
        </w:tc>
        <w:tc>
          <w:tcPr>
            <w:tcW w:w="1643" w:type="pct"/>
            <w:shd w:val="clear" w:color="auto" w:fill="auto"/>
            <w:vAlign w:val="center"/>
          </w:tcPr>
          <w:p w:rsidR="00022D31" w:rsidRPr="00B51DEF" w:rsidRDefault="00022D31" w:rsidP="009467BF">
            <w:pPr>
              <w:pStyle w:val="Tabletext"/>
              <w:jc w:val="center"/>
              <w:rPr>
                <w:b/>
                <w:sz w:val="20"/>
                <w:szCs w:val="20"/>
              </w:rPr>
            </w:pPr>
            <w:r w:rsidRPr="00B51DEF">
              <w:rPr>
                <w:b/>
                <w:sz w:val="20"/>
                <w:szCs w:val="20"/>
              </w:rPr>
              <w:t>Key outcome(s)</w:t>
            </w:r>
          </w:p>
        </w:tc>
      </w:tr>
      <w:tr w:rsidR="00022D31" w:rsidRPr="00B51DEF" w:rsidTr="006D40D3">
        <w:tc>
          <w:tcPr>
            <w:tcW w:w="5000" w:type="pct"/>
            <w:gridSpan w:val="6"/>
            <w:shd w:val="clear" w:color="auto" w:fill="auto"/>
            <w:vAlign w:val="center"/>
          </w:tcPr>
          <w:p w:rsidR="00022D31" w:rsidRPr="00B51DEF" w:rsidRDefault="00022D31" w:rsidP="009467BF">
            <w:pPr>
              <w:pStyle w:val="Tabletext"/>
              <w:rPr>
                <w:b/>
                <w:sz w:val="20"/>
                <w:szCs w:val="20"/>
              </w:rPr>
            </w:pPr>
            <w:r w:rsidRPr="00B51DEF">
              <w:rPr>
                <w:b/>
                <w:sz w:val="20"/>
                <w:szCs w:val="20"/>
              </w:rPr>
              <w:t>TOF v PBO</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OCTAVE 1</w:t>
            </w:r>
          </w:p>
          <w:p w:rsidR="00022D31" w:rsidRPr="00B51DEF" w:rsidRDefault="00022D31" w:rsidP="009467BF">
            <w:pPr>
              <w:pStyle w:val="Tabletext"/>
              <w:rPr>
                <w:sz w:val="20"/>
                <w:szCs w:val="20"/>
              </w:rPr>
            </w:pPr>
            <w:r w:rsidRPr="00B51DEF">
              <w:rPr>
                <w:sz w:val="20"/>
                <w:szCs w:val="20"/>
              </w:rPr>
              <w:t>[Induction]</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598</w:t>
            </w:r>
          </w:p>
        </w:tc>
        <w:tc>
          <w:tcPr>
            <w:tcW w:w="1118" w:type="pct"/>
            <w:vMerge w:val="restart"/>
            <w:shd w:val="clear" w:color="auto" w:fill="auto"/>
            <w:vAlign w:val="center"/>
          </w:tcPr>
          <w:p w:rsidR="00022D31" w:rsidRPr="00B51DEF" w:rsidRDefault="00022D31" w:rsidP="009467BF">
            <w:pPr>
              <w:pStyle w:val="Tabletext"/>
              <w:rPr>
                <w:sz w:val="20"/>
                <w:szCs w:val="20"/>
              </w:rPr>
            </w:pPr>
            <w:r w:rsidRPr="00B51DEF">
              <w:rPr>
                <w:sz w:val="20"/>
                <w:szCs w:val="20"/>
              </w:rPr>
              <w:t>P3 MC, R, PC, DB (8wk).</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sz w:val="20"/>
                <w:szCs w:val="20"/>
              </w:rPr>
            </w:pPr>
            <w:proofErr w:type="spellStart"/>
            <w:r w:rsidRPr="00B51DEF">
              <w:rPr>
                <w:iCs/>
                <w:sz w:val="20"/>
                <w:szCs w:val="20"/>
              </w:rPr>
              <w:t>TNFi</w:t>
            </w:r>
            <w:proofErr w:type="spellEnd"/>
            <w:r w:rsidRPr="00B51DEF">
              <w:rPr>
                <w:iCs/>
                <w:sz w:val="20"/>
                <w:szCs w:val="20"/>
              </w:rPr>
              <w:t xml:space="preserve">-n &amp; </w:t>
            </w:r>
            <w:proofErr w:type="spellStart"/>
            <w:r w:rsidRPr="00B51DEF">
              <w:rPr>
                <w:iCs/>
                <w:sz w:val="20"/>
                <w:szCs w:val="20"/>
              </w:rPr>
              <w:t>TNFi</w:t>
            </w:r>
            <w:proofErr w:type="spellEnd"/>
            <w:r w:rsidRPr="00B51DEF">
              <w:rPr>
                <w:iCs/>
                <w:sz w:val="20"/>
                <w:szCs w:val="20"/>
              </w:rPr>
              <w:t>-e</w:t>
            </w:r>
          </w:p>
        </w:tc>
        <w:tc>
          <w:tcPr>
            <w:tcW w:w="1643" w:type="pct"/>
            <w:vMerge w:val="restar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remission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xml:space="preserve">: clinical remission, clinical response, mucosal healing </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OCTAVE 2</w:t>
            </w:r>
          </w:p>
          <w:p w:rsidR="00022D31" w:rsidRPr="00B51DEF" w:rsidRDefault="00022D31" w:rsidP="009467BF">
            <w:pPr>
              <w:pStyle w:val="Tabletext"/>
              <w:rPr>
                <w:sz w:val="20"/>
                <w:szCs w:val="20"/>
              </w:rPr>
            </w:pPr>
            <w:r w:rsidRPr="00B51DEF">
              <w:rPr>
                <w:sz w:val="20"/>
                <w:szCs w:val="20"/>
              </w:rPr>
              <w:t>[Induction]</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541</w:t>
            </w:r>
          </w:p>
        </w:tc>
        <w:tc>
          <w:tcPr>
            <w:tcW w:w="1118" w:type="pct"/>
            <w:vMerge/>
            <w:shd w:val="clear" w:color="auto" w:fill="auto"/>
            <w:vAlign w:val="center"/>
          </w:tcPr>
          <w:p w:rsidR="00022D31" w:rsidRPr="00B51DEF" w:rsidRDefault="00022D31" w:rsidP="009467BF">
            <w:pPr>
              <w:pStyle w:val="Tabletext"/>
              <w:rPr>
                <w:sz w:val="20"/>
                <w:szCs w:val="20"/>
              </w:rPr>
            </w:pP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sz w:val="20"/>
                <w:szCs w:val="20"/>
              </w:rPr>
            </w:pPr>
            <w:proofErr w:type="spellStart"/>
            <w:r w:rsidRPr="00B51DEF">
              <w:rPr>
                <w:iCs/>
                <w:sz w:val="20"/>
                <w:szCs w:val="20"/>
              </w:rPr>
              <w:t>TNFi</w:t>
            </w:r>
            <w:proofErr w:type="spellEnd"/>
            <w:r w:rsidRPr="00B51DEF">
              <w:rPr>
                <w:iCs/>
                <w:sz w:val="20"/>
                <w:szCs w:val="20"/>
              </w:rPr>
              <w:t xml:space="preserve">-n &amp; </w:t>
            </w:r>
            <w:proofErr w:type="spellStart"/>
            <w:r w:rsidRPr="00B51DEF">
              <w:rPr>
                <w:iCs/>
                <w:sz w:val="20"/>
                <w:szCs w:val="20"/>
              </w:rPr>
              <w:t>TNFi</w:t>
            </w:r>
            <w:proofErr w:type="spellEnd"/>
            <w:r w:rsidRPr="00B51DEF">
              <w:rPr>
                <w:iCs/>
                <w:sz w:val="20"/>
                <w:szCs w:val="20"/>
              </w:rPr>
              <w:t>-e</w:t>
            </w:r>
          </w:p>
        </w:tc>
        <w:tc>
          <w:tcPr>
            <w:tcW w:w="1643" w:type="pct"/>
            <w:vMerge/>
            <w:shd w:val="clear" w:color="auto" w:fill="auto"/>
            <w:vAlign w:val="center"/>
          </w:tcPr>
          <w:p w:rsidR="00022D31" w:rsidRPr="00B51DEF" w:rsidRDefault="00022D31" w:rsidP="009467BF">
            <w:pPr>
              <w:pStyle w:val="Tabletext"/>
              <w:rPr>
                <w:sz w:val="20"/>
                <w:szCs w:val="20"/>
              </w:rPr>
            </w:pP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OCTAVE SUSTAIN</w:t>
            </w:r>
          </w:p>
          <w:p w:rsidR="00022D31" w:rsidRPr="00B51DEF" w:rsidRDefault="00022D31" w:rsidP="009467BF">
            <w:pPr>
              <w:pStyle w:val="Tabletext"/>
              <w:rPr>
                <w:sz w:val="20"/>
                <w:szCs w:val="20"/>
              </w:rPr>
            </w:pPr>
            <w:r w:rsidRPr="00B51DEF">
              <w:rPr>
                <w:sz w:val="20"/>
                <w:szCs w:val="20"/>
              </w:rPr>
              <w:t>[maintenance]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593</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P3, MC, R, PC, DB (52wk), RWD, 3-arm.</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High</w:t>
            </w:r>
          </w:p>
        </w:tc>
        <w:tc>
          <w:tcPr>
            <w:tcW w:w="672" w:type="pct"/>
            <w:shd w:val="clear" w:color="auto" w:fill="auto"/>
            <w:vAlign w:val="center"/>
          </w:tcPr>
          <w:p w:rsidR="00022D31" w:rsidRPr="00B51DEF" w:rsidRDefault="00022D31" w:rsidP="009467BF">
            <w:pPr>
              <w:pStyle w:val="Tabletext"/>
              <w:jc w:val="center"/>
              <w:rPr>
                <w:sz w:val="20"/>
                <w:szCs w:val="20"/>
                <w:highlight w:val="yellow"/>
              </w:rPr>
            </w:pPr>
            <w:proofErr w:type="spellStart"/>
            <w:r w:rsidRPr="00B51DEF">
              <w:rPr>
                <w:sz w:val="20"/>
                <w:szCs w:val="20"/>
              </w:rPr>
              <w:t>Wk</w:t>
            </w:r>
            <w:proofErr w:type="spellEnd"/>
            <w:r w:rsidRPr="00B51DEF">
              <w:rPr>
                <w:sz w:val="20"/>
                <w:szCs w:val="20"/>
              </w:rPr>
              <w:t xml:space="preserve"> 8 responders in OCTAVE 1,2 </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remission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xml:space="preserve">: clinical remission, clinical response, sustained clinical remission, sustained clinical response, mucosal healing, corticosteroid-free remission </w:t>
            </w:r>
          </w:p>
        </w:tc>
      </w:tr>
      <w:tr w:rsidR="00022D31" w:rsidRPr="00B51DEF" w:rsidTr="006D40D3">
        <w:tc>
          <w:tcPr>
            <w:tcW w:w="5000" w:type="pct"/>
            <w:gridSpan w:val="6"/>
            <w:shd w:val="clear" w:color="auto" w:fill="auto"/>
            <w:vAlign w:val="center"/>
          </w:tcPr>
          <w:p w:rsidR="00022D31" w:rsidRPr="00B51DEF" w:rsidRDefault="00022D31" w:rsidP="009467BF">
            <w:pPr>
              <w:pStyle w:val="Tabletext"/>
              <w:rPr>
                <w:b/>
                <w:bCs/>
                <w:sz w:val="20"/>
                <w:szCs w:val="20"/>
              </w:rPr>
            </w:pPr>
            <w:r w:rsidRPr="00B51DEF">
              <w:rPr>
                <w:b/>
                <w:bCs/>
                <w:sz w:val="20"/>
                <w:szCs w:val="20"/>
              </w:rPr>
              <w:t>IFX v PBO</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ACT 1</w:t>
            </w:r>
          </w:p>
          <w:p w:rsidR="00022D31" w:rsidRPr="00B51DEF" w:rsidRDefault="00022D31" w:rsidP="009467BF">
            <w:pPr>
              <w:pStyle w:val="Tabletext"/>
              <w:rPr>
                <w:sz w:val="20"/>
                <w:szCs w:val="20"/>
              </w:rPr>
            </w:pPr>
            <w:r w:rsidRPr="00B51DEF">
              <w:rPr>
                <w:sz w:val="20"/>
                <w:szCs w:val="20"/>
              </w:rPr>
              <w:t>[induction &amp; 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364</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P3 MC, R, PC, DB (52wk), 3-arm</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sz w:val="20"/>
                <w:szCs w:val="20"/>
              </w:rPr>
            </w:pPr>
            <w:proofErr w:type="spellStart"/>
            <w:r w:rsidRPr="00B51DEF">
              <w:rPr>
                <w:iCs/>
                <w:sz w:val="20"/>
                <w:szCs w:val="20"/>
              </w:rPr>
              <w:t>TNFi</w:t>
            </w:r>
            <w:proofErr w:type="spellEnd"/>
            <w:r w:rsidRPr="00B51DEF">
              <w:rPr>
                <w:iCs/>
                <w:sz w:val="20"/>
                <w:szCs w:val="20"/>
              </w:rPr>
              <w:t>-n</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response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clinical remission, mucosal healing, sustained clinical response, sustained clinical remission</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ACT 2</w:t>
            </w:r>
          </w:p>
          <w:p w:rsidR="00022D31" w:rsidRPr="00B51DEF" w:rsidRDefault="00022D31" w:rsidP="009467BF">
            <w:pPr>
              <w:pStyle w:val="Tabletext"/>
              <w:rPr>
                <w:sz w:val="20"/>
                <w:szCs w:val="20"/>
              </w:rPr>
            </w:pPr>
            <w:r w:rsidRPr="00B51DEF">
              <w:rPr>
                <w:sz w:val="20"/>
                <w:szCs w:val="20"/>
              </w:rPr>
              <w:t>[induction &amp; 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364</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P3 MC, R, PC, DB (30wk), 3-arm</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sz w:val="20"/>
                <w:szCs w:val="20"/>
              </w:rPr>
            </w:pPr>
            <w:proofErr w:type="spellStart"/>
            <w:r w:rsidRPr="00B51DEF">
              <w:rPr>
                <w:iCs/>
                <w:sz w:val="20"/>
                <w:szCs w:val="20"/>
              </w:rPr>
              <w:t>TNFi</w:t>
            </w:r>
            <w:proofErr w:type="spellEnd"/>
            <w:r w:rsidRPr="00B51DEF">
              <w:rPr>
                <w:iCs/>
                <w:sz w:val="20"/>
                <w:szCs w:val="20"/>
              </w:rPr>
              <w:t>-n</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response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xml:space="preserve">: clinical remission, mucosal healing </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Jiang 2015</w:t>
            </w:r>
          </w:p>
          <w:p w:rsidR="00022D31" w:rsidRPr="00B51DEF" w:rsidRDefault="00022D31" w:rsidP="009467BF">
            <w:pPr>
              <w:pStyle w:val="Tabletext"/>
              <w:rPr>
                <w:sz w:val="20"/>
                <w:szCs w:val="20"/>
              </w:rPr>
            </w:pPr>
            <w:r w:rsidRPr="00B51DEF">
              <w:rPr>
                <w:sz w:val="20"/>
                <w:szCs w:val="20"/>
              </w:rPr>
              <w:t>[induction &amp; 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123</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MC, R, PC, DB (30wk), 3-arm</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iCs/>
                <w:sz w:val="20"/>
                <w:szCs w:val="20"/>
              </w:rPr>
            </w:pPr>
            <w:proofErr w:type="spellStart"/>
            <w:r w:rsidRPr="00B51DEF">
              <w:rPr>
                <w:iCs/>
                <w:sz w:val="20"/>
                <w:szCs w:val="20"/>
              </w:rPr>
              <w:t>TNFi</w:t>
            </w:r>
            <w:proofErr w:type="spellEnd"/>
            <w:r w:rsidRPr="00B51DEF">
              <w:rPr>
                <w:iCs/>
                <w:sz w:val="20"/>
                <w:szCs w:val="20"/>
              </w:rPr>
              <w:t>-n</w:t>
            </w:r>
          </w:p>
          <w:p w:rsidR="00022D31" w:rsidRPr="00B51DEF" w:rsidRDefault="00022D31" w:rsidP="009467BF">
            <w:pPr>
              <w:pStyle w:val="Tabletext"/>
              <w:jc w:val="center"/>
              <w:rPr>
                <w:sz w:val="20"/>
                <w:szCs w:val="20"/>
              </w:rPr>
            </w:pPr>
            <w:r w:rsidRPr="00B51DEF">
              <w:rPr>
                <w:iCs/>
                <w:sz w:val="20"/>
                <w:szCs w:val="20"/>
              </w:rPr>
              <w:t>(Chinese)</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response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xml:space="preserve">: clinical remission, mucosal healing </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REMICADE</w:t>
            </w:r>
          </w:p>
          <w:p w:rsidR="00022D31" w:rsidRPr="00B51DEF" w:rsidRDefault="00022D31" w:rsidP="009467BF">
            <w:pPr>
              <w:pStyle w:val="Tabletext"/>
              <w:rPr>
                <w:sz w:val="20"/>
                <w:szCs w:val="20"/>
              </w:rPr>
            </w:pPr>
            <w:r w:rsidRPr="00B51DEF">
              <w:rPr>
                <w:sz w:val="20"/>
                <w:szCs w:val="20"/>
              </w:rPr>
              <w:t>[induction &amp; 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99</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P3 MC, R, PC, DB (26wk)</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 xml:space="preserve">Prior </w:t>
            </w:r>
            <w:proofErr w:type="spellStart"/>
            <w:r w:rsidRPr="00B51DEF">
              <w:rPr>
                <w:sz w:val="20"/>
                <w:szCs w:val="20"/>
              </w:rPr>
              <w:t>TNFi</w:t>
            </w:r>
            <w:proofErr w:type="spellEnd"/>
            <w:r w:rsidRPr="00B51DEF">
              <w:rPr>
                <w:sz w:val="20"/>
                <w:szCs w:val="20"/>
              </w:rPr>
              <w:t xml:space="preserve"> NR</w:t>
            </w:r>
          </w:p>
          <w:p w:rsidR="00022D31" w:rsidRPr="00B51DEF" w:rsidRDefault="00022D31" w:rsidP="009467BF">
            <w:pPr>
              <w:pStyle w:val="Tabletext"/>
              <w:jc w:val="center"/>
              <w:rPr>
                <w:sz w:val="20"/>
                <w:szCs w:val="20"/>
              </w:rPr>
            </w:pPr>
            <w:r w:rsidRPr="00B51DEF">
              <w:rPr>
                <w:iCs/>
                <w:sz w:val="20"/>
                <w:szCs w:val="20"/>
              </w:rPr>
              <w:t>(Chinese)</w:t>
            </w:r>
            <w:r w:rsidRPr="00B51DEF">
              <w:rPr>
                <w:sz w:val="20"/>
                <w:szCs w:val="20"/>
              </w:rPr>
              <w:t xml:space="preserve"> </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response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clinical remission, mucosal healing, sustained clinical response, sustained clinical remission</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Kobayashi 2016</w:t>
            </w:r>
          </w:p>
          <w:p w:rsidR="00022D31" w:rsidRPr="00B51DEF" w:rsidRDefault="00022D31" w:rsidP="009467BF">
            <w:pPr>
              <w:pStyle w:val="Tabletext"/>
              <w:rPr>
                <w:sz w:val="20"/>
                <w:szCs w:val="20"/>
              </w:rPr>
            </w:pPr>
            <w:r w:rsidRPr="00B51DEF">
              <w:rPr>
                <w:sz w:val="20"/>
                <w:szCs w:val="20"/>
              </w:rPr>
              <w:t>[induction &amp; 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IP: 208</w:t>
            </w:r>
          </w:p>
          <w:p w:rsidR="00022D31" w:rsidRPr="00B51DEF" w:rsidRDefault="00022D31" w:rsidP="009467BF">
            <w:pPr>
              <w:pStyle w:val="Tabletext"/>
              <w:jc w:val="center"/>
              <w:rPr>
                <w:sz w:val="20"/>
                <w:szCs w:val="20"/>
              </w:rPr>
            </w:pPr>
            <w:r w:rsidRPr="00B51DEF">
              <w:rPr>
                <w:sz w:val="20"/>
                <w:szCs w:val="20"/>
              </w:rPr>
              <w:t>MP:NR</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P3 MC, R, PC, DB (30wk), RWD for maintenance (8wk induction, 22wk maintenance)</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sz w:val="20"/>
                <w:szCs w:val="20"/>
              </w:rPr>
            </w:pPr>
            <w:proofErr w:type="spellStart"/>
            <w:r w:rsidRPr="00B51DEF">
              <w:rPr>
                <w:sz w:val="20"/>
                <w:szCs w:val="20"/>
              </w:rPr>
              <w:t>TNFi</w:t>
            </w:r>
            <w:proofErr w:type="spellEnd"/>
            <w:r w:rsidRPr="00B51DEF">
              <w:rPr>
                <w:sz w:val="20"/>
                <w:szCs w:val="20"/>
              </w:rPr>
              <w:t>-n</w:t>
            </w:r>
          </w:p>
          <w:p w:rsidR="00022D31" w:rsidRPr="00B51DEF" w:rsidRDefault="00022D31" w:rsidP="009467BF">
            <w:pPr>
              <w:pStyle w:val="Tabletext"/>
              <w:jc w:val="center"/>
              <w:rPr>
                <w:sz w:val="20"/>
                <w:szCs w:val="20"/>
              </w:rPr>
            </w:pPr>
            <w:r w:rsidRPr="00B51DEF">
              <w:rPr>
                <w:sz w:val="20"/>
                <w:szCs w:val="20"/>
              </w:rPr>
              <w:t>(Japanese)</w:t>
            </w:r>
          </w:p>
          <w:p w:rsidR="00022D31" w:rsidRPr="00B51DEF" w:rsidRDefault="00022D31" w:rsidP="009467BF">
            <w:pPr>
              <w:pStyle w:val="Tabletext"/>
              <w:jc w:val="center"/>
              <w:rPr>
                <w:sz w:val="20"/>
                <w:szCs w:val="20"/>
              </w:rPr>
            </w:pPr>
            <w:r w:rsidRPr="00B51DEF">
              <w:rPr>
                <w:sz w:val="20"/>
                <w:szCs w:val="20"/>
              </w:rPr>
              <w:t xml:space="preserve">Maintenance: </w:t>
            </w:r>
          </w:p>
          <w:p w:rsidR="00022D31" w:rsidRPr="00B51DEF" w:rsidRDefault="00022D31" w:rsidP="009467BF">
            <w:pPr>
              <w:pStyle w:val="Tabletext"/>
              <w:jc w:val="center"/>
              <w:rPr>
                <w:sz w:val="20"/>
                <w:szCs w:val="20"/>
              </w:rPr>
            </w:pPr>
            <w:r w:rsidRPr="00B51DEF">
              <w:rPr>
                <w:sz w:val="20"/>
                <w:szCs w:val="20"/>
              </w:rPr>
              <w:t>Wk8 responders</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response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clinical remission, mucosal healing</w:t>
            </w:r>
          </w:p>
        </w:tc>
      </w:tr>
      <w:tr w:rsidR="00022D31" w:rsidRPr="00B51DEF" w:rsidTr="006D40D3">
        <w:tc>
          <w:tcPr>
            <w:tcW w:w="5000" w:type="pct"/>
            <w:gridSpan w:val="6"/>
            <w:shd w:val="clear" w:color="auto" w:fill="auto"/>
            <w:vAlign w:val="center"/>
          </w:tcPr>
          <w:p w:rsidR="00022D31" w:rsidRPr="00B51DEF" w:rsidRDefault="00022D31" w:rsidP="009467BF">
            <w:pPr>
              <w:pStyle w:val="Tabletext"/>
              <w:rPr>
                <w:b/>
                <w:bCs/>
                <w:sz w:val="20"/>
                <w:szCs w:val="20"/>
              </w:rPr>
            </w:pPr>
            <w:r w:rsidRPr="00B51DEF">
              <w:rPr>
                <w:b/>
                <w:bCs/>
                <w:sz w:val="20"/>
                <w:szCs w:val="20"/>
              </w:rPr>
              <w:t>GOL v PBO</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PURSUIT-SC</w:t>
            </w:r>
          </w:p>
          <w:p w:rsidR="00022D31" w:rsidRPr="00B51DEF" w:rsidRDefault="00022D31" w:rsidP="009467BF">
            <w:pPr>
              <w:pStyle w:val="Tabletext"/>
              <w:rPr>
                <w:sz w:val="20"/>
                <w:szCs w:val="20"/>
              </w:rPr>
            </w:pPr>
            <w:r w:rsidRPr="00B51DEF">
              <w:rPr>
                <w:sz w:val="20"/>
                <w:szCs w:val="20"/>
              </w:rPr>
              <w:t>[induction]</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Pt1:</w:t>
            </w:r>
          </w:p>
          <w:p w:rsidR="00022D31" w:rsidRPr="00B51DEF" w:rsidRDefault="00022D31" w:rsidP="009467BF">
            <w:pPr>
              <w:pStyle w:val="Tabletext"/>
              <w:jc w:val="center"/>
              <w:rPr>
                <w:iCs/>
                <w:sz w:val="20"/>
                <w:szCs w:val="20"/>
              </w:rPr>
            </w:pPr>
            <w:r w:rsidRPr="00B51DEF">
              <w:rPr>
                <w:iCs/>
                <w:sz w:val="20"/>
                <w:szCs w:val="20"/>
              </w:rPr>
              <w:t>84</w:t>
            </w:r>
          </w:p>
          <w:p w:rsidR="00022D31" w:rsidRPr="00B51DEF" w:rsidRDefault="00022D31" w:rsidP="009467BF">
            <w:pPr>
              <w:pStyle w:val="Tabletext"/>
              <w:jc w:val="center"/>
              <w:rPr>
                <w:sz w:val="20"/>
                <w:szCs w:val="20"/>
              </w:rPr>
            </w:pPr>
            <w:r w:rsidRPr="00B51DEF">
              <w:rPr>
                <w:sz w:val="20"/>
                <w:szCs w:val="20"/>
              </w:rPr>
              <w:t xml:space="preserve">Pt2: </w:t>
            </w:r>
            <w:r w:rsidRPr="00B51DEF">
              <w:rPr>
                <w:iCs/>
                <w:sz w:val="20"/>
                <w:szCs w:val="20"/>
              </w:rPr>
              <w:t>516</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P2/3, MC, R, PC, DB (6wk), Part 1 cohort - 4arm dose ranging (6wk); Part 2 cohort - 3-arm dose confirming (6wk).</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sz w:val="20"/>
                <w:szCs w:val="20"/>
              </w:rPr>
            </w:pPr>
            <w:proofErr w:type="spellStart"/>
            <w:r w:rsidRPr="00B51DEF">
              <w:rPr>
                <w:iCs/>
                <w:sz w:val="20"/>
                <w:szCs w:val="20"/>
              </w:rPr>
              <w:t>TNFi</w:t>
            </w:r>
            <w:proofErr w:type="spellEnd"/>
            <w:r w:rsidRPr="00B51DEF">
              <w:rPr>
                <w:iCs/>
                <w:sz w:val="20"/>
                <w:szCs w:val="20"/>
              </w:rPr>
              <w:t>-n</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response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clinical remission, mucosal healing, IBDQ change from baseline</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PURSUIT-M</w:t>
            </w:r>
          </w:p>
          <w:p w:rsidR="00022D31" w:rsidRPr="00B51DEF" w:rsidRDefault="00022D31" w:rsidP="009467BF">
            <w:pPr>
              <w:pStyle w:val="Tabletext"/>
              <w:rPr>
                <w:sz w:val="20"/>
                <w:szCs w:val="20"/>
              </w:rPr>
            </w:pPr>
            <w:r w:rsidRPr="00B51DEF">
              <w:rPr>
                <w:sz w:val="20"/>
                <w:szCs w:val="20"/>
              </w:rPr>
              <w:t>[maintenance]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464</w:t>
            </w:r>
          </w:p>
        </w:tc>
        <w:tc>
          <w:tcPr>
            <w:tcW w:w="1118" w:type="pct"/>
            <w:shd w:val="clear" w:color="auto" w:fill="auto"/>
            <w:vAlign w:val="center"/>
          </w:tcPr>
          <w:p w:rsidR="00022D31" w:rsidRPr="00B51DEF" w:rsidRDefault="00022D31" w:rsidP="009467BF">
            <w:pPr>
              <w:pStyle w:val="Tabletext"/>
              <w:rPr>
                <w:iCs/>
                <w:sz w:val="20"/>
                <w:szCs w:val="20"/>
              </w:rPr>
            </w:pPr>
            <w:r w:rsidRPr="00B51DEF">
              <w:rPr>
                <w:iCs/>
                <w:sz w:val="20"/>
                <w:szCs w:val="20"/>
              </w:rPr>
              <w:t>P3, MC, R, PC, DB (52wk), RWD, 3-arm (</w:t>
            </w:r>
            <w:r w:rsidRPr="00B51DEF">
              <w:rPr>
                <w:sz w:val="20"/>
                <w:szCs w:val="20"/>
              </w:rPr>
              <w:t>Included non-randomised cohort separately^)</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High</w:t>
            </w:r>
          </w:p>
        </w:tc>
        <w:tc>
          <w:tcPr>
            <w:tcW w:w="672" w:type="pct"/>
            <w:shd w:val="clear" w:color="auto" w:fill="auto"/>
            <w:vAlign w:val="center"/>
          </w:tcPr>
          <w:p w:rsidR="00022D31" w:rsidRPr="00B51DEF" w:rsidRDefault="00022D31" w:rsidP="009467BF">
            <w:pPr>
              <w:pStyle w:val="Tabletext"/>
              <w:jc w:val="center"/>
              <w:rPr>
                <w:sz w:val="20"/>
                <w:szCs w:val="20"/>
                <w:highlight w:val="yellow"/>
              </w:rPr>
            </w:pPr>
            <w:r w:rsidRPr="00B51DEF">
              <w:rPr>
                <w:sz w:val="20"/>
                <w:szCs w:val="20"/>
              </w:rPr>
              <w:t>Wk6 active responders in PURSUIT-SC &amp; PURSUIT IV</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sustained clinical response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sustained clinical remission, sustained mucosal healing, sustained clinical remission among patients with baseline clinical remission, corticoid-free clinical remission</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PURSUIT-J</w:t>
            </w:r>
          </w:p>
          <w:p w:rsidR="00022D31" w:rsidRPr="00B51DEF" w:rsidRDefault="00022D31" w:rsidP="009467BF">
            <w:pPr>
              <w:pStyle w:val="Tabletext"/>
              <w:rPr>
                <w:sz w:val="20"/>
                <w:szCs w:val="20"/>
              </w:rPr>
            </w:pPr>
            <w:r w:rsidRPr="00B51DEF">
              <w:rPr>
                <w:sz w:val="20"/>
                <w:szCs w:val="20"/>
              </w:rPr>
              <w:t>[maintenance]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63</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P3, MC, R, BD, PC, DB (54wk), RWD (</w:t>
            </w:r>
            <w:r w:rsidRPr="00B51DEF">
              <w:rPr>
                <w:iCs/>
                <w:sz w:val="20"/>
                <w:szCs w:val="20"/>
              </w:rPr>
              <w:t>included 6wk OL induction phase</w:t>
            </w:r>
            <w:r w:rsidRPr="00B51DEF">
              <w:rPr>
                <w:sz w:val="20"/>
                <w:szCs w:val="20"/>
              </w:rPr>
              <w:t>).</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High</w:t>
            </w:r>
          </w:p>
        </w:tc>
        <w:tc>
          <w:tcPr>
            <w:tcW w:w="672" w:type="pct"/>
            <w:shd w:val="clear" w:color="auto" w:fill="auto"/>
            <w:vAlign w:val="center"/>
          </w:tcPr>
          <w:p w:rsidR="00022D31" w:rsidRPr="00B51DEF" w:rsidRDefault="00022D31" w:rsidP="009467BF">
            <w:pPr>
              <w:pStyle w:val="Tabletext"/>
              <w:jc w:val="center"/>
              <w:rPr>
                <w:iCs/>
                <w:sz w:val="20"/>
                <w:szCs w:val="20"/>
              </w:rPr>
            </w:pPr>
            <w:proofErr w:type="spellStart"/>
            <w:r w:rsidRPr="00B51DEF">
              <w:rPr>
                <w:iCs/>
                <w:sz w:val="20"/>
                <w:szCs w:val="20"/>
              </w:rPr>
              <w:t>TNFi</w:t>
            </w:r>
            <w:proofErr w:type="spellEnd"/>
            <w:r w:rsidRPr="00B51DEF">
              <w:rPr>
                <w:iCs/>
                <w:sz w:val="20"/>
                <w:szCs w:val="20"/>
              </w:rPr>
              <w:t>-n</w:t>
            </w:r>
          </w:p>
          <w:p w:rsidR="00022D31" w:rsidRPr="00B51DEF" w:rsidRDefault="00022D31" w:rsidP="009467BF">
            <w:pPr>
              <w:pStyle w:val="Tabletext"/>
              <w:jc w:val="center"/>
              <w:rPr>
                <w:iCs/>
                <w:sz w:val="20"/>
                <w:szCs w:val="20"/>
              </w:rPr>
            </w:pPr>
            <w:r w:rsidRPr="00B51DEF">
              <w:rPr>
                <w:iCs/>
                <w:sz w:val="20"/>
                <w:szCs w:val="20"/>
              </w:rPr>
              <w:t>(Japanese)</w:t>
            </w:r>
          </w:p>
          <w:p w:rsidR="00022D31" w:rsidRPr="00B51DEF" w:rsidRDefault="00022D31" w:rsidP="009467BF">
            <w:pPr>
              <w:pStyle w:val="Tabletext"/>
              <w:jc w:val="center"/>
              <w:rPr>
                <w:sz w:val="20"/>
                <w:szCs w:val="20"/>
              </w:rPr>
            </w:pPr>
            <w:r w:rsidRPr="00B51DEF">
              <w:rPr>
                <w:iCs/>
                <w:sz w:val="20"/>
                <w:szCs w:val="20"/>
              </w:rPr>
              <w:t xml:space="preserve">Wk6 responders to OL </w:t>
            </w:r>
            <w:r w:rsidRPr="00B51DEF">
              <w:rPr>
                <w:sz w:val="20"/>
                <w:szCs w:val="20"/>
              </w:rPr>
              <w:t>induction</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sustained clinical response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sustained clinical remission, sustained mucosal healing</w:t>
            </w:r>
          </w:p>
        </w:tc>
      </w:tr>
      <w:tr w:rsidR="00022D31" w:rsidRPr="00B51DEF" w:rsidTr="006D40D3">
        <w:tc>
          <w:tcPr>
            <w:tcW w:w="5000" w:type="pct"/>
            <w:gridSpan w:val="6"/>
            <w:shd w:val="clear" w:color="auto" w:fill="auto"/>
            <w:vAlign w:val="center"/>
          </w:tcPr>
          <w:p w:rsidR="00022D31" w:rsidRPr="00B51DEF" w:rsidRDefault="00022D31" w:rsidP="009467BF">
            <w:pPr>
              <w:pStyle w:val="Tabletext"/>
              <w:rPr>
                <w:b/>
                <w:bCs/>
                <w:sz w:val="20"/>
                <w:szCs w:val="20"/>
              </w:rPr>
            </w:pPr>
            <w:r w:rsidRPr="00B51DEF">
              <w:rPr>
                <w:b/>
                <w:bCs/>
                <w:sz w:val="20"/>
                <w:szCs w:val="20"/>
              </w:rPr>
              <w:t>ADA v PBO</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ULTRA 1</w:t>
            </w:r>
          </w:p>
          <w:p w:rsidR="00022D31" w:rsidRPr="00B51DEF" w:rsidRDefault="00022D31" w:rsidP="009467BF">
            <w:pPr>
              <w:pStyle w:val="Tabletext"/>
              <w:rPr>
                <w:sz w:val="20"/>
                <w:szCs w:val="20"/>
              </w:rPr>
            </w:pPr>
            <w:r w:rsidRPr="00B51DEF">
              <w:rPr>
                <w:sz w:val="20"/>
                <w:szCs w:val="20"/>
              </w:rPr>
              <w:t>[induction]</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390</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P3, MC, R, PC, DB (8wk)</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sz w:val="20"/>
                <w:szCs w:val="20"/>
              </w:rPr>
            </w:pPr>
            <w:proofErr w:type="spellStart"/>
            <w:r w:rsidRPr="00B51DEF">
              <w:rPr>
                <w:iCs/>
                <w:sz w:val="20"/>
                <w:szCs w:val="20"/>
              </w:rPr>
              <w:t>TNFi</w:t>
            </w:r>
            <w:proofErr w:type="spellEnd"/>
            <w:r w:rsidRPr="00B51DEF">
              <w:rPr>
                <w:iCs/>
                <w:sz w:val="20"/>
                <w:szCs w:val="20"/>
              </w:rPr>
              <w:t>-n</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remission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clinical response, mucosal healing</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ULTRA 2</w:t>
            </w:r>
          </w:p>
          <w:p w:rsidR="00022D31" w:rsidRPr="00B51DEF" w:rsidRDefault="00022D31" w:rsidP="009467BF">
            <w:pPr>
              <w:pStyle w:val="Tabletext"/>
              <w:rPr>
                <w:sz w:val="20"/>
                <w:szCs w:val="20"/>
              </w:rPr>
            </w:pPr>
            <w:r w:rsidRPr="00B51DEF">
              <w:rPr>
                <w:sz w:val="20"/>
                <w:szCs w:val="20"/>
              </w:rPr>
              <w:t>[induction &amp; 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494</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P3, MC, R, PC, DB (52wk)</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sz w:val="20"/>
                <w:szCs w:val="20"/>
              </w:rPr>
            </w:pPr>
            <w:proofErr w:type="spellStart"/>
            <w:r w:rsidRPr="00B51DEF">
              <w:rPr>
                <w:iCs/>
                <w:sz w:val="20"/>
                <w:szCs w:val="20"/>
              </w:rPr>
              <w:t>TNFi</w:t>
            </w:r>
            <w:proofErr w:type="spellEnd"/>
            <w:r w:rsidRPr="00B51DEF">
              <w:rPr>
                <w:iCs/>
                <w:sz w:val="20"/>
                <w:szCs w:val="20"/>
              </w:rPr>
              <w:t xml:space="preserve">-n &amp; </w:t>
            </w:r>
            <w:proofErr w:type="spellStart"/>
            <w:r w:rsidRPr="00B51DEF">
              <w:rPr>
                <w:iCs/>
                <w:sz w:val="20"/>
                <w:szCs w:val="20"/>
              </w:rPr>
              <w:t>TNFi</w:t>
            </w:r>
            <w:proofErr w:type="spellEnd"/>
            <w:r w:rsidRPr="00B51DEF">
              <w:rPr>
                <w:iCs/>
                <w:sz w:val="20"/>
                <w:szCs w:val="20"/>
              </w:rPr>
              <w:t>-e</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remission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xml:space="preserve">: clinical response, mucosal healing, IBDQ response, sustained clinical </w:t>
            </w:r>
            <w:r w:rsidRPr="00B51DEF">
              <w:rPr>
                <w:sz w:val="20"/>
                <w:szCs w:val="20"/>
              </w:rPr>
              <w:lastRenderedPageBreak/>
              <w:t>remission, sustained clinical response, sustained mucosal healing</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lastRenderedPageBreak/>
              <w:t xml:space="preserve">Suzuki 2014 </w:t>
            </w:r>
          </w:p>
          <w:p w:rsidR="00022D31" w:rsidRPr="00B51DEF" w:rsidRDefault="00022D31" w:rsidP="009467BF">
            <w:pPr>
              <w:pStyle w:val="Tabletext"/>
              <w:rPr>
                <w:sz w:val="20"/>
                <w:szCs w:val="20"/>
              </w:rPr>
            </w:pPr>
            <w:r w:rsidRPr="00B51DEF">
              <w:rPr>
                <w:sz w:val="20"/>
                <w:szCs w:val="20"/>
              </w:rPr>
              <w:t>[induction &amp; 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273</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P2/3, MC, R, PC, DB (52wk), 3-arm</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iCs/>
                <w:sz w:val="20"/>
                <w:szCs w:val="20"/>
              </w:rPr>
            </w:pPr>
            <w:proofErr w:type="spellStart"/>
            <w:r w:rsidRPr="00B51DEF">
              <w:rPr>
                <w:iCs/>
                <w:sz w:val="20"/>
                <w:szCs w:val="20"/>
              </w:rPr>
              <w:t>TNFi</w:t>
            </w:r>
            <w:proofErr w:type="spellEnd"/>
            <w:r w:rsidRPr="00B51DEF">
              <w:rPr>
                <w:iCs/>
                <w:sz w:val="20"/>
                <w:szCs w:val="20"/>
              </w:rPr>
              <w:t>-n</w:t>
            </w:r>
          </w:p>
          <w:p w:rsidR="00022D31" w:rsidRPr="00B51DEF" w:rsidRDefault="00022D31" w:rsidP="009467BF">
            <w:pPr>
              <w:pStyle w:val="Tabletext"/>
              <w:jc w:val="center"/>
              <w:rPr>
                <w:sz w:val="20"/>
                <w:szCs w:val="20"/>
              </w:rPr>
            </w:pPr>
            <w:r w:rsidRPr="00B51DEF">
              <w:rPr>
                <w:iCs/>
                <w:sz w:val="20"/>
                <w:szCs w:val="20"/>
              </w:rPr>
              <w:t>(Japanese)</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remission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clinical response, mucosal healing</w:t>
            </w:r>
          </w:p>
        </w:tc>
      </w:tr>
      <w:tr w:rsidR="00022D31" w:rsidRPr="00B51DEF" w:rsidTr="006D40D3">
        <w:tc>
          <w:tcPr>
            <w:tcW w:w="5000" w:type="pct"/>
            <w:gridSpan w:val="6"/>
            <w:shd w:val="clear" w:color="auto" w:fill="auto"/>
            <w:vAlign w:val="center"/>
          </w:tcPr>
          <w:p w:rsidR="00022D31" w:rsidRPr="00B51DEF" w:rsidRDefault="00022D31" w:rsidP="009467BF">
            <w:pPr>
              <w:pStyle w:val="Tabletext"/>
              <w:rPr>
                <w:b/>
                <w:bCs/>
                <w:sz w:val="20"/>
                <w:szCs w:val="20"/>
              </w:rPr>
            </w:pPr>
            <w:r w:rsidRPr="00B51DEF">
              <w:rPr>
                <w:b/>
                <w:bCs/>
                <w:sz w:val="20"/>
                <w:szCs w:val="20"/>
              </w:rPr>
              <w:t>VDZ v PBO</w:t>
            </w:r>
          </w:p>
        </w:tc>
      </w:tr>
      <w:tr w:rsidR="00022D31" w:rsidRPr="00B51DEF" w:rsidTr="006D40D3">
        <w:tc>
          <w:tcPr>
            <w:tcW w:w="818" w:type="pct"/>
            <w:shd w:val="clear" w:color="auto" w:fill="auto"/>
            <w:vAlign w:val="center"/>
          </w:tcPr>
          <w:p w:rsidR="00022D31" w:rsidRPr="00B51DEF" w:rsidRDefault="00022D31" w:rsidP="009467BF">
            <w:pPr>
              <w:pStyle w:val="Tabletext"/>
              <w:rPr>
                <w:sz w:val="20"/>
                <w:szCs w:val="20"/>
              </w:rPr>
            </w:pPr>
            <w:r w:rsidRPr="00B51DEF">
              <w:rPr>
                <w:sz w:val="20"/>
                <w:szCs w:val="20"/>
              </w:rPr>
              <w:t xml:space="preserve">GEMINI 1 </w:t>
            </w:r>
          </w:p>
          <w:p w:rsidR="00022D31" w:rsidRPr="00B51DEF" w:rsidRDefault="00022D31" w:rsidP="009467BF">
            <w:pPr>
              <w:pStyle w:val="Tabletext"/>
              <w:rPr>
                <w:sz w:val="20"/>
                <w:szCs w:val="20"/>
              </w:rPr>
            </w:pPr>
            <w:r w:rsidRPr="00B51DEF">
              <w:rPr>
                <w:sz w:val="20"/>
                <w:szCs w:val="20"/>
              </w:rPr>
              <w:t>[induction &amp; maintenance]</w:t>
            </w:r>
          </w:p>
        </w:tc>
        <w:tc>
          <w:tcPr>
            <w:tcW w:w="301"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IP Ct1:</w:t>
            </w:r>
          </w:p>
          <w:p w:rsidR="00022D31" w:rsidRPr="00B51DEF" w:rsidRDefault="00022D31" w:rsidP="009467BF">
            <w:pPr>
              <w:pStyle w:val="Tabletext"/>
              <w:jc w:val="center"/>
              <w:rPr>
                <w:sz w:val="20"/>
                <w:szCs w:val="20"/>
              </w:rPr>
            </w:pPr>
            <w:r w:rsidRPr="00B51DEF">
              <w:rPr>
                <w:sz w:val="20"/>
                <w:szCs w:val="20"/>
              </w:rPr>
              <w:t>374</w:t>
            </w:r>
          </w:p>
          <w:p w:rsidR="00022D31" w:rsidRPr="00B51DEF" w:rsidRDefault="00022D31" w:rsidP="009467BF">
            <w:pPr>
              <w:pStyle w:val="Tabletext"/>
              <w:jc w:val="center"/>
              <w:rPr>
                <w:sz w:val="20"/>
                <w:szCs w:val="20"/>
              </w:rPr>
            </w:pPr>
            <w:r w:rsidRPr="00B51DEF">
              <w:rPr>
                <w:sz w:val="20"/>
                <w:szCs w:val="20"/>
              </w:rPr>
              <w:t>IP Ct2:</w:t>
            </w:r>
          </w:p>
          <w:p w:rsidR="00022D31" w:rsidRPr="00B51DEF" w:rsidRDefault="00022D31" w:rsidP="009467BF">
            <w:pPr>
              <w:pStyle w:val="Tabletext"/>
              <w:jc w:val="center"/>
              <w:rPr>
                <w:sz w:val="20"/>
                <w:szCs w:val="20"/>
              </w:rPr>
            </w:pPr>
            <w:r w:rsidRPr="00B51DEF">
              <w:rPr>
                <w:sz w:val="20"/>
                <w:szCs w:val="20"/>
              </w:rPr>
              <w:t>521</w:t>
            </w:r>
          </w:p>
          <w:p w:rsidR="00022D31" w:rsidRPr="00B51DEF" w:rsidRDefault="00022D31" w:rsidP="009467BF">
            <w:pPr>
              <w:pStyle w:val="Tabletext"/>
              <w:jc w:val="center"/>
              <w:rPr>
                <w:sz w:val="20"/>
                <w:szCs w:val="20"/>
              </w:rPr>
            </w:pPr>
            <w:r w:rsidRPr="00B51DEF">
              <w:rPr>
                <w:sz w:val="20"/>
                <w:szCs w:val="20"/>
              </w:rPr>
              <w:t>MP:</w:t>
            </w:r>
          </w:p>
          <w:p w:rsidR="00022D31" w:rsidRPr="00B51DEF" w:rsidRDefault="00022D31" w:rsidP="009467BF">
            <w:pPr>
              <w:pStyle w:val="Tabletext"/>
              <w:jc w:val="center"/>
              <w:rPr>
                <w:sz w:val="20"/>
                <w:szCs w:val="20"/>
              </w:rPr>
            </w:pPr>
            <w:r w:rsidRPr="00B51DEF">
              <w:rPr>
                <w:sz w:val="20"/>
                <w:szCs w:val="20"/>
              </w:rPr>
              <w:t>373</w:t>
            </w:r>
          </w:p>
        </w:tc>
        <w:tc>
          <w:tcPr>
            <w:tcW w:w="1118" w:type="pct"/>
            <w:shd w:val="clear" w:color="auto" w:fill="auto"/>
            <w:vAlign w:val="center"/>
          </w:tcPr>
          <w:p w:rsidR="00022D31" w:rsidRPr="00B51DEF" w:rsidRDefault="00022D31" w:rsidP="009467BF">
            <w:pPr>
              <w:pStyle w:val="Tabletext"/>
              <w:rPr>
                <w:sz w:val="20"/>
                <w:szCs w:val="20"/>
              </w:rPr>
            </w:pPr>
            <w:r w:rsidRPr="00B51DEF">
              <w:rPr>
                <w:sz w:val="20"/>
                <w:szCs w:val="20"/>
              </w:rPr>
              <w:t>P3, MC, R, DB (58wk), RWD for maintenance (6wk induction, 52wk maintenance), 3-arm. Cohort 1 - randomised induction. Cohort 2- OL induction.</w:t>
            </w:r>
          </w:p>
        </w:tc>
        <w:tc>
          <w:tcPr>
            <w:tcW w:w="448" w:type="pct"/>
            <w:shd w:val="clear" w:color="auto" w:fill="auto"/>
            <w:vAlign w:val="center"/>
          </w:tcPr>
          <w:p w:rsidR="00022D31" w:rsidRPr="00B51DEF" w:rsidRDefault="00022D31" w:rsidP="009467BF">
            <w:pPr>
              <w:pStyle w:val="Tabletext"/>
              <w:jc w:val="center"/>
              <w:rPr>
                <w:sz w:val="20"/>
                <w:szCs w:val="20"/>
              </w:rPr>
            </w:pPr>
            <w:r w:rsidRPr="00B51DEF">
              <w:rPr>
                <w:sz w:val="20"/>
                <w:szCs w:val="20"/>
              </w:rPr>
              <w:t>Low*</w:t>
            </w:r>
          </w:p>
        </w:tc>
        <w:tc>
          <w:tcPr>
            <w:tcW w:w="672" w:type="pct"/>
            <w:shd w:val="clear" w:color="auto" w:fill="auto"/>
            <w:vAlign w:val="center"/>
          </w:tcPr>
          <w:p w:rsidR="00022D31" w:rsidRPr="00B51DEF" w:rsidRDefault="00022D31" w:rsidP="009467BF">
            <w:pPr>
              <w:pStyle w:val="Tabletext"/>
              <w:jc w:val="center"/>
              <w:rPr>
                <w:iCs/>
                <w:sz w:val="20"/>
                <w:szCs w:val="20"/>
              </w:rPr>
            </w:pPr>
            <w:proofErr w:type="spellStart"/>
            <w:r w:rsidRPr="00B51DEF">
              <w:rPr>
                <w:iCs/>
                <w:sz w:val="20"/>
                <w:szCs w:val="20"/>
              </w:rPr>
              <w:t>TNFi</w:t>
            </w:r>
            <w:proofErr w:type="spellEnd"/>
            <w:r w:rsidRPr="00B51DEF">
              <w:rPr>
                <w:iCs/>
                <w:sz w:val="20"/>
                <w:szCs w:val="20"/>
              </w:rPr>
              <w:t xml:space="preserve">-n &amp; </w:t>
            </w:r>
            <w:proofErr w:type="spellStart"/>
            <w:r w:rsidRPr="00B51DEF">
              <w:rPr>
                <w:iCs/>
                <w:sz w:val="20"/>
                <w:szCs w:val="20"/>
              </w:rPr>
              <w:t>TNFi</w:t>
            </w:r>
            <w:proofErr w:type="spellEnd"/>
            <w:r w:rsidRPr="00B51DEF">
              <w:rPr>
                <w:iCs/>
                <w:sz w:val="20"/>
                <w:szCs w:val="20"/>
              </w:rPr>
              <w:t>-e</w:t>
            </w:r>
          </w:p>
          <w:p w:rsidR="00022D31" w:rsidRPr="00B51DEF" w:rsidRDefault="00022D31" w:rsidP="009467BF">
            <w:pPr>
              <w:pStyle w:val="Tabletext"/>
              <w:jc w:val="center"/>
              <w:rPr>
                <w:sz w:val="20"/>
                <w:szCs w:val="20"/>
              </w:rPr>
            </w:pPr>
            <w:r w:rsidRPr="00B51DEF">
              <w:rPr>
                <w:sz w:val="20"/>
                <w:szCs w:val="20"/>
              </w:rPr>
              <w:t xml:space="preserve">Maintenance: </w:t>
            </w:r>
          </w:p>
          <w:p w:rsidR="00022D31" w:rsidRPr="00B51DEF" w:rsidRDefault="00022D31" w:rsidP="009467BF">
            <w:pPr>
              <w:pStyle w:val="Tabletext"/>
              <w:jc w:val="center"/>
              <w:rPr>
                <w:sz w:val="20"/>
                <w:szCs w:val="20"/>
              </w:rPr>
            </w:pPr>
            <w:r w:rsidRPr="00B51DEF">
              <w:rPr>
                <w:sz w:val="20"/>
                <w:szCs w:val="20"/>
              </w:rPr>
              <w:t>Wk6 active responders in cohort 1 and 2.</w:t>
            </w:r>
          </w:p>
        </w:tc>
        <w:tc>
          <w:tcPr>
            <w:tcW w:w="1643" w:type="pct"/>
            <w:shd w:val="clear" w:color="auto" w:fill="auto"/>
            <w:vAlign w:val="center"/>
          </w:tcPr>
          <w:p w:rsidR="00022D31" w:rsidRPr="00B51DEF" w:rsidRDefault="00022D31" w:rsidP="009467BF">
            <w:pPr>
              <w:pStyle w:val="Tabletext"/>
              <w:rPr>
                <w:sz w:val="20"/>
                <w:szCs w:val="20"/>
              </w:rPr>
            </w:pPr>
            <w:r w:rsidRPr="00B51DEF">
              <w:rPr>
                <w:sz w:val="20"/>
                <w:szCs w:val="20"/>
              </w:rPr>
              <w:t>1</w:t>
            </w:r>
            <w:r w:rsidRPr="00B51DEF">
              <w:rPr>
                <w:sz w:val="20"/>
                <w:szCs w:val="20"/>
                <w:vertAlign w:val="superscript"/>
              </w:rPr>
              <w:t>ary</w:t>
            </w:r>
            <w:r w:rsidRPr="00B51DEF">
              <w:rPr>
                <w:sz w:val="20"/>
                <w:szCs w:val="20"/>
              </w:rPr>
              <w:t xml:space="preserve">: clinical response </w:t>
            </w:r>
          </w:p>
          <w:p w:rsidR="00022D31" w:rsidRPr="00B51DEF" w:rsidRDefault="00022D31" w:rsidP="009467BF">
            <w:pPr>
              <w:pStyle w:val="Tabletext"/>
              <w:rPr>
                <w:sz w:val="20"/>
                <w:szCs w:val="20"/>
              </w:rPr>
            </w:pPr>
            <w:r w:rsidRPr="00B51DEF">
              <w:rPr>
                <w:sz w:val="20"/>
                <w:szCs w:val="20"/>
              </w:rPr>
              <w:t>2</w:t>
            </w:r>
            <w:r w:rsidRPr="00B51DEF">
              <w:rPr>
                <w:sz w:val="20"/>
                <w:szCs w:val="20"/>
                <w:vertAlign w:val="superscript"/>
              </w:rPr>
              <w:t>ary</w:t>
            </w:r>
            <w:r w:rsidRPr="00B51DEF">
              <w:rPr>
                <w:sz w:val="20"/>
                <w:szCs w:val="20"/>
              </w:rPr>
              <w:t>: clinical remission, mucosal healing, sustained clinical response, sustained clinical remission, corticosteroid-free remission</w:t>
            </w:r>
          </w:p>
        </w:tc>
      </w:tr>
    </w:tbl>
    <w:p w:rsidR="00022D31" w:rsidRPr="00B51DEF" w:rsidRDefault="00022D31" w:rsidP="009467BF">
      <w:pPr>
        <w:pStyle w:val="TableFooter"/>
        <w:widowControl/>
      </w:pPr>
      <w:r w:rsidRPr="00B51DEF">
        <w:t xml:space="preserve">Source: Compiled during the evaluation </w:t>
      </w:r>
    </w:p>
    <w:p w:rsidR="00022D31" w:rsidRPr="00B51DEF" w:rsidRDefault="00022D31" w:rsidP="009467BF">
      <w:pPr>
        <w:pStyle w:val="TableFooter"/>
        <w:widowControl/>
        <w:tabs>
          <w:tab w:val="left" w:pos="142"/>
        </w:tabs>
      </w:pPr>
      <w:r w:rsidRPr="00B51DEF">
        <w:t>*</w:t>
      </w:r>
      <w:r w:rsidRPr="00B51DEF">
        <w:tab/>
        <w:t>Low risk of bias in the induction phase, but high risk of bias during maintenance due to high attrition bias</w:t>
      </w:r>
    </w:p>
    <w:p w:rsidR="00022D31" w:rsidRPr="00B51DEF" w:rsidRDefault="00022D31" w:rsidP="009467BF">
      <w:pPr>
        <w:pStyle w:val="TableFooter"/>
        <w:widowControl/>
        <w:tabs>
          <w:tab w:val="left" w:pos="142"/>
        </w:tabs>
      </w:pPr>
      <w:r w:rsidRPr="00B51DEF">
        <w:t>^</w:t>
      </w:r>
      <w:r w:rsidRPr="00B51DEF">
        <w:tab/>
        <w:t xml:space="preserve">Non-randomised cohort consisted of </w:t>
      </w:r>
      <w:r w:rsidRPr="00B51DEF">
        <w:rPr>
          <w:iCs/>
          <w:szCs w:val="18"/>
        </w:rPr>
        <w:t>patients randomised to PBO or GOL without clinical response at Wk6 in PURSUIT-SC or -IV.</w:t>
      </w:r>
    </w:p>
    <w:p w:rsidR="00022D31" w:rsidRPr="00B51DEF" w:rsidRDefault="00022D31" w:rsidP="009467BF">
      <w:pPr>
        <w:pStyle w:val="TableFooter"/>
        <w:widowControl/>
      </w:pPr>
      <w:r w:rsidRPr="00B51DEF">
        <w:t>Abbreviations: ADA=</w:t>
      </w:r>
      <w:proofErr w:type="spellStart"/>
      <w:r w:rsidRPr="00B51DEF">
        <w:t>adalimumab</w:t>
      </w:r>
      <w:proofErr w:type="spellEnd"/>
      <w:r w:rsidRPr="00B51DEF">
        <w:t>, bid=twice a day, DB=double blind; IFX=infliximab, IP=induction phase; MC=multi-centre; MP=maintenance phase; OL=open label; R=randomised, RWD=randomised withdrawal design; TOF=</w:t>
      </w:r>
      <w:proofErr w:type="spellStart"/>
      <w:r w:rsidRPr="00B51DEF">
        <w:t>tofacitinib</w:t>
      </w:r>
      <w:proofErr w:type="spellEnd"/>
      <w:r w:rsidRPr="00B51DEF">
        <w:t xml:space="preserve">, </w:t>
      </w:r>
      <w:proofErr w:type="spellStart"/>
      <w:r w:rsidRPr="00B51DEF">
        <w:t>TNFi</w:t>
      </w:r>
      <w:proofErr w:type="spellEnd"/>
      <w:r w:rsidRPr="00B51DEF">
        <w:t>-e=tumour necrosis factor inhibitor experience,</w:t>
      </w:r>
      <w:r w:rsidR="00DE34FD" w:rsidRPr="00B51DEF">
        <w:t xml:space="preserve"> </w:t>
      </w:r>
      <w:proofErr w:type="spellStart"/>
      <w:r w:rsidRPr="00B51DEF">
        <w:t>TNFi</w:t>
      </w:r>
      <w:proofErr w:type="spellEnd"/>
      <w:r w:rsidRPr="00B51DEF">
        <w:t>-n= tumour necrosis factor inhibitor naïve, VDZ=</w:t>
      </w:r>
      <w:proofErr w:type="spellStart"/>
      <w:r w:rsidRPr="00B51DEF">
        <w:t>vedolizumab</w:t>
      </w:r>
      <w:proofErr w:type="spellEnd"/>
      <w:r w:rsidRPr="00B51DEF">
        <w:t xml:space="preserve">, </w:t>
      </w:r>
    </w:p>
    <w:p w:rsidR="00022D31" w:rsidRPr="00B51DEF" w:rsidRDefault="00022D31" w:rsidP="006670A2">
      <w:pPr>
        <w:pStyle w:val="ListParagraph"/>
        <w:widowControl/>
        <w:numPr>
          <w:ilvl w:val="1"/>
          <w:numId w:val="3"/>
        </w:numPr>
        <w:spacing w:before="120" w:after="120"/>
        <w:rPr>
          <w:iCs/>
        </w:rPr>
      </w:pPr>
      <w:r w:rsidRPr="00B51DEF">
        <w:rPr>
          <w:iCs/>
        </w:rPr>
        <w:t>The</w:t>
      </w:r>
      <w:r w:rsidR="006B6C4B" w:rsidRPr="00B51DEF">
        <w:rPr>
          <w:iCs/>
        </w:rPr>
        <w:t xml:space="preserve"> design of the</w:t>
      </w:r>
      <w:r w:rsidRPr="00B51DEF">
        <w:rPr>
          <w:iCs/>
        </w:rPr>
        <w:t xml:space="preserve"> trials differed considerably. Five trials investigated short-term induction therapy only (OCTAVE 1, OCTAVE 2, PURSUIT-SC, ULTRA 1, </w:t>
      </w:r>
      <w:proofErr w:type="gramStart"/>
      <w:r w:rsidRPr="00B51DEF">
        <w:rPr>
          <w:iCs/>
        </w:rPr>
        <w:t>Kobayashi</w:t>
      </w:r>
      <w:proofErr w:type="gramEnd"/>
      <w:r w:rsidRPr="00B51DEF">
        <w:rPr>
          <w:iCs/>
        </w:rPr>
        <w:t xml:space="preserve"> 2016). Six trials investigated induction and maintenance without re-randomisation of patients (ACT 1, ACT 2, Jiang 2015, REMICADE, ULTRA 2, </w:t>
      </w:r>
      <w:proofErr w:type="gramStart"/>
      <w:r w:rsidRPr="00B51DEF">
        <w:rPr>
          <w:iCs/>
        </w:rPr>
        <w:t>Suzuki</w:t>
      </w:r>
      <w:proofErr w:type="gramEnd"/>
      <w:r w:rsidRPr="00B51DEF">
        <w:rPr>
          <w:iCs/>
        </w:rPr>
        <w:t xml:space="preserve"> 2014). One trial investigated induction and then maintenance in responders to induction therapy using a randomised withdrawal design for maintenance therapy (GEMINI 1). Three trials investigated maintenance therapy only in responders to induction therapy using a randomised withdrawal design of responders to induction trials or open-label induction phases (OCTAVE Sustain, PURSUIT M, </w:t>
      </w:r>
      <w:proofErr w:type="gramStart"/>
      <w:r w:rsidRPr="00B51DEF">
        <w:rPr>
          <w:iCs/>
        </w:rPr>
        <w:t>PURSUIT</w:t>
      </w:r>
      <w:proofErr w:type="gramEnd"/>
      <w:r w:rsidRPr="00B51DEF">
        <w:rPr>
          <w:iCs/>
        </w:rPr>
        <w:t xml:space="preserve"> J).</w:t>
      </w:r>
    </w:p>
    <w:p w:rsidR="00022D31" w:rsidRPr="00B51DEF" w:rsidRDefault="00022D31" w:rsidP="006670A2">
      <w:pPr>
        <w:pStyle w:val="ListParagraph"/>
        <w:widowControl/>
        <w:numPr>
          <w:ilvl w:val="1"/>
          <w:numId w:val="3"/>
        </w:numPr>
        <w:spacing w:before="120" w:after="120"/>
      </w:pPr>
      <w:r w:rsidRPr="00B51DEF">
        <w:rPr>
          <w:iCs/>
        </w:rPr>
        <w:t>Overall, the risk of bias in the induction studies was low. However, the maintenance studies had a high risk of attrition bias due to discontinuations and loss to follow-up. The methods to handle missing data were inconsistent across the studies; some trials did not report the methods applied, some trials used the last observation carried forward, and others used the non-responder imputation method.</w:t>
      </w:r>
    </w:p>
    <w:p w:rsidR="00022D31" w:rsidRPr="00B51DEF" w:rsidRDefault="00022D31" w:rsidP="006670A2">
      <w:pPr>
        <w:pStyle w:val="ListParagraph"/>
        <w:widowControl/>
        <w:numPr>
          <w:ilvl w:val="1"/>
          <w:numId w:val="3"/>
        </w:numPr>
        <w:spacing w:before="120" w:after="120"/>
      </w:pPr>
      <w:r w:rsidRPr="00B51DEF">
        <w:rPr>
          <w:iCs/>
        </w:rPr>
        <w:t>There were no significant differences in baseline patient characteristics between the active treatment and placebo groups within the trials.</w:t>
      </w:r>
      <w:r w:rsidRPr="00B51DEF">
        <w:t xml:space="preserve"> </w:t>
      </w:r>
      <w:r w:rsidRPr="00B51DEF">
        <w:rPr>
          <w:iCs/>
        </w:rPr>
        <w:t>However,</w:t>
      </w:r>
      <w:r w:rsidRPr="00B51DEF">
        <w:t xml:space="preserve"> </w:t>
      </w:r>
      <w:r w:rsidRPr="00B51DEF">
        <w:rPr>
          <w:iCs/>
        </w:rPr>
        <w:t xml:space="preserve">there were some variations across the trials: duration of disease ranged from 4.4 to 8.8 years, extensive </w:t>
      </w:r>
      <w:proofErr w:type="spellStart"/>
      <w:r w:rsidRPr="00B51DEF">
        <w:rPr>
          <w:iCs/>
        </w:rPr>
        <w:t>pancolitis</w:t>
      </w:r>
      <w:proofErr w:type="spellEnd"/>
      <w:r w:rsidRPr="00B51DEF">
        <w:rPr>
          <w:iCs/>
        </w:rPr>
        <w:t xml:space="preserve"> at baseline was present in 33.6% to 80.8% of patients, and C-reactive protein  concentrations varied from 0.7 mg/L to 35.8 mg/L.</w:t>
      </w:r>
    </w:p>
    <w:p w:rsidR="00022D31" w:rsidRPr="00B51DEF" w:rsidRDefault="00022D31" w:rsidP="006670A2">
      <w:pPr>
        <w:pStyle w:val="ListParagraph"/>
        <w:widowControl/>
        <w:numPr>
          <w:ilvl w:val="1"/>
          <w:numId w:val="3"/>
        </w:numPr>
        <w:spacing w:before="120" w:after="120"/>
      </w:pPr>
      <w:r w:rsidRPr="00B51DEF">
        <w:rPr>
          <w:iCs/>
        </w:rPr>
        <w:t xml:space="preserve">The use of concomitant medications also differed across the trials. The proportion of patients treated with oral corticosteroids and </w:t>
      </w:r>
      <w:proofErr w:type="spellStart"/>
      <w:r w:rsidRPr="00B51DEF">
        <w:rPr>
          <w:iCs/>
        </w:rPr>
        <w:t>immunomodulators</w:t>
      </w:r>
      <w:proofErr w:type="spellEnd"/>
      <w:r w:rsidRPr="00B51DEF">
        <w:rPr>
          <w:iCs/>
        </w:rPr>
        <w:t xml:space="preserve"> (IMMs) ranged from 28.1%-66.3% and 12.1%-54.5%, respectively. Azathioprine and 6-mercaptopurine were the most commonly used IMMs, with the exception of the OCTAVE trials where these treatments (and methotrexate) were prohibited. </w:t>
      </w:r>
      <w:r w:rsidRPr="00B51DEF">
        <w:t>The differences in the use of concomitant medications may influence exchangeability of the results.</w:t>
      </w:r>
    </w:p>
    <w:p w:rsidR="00022D31" w:rsidRPr="00B51DEF" w:rsidRDefault="00022D31" w:rsidP="006670A2">
      <w:pPr>
        <w:pStyle w:val="Heading2"/>
        <w:widowControl/>
        <w:spacing w:before="120" w:after="120"/>
      </w:pPr>
      <w:bookmarkStart w:id="9" w:name="_Toc535929146"/>
      <w:r w:rsidRPr="00B51DEF">
        <w:lastRenderedPageBreak/>
        <w:t>Comparative effectiveness</w:t>
      </w:r>
      <w:bookmarkEnd w:id="9"/>
    </w:p>
    <w:p w:rsidR="00022D31" w:rsidRPr="00B51DEF" w:rsidRDefault="00022D31" w:rsidP="006670A2">
      <w:pPr>
        <w:pStyle w:val="ListParagraph"/>
        <w:widowControl/>
        <w:numPr>
          <w:ilvl w:val="1"/>
          <w:numId w:val="3"/>
        </w:numPr>
        <w:spacing w:before="120" w:after="120"/>
        <w:rPr>
          <w:rFonts w:cs="Calibri"/>
          <w:snapToGrid/>
          <w:color w:val="000000" w:themeColor="text1"/>
          <w:szCs w:val="24"/>
          <w:lang w:eastAsia="en-AU"/>
        </w:rPr>
      </w:pPr>
      <w:r w:rsidRPr="00B51DEF">
        <w:rPr>
          <w:rFonts w:cs="Calibri"/>
          <w:snapToGrid/>
          <w:color w:val="000000" w:themeColor="text1"/>
          <w:szCs w:val="24"/>
          <w:lang w:eastAsia="en-AU"/>
        </w:rPr>
        <w:t xml:space="preserve">The clinically relevant outcomes were clinical remission and clinical response, as assessed using the Mayo score. Clinical remission </w:t>
      </w:r>
      <w:r w:rsidR="006B6C4B" w:rsidRPr="00B51DEF">
        <w:rPr>
          <w:rFonts w:cs="Calibri"/>
          <w:snapToGrid/>
          <w:color w:val="000000" w:themeColor="text1"/>
          <w:szCs w:val="24"/>
          <w:lang w:eastAsia="en-AU"/>
        </w:rPr>
        <w:t>wa</w:t>
      </w:r>
      <w:r w:rsidRPr="00B51DEF">
        <w:rPr>
          <w:rFonts w:cs="Calibri"/>
          <w:snapToGrid/>
          <w:color w:val="000000" w:themeColor="text1"/>
          <w:szCs w:val="24"/>
          <w:lang w:eastAsia="en-AU"/>
        </w:rPr>
        <w:t xml:space="preserve">s defined as total Mayo score of ≤2 points with no individual </w:t>
      </w:r>
      <w:proofErr w:type="spellStart"/>
      <w:r w:rsidRPr="00B51DEF">
        <w:rPr>
          <w:rFonts w:cs="Calibri"/>
          <w:snapToGrid/>
          <w:color w:val="000000" w:themeColor="text1"/>
          <w:szCs w:val="24"/>
          <w:lang w:eastAsia="en-AU"/>
        </w:rPr>
        <w:t>subscore</w:t>
      </w:r>
      <w:proofErr w:type="spellEnd"/>
      <w:r w:rsidRPr="00B51DEF">
        <w:rPr>
          <w:rFonts w:cs="Calibri"/>
          <w:snapToGrid/>
          <w:color w:val="000000" w:themeColor="text1"/>
          <w:szCs w:val="24"/>
          <w:lang w:eastAsia="en-AU"/>
        </w:rPr>
        <w:t xml:space="preserve"> &gt;1 point. Clinical response </w:t>
      </w:r>
      <w:r w:rsidR="006B6C4B" w:rsidRPr="00B51DEF">
        <w:rPr>
          <w:rFonts w:cs="Calibri"/>
          <w:snapToGrid/>
          <w:color w:val="000000" w:themeColor="text1"/>
          <w:szCs w:val="24"/>
          <w:lang w:eastAsia="en-AU"/>
        </w:rPr>
        <w:t>wa</w:t>
      </w:r>
      <w:r w:rsidRPr="00B51DEF">
        <w:rPr>
          <w:rFonts w:cs="Calibri"/>
          <w:snapToGrid/>
          <w:color w:val="000000" w:themeColor="text1"/>
          <w:szCs w:val="24"/>
          <w:lang w:eastAsia="en-AU"/>
        </w:rPr>
        <w:t xml:space="preserve">s defined as a decrease from baseline in Mayo score of ≥3 points and at least 30%, with an accompanying decrease in the </w:t>
      </w:r>
      <w:proofErr w:type="spellStart"/>
      <w:r w:rsidRPr="00B51DEF">
        <w:rPr>
          <w:rFonts w:cs="Calibri"/>
          <w:snapToGrid/>
          <w:color w:val="000000" w:themeColor="text1"/>
          <w:szCs w:val="24"/>
          <w:lang w:eastAsia="en-AU"/>
        </w:rPr>
        <w:t>subscore</w:t>
      </w:r>
      <w:proofErr w:type="spellEnd"/>
      <w:r w:rsidRPr="00B51DEF">
        <w:rPr>
          <w:rFonts w:cs="Calibri"/>
          <w:snapToGrid/>
          <w:color w:val="000000" w:themeColor="text1"/>
          <w:szCs w:val="24"/>
          <w:lang w:eastAsia="en-AU"/>
        </w:rPr>
        <w:t xml:space="preserve"> for rectal bleeding of ≥1 point or absolute </w:t>
      </w:r>
      <w:proofErr w:type="spellStart"/>
      <w:r w:rsidRPr="00B51DEF">
        <w:rPr>
          <w:rFonts w:cs="Calibri"/>
          <w:snapToGrid/>
          <w:color w:val="000000" w:themeColor="text1"/>
          <w:szCs w:val="24"/>
          <w:lang w:eastAsia="en-AU"/>
        </w:rPr>
        <w:t>subscore</w:t>
      </w:r>
      <w:proofErr w:type="spellEnd"/>
      <w:r w:rsidRPr="00B51DEF">
        <w:rPr>
          <w:rFonts w:cs="Calibri"/>
          <w:snapToGrid/>
          <w:color w:val="000000" w:themeColor="text1"/>
          <w:szCs w:val="24"/>
          <w:lang w:eastAsia="en-AU"/>
        </w:rPr>
        <w:t xml:space="preserve"> for rectal bleeding of 0 or 1.</w:t>
      </w:r>
    </w:p>
    <w:p w:rsidR="00022D31" w:rsidRPr="00B51DEF" w:rsidRDefault="00022D31" w:rsidP="006670A2">
      <w:pPr>
        <w:pStyle w:val="ListParagraph"/>
        <w:widowControl/>
        <w:numPr>
          <w:ilvl w:val="1"/>
          <w:numId w:val="3"/>
        </w:numPr>
        <w:spacing w:before="120" w:after="120"/>
        <w:rPr>
          <w:rFonts w:cs="Calibri"/>
          <w:iCs/>
          <w:snapToGrid/>
          <w:color w:val="000000" w:themeColor="text1"/>
          <w:szCs w:val="24"/>
          <w:lang w:eastAsia="en-AU"/>
        </w:rPr>
      </w:pPr>
      <w:r w:rsidRPr="00B51DEF">
        <w:rPr>
          <w:rFonts w:cs="Calibri"/>
          <w:iCs/>
          <w:snapToGrid/>
          <w:color w:val="000000" w:themeColor="text1"/>
          <w:szCs w:val="24"/>
          <w:lang w:eastAsia="en-AU"/>
        </w:rPr>
        <w:t>The PBAC previously accepted these outcomes when considering</w:t>
      </w:r>
      <w:r w:rsidR="00334546" w:rsidRPr="00B51DEF">
        <w:rPr>
          <w:rFonts w:cs="Calibri"/>
          <w:iCs/>
          <w:snapToGrid/>
          <w:color w:val="000000" w:themeColor="text1"/>
          <w:szCs w:val="24"/>
          <w:lang w:eastAsia="en-AU"/>
        </w:rPr>
        <w:t xml:space="preserve"> </w:t>
      </w:r>
      <w:r w:rsidR="002B40F3" w:rsidRPr="00B51DEF">
        <w:rPr>
          <w:rFonts w:cs="Calibri"/>
          <w:iCs/>
          <w:snapToGrid/>
          <w:color w:val="000000" w:themeColor="text1"/>
          <w:szCs w:val="24"/>
          <w:lang w:eastAsia="en-AU"/>
        </w:rPr>
        <w:t xml:space="preserve">biological therapies </w:t>
      </w:r>
      <w:r w:rsidRPr="00B51DEF">
        <w:rPr>
          <w:rFonts w:cs="Calibri"/>
          <w:iCs/>
          <w:snapToGrid/>
          <w:color w:val="000000" w:themeColor="text1"/>
          <w:szCs w:val="24"/>
          <w:lang w:eastAsia="en-AU"/>
        </w:rPr>
        <w:t xml:space="preserve">for MSUC (see Infliximab </w:t>
      </w:r>
      <w:r w:rsidR="004C7721">
        <w:rPr>
          <w:rFonts w:cs="Calibri"/>
          <w:iCs/>
          <w:snapToGrid/>
          <w:color w:val="000000" w:themeColor="text1"/>
          <w:szCs w:val="24"/>
          <w:lang w:eastAsia="en-AU"/>
        </w:rPr>
        <w:t>Public Summary Document (</w:t>
      </w:r>
      <w:r w:rsidRPr="00B51DEF">
        <w:rPr>
          <w:rFonts w:cs="Calibri"/>
          <w:iCs/>
          <w:snapToGrid/>
          <w:color w:val="000000" w:themeColor="text1"/>
          <w:szCs w:val="24"/>
          <w:lang w:eastAsia="en-AU"/>
        </w:rPr>
        <w:t>PSD</w:t>
      </w:r>
      <w:r w:rsidR="004C7721">
        <w:rPr>
          <w:rFonts w:cs="Calibri"/>
          <w:iCs/>
          <w:snapToGrid/>
          <w:color w:val="000000" w:themeColor="text1"/>
          <w:szCs w:val="24"/>
          <w:lang w:eastAsia="en-AU"/>
        </w:rPr>
        <w:t>)</w:t>
      </w:r>
      <w:r w:rsidRPr="00B51DEF">
        <w:rPr>
          <w:rFonts w:cs="Calibri"/>
          <w:iCs/>
          <w:snapToGrid/>
          <w:color w:val="000000" w:themeColor="text1"/>
          <w:szCs w:val="24"/>
          <w:lang w:eastAsia="en-AU"/>
        </w:rPr>
        <w:t xml:space="preserve"> March 2014; </w:t>
      </w:r>
      <w:proofErr w:type="spellStart"/>
      <w:r w:rsidRPr="00B51DEF">
        <w:rPr>
          <w:rFonts w:cs="Calibri"/>
          <w:iCs/>
          <w:snapToGrid/>
          <w:color w:val="000000" w:themeColor="text1"/>
          <w:szCs w:val="24"/>
          <w:lang w:eastAsia="en-AU"/>
        </w:rPr>
        <w:t>Adalimumab</w:t>
      </w:r>
      <w:proofErr w:type="spellEnd"/>
      <w:r w:rsidRPr="00B51DEF">
        <w:rPr>
          <w:rFonts w:cs="Calibri"/>
          <w:iCs/>
          <w:snapToGrid/>
          <w:color w:val="000000" w:themeColor="text1"/>
          <w:szCs w:val="24"/>
          <w:lang w:eastAsia="en-AU"/>
        </w:rPr>
        <w:t xml:space="preserve"> PSD July 2014; </w:t>
      </w:r>
      <w:proofErr w:type="spellStart"/>
      <w:r w:rsidRPr="00B51DEF">
        <w:rPr>
          <w:rFonts w:cs="Calibri"/>
          <w:iCs/>
          <w:snapToGrid/>
          <w:color w:val="000000" w:themeColor="text1"/>
          <w:szCs w:val="24"/>
          <w:lang w:eastAsia="en-AU"/>
        </w:rPr>
        <w:t>Vedolizumab</w:t>
      </w:r>
      <w:proofErr w:type="spellEnd"/>
      <w:r w:rsidRPr="00B51DEF">
        <w:rPr>
          <w:rFonts w:cs="Calibri"/>
          <w:iCs/>
          <w:snapToGrid/>
          <w:color w:val="000000" w:themeColor="text1"/>
          <w:szCs w:val="24"/>
          <w:lang w:eastAsia="en-AU"/>
        </w:rPr>
        <w:t xml:space="preserve"> PSD July 2014). Adequate response on the PBS is defined as a partial Mayo clinic score ≤2, with no sub-score &gt;1 (note: a partial Mayo score does not include the endoscopy findings).</w:t>
      </w:r>
    </w:p>
    <w:p w:rsidR="00022D31" w:rsidRPr="00B51DEF" w:rsidRDefault="00022D31" w:rsidP="006670A2">
      <w:pPr>
        <w:pStyle w:val="ListParagraph"/>
        <w:widowControl/>
        <w:numPr>
          <w:ilvl w:val="1"/>
          <w:numId w:val="3"/>
        </w:numPr>
        <w:spacing w:before="120" w:after="120"/>
      </w:pPr>
      <w:r w:rsidRPr="00B51DEF">
        <w:rPr>
          <w:iCs/>
        </w:rPr>
        <w:t>The method used to calculate the Mayo score differed across the trials. The TOF, IFX, GOL and VDZ trials calculated the components of stool frequency and rectal bleeding as the average of the three most recent days prior to the actual day of the study visit, rounded to the nearest integer. If less than two days of data were available, the patient was categorised as a non-responder and the sub-score was considered missing. In contrast, the ADA trials calculated the Mayo score using the worst score of the last three days for stool frequency and rectal bleeding. These differences could have potentially led to lower Mayo scores in the ADA trials.</w:t>
      </w:r>
    </w:p>
    <w:p w:rsidR="00022D31" w:rsidRPr="00B51DEF" w:rsidRDefault="00022D31" w:rsidP="006670A2">
      <w:pPr>
        <w:pStyle w:val="ListParagraph"/>
        <w:widowControl/>
        <w:numPr>
          <w:ilvl w:val="1"/>
          <w:numId w:val="3"/>
        </w:numPr>
        <w:spacing w:before="120" w:after="120"/>
      </w:pPr>
      <w:r w:rsidRPr="00B51DEF">
        <w:t xml:space="preserve">The submission presented a series of indirect comparisons between TOF and all relevant comparators for induction and maintenance therapy using placebo as common reference. </w:t>
      </w:r>
      <w:r w:rsidRPr="00B51DEF">
        <w:rPr>
          <w:iCs/>
        </w:rPr>
        <w:t xml:space="preserve">However, interpretation of the indirect comparisons </w:t>
      </w:r>
      <w:r w:rsidR="006B6C4B" w:rsidRPr="00B51DEF">
        <w:rPr>
          <w:iCs/>
        </w:rPr>
        <w:t>was</w:t>
      </w:r>
      <w:r w:rsidRPr="00B51DEF">
        <w:rPr>
          <w:iCs/>
        </w:rPr>
        <w:t xml:space="preserve"> problematic for a number of reasons.</w:t>
      </w:r>
    </w:p>
    <w:p w:rsidR="00022D31" w:rsidRPr="00B51DEF" w:rsidRDefault="00022D31" w:rsidP="006670A2">
      <w:pPr>
        <w:pStyle w:val="ListParagraph"/>
        <w:widowControl/>
        <w:numPr>
          <w:ilvl w:val="1"/>
          <w:numId w:val="3"/>
        </w:numPr>
        <w:spacing w:before="120" w:after="120"/>
      </w:pPr>
      <w:r w:rsidRPr="00B51DEF">
        <w:rPr>
          <w:iCs/>
        </w:rPr>
        <w:t xml:space="preserve">For indirect comparisons of induction therapy, comparable data were available for outcomes at 6 and 8 weeks across the induction phases/trials for all comparators. However, for the outcome of clinical remission, the submission compared “remission” in the OCTAVE trials (a slightly </w:t>
      </w:r>
      <w:r w:rsidR="005D535D" w:rsidRPr="00B51DEF">
        <w:rPr>
          <w:iCs/>
        </w:rPr>
        <w:t xml:space="preserve">more </w:t>
      </w:r>
      <w:r w:rsidRPr="00B51DEF">
        <w:rPr>
          <w:iCs/>
        </w:rPr>
        <w:t>stringent definition of clinical remission) to “clinical remission” in the other trials.</w:t>
      </w:r>
    </w:p>
    <w:p w:rsidR="00022D31" w:rsidRPr="00B51DEF" w:rsidRDefault="00022D31" w:rsidP="006670A2">
      <w:pPr>
        <w:pStyle w:val="ListParagraph"/>
        <w:widowControl/>
        <w:numPr>
          <w:ilvl w:val="1"/>
          <w:numId w:val="3"/>
        </w:numPr>
        <w:spacing w:before="120" w:after="120"/>
      </w:pPr>
      <w:r w:rsidRPr="00B51DEF">
        <w:rPr>
          <w:iCs/>
        </w:rPr>
        <w:t xml:space="preserve">For indirect comparisons in maintenance therapy, the </w:t>
      </w:r>
      <w:r w:rsidR="0009319E" w:rsidRPr="00B51DEF">
        <w:rPr>
          <w:iCs/>
        </w:rPr>
        <w:t>s</w:t>
      </w:r>
      <w:r w:rsidRPr="00B51DEF">
        <w:rPr>
          <w:iCs/>
        </w:rPr>
        <w:t xml:space="preserve">ubmission included all trials regardless of trial design. As discussed above, some maintenance trials only included responders to induction therapy, re-randomised to active treatment or placebo (randomised withdrawal design), whereas other trials followed all randomised patients following induction therapy regardless of response (‘treat-through’ design). Indirect comparison for maintenance therapy was also limited due to differences in the outcomes reported and the timing of outcome assessment across trials. </w:t>
      </w:r>
    </w:p>
    <w:p w:rsidR="00022D31" w:rsidRPr="00B51DEF" w:rsidRDefault="00022D31" w:rsidP="006670A2">
      <w:pPr>
        <w:pStyle w:val="ListParagraph"/>
        <w:widowControl/>
        <w:numPr>
          <w:ilvl w:val="1"/>
          <w:numId w:val="3"/>
        </w:numPr>
        <w:spacing w:before="120" w:after="120"/>
        <w:rPr>
          <w:iCs/>
        </w:rPr>
      </w:pPr>
      <w:r w:rsidRPr="00B51DEF">
        <w:rPr>
          <w:iCs/>
        </w:rPr>
        <w:t xml:space="preserve">To improve comparability across outcomes and trials, the </w:t>
      </w:r>
      <w:r w:rsidR="00DB4453" w:rsidRPr="00B51DEF">
        <w:rPr>
          <w:iCs/>
        </w:rPr>
        <w:t xml:space="preserve">evaluation </w:t>
      </w:r>
      <w:r w:rsidRPr="00B51DEF">
        <w:rPr>
          <w:iCs/>
        </w:rPr>
        <w:t xml:space="preserve">presented </w:t>
      </w:r>
      <w:proofErr w:type="spellStart"/>
      <w:r w:rsidRPr="00B51DEF">
        <w:rPr>
          <w:iCs/>
        </w:rPr>
        <w:t>i</w:t>
      </w:r>
      <w:proofErr w:type="spellEnd"/>
      <w:r w:rsidRPr="00B51DEF">
        <w:rPr>
          <w:iCs/>
        </w:rPr>
        <w:t xml:space="preserve">) results for “clinical remission” </w:t>
      </w:r>
      <w:r w:rsidR="00B82F7A" w:rsidRPr="00B51DEF">
        <w:rPr>
          <w:iCs/>
        </w:rPr>
        <w:t xml:space="preserve">and “clinical response” </w:t>
      </w:r>
      <w:r w:rsidRPr="00B51DEF">
        <w:rPr>
          <w:iCs/>
        </w:rPr>
        <w:t xml:space="preserve">following induction treatment, and ii) results for “sustained clinical remission” and “sustained clinical response” in maintenance therapy from trials that re-randomised patients with response to induction therapy consistent with the design of the TOF maintenance trial OCTAVE </w:t>
      </w:r>
      <w:r w:rsidRPr="00B51DEF">
        <w:rPr>
          <w:iCs/>
        </w:rPr>
        <w:lastRenderedPageBreak/>
        <w:t>Sustain. However, there were still some differences in the timing/frequency of the assessments for the outcomes of sustained clinical remission/response across trials (</w:t>
      </w:r>
      <w:r w:rsidR="00D00ACF" w:rsidRPr="00B51DEF">
        <w:rPr>
          <w:iCs/>
        </w:rPr>
        <w:t>i.e</w:t>
      </w:r>
      <w:r w:rsidRPr="00B51DEF">
        <w:rPr>
          <w:iCs/>
        </w:rPr>
        <w:t>.</w:t>
      </w:r>
      <w:r w:rsidR="00D00ACF" w:rsidRPr="00B51DEF">
        <w:rPr>
          <w:iCs/>
        </w:rPr>
        <w:t xml:space="preserve"> these outcomes were measured </w:t>
      </w:r>
      <w:r w:rsidRPr="00B51DEF">
        <w:rPr>
          <w:iCs/>
        </w:rPr>
        <w:t>at Week 24 and 52</w:t>
      </w:r>
      <w:r w:rsidR="00D00ACF" w:rsidRPr="00B51DEF">
        <w:rPr>
          <w:iCs/>
        </w:rPr>
        <w:t xml:space="preserve"> in OCTAVE sustain</w:t>
      </w:r>
      <w:r w:rsidRPr="00B51DEF">
        <w:rPr>
          <w:iCs/>
        </w:rPr>
        <w:t>, Week 30 and 54</w:t>
      </w:r>
      <w:r w:rsidR="00D00ACF" w:rsidRPr="00B51DEF">
        <w:rPr>
          <w:iCs/>
        </w:rPr>
        <w:t xml:space="preserve"> in the PURSUIT trials</w:t>
      </w:r>
      <w:r w:rsidRPr="00B51DEF">
        <w:rPr>
          <w:iCs/>
        </w:rPr>
        <w:t xml:space="preserve">, </w:t>
      </w:r>
      <w:r w:rsidR="00D00ACF" w:rsidRPr="00B51DEF">
        <w:rPr>
          <w:iCs/>
        </w:rPr>
        <w:t xml:space="preserve">and </w:t>
      </w:r>
      <w:r w:rsidRPr="00B51DEF">
        <w:rPr>
          <w:iCs/>
        </w:rPr>
        <w:t>Week 6 and 52</w:t>
      </w:r>
      <w:r w:rsidR="00D00ACF" w:rsidRPr="00B51DEF">
        <w:rPr>
          <w:iCs/>
        </w:rPr>
        <w:t xml:space="preserve"> in GEMINI-1</w:t>
      </w:r>
      <w:r w:rsidRPr="00B51DEF">
        <w:rPr>
          <w:iCs/>
        </w:rPr>
        <w:t>).</w:t>
      </w:r>
    </w:p>
    <w:p w:rsidR="00022D31" w:rsidRPr="00B51DEF" w:rsidRDefault="00022D31" w:rsidP="006670A2">
      <w:pPr>
        <w:pStyle w:val="ListParagraph"/>
        <w:widowControl/>
        <w:numPr>
          <w:ilvl w:val="1"/>
          <w:numId w:val="3"/>
        </w:numPr>
        <w:spacing w:before="120" w:after="120"/>
        <w:rPr>
          <w:rFonts w:cs="Calibri"/>
          <w:color w:val="000000" w:themeColor="text1"/>
          <w:szCs w:val="24"/>
          <w:lang w:eastAsia="en-AU"/>
        </w:rPr>
      </w:pPr>
      <w:r w:rsidRPr="00B51DEF">
        <w:rPr>
          <w:iCs/>
        </w:rPr>
        <w:t>Table 5 and Table 6 present results for clinical remission and clinical response, respectively, during induction. Table 7 and Table 8 present results for the outcomes of sustained clinical remission and sustained clinical</w:t>
      </w:r>
      <w:r w:rsidR="00B82F7A" w:rsidRPr="00B51DEF">
        <w:rPr>
          <w:iCs/>
        </w:rPr>
        <w:t xml:space="preserve"> response</w:t>
      </w:r>
      <w:r w:rsidRPr="00B51DEF">
        <w:rPr>
          <w:iCs/>
        </w:rPr>
        <w:t xml:space="preserve">, respectively, for maintenance treatment. The </w:t>
      </w:r>
      <w:r w:rsidR="00DB4453" w:rsidRPr="00B51DEF">
        <w:rPr>
          <w:iCs/>
        </w:rPr>
        <w:t>evaluation did not undertake</w:t>
      </w:r>
      <w:r w:rsidRPr="00B51DEF">
        <w:rPr>
          <w:iCs/>
        </w:rPr>
        <w:t xml:space="preserve"> indirect comparisons between TOF and IFX or ADA for maintenance therapy due to differences in trial design that favoured TOF.</w:t>
      </w:r>
    </w:p>
    <w:p w:rsidR="00022D31" w:rsidRPr="00B51DEF" w:rsidRDefault="00022D31" w:rsidP="009467BF">
      <w:pPr>
        <w:pStyle w:val="TableHeading"/>
        <w:rPr>
          <w:rFonts w:cs="Calibri"/>
          <w:color w:val="000000" w:themeColor="text1"/>
          <w:szCs w:val="24"/>
          <w:lang w:eastAsia="en-AU"/>
        </w:rPr>
        <w:sectPr w:rsidR="00022D31" w:rsidRPr="00B51DEF" w:rsidSect="00EC2B55">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pPr>
    </w:p>
    <w:p w:rsidR="00022D31" w:rsidRPr="00B51DEF" w:rsidRDefault="00022D31" w:rsidP="009467BF">
      <w:pPr>
        <w:pStyle w:val="TableHeading"/>
        <w:rPr>
          <w:rStyle w:val="CommentReference"/>
          <w:b/>
          <w:bCs w:val="0"/>
        </w:rPr>
      </w:pPr>
      <w:r w:rsidRPr="00B51DEF">
        <w:rPr>
          <w:szCs w:val="20"/>
        </w:rPr>
        <w:lastRenderedPageBreak/>
        <w:t xml:space="preserve">Table </w:t>
      </w:r>
      <w:r w:rsidR="004D1D00" w:rsidRPr="00B51DEF">
        <w:rPr>
          <w:szCs w:val="20"/>
        </w:rPr>
        <w:t>5</w:t>
      </w:r>
      <w:r w:rsidRPr="00B51DEF">
        <w:rPr>
          <w:b w:val="0"/>
          <w:bCs w:val="0"/>
          <w:szCs w:val="20"/>
        </w:rPr>
        <w:t xml:space="preserve"> </w:t>
      </w:r>
      <w:r w:rsidRPr="00B51DEF">
        <w:rPr>
          <w:rStyle w:val="CommentReference"/>
          <w:b/>
          <w:bCs w:val="0"/>
        </w:rPr>
        <w:t>Clinical remission at Weeks 6/8 – induction therapy</w:t>
      </w:r>
      <w:r w:rsidR="00172040" w:rsidRPr="00B51DEF">
        <w:rPr>
          <w:rStyle w:val="CommentReference"/>
          <w:b/>
          <w:bCs w:val="0"/>
        </w:rPr>
        <w:t xml:space="preserve"> </w:t>
      </w:r>
      <w:r w:rsidRPr="00B51DEF">
        <w:rPr>
          <w:rStyle w:val="CommentReference"/>
          <w:b/>
          <w:bCs w:val="0"/>
        </w:rPr>
        <w:t>(relevant arms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Caption w:val="Clinical remission at Weeks 6/8 – induction therapy (relevant arms only)"/>
      </w:tblPr>
      <w:tblGrid>
        <w:gridCol w:w="1972"/>
        <w:gridCol w:w="1128"/>
        <w:gridCol w:w="1004"/>
        <w:gridCol w:w="1449"/>
        <w:gridCol w:w="1323"/>
        <w:gridCol w:w="1346"/>
        <w:gridCol w:w="795"/>
      </w:tblGrid>
      <w:tr w:rsidR="00022D31" w:rsidRPr="00B51DEF" w:rsidTr="006D40D3">
        <w:trPr>
          <w:trHeight w:val="170"/>
          <w:tblHeader/>
        </w:trPr>
        <w:tc>
          <w:tcPr>
            <w:tcW w:w="1097" w:type="pct"/>
            <w:tcBorders>
              <w:bottom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Trial</w:t>
            </w:r>
          </w:p>
        </w:tc>
        <w:tc>
          <w:tcPr>
            <w:tcW w:w="629" w:type="pct"/>
            <w:tcBorders>
              <w:bottom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Drug</w:t>
            </w:r>
          </w:p>
          <w:p w:rsidR="00022D31" w:rsidRPr="00B51DEF" w:rsidRDefault="00022D31" w:rsidP="009467BF">
            <w:pPr>
              <w:widowControl/>
              <w:jc w:val="center"/>
              <w:rPr>
                <w:rFonts w:ascii="Arial Narrow" w:hAnsi="Arial Narrow"/>
                <w:b/>
                <w:bCs/>
                <w:iCs/>
                <w:sz w:val="18"/>
                <w:szCs w:val="18"/>
              </w:rPr>
            </w:pPr>
            <w:proofErr w:type="gramStart"/>
            <w:r w:rsidRPr="00B51DEF">
              <w:rPr>
                <w:rFonts w:ascii="Arial Narrow" w:hAnsi="Arial Narrow"/>
                <w:b/>
                <w:bCs/>
                <w:iCs/>
                <w:sz w:val="18"/>
                <w:szCs w:val="18"/>
              </w:rPr>
              <w:t>n/N</w:t>
            </w:r>
            <w:proofErr w:type="gramEnd"/>
            <w:r w:rsidRPr="00B51DEF">
              <w:rPr>
                <w:rFonts w:ascii="Arial Narrow" w:hAnsi="Arial Narrow"/>
                <w:b/>
                <w:bCs/>
                <w:iCs/>
                <w:sz w:val="18"/>
                <w:szCs w:val="18"/>
              </w:rPr>
              <w:t xml:space="preserve"> (%)</w:t>
            </w:r>
          </w:p>
        </w:tc>
        <w:tc>
          <w:tcPr>
            <w:tcW w:w="560" w:type="pct"/>
            <w:tcBorders>
              <w:bottom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Control</w:t>
            </w:r>
          </w:p>
          <w:p w:rsidR="00022D31" w:rsidRPr="00B51DEF" w:rsidRDefault="00022D31" w:rsidP="009467BF">
            <w:pPr>
              <w:widowControl/>
              <w:jc w:val="center"/>
              <w:rPr>
                <w:rFonts w:ascii="Arial Narrow" w:hAnsi="Arial Narrow"/>
                <w:b/>
                <w:bCs/>
                <w:iCs/>
                <w:sz w:val="18"/>
                <w:szCs w:val="18"/>
              </w:rPr>
            </w:pPr>
            <w:proofErr w:type="gramStart"/>
            <w:r w:rsidRPr="00B51DEF">
              <w:rPr>
                <w:rFonts w:ascii="Arial Narrow" w:hAnsi="Arial Narrow"/>
                <w:b/>
                <w:bCs/>
                <w:iCs/>
                <w:sz w:val="18"/>
                <w:szCs w:val="18"/>
              </w:rPr>
              <w:t>n/N</w:t>
            </w:r>
            <w:proofErr w:type="gramEnd"/>
            <w:r w:rsidRPr="00B51DEF">
              <w:rPr>
                <w:rFonts w:ascii="Arial Narrow" w:hAnsi="Arial Narrow"/>
                <w:b/>
                <w:bCs/>
                <w:iCs/>
                <w:sz w:val="18"/>
                <w:szCs w:val="18"/>
              </w:rPr>
              <w:t xml:space="preserve"> (%)</w:t>
            </w:r>
          </w:p>
        </w:tc>
        <w:tc>
          <w:tcPr>
            <w:tcW w:w="807" w:type="pct"/>
            <w:tcBorders>
              <w:top w:val="single" w:sz="4" w:space="0" w:color="auto"/>
              <w:bottom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RR (95% CI)^</w:t>
            </w:r>
          </w:p>
        </w:tc>
        <w:tc>
          <w:tcPr>
            <w:tcW w:w="1463" w:type="pct"/>
            <w:gridSpan w:val="2"/>
            <w:tcBorders>
              <w:top w:val="single" w:sz="4" w:space="0" w:color="auto"/>
              <w:bottom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RD (95% CI)^</w:t>
            </w:r>
          </w:p>
        </w:tc>
        <w:tc>
          <w:tcPr>
            <w:tcW w:w="444" w:type="pct"/>
            <w:tcBorders>
              <w:top w:val="single" w:sz="4" w:space="0" w:color="auto"/>
              <w:bottom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NNT</w:t>
            </w:r>
          </w:p>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(95%CI)</w:t>
            </w:r>
          </w:p>
        </w:tc>
      </w:tr>
      <w:tr w:rsidR="00022D31" w:rsidRPr="00B51DEF" w:rsidTr="006D40D3">
        <w:trPr>
          <w:trHeight w:val="112"/>
        </w:trPr>
        <w:tc>
          <w:tcPr>
            <w:tcW w:w="2286" w:type="pct"/>
            <w:gridSpan w:val="3"/>
            <w:tcBorders>
              <w:right w:val="single" w:sz="4" w:space="0" w:color="auto"/>
            </w:tcBorders>
            <w:shd w:val="clear" w:color="auto" w:fill="auto"/>
            <w:vAlign w:val="center"/>
          </w:tcPr>
          <w:p w:rsidR="00022D31" w:rsidRPr="00B51DEF" w:rsidRDefault="00022D31" w:rsidP="009467BF">
            <w:pPr>
              <w:widowControl/>
              <w:jc w:val="left"/>
              <w:rPr>
                <w:rFonts w:ascii="Arial Narrow" w:hAnsi="Arial Narrow"/>
                <w:bCs/>
                <w:iCs/>
                <w:sz w:val="18"/>
                <w:szCs w:val="18"/>
              </w:rPr>
            </w:pPr>
            <w:r w:rsidRPr="00B51DEF">
              <w:rPr>
                <w:rFonts w:ascii="Arial Narrow" w:hAnsi="Arial Narrow"/>
                <w:sz w:val="18"/>
                <w:szCs w:val="18"/>
              </w:rPr>
              <w:t>TOF</w:t>
            </w:r>
            <w:r w:rsidR="00091426" w:rsidRPr="00B51DEF">
              <w:rPr>
                <w:rFonts w:ascii="Arial Narrow" w:hAnsi="Arial Narrow"/>
                <w:sz w:val="18"/>
                <w:szCs w:val="18"/>
              </w:rPr>
              <w:t xml:space="preserve"> 10mg </w:t>
            </w:r>
            <w:r w:rsidRPr="00B51DEF">
              <w:rPr>
                <w:rFonts w:ascii="Arial Narrow" w:hAnsi="Arial Narrow"/>
                <w:sz w:val="18"/>
                <w:szCs w:val="18"/>
              </w:rPr>
              <w:t>v PBO (</w:t>
            </w:r>
            <w:proofErr w:type="spellStart"/>
            <w:r w:rsidRPr="00B51DEF">
              <w:rPr>
                <w:rFonts w:ascii="Arial Narrow" w:hAnsi="Arial Narrow"/>
                <w:sz w:val="18"/>
                <w:szCs w:val="18"/>
              </w:rPr>
              <w:t>Wk</w:t>
            </w:r>
            <w:proofErr w:type="spellEnd"/>
            <w:r w:rsidRPr="00B51DEF">
              <w:rPr>
                <w:rFonts w:ascii="Arial Narrow" w:hAnsi="Arial Narrow"/>
                <w:sz w:val="18"/>
                <w:szCs w:val="18"/>
              </w:rPr>
              <w:t xml:space="preserve"> 8)</w:t>
            </w:r>
            <w:r w:rsidRPr="00B51DEF">
              <w:rPr>
                <w:rFonts w:ascii="Arial Narrow" w:hAnsi="Arial Narrow"/>
                <w:sz w:val="18"/>
                <w:szCs w:val="18"/>
                <w:vertAlign w:val="superscript"/>
              </w:rPr>
              <w:t>a</w:t>
            </w:r>
          </w:p>
        </w:tc>
        <w:tc>
          <w:tcPr>
            <w:tcW w:w="807" w:type="pct"/>
            <w:tcBorders>
              <w:top w:val="single" w:sz="4" w:space="0" w:color="auto"/>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37" w:type="pct"/>
            <w:tcBorders>
              <w:top w:val="single" w:sz="4" w:space="0" w:color="auto"/>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sz w:val="18"/>
                <w:szCs w:val="18"/>
              </w:rPr>
            </w:pPr>
          </w:p>
        </w:tc>
        <w:tc>
          <w:tcPr>
            <w:tcW w:w="726" w:type="pct"/>
            <w:tcBorders>
              <w:top w:val="single" w:sz="4" w:space="0" w:color="auto"/>
              <w:left w:val="nil"/>
              <w:bottom w:val="nil"/>
              <w:right w:val="single" w:sz="4" w:space="0" w:color="auto"/>
            </w:tcBorders>
            <w:vAlign w:val="center"/>
          </w:tcPr>
          <w:p w:rsidR="00022D31" w:rsidRPr="00B51DEF" w:rsidRDefault="00022D31" w:rsidP="009467BF">
            <w:pPr>
              <w:widowControl/>
              <w:jc w:val="center"/>
              <w:rPr>
                <w:rFonts w:ascii="Arial Narrow" w:hAnsi="Arial Narrow"/>
                <w:iCs/>
                <w:sz w:val="18"/>
                <w:szCs w:val="18"/>
              </w:rPr>
            </w:pPr>
          </w:p>
        </w:tc>
        <w:tc>
          <w:tcPr>
            <w:tcW w:w="444" w:type="pct"/>
            <w:tcBorders>
              <w:top w:val="single" w:sz="4" w:space="0" w:color="auto"/>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p>
        </w:tc>
      </w:tr>
      <w:tr w:rsidR="00022D31" w:rsidRPr="00B51DEF" w:rsidTr="006D40D3">
        <w:trPr>
          <w:trHeight w:val="112"/>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OCTAVE 1, ITT</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88/476 (18.5)</w:t>
            </w:r>
          </w:p>
        </w:tc>
        <w:tc>
          <w:tcPr>
            <w:tcW w:w="560"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10/122 (8.2)</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2.26 (1.21, 4.21)</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0.10 (0.04, 0.16)</w:t>
            </w:r>
          </w:p>
        </w:tc>
        <w:tc>
          <w:tcPr>
            <w:tcW w:w="726" w:type="pct"/>
            <w:vMerge w:val="restart"/>
            <w:tcBorders>
              <w:top w:val="nil"/>
              <w:left w:val="nil"/>
              <w:right w:val="single" w:sz="4" w:space="0" w:color="auto"/>
            </w:tcBorders>
          </w:tcPr>
          <w:p w:rsidR="00022D31" w:rsidRPr="00B51DEF" w:rsidRDefault="009D4A3F" w:rsidP="009467BF">
            <w:pPr>
              <w:widowControl/>
              <w:jc w:val="center"/>
              <w:rPr>
                <w:rFonts w:ascii="Arial Narrow" w:hAnsi="Arial Narrow"/>
                <w:i/>
                <w:sz w:val="16"/>
                <w:szCs w:val="16"/>
              </w:rPr>
            </w:pPr>
            <w:r>
              <w:rPr>
                <w:noProof/>
                <w:snapToGrid/>
                <w:lang w:eastAsia="en-AU"/>
              </w:rPr>
              <w:drawing>
                <wp:inline distT="0" distB="0" distL="0" distR="0" wp14:anchorId="02FCDFE1" wp14:editId="3A2560BA">
                  <wp:extent cx="811453" cy="6676845"/>
                  <wp:effectExtent l="0" t="0" r="8255" b="0"/>
                  <wp:docPr id="1" name="Picture 1" title="Clinical remission at Weeks 6/8 – induction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11453" cy="6676845"/>
                          </a:xfrm>
                          <a:prstGeom prst="rect">
                            <a:avLst/>
                          </a:prstGeom>
                        </pic:spPr>
                      </pic:pic>
                    </a:graphicData>
                  </a:graphic>
                </wp:inline>
              </w:drawing>
            </w: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10 (6, 25)</w:t>
            </w:r>
          </w:p>
        </w:tc>
      </w:tr>
      <w:tr w:rsidR="00022D31" w:rsidRPr="00B51DEF" w:rsidTr="006D40D3">
        <w:trPr>
          <w:trHeight w:val="112"/>
        </w:trPr>
        <w:tc>
          <w:tcPr>
            <w:tcW w:w="1097" w:type="pct"/>
            <w:shd w:val="clear" w:color="auto" w:fill="auto"/>
            <w:vAlign w:val="center"/>
          </w:tcPr>
          <w:p w:rsidR="00022D31" w:rsidRPr="00B51DEF" w:rsidRDefault="00022D31" w:rsidP="009467BF">
            <w:pPr>
              <w:widowControl/>
              <w:jc w:val="left"/>
              <w:rPr>
                <w:rFonts w:ascii="Arial Narrow" w:hAnsi="Arial Narrow"/>
                <w:i/>
                <w:sz w:val="18"/>
                <w:szCs w:val="18"/>
              </w:rPr>
            </w:pPr>
            <w:r w:rsidRPr="00B51DEF">
              <w:rPr>
                <w:rFonts w:ascii="Arial Narrow" w:hAnsi="Arial Narrow"/>
                <w:i/>
                <w:sz w:val="18"/>
                <w:szCs w:val="18"/>
              </w:rPr>
              <w:t xml:space="preserve">OCTAVE 1,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56/222 (25.2)</w:t>
            </w:r>
          </w:p>
        </w:tc>
        <w:tc>
          <w:tcPr>
            <w:tcW w:w="560"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9/57 (15.8)</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1.60 (0.84, 3.03)</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0.09 (-0.02, 0.20)</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NS</w:t>
            </w:r>
          </w:p>
        </w:tc>
      </w:tr>
      <w:tr w:rsidR="00022D31" w:rsidRPr="00B51DEF" w:rsidTr="006D40D3">
        <w:trPr>
          <w:trHeight w:val="112"/>
        </w:trPr>
        <w:tc>
          <w:tcPr>
            <w:tcW w:w="1097" w:type="pct"/>
            <w:shd w:val="clear" w:color="auto" w:fill="auto"/>
            <w:vAlign w:val="center"/>
          </w:tcPr>
          <w:p w:rsidR="00022D31" w:rsidRPr="00B51DEF" w:rsidRDefault="00022D31" w:rsidP="009467BF">
            <w:pPr>
              <w:widowControl/>
              <w:jc w:val="left"/>
              <w:rPr>
                <w:rFonts w:ascii="Arial Narrow" w:hAnsi="Arial Narrow"/>
                <w:i/>
                <w:sz w:val="18"/>
                <w:szCs w:val="18"/>
              </w:rPr>
            </w:pPr>
            <w:r w:rsidRPr="00B51DEF">
              <w:rPr>
                <w:rFonts w:ascii="Arial Narrow" w:hAnsi="Arial Narrow"/>
                <w:i/>
                <w:sz w:val="18"/>
                <w:szCs w:val="18"/>
              </w:rPr>
              <w:t xml:space="preserve">OCTAVE 1,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32/254 (12.6)</w:t>
            </w:r>
          </w:p>
        </w:tc>
        <w:tc>
          <w:tcPr>
            <w:tcW w:w="560"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1/65 (1.5)</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8.19 (1.14, 58.82)</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0.11 (0.06, 0.16)</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9 (6, 17)</w:t>
            </w:r>
          </w:p>
        </w:tc>
      </w:tr>
      <w:tr w:rsidR="00022D31" w:rsidRPr="00B51DEF" w:rsidTr="006D40D3">
        <w:trPr>
          <w:trHeight w:val="112"/>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OCTAVE 2, ITT</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72/429 (16.8)</w:t>
            </w:r>
          </w:p>
        </w:tc>
        <w:tc>
          <w:tcPr>
            <w:tcW w:w="560"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4/112 (3.6)</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4.70 (1.75, 12.59)</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0.13 (0.08, 0.18)</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8 (5.5, 12.5)</w:t>
            </w:r>
          </w:p>
        </w:tc>
      </w:tr>
      <w:tr w:rsidR="00022D31" w:rsidRPr="00B51DEF" w:rsidTr="006D40D3">
        <w:trPr>
          <w:trHeight w:val="112"/>
        </w:trPr>
        <w:tc>
          <w:tcPr>
            <w:tcW w:w="1097" w:type="pct"/>
            <w:shd w:val="clear" w:color="auto" w:fill="auto"/>
            <w:vAlign w:val="center"/>
          </w:tcPr>
          <w:p w:rsidR="00022D31" w:rsidRPr="00B51DEF" w:rsidRDefault="00022D31" w:rsidP="009467BF">
            <w:pPr>
              <w:widowControl/>
              <w:jc w:val="left"/>
              <w:rPr>
                <w:rFonts w:ascii="Arial Narrow" w:hAnsi="Arial Narrow"/>
                <w:i/>
                <w:sz w:val="18"/>
                <w:szCs w:val="18"/>
              </w:rPr>
            </w:pPr>
            <w:r w:rsidRPr="00B51DEF">
              <w:rPr>
                <w:rFonts w:ascii="Arial Narrow" w:hAnsi="Arial Narrow"/>
                <w:i/>
                <w:sz w:val="18"/>
                <w:szCs w:val="18"/>
              </w:rPr>
              <w:t xml:space="preserve">OCTAVE 2,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44/195 (22.6)</w:t>
            </w:r>
          </w:p>
        </w:tc>
        <w:tc>
          <w:tcPr>
            <w:tcW w:w="560"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4/47 (8.5)</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2.65 (1.00, 7.01)</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0.14 (0.04, 0.24)</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7 (4, 25)</w:t>
            </w:r>
          </w:p>
        </w:tc>
      </w:tr>
      <w:tr w:rsidR="00022D31" w:rsidRPr="00B51DEF" w:rsidTr="006D40D3">
        <w:trPr>
          <w:trHeight w:val="112"/>
        </w:trPr>
        <w:tc>
          <w:tcPr>
            <w:tcW w:w="1097" w:type="pct"/>
            <w:shd w:val="clear" w:color="auto" w:fill="auto"/>
            <w:vAlign w:val="center"/>
          </w:tcPr>
          <w:p w:rsidR="00022D31" w:rsidRPr="00B51DEF" w:rsidRDefault="00022D31" w:rsidP="009467BF">
            <w:pPr>
              <w:widowControl/>
              <w:jc w:val="left"/>
              <w:rPr>
                <w:rFonts w:ascii="Arial Narrow" w:hAnsi="Arial Narrow"/>
                <w:i/>
                <w:sz w:val="18"/>
                <w:szCs w:val="18"/>
              </w:rPr>
            </w:pPr>
            <w:r w:rsidRPr="00B51DEF">
              <w:rPr>
                <w:rFonts w:ascii="Arial Narrow" w:hAnsi="Arial Narrow"/>
                <w:i/>
                <w:sz w:val="18"/>
                <w:szCs w:val="18"/>
              </w:rPr>
              <w:t xml:space="preserve">OCTAVE 2,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28/234 (12.0)</w:t>
            </w:r>
          </w:p>
        </w:tc>
        <w:tc>
          <w:tcPr>
            <w:tcW w:w="560"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0/65 (0)</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16.01 (0.99, 258.73)</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0.12 (0.07, 0.17)</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8 (6, 14)</w:t>
            </w:r>
          </w:p>
        </w:tc>
      </w:tr>
      <w:tr w:rsidR="00022D31" w:rsidRPr="00B51DEF" w:rsidTr="006D40D3">
        <w:trPr>
          <w:trHeight w:val="112"/>
        </w:trPr>
        <w:tc>
          <w:tcPr>
            <w:tcW w:w="1097" w:type="pct"/>
            <w:shd w:val="clear" w:color="auto" w:fill="auto"/>
            <w:vAlign w:val="center"/>
          </w:tcPr>
          <w:p w:rsidR="00022D31" w:rsidRPr="00B51DEF" w:rsidRDefault="00022D31" w:rsidP="009467BF">
            <w:pPr>
              <w:widowControl/>
              <w:ind w:left="112"/>
              <w:jc w:val="left"/>
              <w:rPr>
                <w:rFonts w:ascii="Arial Narrow" w:hAnsi="Arial Narrow"/>
                <w:iCs/>
                <w:sz w:val="18"/>
                <w:szCs w:val="18"/>
              </w:rPr>
            </w:pPr>
            <w:r w:rsidRPr="00B51DEF">
              <w:rPr>
                <w:rFonts w:ascii="Arial Narrow" w:hAnsi="Arial Narrow"/>
                <w:iCs/>
                <w:sz w:val="18"/>
                <w:szCs w:val="18"/>
              </w:rPr>
              <w:t>Meta, ITT</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160/905 (17.7)</w:t>
            </w:r>
          </w:p>
        </w:tc>
        <w:tc>
          <w:tcPr>
            <w:tcW w:w="560"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14/234 (6.0)</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2.95 (1.74, 5.00)</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0.12 (0.08, 0.16)</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8 (6, 12.5)</w:t>
            </w:r>
          </w:p>
        </w:tc>
      </w:tr>
      <w:tr w:rsidR="00022D31" w:rsidRPr="00B51DEF" w:rsidTr="006D40D3">
        <w:trPr>
          <w:trHeight w:val="112"/>
        </w:trPr>
        <w:tc>
          <w:tcPr>
            <w:tcW w:w="1097" w:type="pct"/>
            <w:shd w:val="clear" w:color="auto" w:fill="auto"/>
            <w:vAlign w:val="center"/>
          </w:tcPr>
          <w:p w:rsidR="00022D31" w:rsidRPr="00B51DEF" w:rsidRDefault="00022D31" w:rsidP="009467BF">
            <w:pPr>
              <w:widowControl/>
              <w:ind w:left="112"/>
              <w:jc w:val="left"/>
              <w:rPr>
                <w:rFonts w:ascii="Arial Narrow" w:hAnsi="Arial Narrow"/>
                <w:iCs/>
                <w:sz w:val="18"/>
                <w:szCs w:val="18"/>
              </w:rPr>
            </w:pPr>
            <w:r w:rsidRPr="00B51DEF">
              <w:rPr>
                <w:rFonts w:ascii="Arial Narrow" w:hAnsi="Arial Narrow"/>
                <w:iCs/>
                <w:sz w:val="18"/>
                <w:szCs w:val="18"/>
              </w:rPr>
              <w:t xml:space="preserve">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560"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12"/>
        </w:trPr>
        <w:tc>
          <w:tcPr>
            <w:tcW w:w="1097" w:type="pct"/>
            <w:shd w:val="clear" w:color="auto" w:fill="auto"/>
            <w:vAlign w:val="center"/>
          </w:tcPr>
          <w:p w:rsidR="00022D31" w:rsidRPr="00B51DEF" w:rsidRDefault="00022D31" w:rsidP="009467BF">
            <w:pPr>
              <w:widowControl/>
              <w:ind w:left="112"/>
              <w:jc w:val="left"/>
              <w:rPr>
                <w:rFonts w:ascii="Arial Narrow" w:hAnsi="Arial Narrow"/>
                <w:iCs/>
                <w:sz w:val="18"/>
                <w:szCs w:val="18"/>
              </w:rPr>
            </w:pPr>
            <w:r w:rsidRPr="00B51DEF">
              <w:rPr>
                <w:rFonts w:ascii="Arial Narrow" w:hAnsi="Arial Narrow"/>
                <w:iCs/>
                <w:sz w:val="18"/>
                <w:szCs w:val="18"/>
              </w:rPr>
              <w:t xml:space="preserve">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-e</w:t>
            </w:r>
          </w:p>
        </w:tc>
        <w:tc>
          <w:tcPr>
            <w:tcW w:w="629"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560"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left"/>
              <w:rPr>
                <w:rFonts w:ascii="Arial Narrow" w:hAnsi="Arial Narrow"/>
                <w:b/>
                <w:bCs/>
                <w:iCs/>
                <w:sz w:val="18"/>
                <w:szCs w:val="18"/>
              </w:rPr>
            </w:pPr>
            <w:r w:rsidRPr="00B51DEF">
              <w:rPr>
                <w:rFonts w:ascii="Arial Narrow" w:hAnsi="Arial Narrow"/>
                <w:b/>
                <w:bCs/>
                <w:iCs/>
                <w:sz w:val="18"/>
                <w:szCs w:val="18"/>
              </w:rPr>
              <w:t>IFX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8)</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
                <w:iCs/>
                <w:sz w:val="18"/>
                <w:szCs w:val="18"/>
              </w:rPr>
            </w:pP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i/>
                <w:iCs/>
                <w:sz w:val="18"/>
                <w:szCs w:val="18"/>
              </w:rPr>
            </w:pP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i/>
                <w:sz w:val="16"/>
                <w:szCs w:val="16"/>
              </w:rPr>
            </w:pP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ACT 1,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47/121 (38.8)</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18/121 (14.9)</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2.61 (1.61, 4.23)</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sz w:val="18"/>
                <w:szCs w:val="18"/>
              </w:rPr>
              <w:t>0.24 (0.13, 0.35)</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4 (3, 8)</w:t>
            </w:r>
          </w:p>
        </w:tc>
      </w:tr>
      <w:tr w:rsidR="00022D31" w:rsidRPr="00B51DEF" w:rsidTr="006D40D3">
        <w:trPr>
          <w:trHeight w:val="237"/>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ACT 2,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41/121 (33.9)</w:t>
            </w:r>
          </w:p>
        </w:tc>
        <w:tc>
          <w:tcPr>
            <w:tcW w:w="560"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7/123 (5.7)</w:t>
            </w:r>
          </w:p>
        </w:tc>
        <w:tc>
          <w:tcPr>
            <w:tcW w:w="807"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5.95 (2.78, 12.75)</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sz w:val="18"/>
                <w:szCs w:val="18"/>
              </w:rPr>
              <w:t>0.28 (0.19, 0.38)</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4 (3, 5)</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Jiang 2015,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22/41 (53.7)</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9/41 (22.0)</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2.44 (1.28, 4.65)</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sz w:val="18"/>
                <w:szCs w:val="18"/>
              </w:rPr>
              <w:t>0.32 (0.12, 0.52)</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3 (2, 8)</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REMICADE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11/50 (22.0)</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5/49 (10.2)</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2.16 (0.81, 5.75)</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sz w:val="18"/>
                <w:szCs w:val="18"/>
              </w:rPr>
              <w:t>0.12 (-0.02, 0.26)</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NS</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
                <w:sz w:val="18"/>
                <w:szCs w:val="18"/>
              </w:rPr>
            </w:pPr>
            <w:r w:rsidRPr="00B51DEF">
              <w:rPr>
                <w:rFonts w:ascii="Arial Narrow" w:hAnsi="Arial Narrow"/>
                <w:i/>
                <w:sz w:val="18"/>
                <w:szCs w:val="18"/>
              </w:rPr>
              <w:t>Kobayashi 2016 ITT/</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29"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21/104 (20.2)</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11/104 (10.6)</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1.91 (0.97, 3.76)</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0.10 (-0.00, 0.19)</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NS</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ind w:left="112"/>
              <w:jc w:val="left"/>
              <w:rPr>
                <w:rFonts w:ascii="Arial Narrow" w:hAnsi="Arial Narrow"/>
                <w:iCs/>
                <w:sz w:val="18"/>
                <w:szCs w:val="18"/>
              </w:rPr>
            </w:pPr>
            <w:r w:rsidRPr="00B51DEF">
              <w:rPr>
                <w:rFonts w:ascii="Arial Narrow" w:hAnsi="Arial Narrow"/>
                <w:iCs/>
                <w:sz w:val="18"/>
                <w:szCs w:val="18"/>
              </w:rPr>
              <w:t>Meta,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142/437 (32.5)</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50/438 (11.4)</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2.84 (2.13, 3.81)</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0.21 (0.16, 0.26)</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5 (4, 6)</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ind w:left="112"/>
              <w:jc w:val="left"/>
              <w:rPr>
                <w:rFonts w:ascii="Arial Narrow" w:hAnsi="Arial Narrow"/>
                <w:i/>
                <w:sz w:val="18"/>
                <w:szCs w:val="18"/>
              </w:rPr>
            </w:pPr>
            <w:r w:rsidRPr="00B51DEF">
              <w:rPr>
                <w:rFonts w:ascii="Arial Narrow" w:hAnsi="Arial Narrow"/>
                <w:i/>
                <w:sz w:val="18"/>
                <w:szCs w:val="18"/>
              </w:rPr>
              <w:t>Meta (ACT1/2), ITT/</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29"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88/242 (36.3)</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25/244 (10.4)</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3.74 (1.66, 8.45)</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0.26 (0.19, 0.33)</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4 (3, 5)</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rPr>
                <w:rFonts w:ascii="Arial Narrow" w:hAnsi="Arial Narrow"/>
                <w:b/>
                <w:bCs/>
                <w:iCs/>
                <w:sz w:val="18"/>
                <w:szCs w:val="18"/>
              </w:rPr>
            </w:pPr>
            <w:r w:rsidRPr="00B51DEF">
              <w:rPr>
                <w:rFonts w:ascii="Arial Narrow" w:hAnsi="Arial Narrow"/>
                <w:b/>
                <w:bCs/>
                <w:iCs/>
                <w:sz w:val="18"/>
                <w:szCs w:val="18"/>
              </w:rPr>
              <w:t>GOL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6)</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iCs/>
                <w:sz w:val="18"/>
                <w:szCs w:val="18"/>
              </w:rPr>
            </w:pP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PURSUIT-SC,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45/253 (17.8)</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16/251 (6.4)</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2.79 (1.62, 4.80)</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0.11 (0.06, 0.17)</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9 (6, 17)</w:t>
            </w:r>
          </w:p>
        </w:tc>
      </w:tr>
      <w:tr w:rsidR="00022D31" w:rsidRPr="00B51DEF" w:rsidTr="006D40D3">
        <w:trPr>
          <w:trHeight w:val="70"/>
        </w:trPr>
        <w:tc>
          <w:tcPr>
            <w:tcW w:w="2286" w:type="pct"/>
            <w:gridSpan w:val="3"/>
            <w:tcBorders>
              <w:right w:val="single" w:sz="4" w:space="0" w:color="auto"/>
            </w:tcBorders>
            <w:shd w:val="clear" w:color="auto" w:fill="auto"/>
            <w:vAlign w:val="center"/>
          </w:tcPr>
          <w:p w:rsidR="00022D31" w:rsidRPr="00B51DEF" w:rsidRDefault="00022D31" w:rsidP="009467BF">
            <w:pPr>
              <w:widowControl/>
              <w:rPr>
                <w:rFonts w:ascii="Arial Narrow" w:hAnsi="Arial Narrow"/>
                <w:b/>
                <w:bCs/>
                <w:iCs/>
                <w:sz w:val="18"/>
                <w:szCs w:val="18"/>
              </w:rPr>
            </w:pPr>
            <w:r w:rsidRPr="00B51DEF">
              <w:rPr>
                <w:rFonts w:ascii="Arial Narrow" w:hAnsi="Arial Narrow"/>
                <w:b/>
                <w:bCs/>
                <w:iCs/>
                <w:sz w:val="18"/>
                <w:szCs w:val="18"/>
              </w:rPr>
              <w:t>ADA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8)</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iCs/>
                <w:sz w:val="18"/>
                <w:szCs w:val="18"/>
              </w:rPr>
            </w:pP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ULTRA 1,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24/130 (18.5)</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12/130 (9.2)</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2.00 (1.05, 3.83)</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0.09 (0.01, 0.18)</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11 (5.5, 100)</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ULTRA 2, ITT</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41/248 (16.5)</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23/246 (9.3)</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1.77 (1.10, 2.86)</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0.07 (0.01, 0.13)</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14 (8, 100)</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
                <w:sz w:val="18"/>
                <w:szCs w:val="18"/>
              </w:rPr>
            </w:pPr>
            <w:r w:rsidRPr="00B51DEF">
              <w:rPr>
                <w:rFonts w:ascii="Arial Narrow" w:hAnsi="Arial Narrow"/>
                <w:i/>
                <w:sz w:val="18"/>
                <w:szCs w:val="18"/>
              </w:rPr>
              <w:t xml:space="preserve">ULTRA 2,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
                <w:sz w:val="18"/>
                <w:szCs w:val="18"/>
              </w:rPr>
              <w:t>32/150 (21.3)</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
                <w:sz w:val="18"/>
                <w:szCs w:val="18"/>
              </w:rPr>
              <w:t>16/145 (11.0))</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1.93 (1.11, 3.37)</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0.10 (0.02, 0.19)</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10 (5, 50)</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
                <w:sz w:val="18"/>
                <w:szCs w:val="18"/>
              </w:rPr>
            </w:pPr>
            <w:r w:rsidRPr="00B51DEF">
              <w:rPr>
                <w:rFonts w:ascii="Arial Narrow" w:hAnsi="Arial Narrow"/>
                <w:i/>
                <w:sz w:val="18"/>
                <w:szCs w:val="18"/>
              </w:rPr>
              <w:t xml:space="preserve">ULTRA 2,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
                <w:sz w:val="18"/>
                <w:szCs w:val="18"/>
              </w:rPr>
              <w:t>9/98 (9.2)</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
                <w:sz w:val="18"/>
                <w:szCs w:val="18"/>
              </w:rPr>
              <w:t>7/101 (6.9)</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1.33 (0.51, 3.42)</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0.02 (-0.05, 0.10)</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NS</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Suzuki 2014,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9/90 (10.0)</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11/96 (11.5)</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0.87 (0.38, 2.01)</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-0.01 (-0.10, 0.07)</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NS</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ind w:left="112"/>
              <w:jc w:val="left"/>
              <w:rPr>
                <w:rFonts w:ascii="Arial Narrow" w:hAnsi="Arial Narrow"/>
                <w:iCs/>
                <w:sz w:val="18"/>
                <w:szCs w:val="18"/>
              </w:rPr>
            </w:pPr>
            <w:r w:rsidRPr="00B51DEF">
              <w:rPr>
                <w:rFonts w:ascii="Arial Narrow" w:hAnsi="Arial Narrow"/>
                <w:iCs/>
                <w:sz w:val="18"/>
                <w:szCs w:val="18"/>
              </w:rPr>
              <w:t>Meta, ITT</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74/468 (15.8)</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46/472 (9.7)</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1.62 (1.15, 2.29)</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i/>
                <w:sz w:val="18"/>
                <w:szCs w:val="18"/>
              </w:rPr>
              <w:t>0.06 (0.00, 0.12)</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17 (10, 50)</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ind w:left="112"/>
              <w:jc w:val="left"/>
              <w:rPr>
                <w:rFonts w:ascii="Arial Narrow" w:hAnsi="Arial Narrow"/>
                <w:i/>
                <w:sz w:val="18"/>
                <w:szCs w:val="18"/>
              </w:rPr>
            </w:pPr>
            <w:r w:rsidRPr="00B51DEF">
              <w:rPr>
                <w:rFonts w:ascii="Arial Narrow" w:hAnsi="Arial Narrow"/>
                <w:i/>
                <w:sz w:val="18"/>
                <w:szCs w:val="18"/>
              </w:rPr>
              <w:t xml:space="preserve">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29"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65/370 (17.5)</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39/371 (10.5)</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1.66 (1.15, 2.41)</w:t>
            </w: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0.07 (0.02, 0.12)</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14 (8, 50)</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rPr>
                <w:rFonts w:ascii="Arial Narrow" w:hAnsi="Arial Narrow"/>
                <w:iCs/>
                <w:sz w:val="18"/>
                <w:szCs w:val="18"/>
              </w:rPr>
            </w:pPr>
            <w:r w:rsidRPr="00B51DEF">
              <w:rPr>
                <w:rFonts w:ascii="Arial Narrow" w:hAnsi="Arial Narrow"/>
                <w:b/>
                <w:bCs/>
                <w:iCs/>
                <w:sz w:val="18"/>
                <w:szCs w:val="18"/>
              </w:rPr>
              <w:t>VDZ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6)</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iCs/>
                <w:sz w:val="18"/>
                <w:szCs w:val="18"/>
              </w:rPr>
            </w:pP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GEMINI 1, ITT</w:t>
            </w:r>
          </w:p>
        </w:tc>
        <w:tc>
          <w:tcPr>
            <w:tcW w:w="629"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38/225 (16.9)</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8/149 (5.4)</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3.15 (1.51, 6.55)</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0.12 (0.05, 0.18)</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8 (5.5, 20)</w:t>
            </w:r>
          </w:p>
        </w:tc>
      </w:tr>
      <w:tr w:rsidR="00022D31" w:rsidRPr="00B51DEF" w:rsidTr="006D40D3">
        <w:trPr>
          <w:trHeight w:val="170"/>
        </w:trPr>
        <w:tc>
          <w:tcPr>
            <w:tcW w:w="1097"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GEMINI 1,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29"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30/130 (23.1)</w:t>
            </w:r>
          </w:p>
        </w:tc>
        <w:tc>
          <w:tcPr>
            <w:tcW w:w="560"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5/76 (6.6)</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3.51 (1.42, 8.66)</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0.16 (0.07, 0.26)</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6 (4, 14)</w:t>
            </w:r>
          </w:p>
        </w:tc>
      </w:tr>
      <w:tr w:rsidR="00022D31" w:rsidRPr="00B51DEF" w:rsidTr="006D40D3">
        <w:trPr>
          <w:trHeight w:val="170"/>
        </w:trPr>
        <w:tc>
          <w:tcPr>
            <w:tcW w:w="1097" w:type="pct"/>
            <w:tcBorders>
              <w:top w:val="single" w:sz="4" w:space="0" w:color="auto"/>
            </w:tcBorders>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GEMINI 1,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629" w:type="pct"/>
            <w:tcBorders>
              <w:top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8/82 (9.8)</w:t>
            </w:r>
          </w:p>
        </w:tc>
        <w:tc>
          <w:tcPr>
            <w:tcW w:w="560" w:type="pct"/>
            <w:tcBorders>
              <w:top w:val="single" w:sz="4" w:space="0" w:color="auto"/>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2/63 (3.2)</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3.07 (0.68, 13.97)</w:t>
            </w:r>
          </w:p>
        </w:tc>
        <w:tc>
          <w:tcPr>
            <w:tcW w:w="737"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0.07 (-0.01, 0.14)</w:t>
            </w:r>
          </w:p>
        </w:tc>
        <w:tc>
          <w:tcPr>
            <w:tcW w:w="726" w:type="pct"/>
            <w:vMerge/>
            <w:tcBorders>
              <w:top w:val="single" w:sz="4" w:space="0" w:color="auto"/>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 xml:space="preserve">NA </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b/>
                <w:bCs/>
                <w:i/>
                <w:sz w:val="18"/>
                <w:szCs w:val="18"/>
              </w:rPr>
            </w:pPr>
            <w:r w:rsidRPr="00B51DEF">
              <w:rPr>
                <w:rFonts w:ascii="Arial Narrow" w:hAnsi="Arial Narrow"/>
                <w:b/>
                <w:bCs/>
                <w:i/>
                <w:sz w:val="18"/>
                <w:szCs w:val="18"/>
              </w:rPr>
              <w:t>Indirect comparisons, ITT</w:t>
            </w:r>
          </w:p>
        </w:tc>
        <w:tc>
          <w:tcPr>
            <w:tcW w:w="807"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p>
        </w:tc>
        <w:tc>
          <w:tcPr>
            <w:tcW w:w="737" w:type="pct"/>
            <w:tcBorders>
              <w:top w:val="nil"/>
              <w:left w:val="single" w:sz="4" w:space="0" w:color="auto"/>
              <w:bottom w:val="nil"/>
              <w:right w:val="nil"/>
            </w:tcBorders>
            <w:shd w:val="clear" w:color="auto" w:fill="auto"/>
          </w:tcPr>
          <w:p w:rsidR="00022D31" w:rsidRPr="00B51DEF" w:rsidRDefault="00022D31" w:rsidP="009467BF">
            <w:pPr>
              <w:widowControl/>
              <w:jc w:val="center"/>
              <w:rPr>
                <w:rFonts w:ascii="Arial Narrow" w:hAnsi="Arial Narrow"/>
                <w:bCs/>
                <w:iCs/>
                <w:sz w:val="18"/>
                <w:szCs w:val="18"/>
              </w:rPr>
            </w:pP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(Meta ITT) v IFX (Meta ITT)</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37"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i/>
                <w:sz w:val="18"/>
                <w:szCs w:val="18"/>
                <w:highlight w:val="black"/>
              </w:rPr>
            </w:pPr>
            <w:r>
              <w:rPr>
                <w:rFonts w:ascii="Arial Narrow" w:hAnsi="Arial Narrow"/>
                <w:b/>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 (Meta ITT) v IFX (Meta ITT/</w:t>
            </w:r>
            <w:proofErr w:type="spellStart"/>
            <w:r w:rsidRPr="00B51DEF">
              <w:rPr>
                <w:rFonts w:ascii="Arial Narrow" w:hAnsi="Arial Narrow"/>
                <w:i/>
                <w:sz w:val="18"/>
                <w:szCs w:val="18"/>
              </w:rPr>
              <w:t>TNFi</w:t>
            </w:r>
            <w:proofErr w:type="spellEnd"/>
            <w:r w:rsidRPr="00B51DEF">
              <w:rPr>
                <w:rFonts w:ascii="Arial Narrow" w:hAnsi="Arial Narrow"/>
                <w:i/>
                <w:sz w:val="18"/>
                <w:szCs w:val="18"/>
              </w:rPr>
              <w:t>-n ACT1/2)</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
                <w:i/>
                <w:sz w:val="18"/>
                <w:szCs w:val="18"/>
                <w:highlight w:val="black"/>
              </w:rPr>
            </w:pPr>
            <w:r>
              <w:rPr>
                <w:rFonts w:ascii="Arial Narrow" w:hAnsi="Arial Narrow"/>
                <w:b/>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(Meta ITT) v GOL (PURSUIT-SC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Cs/>
                <w:sz w:val="18"/>
                <w:szCs w:val="18"/>
                <w:highlight w:val="black"/>
              </w:rPr>
            </w:pPr>
            <w:r>
              <w:rPr>
                <w:rFonts w:ascii="Arial Narrow" w:hAnsi="Arial Narrow"/>
                <w:bCs/>
                <w:iCs/>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 (Meta ITT) v ADA (Meta ITT)</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
                <w:i/>
                <w:sz w:val="18"/>
                <w:szCs w:val="18"/>
                <w:highlight w:val="black"/>
              </w:rPr>
            </w:pPr>
            <w:r>
              <w:rPr>
                <w:rFonts w:ascii="Arial Narrow" w:hAnsi="Arial Narrow"/>
                <w:b/>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(Meta ITT) v VDZ (GEMINI 1 ITT)</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Cs/>
                <w:sz w:val="18"/>
                <w:szCs w:val="18"/>
                <w:highlight w:val="black"/>
              </w:rPr>
            </w:pPr>
            <w:r>
              <w:rPr>
                <w:rFonts w:ascii="Arial Narrow" w:hAnsi="Arial Narrow"/>
                <w:bCs/>
                <w:iCs/>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b/>
                <w:bCs/>
                <w:i/>
                <w:sz w:val="18"/>
                <w:szCs w:val="18"/>
              </w:rPr>
              <w:t xml:space="preserve">Indirect comparisons, </w:t>
            </w:r>
            <w:proofErr w:type="spellStart"/>
            <w:r w:rsidRPr="00B51DEF">
              <w:rPr>
                <w:rFonts w:ascii="Arial Narrow" w:hAnsi="Arial Narrow"/>
                <w:b/>
                <w:bCs/>
                <w:i/>
                <w:sz w:val="18"/>
                <w:szCs w:val="18"/>
              </w:rPr>
              <w:t>TNFi</w:t>
            </w:r>
            <w:proofErr w:type="spellEnd"/>
            <w:r w:rsidRPr="00B51DEF">
              <w:rPr>
                <w:rFonts w:ascii="Arial Narrow" w:hAnsi="Arial Narrow"/>
                <w:b/>
                <w:bCs/>
                <w:i/>
                <w:sz w:val="18"/>
                <w:szCs w:val="18"/>
              </w:rPr>
              <w:t>-n</w:t>
            </w:r>
          </w:p>
        </w:tc>
        <w:tc>
          <w:tcPr>
            <w:tcW w:w="807" w:type="pct"/>
            <w:tcBorders>
              <w:top w:val="nil"/>
              <w:left w:val="single" w:sz="4" w:space="0" w:color="auto"/>
              <w:bottom w:val="nil"/>
              <w:right w:val="single" w:sz="4" w:space="0" w:color="auto"/>
            </w:tcBorders>
            <w:shd w:val="clear" w:color="auto" w:fill="auto"/>
          </w:tcPr>
          <w:p w:rsidR="00022D31" w:rsidRPr="00922EF4" w:rsidRDefault="00022D31" w:rsidP="009467BF">
            <w:pPr>
              <w:widowControl/>
              <w:jc w:val="center"/>
              <w:rPr>
                <w:rFonts w:ascii="Arial Narrow" w:hAnsi="Arial Narrow"/>
                <w:iCs/>
                <w:sz w:val="18"/>
                <w:szCs w:val="18"/>
              </w:rPr>
            </w:pPr>
          </w:p>
        </w:tc>
        <w:tc>
          <w:tcPr>
            <w:tcW w:w="737" w:type="pct"/>
            <w:tcBorders>
              <w:top w:val="nil"/>
              <w:left w:val="single" w:sz="4" w:space="0" w:color="auto"/>
              <w:bottom w:val="nil"/>
              <w:right w:val="nil"/>
            </w:tcBorders>
            <w:shd w:val="clear" w:color="auto" w:fill="auto"/>
          </w:tcPr>
          <w:p w:rsidR="00022D31" w:rsidRPr="00922EF4" w:rsidRDefault="00022D31" w:rsidP="009467BF">
            <w:pPr>
              <w:widowControl/>
              <w:jc w:val="center"/>
              <w:rPr>
                <w:rFonts w:ascii="Arial Narrow" w:hAnsi="Arial Narrow"/>
                <w:bCs/>
                <w:iCs/>
                <w:sz w:val="18"/>
                <w:szCs w:val="18"/>
              </w:rPr>
            </w:pP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i/>
                <w:sz w:val="16"/>
                <w:szCs w:val="16"/>
              </w:rPr>
            </w:pP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TOF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-n) v IFX (Meta ITT/</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xml:space="preserve">'''''''' </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TOF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-n) v IFX (Meta ITT/</w:t>
            </w:r>
            <w:proofErr w:type="spellStart"/>
            <w:r w:rsidRPr="00B51DEF">
              <w:rPr>
                <w:rFonts w:ascii="Arial Narrow" w:hAnsi="Arial Narrow"/>
                <w:i/>
                <w:sz w:val="18"/>
                <w:szCs w:val="18"/>
              </w:rPr>
              <w:t>TNFi</w:t>
            </w:r>
            <w:proofErr w:type="spellEnd"/>
            <w:r w:rsidRPr="00B51DEF">
              <w:rPr>
                <w:rFonts w:ascii="Arial Narrow" w:hAnsi="Arial Narrow"/>
                <w:i/>
                <w:sz w:val="18"/>
                <w:szCs w:val="18"/>
              </w:rPr>
              <w:t>-n ACT1/2)</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
                <w:i/>
                <w:sz w:val="18"/>
                <w:szCs w:val="18"/>
                <w:highlight w:val="black"/>
              </w:rPr>
            </w:pPr>
            <w:r>
              <w:rPr>
                <w:rFonts w:ascii="Arial Narrow" w:hAnsi="Arial Narrow"/>
                <w:b/>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TOF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-n) v GOL (Meta ITT/</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TOF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 xml:space="preserve">-n) v ADA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TOF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-n) v VDZ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b/>
                <w:bCs/>
                <w:i/>
                <w:sz w:val="18"/>
                <w:szCs w:val="18"/>
              </w:rPr>
              <w:t xml:space="preserve">Indirect comparisons, </w:t>
            </w:r>
            <w:proofErr w:type="spellStart"/>
            <w:r w:rsidRPr="00B51DEF">
              <w:rPr>
                <w:rFonts w:ascii="Arial Narrow" w:hAnsi="Arial Narrow"/>
                <w:b/>
                <w:bCs/>
                <w:i/>
                <w:sz w:val="18"/>
                <w:szCs w:val="18"/>
              </w:rPr>
              <w:t>TNFi</w:t>
            </w:r>
            <w:proofErr w:type="spellEnd"/>
            <w:r w:rsidRPr="00B51DEF">
              <w:rPr>
                <w:rFonts w:ascii="Arial Narrow" w:hAnsi="Arial Narrow"/>
                <w:b/>
                <w:bCs/>
                <w:i/>
                <w:sz w:val="18"/>
                <w:szCs w:val="18"/>
              </w:rPr>
              <w:t>-e</w:t>
            </w:r>
          </w:p>
        </w:tc>
        <w:tc>
          <w:tcPr>
            <w:tcW w:w="807" w:type="pct"/>
            <w:tcBorders>
              <w:top w:val="nil"/>
              <w:left w:val="single" w:sz="4" w:space="0" w:color="auto"/>
              <w:bottom w:val="nil"/>
              <w:right w:val="single" w:sz="4" w:space="0" w:color="auto"/>
            </w:tcBorders>
            <w:shd w:val="clear" w:color="auto" w:fill="auto"/>
          </w:tcPr>
          <w:p w:rsidR="00022D31" w:rsidRPr="00922EF4" w:rsidRDefault="00022D31" w:rsidP="009467BF">
            <w:pPr>
              <w:widowControl/>
              <w:jc w:val="center"/>
              <w:rPr>
                <w:rFonts w:ascii="Arial Narrow" w:hAnsi="Arial Narrow"/>
                <w:iCs/>
                <w:sz w:val="18"/>
                <w:szCs w:val="18"/>
              </w:rPr>
            </w:pPr>
          </w:p>
        </w:tc>
        <w:tc>
          <w:tcPr>
            <w:tcW w:w="737" w:type="pct"/>
            <w:tcBorders>
              <w:top w:val="nil"/>
              <w:left w:val="single" w:sz="4" w:space="0" w:color="auto"/>
              <w:bottom w:val="nil"/>
              <w:right w:val="nil"/>
            </w:tcBorders>
            <w:shd w:val="clear" w:color="auto" w:fill="auto"/>
          </w:tcPr>
          <w:p w:rsidR="00022D31" w:rsidRPr="00922EF4" w:rsidRDefault="00022D31" w:rsidP="009467BF">
            <w:pPr>
              <w:widowControl/>
              <w:jc w:val="center"/>
              <w:rPr>
                <w:rFonts w:ascii="Arial Narrow" w:hAnsi="Arial Narrow"/>
                <w:bCs/>
                <w:iCs/>
                <w:sz w:val="18"/>
                <w:szCs w:val="18"/>
              </w:rPr>
            </w:pP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i/>
                <w:sz w:val="16"/>
                <w:szCs w:val="16"/>
              </w:rPr>
            </w:pPr>
          </w:p>
        </w:tc>
      </w:tr>
      <w:tr w:rsidR="00022D31" w:rsidRPr="00B51DEF" w:rsidTr="006D40D3">
        <w:trPr>
          <w:trHeight w:val="170"/>
        </w:trPr>
        <w:tc>
          <w:tcPr>
            <w:tcW w:w="228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TOF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 xml:space="preserve">-e) v ADA (ULTRA 2,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807"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37"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
                <w:i/>
                <w:sz w:val="18"/>
                <w:szCs w:val="18"/>
                <w:highlight w:val="black"/>
              </w:rPr>
            </w:pPr>
            <w:r>
              <w:rPr>
                <w:rFonts w:ascii="Arial Narrow" w:hAnsi="Arial Narrow"/>
                <w:b/>
                <w:i/>
                <w:noProof/>
                <w:color w:val="000000"/>
                <w:sz w:val="18"/>
                <w:szCs w:val="18"/>
                <w:highlight w:val="black"/>
              </w:rPr>
              <w:t>'''''''' ''''''''''' '''''''''''</w:t>
            </w:r>
          </w:p>
        </w:tc>
        <w:tc>
          <w:tcPr>
            <w:tcW w:w="726"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377"/>
        </w:trPr>
        <w:tc>
          <w:tcPr>
            <w:tcW w:w="2286" w:type="pct"/>
            <w:gridSpan w:val="3"/>
            <w:tcBorders>
              <w:right w:val="single" w:sz="4" w:space="0" w:color="auto"/>
            </w:tcBorders>
            <w:shd w:val="clear" w:color="auto" w:fill="auto"/>
          </w:tcPr>
          <w:p w:rsidR="00022D31" w:rsidRPr="00B51DEF" w:rsidRDefault="00022D31" w:rsidP="009467BF">
            <w:pPr>
              <w:widowControl/>
              <w:ind w:right="180"/>
              <w:jc w:val="right"/>
              <w:rPr>
                <w:rFonts w:ascii="Arial Narrow" w:hAnsi="Arial Narrow"/>
                <w:i/>
                <w:sz w:val="18"/>
                <w:szCs w:val="18"/>
              </w:rPr>
            </w:pPr>
            <w:r w:rsidRPr="00B51DEF">
              <w:rPr>
                <w:rFonts w:ascii="Arial Narrow" w:hAnsi="Arial Narrow"/>
                <w:i/>
                <w:sz w:val="18"/>
                <w:szCs w:val="18"/>
              </w:rPr>
              <w:t xml:space="preserve">TOF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-e) v VDZ (</w:t>
            </w:r>
            <w:proofErr w:type="spellStart"/>
            <w:r w:rsidRPr="00B51DEF">
              <w:rPr>
                <w:rFonts w:ascii="Arial Narrow" w:hAnsi="Arial Narrow"/>
                <w:i/>
                <w:sz w:val="18"/>
                <w:szCs w:val="18"/>
              </w:rPr>
              <w:t>TNFi</w:t>
            </w:r>
            <w:proofErr w:type="spellEnd"/>
            <w:r w:rsidRPr="00B51DEF">
              <w:rPr>
                <w:rFonts w:ascii="Arial Narrow" w:hAnsi="Arial Narrow"/>
                <w:i/>
                <w:sz w:val="18"/>
                <w:szCs w:val="18"/>
              </w:rPr>
              <w:t>-e failure)</w:t>
            </w:r>
          </w:p>
        </w:tc>
        <w:tc>
          <w:tcPr>
            <w:tcW w:w="807" w:type="pct"/>
            <w:tcBorders>
              <w:top w:val="nil"/>
              <w:left w:val="single" w:sz="4" w:space="0" w:color="auto"/>
              <w:bottom w:val="single" w:sz="4" w:space="0" w:color="auto"/>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37" w:type="pct"/>
            <w:tcBorders>
              <w:top w:val="nil"/>
              <w:left w:val="single" w:sz="4" w:space="0" w:color="auto"/>
              <w:bottom w:val="single" w:sz="4" w:space="0" w:color="auto"/>
              <w:right w:val="nil"/>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26" w:type="pct"/>
            <w:vMerge/>
            <w:tcBorders>
              <w:left w:val="nil"/>
              <w:bottom w:val="single" w:sz="4" w:space="0" w:color="auto"/>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single" w:sz="4" w:space="0" w:color="auto"/>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bl>
    <w:p w:rsidR="00022D31" w:rsidRPr="00B51DEF" w:rsidRDefault="00022D31" w:rsidP="009467BF">
      <w:pPr>
        <w:pStyle w:val="TableFooter"/>
        <w:widowControl/>
        <w:contextualSpacing/>
        <w:rPr>
          <w:rStyle w:val="CommentReference"/>
          <w:b w:val="0"/>
          <w:sz w:val="16"/>
        </w:rPr>
      </w:pPr>
      <w:r w:rsidRPr="00B51DEF">
        <w:rPr>
          <w:rStyle w:val="CommentReference"/>
          <w:b w:val="0"/>
          <w:sz w:val="16"/>
        </w:rPr>
        <w:t xml:space="preserve">Source: Table 2.5.2, Table 2.5.11-13, Table 2.6.1, pp79-109 of the submission; Attachment 1 of the submission (Tables 1.2.1-6, pp2-3); </w:t>
      </w:r>
      <w:proofErr w:type="spellStart"/>
      <w:r w:rsidRPr="00B51DEF">
        <w:rPr>
          <w:rStyle w:val="CommentReference"/>
          <w:b w:val="0"/>
          <w:sz w:val="16"/>
        </w:rPr>
        <w:t>Faegan</w:t>
      </w:r>
      <w:proofErr w:type="spellEnd"/>
      <w:r w:rsidRPr="00B51DEF">
        <w:rPr>
          <w:rStyle w:val="CommentReference"/>
          <w:b w:val="0"/>
          <w:sz w:val="16"/>
        </w:rPr>
        <w:t xml:space="preserve"> 2017, Kobayashi 2016, </w:t>
      </w:r>
      <w:proofErr w:type="spellStart"/>
      <w:r w:rsidRPr="00B51DEF">
        <w:rPr>
          <w:rStyle w:val="CommentReference"/>
          <w:b w:val="0"/>
          <w:sz w:val="16"/>
        </w:rPr>
        <w:t>Sandborn</w:t>
      </w:r>
      <w:proofErr w:type="spellEnd"/>
      <w:r w:rsidRPr="00B51DEF">
        <w:rPr>
          <w:rStyle w:val="CommentReference"/>
          <w:b w:val="0"/>
          <w:sz w:val="16"/>
        </w:rPr>
        <w:t xml:space="preserve"> 2012.</w:t>
      </w:r>
    </w:p>
    <w:p w:rsidR="00022D31" w:rsidRPr="00B51DEF" w:rsidRDefault="00022D31" w:rsidP="009467BF">
      <w:pPr>
        <w:widowControl/>
        <w:contextualSpacing/>
        <w:rPr>
          <w:rStyle w:val="CommentReference"/>
          <w:b w:val="0"/>
          <w:bCs/>
          <w:sz w:val="16"/>
        </w:rPr>
      </w:pPr>
      <w:r w:rsidRPr="00B51DEF">
        <w:rPr>
          <w:rStyle w:val="CommentReference"/>
          <w:b w:val="0"/>
          <w:bCs/>
          <w:sz w:val="16"/>
        </w:rPr>
        <w:t>Abbreviations: ADA=</w:t>
      </w:r>
      <w:proofErr w:type="spellStart"/>
      <w:r w:rsidRPr="00B51DEF">
        <w:rPr>
          <w:rStyle w:val="CommentReference"/>
          <w:b w:val="0"/>
          <w:bCs/>
          <w:sz w:val="16"/>
        </w:rPr>
        <w:t>adalimumab</w:t>
      </w:r>
      <w:proofErr w:type="spellEnd"/>
      <w:r w:rsidRPr="00B51DEF">
        <w:rPr>
          <w:rStyle w:val="CommentReference"/>
          <w:b w:val="0"/>
          <w:bCs/>
          <w:sz w:val="16"/>
        </w:rPr>
        <w:t>, CI=confidence interval, GOL=</w:t>
      </w:r>
      <w:proofErr w:type="spellStart"/>
      <w:r w:rsidRPr="00B51DEF">
        <w:rPr>
          <w:rStyle w:val="CommentReference"/>
          <w:b w:val="0"/>
          <w:bCs/>
          <w:sz w:val="16"/>
        </w:rPr>
        <w:t>golimumab</w:t>
      </w:r>
      <w:proofErr w:type="spellEnd"/>
      <w:r w:rsidRPr="00B51DEF">
        <w:rPr>
          <w:rStyle w:val="CommentReference"/>
          <w:b w:val="0"/>
          <w:bCs/>
          <w:sz w:val="16"/>
        </w:rPr>
        <w:t>, ITT=intention to treat, NNT=number needed to treat, NS=not significant, RD=risk difference, RR=risk ratio, TOF=</w:t>
      </w:r>
      <w:proofErr w:type="spellStart"/>
      <w:r w:rsidRPr="00B51DEF">
        <w:rPr>
          <w:rStyle w:val="CommentReference"/>
          <w:b w:val="0"/>
          <w:bCs/>
          <w:sz w:val="16"/>
        </w:rPr>
        <w:t>tofacitinib</w:t>
      </w:r>
      <w:proofErr w:type="spellEnd"/>
      <w:r w:rsidRPr="00B51DEF">
        <w:rPr>
          <w:rStyle w:val="CommentReference"/>
          <w:b w:val="0"/>
          <w:bCs/>
          <w:sz w:val="16"/>
        </w:rPr>
        <w:t xml:space="preserve">, </w:t>
      </w:r>
      <w:proofErr w:type="spellStart"/>
      <w:r w:rsidRPr="00B51DEF">
        <w:rPr>
          <w:rStyle w:val="CommentReference"/>
          <w:b w:val="0"/>
          <w:bCs/>
          <w:sz w:val="16"/>
        </w:rPr>
        <w:t>TNFi</w:t>
      </w:r>
      <w:proofErr w:type="spellEnd"/>
      <w:r w:rsidRPr="00B51DEF">
        <w:rPr>
          <w:rStyle w:val="CommentReference"/>
          <w:b w:val="0"/>
          <w:bCs/>
          <w:sz w:val="16"/>
        </w:rPr>
        <w:t xml:space="preserve">=tumour necrosis factor inhibitor, </w:t>
      </w:r>
      <w:proofErr w:type="spellStart"/>
      <w:r w:rsidRPr="00B51DEF">
        <w:rPr>
          <w:rStyle w:val="CommentReference"/>
          <w:b w:val="0"/>
          <w:bCs/>
          <w:sz w:val="16"/>
        </w:rPr>
        <w:t>TNFi</w:t>
      </w:r>
      <w:proofErr w:type="spellEnd"/>
      <w:r w:rsidRPr="00B51DEF">
        <w:rPr>
          <w:rStyle w:val="CommentReference"/>
          <w:b w:val="0"/>
          <w:bCs/>
          <w:sz w:val="16"/>
        </w:rPr>
        <w:t>-n=</w:t>
      </w:r>
      <w:proofErr w:type="spellStart"/>
      <w:r w:rsidRPr="00B51DEF">
        <w:rPr>
          <w:rStyle w:val="CommentReference"/>
          <w:b w:val="0"/>
          <w:bCs/>
          <w:sz w:val="16"/>
        </w:rPr>
        <w:t>TNFi</w:t>
      </w:r>
      <w:proofErr w:type="spellEnd"/>
      <w:r w:rsidRPr="00B51DEF">
        <w:rPr>
          <w:rStyle w:val="CommentReference"/>
          <w:b w:val="0"/>
          <w:bCs/>
          <w:sz w:val="16"/>
        </w:rPr>
        <w:t xml:space="preserve"> naïve, </w:t>
      </w:r>
      <w:proofErr w:type="spellStart"/>
      <w:r w:rsidRPr="00B51DEF">
        <w:rPr>
          <w:rStyle w:val="CommentReference"/>
          <w:b w:val="0"/>
          <w:bCs/>
          <w:sz w:val="16"/>
        </w:rPr>
        <w:t>TNFi</w:t>
      </w:r>
      <w:proofErr w:type="spellEnd"/>
      <w:r w:rsidRPr="00B51DEF">
        <w:rPr>
          <w:rStyle w:val="CommentReference"/>
          <w:b w:val="0"/>
          <w:bCs/>
          <w:sz w:val="16"/>
        </w:rPr>
        <w:t>-e=</w:t>
      </w:r>
      <w:proofErr w:type="spellStart"/>
      <w:r w:rsidRPr="00B51DEF">
        <w:rPr>
          <w:rStyle w:val="CommentReference"/>
          <w:b w:val="0"/>
          <w:bCs/>
          <w:sz w:val="16"/>
        </w:rPr>
        <w:t>TNFi</w:t>
      </w:r>
      <w:proofErr w:type="spellEnd"/>
      <w:r w:rsidRPr="00B51DEF">
        <w:rPr>
          <w:rStyle w:val="CommentReference"/>
          <w:b w:val="0"/>
          <w:bCs/>
          <w:sz w:val="16"/>
        </w:rPr>
        <w:t xml:space="preserve"> exposed, VDZ=</w:t>
      </w:r>
      <w:proofErr w:type="spellStart"/>
      <w:r w:rsidRPr="00B51DEF">
        <w:rPr>
          <w:rStyle w:val="CommentReference"/>
          <w:b w:val="0"/>
          <w:bCs/>
          <w:sz w:val="16"/>
        </w:rPr>
        <w:t>vedolizumab</w:t>
      </w:r>
      <w:proofErr w:type="spellEnd"/>
    </w:p>
    <w:p w:rsidR="00022D31" w:rsidRPr="00B51DEF" w:rsidRDefault="00022D31" w:rsidP="009467BF">
      <w:pPr>
        <w:widowControl/>
        <w:contextualSpacing/>
        <w:rPr>
          <w:rStyle w:val="CommentReference"/>
          <w:b w:val="0"/>
          <w:bCs/>
          <w:sz w:val="16"/>
        </w:rPr>
      </w:pPr>
      <w:r w:rsidRPr="00B51DEF">
        <w:rPr>
          <w:rStyle w:val="CommentReference"/>
          <w:b w:val="0"/>
          <w:bCs/>
          <w:sz w:val="16"/>
        </w:rPr>
        <w:t>Italics indicate results estimated during the evaluation. Bold typography indicate statistically significant differences. Blue line crossing zero.</w:t>
      </w:r>
    </w:p>
    <w:p w:rsidR="00022D31" w:rsidRPr="00B51DEF" w:rsidRDefault="00022D31" w:rsidP="009467BF">
      <w:pPr>
        <w:widowControl/>
        <w:tabs>
          <w:tab w:val="left" w:pos="142"/>
        </w:tabs>
        <w:contextualSpacing/>
        <w:rPr>
          <w:rStyle w:val="CommentReference"/>
          <w:b w:val="0"/>
          <w:sz w:val="16"/>
          <w:szCs w:val="18"/>
        </w:rPr>
      </w:pPr>
      <w:proofErr w:type="spellStart"/>
      <w:proofErr w:type="gramStart"/>
      <w:r w:rsidRPr="00B51DEF">
        <w:rPr>
          <w:rFonts w:ascii="Arial Narrow" w:hAnsi="Arial Narrow"/>
          <w:b/>
          <w:sz w:val="18"/>
          <w:szCs w:val="18"/>
          <w:vertAlign w:val="superscript"/>
        </w:rPr>
        <w:t>a</w:t>
      </w:r>
      <w:proofErr w:type="spellEnd"/>
      <w:proofErr w:type="gramEnd"/>
      <w:r w:rsidRPr="00B51DEF">
        <w:rPr>
          <w:rFonts w:ascii="Arial Narrow" w:hAnsi="Arial Narrow"/>
          <w:b/>
          <w:sz w:val="18"/>
          <w:szCs w:val="18"/>
          <w:vertAlign w:val="superscript"/>
        </w:rPr>
        <w:tab/>
        <w:t xml:space="preserve"> </w:t>
      </w:r>
      <w:r w:rsidRPr="00B51DEF">
        <w:rPr>
          <w:rStyle w:val="CommentReference"/>
          <w:b w:val="0"/>
          <w:sz w:val="16"/>
          <w:szCs w:val="18"/>
        </w:rPr>
        <w:t>The submission used the primary outcome of “remission” instead of clinical remission, which is a more stringent criterion.</w:t>
      </w:r>
      <w:r w:rsidR="00091426" w:rsidRPr="00B51DEF">
        <w:rPr>
          <w:rStyle w:val="CommentReference"/>
          <w:b w:val="0"/>
          <w:sz w:val="16"/>
          <w:szCs w:val="18"/>
        </w:rPr>
        <w:t xml:space="preserve"> </w:t>
      </w:r>
    </w:p>
    <w:p w:rsidR="00022D31" w:rsidRPr="00B51DEF" w:rsidRDefault="00022D31" w:rsidP="009467BF">
      <w:pPr>
        <w:widowControl/>
        <w:tabs>
          <w:tab w:val="left" w:pos="142"/>
        </w:tabs>
        <w:contextualSpacing/>
        <w:rPr>
          <w:rStyle w:val="CommentReference"/>
          <w:b w:val="0"/>
          <w:sz w:val="16"/>
          <w:szCs w:val="18"/>
        </w:rPr>
      </w:pPr>
      <w:r w:rsidRPr="00B51DEF">
        <w:rPr>
          <w:rStyle w:val="CommentReference"/>
          <w:bCs/>
          <w:sz w:val="16"/>
          <w:szCs w:val="18"/>
        </w:rPr>
        <w:t>^</w:t>
      </w:r>
      <w:r w:rsidRPr="00B51DEF">
        <w:rPr>
          <w:rStyle w:val="CommentReference"/>
          <w:bCs/>
          <w:sz w:val="16"/>
          <w:szCs w:val="18"/>
        </w:rPr>
        <w:tab/>
      </w:r>
      <w:r w:rsidRPr="00B51DEF">
        <w:rPr>
          <w:rStyle w:val="CommentReference"/>
          <w:b w:val="0"/>
          <w:sz w:val="16"/>
          <w:szCs w:val="18"/>
        </w:rPr>
        <w:t xml:space="preserve">estimated during the evaluation using random effects meta-analysis using </w:t>
      </w:r>
      <w:proofErr w:type="spellStart"/>
      <w:r w:rsidRPr="00B51DEF">
        <w:rPr>
          <w:rStyle w:val="CommentReference"/>
          <w:b w:val="0"/>
          <w:sz w:val="16"/>
          <w:szCs w:val="18"/>
        </w:rPr>
        <w:t>RevMan</w:t>
      </w:r>
      <w:proofErr w:type="spellEnd"/>
      <w:r w:rsidRPr="00B51DEF">
        <w:rPr>
          <w:rStyle w:val="CommentReference"/>
          <w:b w:val="0"/>
          <w:sz w:val="16"/>
          <w:szCs w:val="18"/>
        </w:rPr>
        <w:t xml:space="preserve"> Version 5.3. </w:t>
      </w:r>
    </w:p>
    <w:p w:rsidR="00022D31" w:rsidRPr="00B51DEF" w:rsidRDefault="00022D31" w:rsidP="009467BF">
      <w:pPr>
        <w:widowControl/>
        <w:tabs>
          <w:tab w:val="left" w:pos="142"/>
        </w:tabs>
        <w:contextualSpacing/>
        <w:rPr>
          <w:rStyle w:val="CommentReference"/>
          <w:b w:val="0"/>
          <w:sz w:val="16"/>
          <w:szCs w:val="18"/>
        </w:rPr>
      </w:pPr>
      <w:r w:rsidRPr="00B51DEF">
        <w:rPr>
          <w:rStyle w:val="CommentReference"/>
          <w:b w:val="0"/>
          <w:sz w:val="16"/>
          <w:szCs w:val="18"/>
        </w:rPr>
        <w:t>*</w:t>
      </w:r>
      <w:r w:rsidRPr="00B51DEF">
        <w:rPr>
          <w:rStyle w:val="CommentReference"/>
          <w:b w:val="0"/>
          <w:sz w:val="16"/>
          <w:szCs w:val="18"/>
        </w:rPr>
        <w:tab/>
      </w:r>
      <w:proofErr w:type="spellStart"/>
      <w:r w:rsidRPr="00B51DEF">
        <w:rPr>
          <w:rStyle w:val="CommentReference"/>
          <w:b w:val="0"/>
          <w:sz w:val="16"/>
          <w:szCs w:val="18"/>
        </w:rPr>
        <w:t>TNFi-exposed+failure</w:t>
      </w:r>
      <w:proofErr w:type="spellEnd"/>
      <w:r w:rsidRPr="00B51DEF">
        <w:rPr>
          <w:rStyle w:val="CommentReference"/>
          <w:b w:val="0"/>
          <w:sz w:val="16"/>
          <w:szCs w:val="18"/>
        </w:rPr>
        <w:t>, TNF-exposed without failure were excluded.</w:t>
      </w:r>
      <w:r w:rsidR="006B6856">
        <w:rPr>
          <w:rStyle w:val="CommentReference"/>
          <w:b w:val="0"/>
          <w:sz w:val="16"/>
          <w:szCs w:val="18"/>
        </w:rPr>
        <w:t xml:space="preserve"> </w:t>
      </w:r>
      <w:r w:rsidRPr="00B51DEF">
        <w:rPr>
          <w:rFonts w:ascii="Arial Narrow" w:hAnsi="Arial Narrow"/>
          <w:i/>
          <w:sz w:val="16"/>
          <w:szCs w:val="16"/>
        </w:rPr>
        <w:t>#</w:t>
      </w:r>
      <w:r w:rsidRPr="00B51DEF">
        <w:rPr>
          <w:rFonts w:ascii="Arial Narrow" w:hAnsi="Arial Narrow"/>
          <w:i/>
          <w:sz w:val="16"/>
          <w:szCs w:val="16"/>
        </w:rPr>
        <w:tab/>
        <w:t>Favours IFX</w:t>
      </w:r>
    </w:p>
    <w:p w:rsidR="00022D31" w:rsidRPr="00B51DEF" w:rsidRDefault="00022D31" w:rsidP="009467BF">
      <w:pPr>
        <w:pStyle w:val="TableHeading"/>
        <w:rPr>
          <w:rStyle w:val="CommentReference"/>
          <w:b/>
          <w:bCs w:val="0"/>
        </w:rPr>
      </w:pPr>
      <w:r w:rsidRPr="00B51DEF">
        <w:lastRenderedPageBreak/>
        <w:t xml:space="preserve">Table </w:t>
      </w:r>
      <w:r w:rsidR="004D1D00" w:rsidRPr="00B51DEF">
        <w:t>6</w:t>
      </w:r>
      <w:r w:rsidRPr="00B51DEF">
        <w:rPr>
          <w:rStyle w:val="CommentReference"/>
          <w:b/>
          <w:bCs w:val="0"/>
        </w:rPr>
        <w:t>: Clinical response at Weeks 6/8 – induction therapy (relevant arms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Caption w:val="Clinical response at Weeks 6/8 – induction therapy (relevant arms only)"/>
      </w:tblPr>
      <w:tblGrid>
        <w:gridCol w:w="1981"/>
        <w:gridCol w:w="1134"/>
        <w:gridCol w:w="1134"/>
        <w:gridCol w:w="1417"/>
        <w:gridCol w:w="1277"/>
        <w:gridCol w:w="1275"/>
        <w:gridCol w:w="799"/>
      </w:tblGrid>
      <w:tr w:rsidR="00946FCB" w:rsidRPr="00B51DEF" w:rsidTr="00946FCB">
        <w:trPr>
          <w:trHeight w:val="170"/>
          <w:tblHeader/>
        </w:trPr>
        <w:tc>
          <w:tcPr>
            <w:tcW w:w="1098" w:type="pct"/>
            <w:tcBorders>
              <w:left w:val="single" w:sz="4" w:space="0" w:color="auto"/>
              <w:bottom w:val="single" w:sz="4" w:space="0" w:color="auto"/>
            </w:tcBorders>
            <w:shd w:val="clear" w:color="auto" w:fill="auto"/>
            <w:vAlign w:val="center"/>
          </w:tcPr>
          <w:p w:rsidR="00946FCB" w:rsidRPr="00B51DEF" w:rsidRDefault="00946FCB" w:rsidP="009467BF">
            <w:pPr>
              <w:widowControl/>
              <w:jc w:val="left"/>
              <w:rPr>
                <w:rFonts w:ascii="Arial Narrow" w:hAnsi="Arial Narrow"/>
                <w:b/>
                <w:bCs/>
                <w:iCs/>
                <w:sz w:val="18"/>
                <w:szCs w:val="18"/>
              </w:rPr>
            </w:pPr>
            <w:r w:rsidRPr="00B51DEF">
              <w:rPr>
                <w:rFonts w:ascii="Arial Narrow" w:hAnsi="Arial Narrow"/>
                <w:b/>
                <w:bCs/>
                <w:iCs/>
                <w:sz w:val="18"/>
                <w:szCs w:val="18"/>
              </w:rPr>
              <w:t>Trial</w:t>
            </w:r>
          </w:p>
        </w:tc>
        <w:tc>
          <w:tcPr>
            <w:tcW w:w="629" w:type="pct"/>
            <w:tcBorders>
              <w:bottom w:val="single" w:sz="4" w:space="0" w:color="auto"/>
            </w:tcBorders>
            <w:shd w:val="clear" w:color="auto" w:fill="auto"/>
            <w:vAlign w:val="center"/>
          </w:tcPr>
          <w:p w:rsidR="00946FCB" w:rsidRPr="00B51DEF" w:rsidRDefault="00946FCB" w:rsidP="009467BF">
            <w:pPr>
              <w:widowControl/>
              <w:jc w:val="center"/>
              <w:rPr>
                <w:rFonts w:ascii="Arial Narrow" w:hAnsi="Arial Narrow"/>
                <w:b/>
                <w:bCs/>
                <w:iCs/>
                <w:sz w:val="18"/>
                <w:szCs w:val="18"/>
              </w:rPr>
            </w:pPr>
            <w:r w:rsidRPr="00B51DEF">
              <w:rPr>
                <w:rFonts w:ascii="Arial Narrow" w:hAnsi="Arial Narrow"/>
                <w:b/>
                <w:bCs/>
                <w:iCs/>
                <w:sz w:val="18"/>
                <w:szCs w:val="18"/>
              </w:rPr>
              <w:t>Drug</w:t>
            </w:r>
          </w:p>
          <w:p w:rsidR="00946FCB" w:rsidRPr="00B51DEF" w:rsidRDefault="00946FCB" w:rsidP="009467BF">
            <w:pPr>
              <w:widowControl/>
              <w:jc w:val="center"/>
              <w:rPr>
                <w:rFonts w:ascii="Arial Narrow" w:hAnsi="Arial Narrow"/>
                <w:b/>
                <w:bCs/>
                <w:iCs/>
                <w:sz w:val="18"/>
                <w:szCs w:val="18"/>
              </w:rPr>
            </w:pPr>
            <w:proofErr w:type="gramStart"/>
            <w:r w:rsidRPr="00B51DEF">
              <w:rPr>
                <w:rFonts w:ascii="Arial Narrow" w:hAnsi="Arial Narrow"/>
                <w:b/>
                <w:bCs/>
                <w:iCs/>
                <w:sz w:val="18"/>
                <w:szCs w:val="18"/>
              </w:rPr>
              <w:t>n/N</w:t>
            </w:r>
            <w:proofErr w:type="gramEnd"/>
            <w:r w:rsidRPr="00B51DEF">
              <w:rPr>
                <w:rFonts w:ascii="Arial Narrow" w:hAnsi="Arial Narrow"/>
                <w:b/>
                <w:bCs/>
                <w:iCs/>
                <w:sz w:val="18"/>
                <w:szCs w:val="18"/>
              </w:rPr>
              <w:t xml:space="preserve"> (%)</w:t>
            </w:r>
          </w:p>
        </w:tc>
        <w:tc>
          <w:tcPr>
            <w:tcW w:w="629" w:type="pct"/>
            <w:tcBorders>
              <w:bottom w:val="single" w:sz="4" w:space="0" w:color="auto"/>
            </w:tcBorders>
            <w:shd w:val="clear" w:color="auto" w:fill="auto"/>
            <w:vAlign w:val="center"/>
          </w:tcPr>
          <w:p w:rsidR="00946FCB" w:rsidRPr="00B51DEF" w:rsidRDefault="00946FCB" w:rsidP="009467BF">
            <w:pPr>
              <w:widowControl/>
              <w:jc w:val="center"/>
              <w:rPr>
                <w:rFonts w:ascii="Arial Narrow" w:hAnsi="Arial Narrow"/>
                <w:b/>
                <w:bCs/>
                <w:iCs/>
                <w:sz w:val="18"/>
                <w:szCs w:val="18"/>
              </w:rPr>
            </w:pPr>
            <w:r w:rsidRPr="00B51DEF">
              <w:rPr>
                <w:rFonts w:ascii="Arial Narrow" w:hAnsi="Arial Narrow"/>
                <w:b/>
                <w:bCs/>
                <w:iCs/>
                <w:sz w:val="18"/>
                <w:szCs w:val="18"/>
              </w:rPr>
              <w:t>Control</w:t>
            </w:r>
          </w:p>
          <w:p w:rsidR="00946FCB" w:rsidRPr="00B51DEF" w:rsidRDefault="00946FCB" w:rsidP="009467BF">
            <w:pPr>
              <w:widowControl/>
              <w:jc w:val="center"/>
              <w:rPr>
                <w:rFonts w:ascii="Arial Narrow" w:hAnsi="Arial Narrow"/>
                <w:b/>
                <w:bCs/>
                <w:iCs/>
                <w:sz w:val="18"/>
                <w:szCs w:val="18"/>
              </w:rPr>
            </w:pPr>
            <w:proofErr w:type="gramStart"/>
            <w:r w:rsidRPr="00B51DEF">
              <w:rPr>
                <w:rFonts w:ascii="Arial Narrow" w:hAnsi="Arial Narrow"/>
                <w:b/>
                <w:bCs/>
                <w:iCs/>
                <w:sz w:val="18"/>
                <w:szCs w:val="18"/>
              </w:rPr>
              <w:t>n/N</w:t>
            </w:r>
            <w:proofErr w:type="gramEnd"/>
            <w:r w:rsidRPr="00B51DEF">
              <w:rPr>
                <w:rFonts w:ascii="Arial Narrow" w:hAnsi="Arial Narrow"/>
                <w:b/>
                <w:bCs/>
                <w:iCs/>
                <w:sz w:val="18"/>
                <w:szCs w:val="18"/>
              </w:rPr>
              <w:t xml:space="preserve"> (%)</w:t>
            </w:r>
          </w:p>
        </w:tc>
        <w:tc>
          <w:tcPr>
            <w:tcW w:w="786" w:type="pct"/>
            <w:tcBorders>
              <w:bottom w:val="single" w:sz="4" w:space="0" w:color="auto"/>
            </w:tcBorders>
            <w:shd w:val="clear" w:color="auto" w:fill="auto"/>
            <w:vAlign w:val="center"/>
          </w:tcPr>
          <w:p w:rsidR="00946FCB" w:rsidRPr="00B51DEF" w:rsidRDefault="00946FCB" w:rsidP="009467BF">
            <w:pPr>
              <w:widowControl/>
              <w:jc w:val="center"/>
              <w:rPr>
                <w:rFonts w:ascii="Arial Narrow" w:hAnsi="Arial Narrow"/>
                <w:b/>
                <w:bCs/>
                <w:iCs/>
                <w:sz w:val="18"/>
                <w:szCs w:val="18"/>
              </w:rPr>
            </w:pPr>
            <w:r w:rsidRPr="00B51DEF">
              <w:rPr>
                <w:rFonts w:ascii="Arial Narrow" w:hAnsi="Arial Narrow"/>
                <w:b/>
                <w:bCs/>
                <w:iCs/>
                <w:sz w:val="18"/>
                <w:szCs w:val="18"/>
              </w:rPr>
              <w:t>RR (95% CI)^</w:t>
            </w:r>
          </w:p>
        </w:tc>
        <w:tc>
          <w:tcPr>
            <w:tcW w:w="1415" w:type="pct"/>
            <w:gridSpan w:val="2"/>
            <w:tcBorders>
              <w:bottom w:val="single" w:sz="4" w:space="0" w:color="auto"/>
            </w:tcBorders>
            <w:shd w:val="clear" w:color="auto" w:fill="auto"/>
            <w:vAlign w:val="center"/>
          </w:tcPr>
          <w:p w:rsidR="00946FCB" w:rsidRPr="00B51DEF" w:rsidRDefault="00946FCB" w:rsidP="009467BF">
            <w:pPr>
              <w:widowControl/>
              <w:jc w:val="center"/>
              <w:rPr>
                <w:rFonts w:ascii="Arial Narrow" w:hAnsi="Arial Narrow"/>
                <w:b/>
                <w:bCs/>
                <w:iCs/>
                <w:sz w:val="18"/>
                <w:szCs w:val="18"/>
              </w:rPr>
            </w:pPr>
            <w:r w:rsidRPr="00B51DEF">
              <w:rPr>
                <w:rFonts w:ascii="Arial Narrow" w:hAnsi="Arial Narrow"/>
                <w:b/>
                <w:bCs/>
                <w:iCs/>
                <w:sz w:val="18"/>
                <w:szCs w:val="18"/>
              </w:rPr>
              <w:t>RD [95% CI]^</w:t>
            </w:r>
          </w:p>
        </w:tc>
        <w:tc>
          <w:tcPr>
            <w:tcW w:w="443" w:type="pct"/>
            <w:tcBorders>
              <w:bottom w:val="single" w:sz="4" w:space="0" w:color="auto"/>
            </w:tcBorders>
            <w:shd w:val="clear" w:color="auto" w:fill="auto"/>
          </w:tcPr>
          <w:p w:rsidR="00946FCB" w:rsidRPr="00B51DEF" w:rsidRDefault="00946FCB" w:rsidP="009467BF">
            <w:pPr>
              <w:widowControl/>
              <w:jc w:val="center"/>
              <w:rPr>
                <w:rFonts w:ascii="Arial Narrow" w:hAnsi="Arial Narrow"/>
                <w:b/>
                <w:bCs/>
                <w:iCs/>
                <w:sz w:val="18"/>
                <w:szCs w:val="18"/>
              </w:rPr>
            </w:pPr>
            <w:r w:rsidRPr="00B51DEF">
              <w:rPr>
                <w:rFonts w:ascii="Arial Narrow" w:hAnsi="Arial Narrow"/>
                <w:b/>
                <w:bCs/>
                <w:iCs/>
                <w:sz w:val="18"/>
                <w:szCs w:val="18"/>
              </w:rPr>
              <w:t>NNT</w:t>
            </w:r>
          </w:p>
          <w:p w:rsidR="00946FCB" w:rsidRPr="00B51DEF" w:rsidRDefault="00946FCB" w:rsidP="009467BF">
            <w:pPr>
              <w:widowControl/>
              <w:jc w:val="center"/>
              <w:rPr>
                <w:rFonts w:ascii="Arial Narrow" w:hAnsi="Arial Narrow"/>
                <w:b/>
                <w:bCs/>
                <w:iCs/>
                <w:sz w:val="18"/>
                <w:szCs w:val="18"/>
              </w:rPr>
            </w:pPr>
            <w:r w:rsidRPr="00B51DEF">
              <w:rPr>
                <w:rFonts w:ascii="Arial Narrow" w:hAnsi="Arial Narrow"/>
                <w:b/>
                <w:bCs/>
                <w:iCs/>
                <w:sz w:val="18"/>
                <w:szCs w:val="18"/>
              </w:rPr>
              <w:t>(95%CI)</w:t>
            </w:r>
          </w:p>
        </w:tc>
      </w:tr>
      <w:tr w:rsidR="00022D31" w:rsidRPr="00B51DEF" w:rsidTr="006D40D3">
        <w:trPr>
          <w:trHeight w:val="56"/>
        </w:trPr>
        <w:tc>
          <w:tcPr>
            <w:tcW w:w="2356" w:type="pct"/>
            <w:gridSpan w:val="3"/>
            <w:tcBorders>
              <w:left w:val="single" w:sz="4" w:space="0" w:color="auto"/>
              <w:bottom w:val="single" w:sz="4" w:space="0" w:color="auto"/>
              <w:right w:val="single" w:sz="4" w:space="0" w:color="auto"/>
            </w:tcBorders>
            <w:shd w:val="clear" w:color="auto" w:fill="auto"/>
            <w:vAlign w:val="center"/>
          </w:tcPr>
          <w:p w:rsidR="00022D31" w:rsidRPr="00B51DEF" w:rsidRDefault="00022D31" w:rsidP="009467BF">
            <w:pPr>
              <w:widowControl/>
              <w:rPr>
                <w:rFonts w:ascii="Arial Narrow" w:hAnsi="Arial Narrow"/>
                <w:b/>
                <w:bCs/>
                <w:iCs/>
                <w:sz w:val="18"/>
                <w:szCs w:val="18"/>
              </w:rPr>
            </w:pPr>
            <w:r w:rsidRPr="00B51DEF">
              <w:rPr>
                <w:rFonts w:ascii="Arial Narrow" w:hAnsi="Arial Narrow"/>
                <w:b/>
                <w:iCs/>
                <w:sz w:val="18"/>
                <w:szCs w:val="18"/>
              </w:rPr>
              <w:t xml:space="preserve">TOF </w:t>
            </w:r>
            <w:r w:rsidR="00091426" w:rsidRPr="00B51DEF">
              <w:rPr>
                <w:rFonts w:ascii="Arial Narrow" w:hAnsi="Arial Narrow"/>
                <w:b/>
                <w:iCs/>
                <w:sz w:val="18"/>
                <w:szCs w:val="18"/>
              </w:rPr>
              <w:t xml:space="preserve">10mg </w:t>
            </w:r>
            <w:r w:rsidRPr="00B51DEF">
              <w:rPr>
                <w:rFonts w:ascii="Arial Narrow" w:hAnsi="Arial Narrow"/>
                <w:b/>
                <w:iCs/>
                <w:sz w:val="18"/>
                <w:szCs w:val="18"/>
              </w:rPr>
              <w:t>v PBO (</w:t>
            </w:r>
            <w:proofErr w:type="spellStart"/>
            <w:r w:rsidRPr="00B51DEF">
              <w:rPr>
                <w:rFonts w:ascii="Arial Narrow" w:hAnsi="Arial Narrow"/>
                <w:b/>
                <w:iCs/>
                <w:sz w:val="18"/>
                <w:szCs w:val="18"/>
              </w:rPr>
              <w:t>Wk</w:t>
            </w:r>
            <w:proofErr w:type="spellEnd"/>
            <w:r w:rsidRPr="00B51DEF">
              <w:rPr>
                <w:rFonts w:ascii="Arial Narrow" w:hAnsi="Arial Narrow"/>
                <w:b/>
                <w:iCs/>
                <w:sz w:val="18"/>
                <w:szCs w:val="18"/>
              </w:rPr>
              <w:t xml:space="preserve"> 8)</w:t>
            </w:r>
            <w:r w:rsidR="00091426" w:rsidRPr="00B51DEF">
              <w:rPr>
                <w:rFonts w:ascii="Arial Narrow" w:hAnsi="Arial Narrow"/>
                <w:b/>
                <w:sz w:val="18"/>
                <w:szCs w:val="18"/>
                <w:vertAlign w:val="superscript"/>
              </w:rPr>
              <w:t xml:space="preserve"> </w:t>
            </w:r>
          </w:p>
        </w:tc>
        <w:tc>
          <w:tcPr>
            <w:tcW w:w="786" w:type="pct"/>
            <w:tcBorders>
              <w:top w:val="single" w:sz="4" w:space="0" w:color="auto"/>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8" w:type="pct"/>
            <w:tcBorders>
              <w:top w:val="single" w:sz="4" w:space="0" w:color="auto"/>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7" w:type="pct"/>
            <w:tcBorders>
              <w:left w:val="nil"/>
              <w:bottom w:val="nil"/>
              <w:right w:val="single" w:sz="4" w:space="0" w:color="auto"/>
            </w:tcBorders>
          </w:tcPr>
          <w:p w:rsidR="00022D31" w:rsidRPr="00B51DEF" w:rsidRDefault="00022D31" w:rsidP="009467BF">
            <w:pPr>
              <w:widowControl/>
              <w:jc w:val="center"/>
              <w:rPr>
                <w:rFonts w:ascii="Arial Narrow" w:hAnsi="Arial Narrow"/>
                <w:iCs/>
                <w:sz w:val="18"/>
                <w:szCs w:val="18"/>
              </w:rPr>
            </w:pPr>
          </w:p>
        </w:tc>
        <w:tc>
          <w:tcPr>
            <w:tcW w:w="443" w:type="pct"/>
            <w:tcBorders>
              <w:left w:val="single" w:sz="4" w:space="0" w:color="auto"/>
              <w:bottom w:val="nil"/>
            </w:tcBorders>
            <w:shd w:val="clear" w:color="auto" w:fill="auto"/>
            <w:vAlign w:val="center"/>
          </w:tcPr>
          <w:p w:rsidR="00022D31" w:rsidRPr="00B51DEF" w:rsidRDefault="00022D31" w:rsidP="009467BF">
            <w:pPr>
              <w:widowControl/>
              <w:jc w:val="center"/>
              <w:rPr>
                <w:rFonts w:ascii="Arial Narrow" w:hAnsi="Arial Narrow"/>
                <w:iCs/>
                <w:sz w:val="18"/>
                <w:szCs w:val="18"/>
              </w:rPr>
            </w:pPr>
          </w:p>
        </w:tc>
      </w:tr>
      <w:tr w:rsidR="00022D31" w:rsidRPr="00B51DEF" w:rsidTr="006D40D3">
        <w:trPr>
          <w:trHeight w:val="112"/>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OCTAVE 1, ITT</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285/476 (59.9)</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40/122 (32.8)</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1.83 (1.40, 2.38)</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0.27 (0.18, 0.37)</w:t>
            </w:r>
          </w:p>
        </w:tc>
        <w:tc>
          <w:tcPr>
            <w:tcW w:w="707" w:type="pct"/>
            <w:vMerge w:val="restart"/>
            <w:tcBorders>
              <w:top w:val="nil"/>
              <w:left w:val="nil"/>
              <w:right w:val="single" w:sz="4" w:space="0" w:color="auto"/>
            </w:tcBorders>
          </w:tcPr>
          <w:p w:rsidR="00022D31" w:rsidRPr="00B51DEF" w:rsidRDefault="002147F4" w:rsidP="009467BF">
            <w:pPr>
              <w:widowControl/>
              <w:jc w:val="center"/>
              <w:rPr>
                <w:rFonts w:ascii="Arial Narrow" w:hAnsi="Arial Narrow"/>
                <w:i/>
                <w:sz w:val="18"/>
                <w:szCs w:val="18"/>
              </w:rPr>
            </w:pPr>
            <w:r>
              <w:rPr>
                <w:noProof/>
                <w:snapToGrid/>
                <w:lang w:eastAsia="en-AU"/>
              </w:rPr>
              <w:drawing>
                <wp:inline distT="0" distB="0" distL="0" distR="0" wp14:anchorId="36EBDBAD" wp14:editId="5C62AAEC">
                  <wp:extent cx="698500" cy="6512943"/>
                  <wp:effectExtent l="0" t="0" r="6350" b="2540"/>
                  <wp:docPr id="2" name="Picture 2" title="Clinical response at Weeks 6/8 – induction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99151" cy="6519015"/>
                          </a:xfrm>
                          <a:prstGeom prst="rect">
                            <a:avLst/>
                          </a:prstGeom>
                        </pic:spPr>
                      </pic:pic>
                    </a:graphicData>
                  </a:graphic>
                </wp:inline>
              </w:drawing>
            </w: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4 (3, 5.5)</w:t>
            </w:r>
          </w:p>
        </w:tc>
      </w:tr>
      <w:tr w:rsidR="00022D31" w:rsidRPr="00B51DEF" w:rsidTr="006D40D3">
        <w:trPr>
          <w:trHeight w:val="112"/>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OCTAVE 1,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29"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86"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8"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r>
      <w:tr w:rsidR="00022D31" w:rsidRPr="00B51DEF" w:rsidTr="006D40D3">
        <w:trPr>
          <w:trHeight w:val="112"/>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OCTAVE 1,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-e</w:t>
            </w:r>
          </w:p>
        </w:tc>
        <w:tc>
          <w:tcPr>
            <w:tcW w:w="629"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29"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86"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8"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r>
      <w:tr w:rsidR="00022D31" w:rsidRPr="00B51DEF" w:rsidTr="006D40D3">
        <w:trPr>
          <w:trHeight w:val="112"/>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OCTAVE 2, ITT</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236/429 (55.0)</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32/112 (28.6)</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1.93 (1.42, 2.61)</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0.26 (0.17, 0.36)</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4 (3, 6)</w:t>
            </w:r>
          </w:p>
        </w:tc>
      </w:tr>
      <w:tr w:rsidR="00022D31" w:rsidRPr="00B51DEF" w:rsidTr="006D40D3">
        <w:trPr>
          <w:trHeight w:val="112"/>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OCTAVE 2,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29"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86"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8"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r>
      <w:tr w:rsidR="00022D31" w:rsidRPr="00B51DEF" w:rsidTr="006D40D3">
        <w:trPr>
          <w:trHeight w:val="112"/>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OCTAVE 2,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-e</w:t>
            </w:r>
          </w:p>
        </w:tc>
        <w:tc>
          <w:tcPr>
            <w:tcW w:w="629"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29"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86"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8"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r>
      <w:tr w:rsidR="00022D31" w:rsidRPr="00B51DEF" w:rsidTr="006D40D3">
        <w:trPr>
          <w:trHeight w:val="112"/>
        </w:trPr>
        <w:tc>
          <w:tcPr>
            <w:tcW w:w="1098" w:type="pct"/>
            <w:tcBorders>
              <w:lef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Meta, ITT</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521/905 (57.5)</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72/234 (30.7)</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1.87 (1.53, 2.28)</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0.27 (0.20, 0.34)</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4 (3, 5)</w:t>
            </w:r>
          </w:p>
        </w:tc>
      </w:tr>
      <w:tr w:rsidR="00022D31" w:rsidRPr="00B51DEF" w:rsidTr="006D40D3">
        <w:trPr>
          <w:trHeight w:val="112"/>
        </w:trPr>
        <w:tc>
          <w:tcPr>
            <w:tcW w:w="1098" w:type="pct"/>
            <w:tcBorders>
              <w:lef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 xml:space="preserve">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29"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86"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8"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r>
      <w:tr w:rsidR="00022D31" w:rsidRPr="00B51DEF" w:rsidTr="006D40D3">
        <w:trPr>
          <w:trHeight w:val="112"/>
        </w:trPr>
        <w:tc>
          <w:tcPr>
            <w:tcW w:w="1098" w:type="pct"/>
            <w:tcBorders>
              <w:lef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 xml:space="preserve">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-e</w:t>
            </w:r>
          </w:p>
        </w:tc>
        <w:tc>
          <w:tcPr>
            <w:tcW w:w="629"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29"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86"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8"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vAlign w:val="center"/>
          </w:tcPr>
          <w:p w:rsidR="00022D31" w:rsidRPr="00B51DEF" w:rsidRDefault="00022D31" w:rsidP="009467BF">
            <w:pPr>
              <w:widowControl/>
              <w:rPr>
                <w:rFonts w:ascii="Arial Narrow" w:hAnsi="Arial Narrow"/>
                <w:b/>
                <w:bCs/>
                <w:iCs/>
                <w:sz w:val="18"/>
                <w:szCs w:val="18"/>
              </w:rPr>
            </w:pPr>
            <w:r w:rsidRPr="00B51DEF">
              <w:rPr>
                <w:rFonts w:ascii="Arial Narrow" w:hAnsi="Arial Narrow"/>
                <w:b/>
                <w:bCs/>
                <w:iCs/>
                <w:sz w:val="18"/>
                <w:szCs w:val="18"/>
              </w:rPr>
              <w:t>IFX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8)</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p>
        </w:tc>
      </w:tr>
      <w:tr w:rsidR="00022D31" w:rsidRPr="00B51DEF" w:rsidTr="006D40D3">
        <w:trPr>
          <w:trHeight w:val="170"/>
        </w:trPr>
        <w:tc>
          <w:tcPr>
            <w:tcW w:w="1098" w:type="pct"/>
            <w:tcBorders>
              <w:left w:val="single" w:sz="4" w:space="0" w:color="auto"/>
            </w:tcBorders>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ACT 1,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84/121 (69.4)</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45/121 (37.2)</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1.87 (1.44, 2.42)</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0.32 (0.20, 0.44)</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3 (2, 5)</w:t>
            </w:r>
          </w:p>
        </w:tc>
      </w:tr>
      <w:tr w:rsidR="00022D31" w:rsidRPr="00B51DEF" w:rsidTr="006D40D3">
        <w:trPr>
          <w:trHeight w:val="170"/>
        </w:trPr>
        <w:tc>
          <w:tcPr>
            <w:tcW w:w="1098" w:type="pct"/>
            <w:tcBorders>
              <w:left w:val="single" w:sz="4" w:space="0" w:color="auto"/>
              <w:right w:val="single" w:sz="4" w:space="0" w:color="auto"/>
            </w:tcBorders>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ACT 2,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Cs/>
                <w:szCs w:val="18"/>
              </w:rPr>
            </w:pPr>
            <w:r w:rsidRPr="00B51DEF">
              <w:rPr>
                <w:iCs/>
                <w:szCs w:val="18"/>
              </w:rPr>
              <w:t>78/121 (64.5)</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Cs/>
                <w:szCs w:val="18"/>
              </w:rPr>
            </w:pPr>
            <w:r w:rsidRPr="00B51DEF">
              <w:rPr>
                <w:iCs/>
                <w:szCs w:val="18"/>
              </w:rPr>
              <w:t>36/123 (29.3)</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2.20 (1.62, 2.99)</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0.35 (0.23, 0.47)</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3 (2, 4)</w:t>
            </w:r>
          </w:p>
        </w:tc>
      </w:tr>
      <w:tr w:rsidR="00022D31" w:rsidRPr="00B51DEF" w:rsidTr="006D40D3">
        <w:trPr>
          <w:trHeight w:val="170"/>
        </w:trPr>
        <w:tc>
          <w:tcPr>
            <w:tcW w:w="1098" w:type="pct"/>
            <w:tcBorders>
              <w:left w:val="single" w:sz="4" w:space="0" w:color="auto"/>
            </w:tcBorders>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Jiang 2015,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pStyle w:val="Tabletext"/>
              <w:jc w:val="center"/>
              <w:rPr>
                <w:iCs/>
                <w:szCs w:val="18"/>
              </w:rPr>
            </w:pPr>
            <w:r w:rsidRPr="00B51DEF">
              <w:rPr>
                <w:iCs/>
              </w:rPr>
              <w:t>32/41 (78.1)</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Cs/>
                <w:szCs w:val="18"/>
              </w:rPr>
            </w:pPr>
            <w:r w:rsidRPr="00B51DEF">
              <w:rPr>
                <w:iCs/>
              </w:rPr>
              <w:t>15/41 (36.6)</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2.13 (1.38, 3.29)</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0.41 (0.22, 0.61)</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 (2, 4.5)</w:t>
            </w:r>
          </w:p>
        </w:tc>
      </w:tr>
      <w:tr w:rsidR="00022D31" w:rsidRPr="00B51DEF" w:rsidTr="006D40D3">
        <w:trPr>
          <w:trHeight w:val="131"/>
        </w:trPr>
        <w:tc>
          <w:tcPr>
            <w:tcW w:w="1098" w:type="pct"/>
            <w:tcBorders>
              <w:left w:val="single" w:sz="4" w:space="0" w:color="auto"/>
            </w:tcBorders>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REMICADE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pStyle w:val="Tabletext"/>
              <w:jc w:val="center"/>
              <w:rPr>
                <w:iCs/>
                <w:szCs w:val="18"/>
              </w:rPr>
            </w:pPr>
            <w:r w:rsidRPr="00B51DEF">
              <w:rPr>
                <w:iCs/>
              </w:rPr>
              <w:t>32/50 (64.0)</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Cs/>
                <w:szCs w:val="18"/>
              </w:rPr>
            </w:pPr>
            <w:r w:rsidRPr="00B51DEF">
              <w:rPr>
                <w:iCs/>
              </w:rPr>
              <w:t>19/49 (38.8)</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pStyle w:val="Tabletext"/>
              <w:jc w:val="center"/>
              <w:rPr>
                <w:b/>
                <w:bCs/>
                <w:iCs/>
              </w:rPr>
            </w:pPr>
            <w:r w:rsidRPr="00B51DEF">
              <w:rPr>
                <w:b/>
                <w:bCs/>
                <w:iCs/>
              </w:rPr>
              <w:t>1.65 (1.10, 2.48)</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pStyle w:val="Tabletext"/>
              <w:jc w:val="center"/>
              <w:rPr>
                <w:b/>
                <w:bCs/>
                <w:iCs/>
              </w:rPr>
            </w:pPr>
            <w:r w:rsidRPr="00B51DEF">
              <w:rPr>
                <w:b/>
                <w:bCs/>
                <w:iCs/>
              </w:rPr>
              <w:t>0.25 (0.06, 0.44)</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4 (2, 17)</w:t>
            </w:r>
          </w:p>
        </w:tc>
      </w:tr>
      <w:tr w:rsidR="00022D31" w:rsidRPr="00B51DEF" w:rsidTr="006D40D3">
        <w:trPr>
          <w:trHeight w:val="131"/>
        </w:trPr>
        <w:tc>
          <w:tcPr>
            <w:tcW w:w="1098" w:type="pct"/>
            <w:tcBorders>
              <w:left w:val="single" w:sz="4" w:space="0" w:color="auto"/>
            </w:tcBorders>
            <w:shd w:val="clear" w:color="auto" w:fill="auto"/>
            <w:vAlign w:val="center"/>
          </w:tcPr>
          <w:p w:rsidR="00022D31" w:rsidRPr="00B51DEF" w:rsidRDefault="00022D31" w:rsidP="009467BF">
            <w:pPr>
              <w:widowControl/>
              <w:jc w:val="left"/>
              <w:rPr>
                <w:rFonts w:ascii="Arial Narrow" w:hAnsi="Arial Narrow"/>
                <w:i/>
                <w:sz w:val="18"/>
                <w:szCs w:val="18"/>
              </w:rPr>
            </w:pPr>
            <w:r w:rsidRPr="00B51DEF">
              <w:rPr>
                <w:rFonts w:ascii="Arial Narrow" w:hAnsi="Arial Narrow"/>
                <w:i/>
                <w:sz w:val="18"/>
                <w:szCs w:val="18"/>
              </w:rPr>
              <w:t>Kobayashi 2016 ITT/</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29" w:type="pct"/>
            <w:shd w:val="clear" w:color="auto" w:fill="auto"/>
            <w:vAlign w:val="center"/>
          </w:tcPr>
          <w:p w:rsidR="00022D31" w:rsidRPr="00B51DEF" w:rsidRDefault="00022D31" w:rsidP="009467BF">
            <w:pPr>
              <w:pStyle w:val="Tabletext"/>
              <w:jc w:val="center"/>
              <w:rPr>
                <w:i/>
              </w:rPr>
            </w:pPr>
            <w:r w:rsidRPr="00B51DEF">
              <w:rPr>
                <w:i/>
              </w:rPr>
              <w:t>57/104 (54.8)</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
              </w:rPr>
            </w:pPr>
            <w:r w:rsidRPr="00B51DEF">
              <w:rPr>
                <w:i/>
              </w:rPr>
              <w:t>37/104 (35.6)</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pStyle w:val="Tabletext"/>
              <w:jc w:val="center"/>
              <w:rPr>
                <w:b/>
                <w:bCs/>
                <w:i/>
              </w:rPr>
            </w:pPr>
            <w:r w:rsidRPr="00B51DEF">
              <w:rPr>
                <w:b/>
                <w:bCs/>
                <w:i/>
              </w:rPr>
              <w:t>1.54 (1.13, 2.10)</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pStyle w:val="Tabletext"/>
              <w:jc w:val="center"/>
              <w:rPr>
                <w:b/>
                <w:bCs/>
                <w:i/>
              </w:rPr>
            </w:pPr>
            <w:r w:rsidRPr="00B51DEF">
              <w:rPr>
                <w:b/>
                <w:bCs/>
                <w:i/>
              </w:rPr>
              <w:t>0.19 (0.06, 0.33)</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5 (3, 17)</w:t>
            </w:r>
          </w:p>
        </w:tc>
      </w:tr>
      <w:tr w:rsidR="00022D31" w:rsidRPr="00B51DEF" w:rsidTr="006D40D3">
        <w:trPr>
          <w:trHeight w:val="233"/>
        </w:trPr>
        <w:tc>
          <w:tcPr>
            <w:tcW w:w="1098" w:type="pct"/>
            <w:tcBorders>
              <w:lef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Meta,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283/437 (64.8)</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152/438 (34.7)</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1.87 (1.61, 2.16)</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0.30 (0.24, 0.36)</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3 (3, 4)</w:t>
            </w:r>
          </w:p>
        </w:tc>
      </w:tr>
      <w:tr w:rsidR="00022D31" w:rsidRPr="00B51DEF" w:rsidTr="006D40D3">
        <w:trPr>
          <w:trHeight w:val="56"/>
        </w:trPr>
        <w:tc>
          <w:tcPr>
            <w:tcW w:w="1098" w:type="pct"/>
            <w:tcBorders>
              <w:lef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Meta (ACT1/2),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162/242 (66.9)</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81/244 (33.2)</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2.02 (1.65, 2.46)</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0.34 (0.25, 0.42)</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3 (2, 4)</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vAlign w:val="center"/>
          </w:tcPr>
          <w:p w:rsidR="00022D31" w:rsidRPr="00B51DEF" w:rsidRDefault="00022D31" w:rsidP="009467BF">
            <w:pPr>
              <w:widowControl/>
              <w:rPr>
                <w:rFonts w:ascii="Arial Narrow" w:hAnsi="Arial Narrow"/>
                <w:b/>
                <w:bCs/>
                <w:iCs/>
                <w:sz w:val="18"/>
                <w:szCs w:val="18"/>
              </w:rPr>
            </w:pPr>
            <w:r w:rsidRPr="00B51DEF">
              <w:rPr>
                <w:rFonts w:ascii="Arial Narrow" w:hAnsi="Arial Narrow"/>
                <w:b/>
                <w:bCs/>
                <w:iCs/>
                <w:sz w:val="18"/>
                <w:szCs w:val="18"/>
              </w:rPr>
              <w:t>GOL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6)</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p>
        </w:tc>
      </w:tr>
      <w:tr w:rsidR="00022D31" w:rsidRPr="00B51DEF" w:rsidTr="006D40D3">
        <w:trPr>
          <w:trHeight w:val="170"/>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PURSUIT-SC,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pStyle w:val="Tabletext"/>
              <w:jc w:val="center"/>
              <w:rPr>
                <w:iCs/>
                <w:szCs w:val="18"/>
              </w:rPr>
            </w:pPr>
            <w:r w:rsidRPr="00B51DEF">
              <w:rPr>
                <w:iCs/>
              </w:rPr>
              <w:t>129/253 (51.0)</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Cs/>
                <w:szCs w:val="18"/>
              </w:rPr>
            </w:pPr>
            <w:r w:rsidRPr="00B51DEF">
              <w:rPr>
                <w:iCs/>
              </w:rPr>
              <w:t>76/251 (30.3)</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1.68 (1.35, 2.11)</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0.21 (0.12, 0.29)</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5 (3, 8)</w:t>
            </w:r>
          </w:p>
        </w:tc>
      </w:tr>
      <w:tr w:rsidR="00022D31" w:rsidRPr="00B51DEF" w:rsidTr="006D40D3">
        <w:trPr>
          <w:trHeight w:val="70"/>
        </w:trPr>
        <w:tc>
          <w:tcPr>
            <w:tcW w:w="2356" w:type="pct"/>
            <w:gridSpan w:val="3"/>
            <w:tcBorders>
              <w:left w:val="single" w:sz="4" w:space="0" w:color="auto"/>
              <w:right w:val="single" w:sz="4" w:space="0" w:color="auto"/>
            </w:tcBorders>
            <w:shd w:val="clear" w:color="auto" w:fill="auto"/>
            <w:vAlign w:val="center"/>
          </w:tcPr>
          <w:p w:rsidR="00022D31" w:rsidRPr="00B51DEF" w:rsidRDefault="00022D31" w:rsidP="009467BF">
            <w:pPr>
              <w:widowControl/>
              <w:rPr>
                <w:rFonts w:ascii="Arial Narrow" w:hAnsi="Arial Narrow"/>
                <w:b/>
                <w:bCs/>
                <w:iCs/>
                <w:sz w:val="18"/>
                <w:szCs w:val="18"/>
              </w:rPr>
            </w:pPr>
            <w:r w:rsidRPr="00B51DEF">
              <w:rPr>
                <w:rFonts w:ascii="Arial Narrow" w:hAnsi="Arial Narrow"/>
                <w:b/>
                <w:bCs/>
                <w:iCs/>
                <w:sz w:val="18"/>
                <w:szCs w:val="18"/>
              </w:rPr>
              <w:t>ADA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8)</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p>
        </w:tc>
      </w:tr>
      <w:tr w:rsidR="00022D31" w:rsidRPr="00B51DEF" w:rsidTr="006D40D3">
        <w:trPr>
          <w:trHeight w:val="170"/>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ULTRA 1,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pStyle w:val="Tabletext"/>
              <w:jc w:val="center"/>
              <w:rPr>
                <w:iCs/>
                <w:szCs w:val="18"/>
              </w:rPr>
            </w:pPr>
            <w:r w:rsidRPr="00B51DEF">
              <w:rPr>
                <w:iCs/>
              </w:rPr>
              <w:t>71/130 (54.6)</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Cs/>
                <w:szCs w:val="18"/>
              </w:rPr>
            </w:pPr>
            <w:r w:rsidRPr="00B51DEF">
              <w:rPr>
                <w:iCs/>
              </w:rPr>
              <w:t>58/130 (44.6)</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1.22 (0.96, 1.57)</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0.10 (-0.02, 0.22)</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NS</w:t>
            </w:r>
          </w:p>
        </w:tc>
      </w:tr>
      <w:tr w:rsidR="00022D31" w:rsidRPr="00B51DEF" w:rsidTr="006D40D3">
        <w:trPr>
          <w:trHeight w:val="170"/>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ULTRA 2, ITT</w:t>
            </w:r>
          </w:p>
        </w:tc>
        <w:tc>
          <w:tcPr>
            <w:tcW w:w="629" w:type="pct"/>
            <w:shd w:val="clear" w:color="auto" w:fill="auto"/>
            <w:vAlign w:val="center"/>
          </w:tcPr>
          <w:p w:rsidR="00022D31" w:rsidRPr="00B51DEF" w:rsidRDefault="00022D31" w:rsidP="009467BF">
            <w:pPr>
              <w:pStyle w:val="Tabletext"/>
              <w:jc w:val="center"/>
              <w:rPr>
                <w:iCs/>
                <w:szCs w:val="18"/>
              </w:rPr>
            </w:pPr>
            <w:r w:rsidRPr="00B51DEF">
              <w:rPr>
                <w:iCs/>
              </w:rPr>
              <w:t>125/248 (50.4)</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Cs/>
                <w:szCs w:val="18"/>
              </w:rPr>
            </w:pPr>
            <w:r w:rsidRPr="00B51DEF">
              <w:rPr>
                <w:iCs/>
              </w:rPr>
              <w:t>85/246 (34.6)</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1.46 (1.18, 1.80)</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0.16 (0.07, 0.24)</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6 (4, 14)</w:t>
            </w:r>
          </w:p>
        </w:tc>
      </w:tr>
      <w:tr w:rsidR="00022D31" w:rsidRPr="00B51DEF" w:rsidTr="006D40D3">
        <w:trPr>
          <w:trHeight w:val="170"/>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ULTRA 2,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89/150 (59.3)</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56/145 (38.6)</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1.54 (1.20, 1.96)</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0.21 (0.10, 0.32)</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5 (3, 10)</w:t>
            </w:r>
          </w:p>
        </w:tc>
      </w:tr>
      <w:tr w:rsidR="00022D31" w:rsidRPr="00B51DEF" w:rsidTr="006D40D3">
        <w:trPr>
          <w:trHeight w:val="170"/>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ULTRA 2,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-e</w:t>
            </w:r>
          </w:p>
        </w:tc>
        <w:tc>
          <w:tcPr>
            <w:tcW w:w="629"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36/98 (36.7)</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29/101 (28.7)</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1.28 (0.86, 1.91)</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0.08 (-0.05, 0.21)</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NS</w:t>
            </w:r>
          </w:p>
        </w:tc>
      </w:tr>
      <w:tr w:rsidR="00022D31" w:rsidRPr="00B51DEF" w:rsidTr="006D40D3">
        <w:trPr>
          <w:trHeight w:val="170"/>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Suzuki 2014,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pStyle w:val="Tabletext"/>
              <w:jc w:val="center"/>
              <w:rPr>
                <w:iCs/>
                <w:szCs w:val="18"/>
              </w:rPr>
            </w:pPr>
            <w:r w:rsidRPr="00B51DEF">
              <w:rPr>
                <w:iCs/>
              </w:rPr>
              <w:t>45/90 (50.0)</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Cs/>
                <w:szCs w:val="18"/>
              </w:rPr>
            </w:pPr>
            <w:r w:rsidRPr="00B51DEF">
              <w:rPr>
                <w:iCs/>
              </w:rPr>
              <w:t>34/96 (35.4)</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1.41 (1.00, 1.98)</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0.15 (0.01, 0.29)</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7 (3, 100)</w:t>
            </w:r>
          </w:p>
        </w:tc>
      </w:tr>
      <w:tr w:rsidR="00022D31" w:rsidRPr="00B51DEF" w:rsidTr="006D40D3">
        <w:trPr>
          <w:trHeight w:val="170"/>
        </w:trPr>
        <w:tc>
          <w:tcPr>
            <w:tcW w:w="1098" w:type="pct"/>
            <w:tcBorders>
              <w:lef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Meta, ITT</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241/468 (51.4)</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177/472 (37.5)</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pStyle w:val="Tabletext"/>
              <w:jc w:val="center"/>
              <w:rPr>
                <w:rFonts w:ascii="Times New Roman" w:hAnsi="Times New Roman"/>
                <w:b/>
                <w:bCs/>
                <w:szCs w:val="24"/>
                <w:lang w:eastAsia="zh-CN"/>
              </w:rPr>
            </w:pPr>
            <w:r w:rsidRPr="00B51DEF">
              <w:rPr>
                <w:b/>
                <w:bCs/>
              </w:rPr>
              <w:t>1.37 (1.19, 1.59)</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0.14 (0.08, 0.20)</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7 (5, 12.5)</w:t>
            </w:r>
          </w:p>
        </w:tc>
      </w:tr>
      <w:tr w:rsidR="00022D31" w:rsidRPr="00B51DEF" w:rsidTr="006D40D3">
        <w:trPr>
          <w:trHeight w:val="170"/>
        </w:trPr>
        <w:tc>
          <w:tcPr>
            <w:tcW w:w="1098" w:type="pct"/>
            <w:tcBorders>
              <w:lef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 xml:space="preserve">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29"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205/370 (55.4)</w:t>
            </w:r>
          </w:p>
        </w:tc>
        <w:tc>
          <w:tcPr>
            <w:tcW w:w="629"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148/371 (39.8)</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1.39 (1.19, 1.62)</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0.15 (0.08, 0.23)</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7 (4, 12.5)</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b/>
                <w:bCs/>
                <w:iCs/>
                <w:sz w:val="18"/>
                <w:szCs w:val="18"/>
              </w:rPr>
              <w:t>VDZ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6)</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p>
        </w:tc>
      </w:tr>
      <w:tr w:rsidR="00022D31" w:rsidRPr="00B51DEF" w:rsidTr="006D40D3">
        <w:trPr>
          <w:trHeight w:val="170"/>
        </w:trPr>
        <w:tc>
          <w:tcPr>
            <w:tcW w:w="1098" w:type="pct"/>
            <w:tcBorders>
              <w:left w:val="single" w:sz="4" w:space="0" w:color="auto"/>
            </w:tcBorders>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GEMINI 1, ITT</w:t>
            </w:r>
          </w:p>
        </w:tc>
        <w:tc>
          <w:tcPr>
            <w:tcW w:w="629" w:type="pct"/>
            <w:shd w:val="clear" w:color="auto" w:fill="auto"/>
            <w:vAlign w:val="center"/>
          </w:tcPr>
          <w:p w:rsidR="00022D31" w:rsidRPr="00B51DEF" w:rsidRDefault="00022D31" w:rsidP="009467BF">
            <w:pPr>
              <w:pStyle w:val="Tabletext"/>
              <w:jc w:val="center"/>
              <w:rPr>
                <w:i/>
                <w:szCs w:val="18"/>
              </w:rPr>
            </w:pPr>
            <w:r w:rsidRPr="00B51DEF">
              <w:rPr>
                <w:i/>
              </w:rPr>
              <w:t>106/225 (47.1)</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
                <w:szCs w:val="18"/>
              </w:rPr>
            </w:pPr>
            <w:r w:rsidRPr="00B51DEF">
              <w:rPr>
                <w:i/>
              </w:rPr>
              <w:t>38/149 (25.5)</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1.85 (1.36, 2.51)</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highlight w:val="lightGray"/>
              </w:rPr>
            </w:pPr>
            <w:r w:rsidRPr="00B51DEF">
              <w:rPr>
                <w:rFonts w:ascii="Arial Narrow" w:hAnsi="Arial Narrow"/>
                <w:b/>
                <w:bCs/>
                <w:i/>
                <w:sz w:val="18"/>
                <w:szCs w:val="18"/>
              </w:rPr>
              <w:t>0.22 (0.12, 0.31)</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4.5 (3, 8)</w:t>
            </w:r>
          </w:p>
        </w:tc>
      </w:tr>
      <w:tr w:rsidR="00022D31" w:rsidRPr="00B51DEF" w:rsidTr="006D40D3">
        <w:trPr>
          <w:trHeight w:val="56"/>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GEMINI 1,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29" w:type="pct"/>
            <w:shd w:val="clear" w:color="auto" w:fill="auto"/>
            <w:vAlign w:val="center"/>
          </w:tcPr>
          <w:p w:rsidR="00022D31" w:rsidRPr="00B51DEF" w:rsidRDefault="00022D31" w:rsidP="009467BF">
            <w:pPr>
              <w:pStyle w:val="Tabletext"/>
              <w:jc w:val="center"/>
              <w:rPr>
                <w:i/>
              </w:rPr>
            </w:pPr>
            <w:r w:rsidRPr="00B51DEF">
              <w:rPr>
                <w:i/>
              </w:rPr>
              <w:t>69/130 (53.1)</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
              </w:rPr>
            </w:pPr>
            <w:r w:rsidRPr="00B51DEF">
              <w:rPr>
                <w:i/>
              </w:rPr>
              <w:t>20/76 (26.3)</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2.02 (1.34, 3.04)</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0.27 (0.14, 0.40)</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4 (2.5, 7)</w:t>
            </w:r>
          </w:p>
        </w:tc>
      </w:tr>
      <w:tr w:rsidR="00022D31" w:rsidRPr="00B51DEF" w:rsidTr="006D40D3">
        <w:trPr>
          <w:trHeight w:val="170"/>
        </w:trPr>
        <w:tc>
          <w:tcPr>
            <w:tcW w:w="1098" w:type="pct"/>
            <w:tcBorders>
              <w:left w:val="single" w:sz="4" w:space="0" w:color="auto"/>
            </w:tcBorders>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GEMINI 1,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629" w:type="pct"/>
            <w:shd w:val="clear" w:color="auto" w:fill="auto"/>
            <w:vAlign w:val="center"/>
          </w:tcPr>
          <w:p w:rsidR="00022D31" w:rsidRPr="00B51DEF" w:rsidRDefault="00022D31" w:rsidP="009467BF">
            <w:pPr>
              <w:pStyle w:val="Tabletext"/>
              <w:jc w:val="center"/>
              <w:rPr>
                <w:i/>
              </w:rPr>
            </w:pPr>
            <w:r w:rsidRPr="00B51DEF">
              <w:rPr>
                <w:i/>
              </w:rPr>
              <w:t>32/82 (39.0)</w:t>
            </w:r>
          </w:p>
        </w:tc>
        <w:tc>
          <w:tcPr>
            <w:tcW w:w="629" w:type="pct"/>
            <w:tcBorders>
              <w:right w:val="single" w:sz="4" w:space="0" w:color="auto"/>
            </w:tcBorders>
            <w:shd w:val="clear" w:color="auto" w:fill="auto"/>
            <w:vAlign w:val="center"/>
          </w:tcPr>
          <w:p w:rsidR="00022D31" w:rsidRPr="00B51DEF" w:rsidRDefault="00022D31" w:rsidP="009467BF">
            <w:pPr>
              <w:pStyle w:val="Tabletext"/>
              <w:jc w:val="center"/>
              <w:rPr>
                <w:i/>
              </w:rPr>
            </w:pPr>
            <w:r w:rsidRPr="00B51DEF">
              <w:rPr>
                <w:i/>
              </w:rPr>
              <w:t>13/63 (20.6)</w:t>
            </w:r>
          </w:p>
        </w:tc>
        <w:tc>
          <w:tcPr>
            <w:tcW w:w="786"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1.89 (1.09, 3.29)</w:t>
            </w:r>
          </w:p>
        </w:tc>
        <w:tc>
          <w:tcPr>
            <w:tcW w:w="708"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0.18 (0.04, 0.33)</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5.5 (3, 25)</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b/>
                <w:bCs/>
                <w:iCs/>
                <w:sz w:val="18"/>
                <w:szCs w:val="18"/>
              </w:rPr>
            </w:pPr>
            <w:r w:rsidRPr="00B51DEF">
              <w:rPr>
                <w:rFonts w:ascii="Arial Narrow" w:hAnsi="Arial Narrow"/>
                <w:b/>
                <w:bCs/>
                <w:iCs/>
                <w:sz w:val="18"/>
                <w:szCs w:val="18"/>
              </w:rPr>
              <w:t>Indirect comparisons, ITT</w:t>
            </w:r>
          </w:p>
        </w:tc>
        <w:tc>
          <w:tcPr>
            <w:tcW w:w="786" w:type="pct"/>
            <w:tcBorders>
              <w:top w:val="nil"/>
              <w:left w:val="single" w:sz="4" w:space="0" w:color="auto"/>
              <w:bottom w:val="nil"/>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p>
        </w:tc>
        <w:tc>
          <w:tcPr>
            <w:tcW w:w="708" w:type="pct"/>
            <w:tcBorders>
              <w:top w:val="nil"/>
              <w:left w:val="single" w:sz="4" w:space="0" w:color="auto"/>
              <w:bottom w:val="nil"/>
              <w:right w:val="nil"/>
            </w:tcBorders>
            <w:shd w:val="clear" w:color="auto" w:fill="auto"/>
          </w:tcPr>
          <w:p w:rsidR="00022D31" w:rsidRPr="00B51DEF" w:rsidRDefault="00022D31" w:rsidP="009467BF">
            <w:pPr>
              <w:widowControl/>
              <w:rPr>
                <w:rFonts w:ascii="Arial Narrow" w:hAnsi="Arial Narrow"/>
                <w:bCs/>
                <w:iCs/>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p>
        </w:tc>
      </w:tr>
      <w:tr w:rsidR="00022D31" w:rsidRPr="00B51DEF" w:rsidTr="006D40D3">
        <w:trPr>
          <w:trHeight w:val="151"/>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(Meta ITT) v IFX (Meta ITT)</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8"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(Meta ITT) v IFX (Meta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 ACT1/2)</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(Meta ITT) v GOL (PURSUIT-SC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(Meta ITT) v ADA (Meta ITT)</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
                <w:i/>
                <w:sz w:val="18"/>
                <w:szCs w:val="18"/>
                <w:highlight w:val="black"/>
              </w:rPr>
            </w:pPr>
            <w:r>
              <w:rPr>
                <w:rFonts w:ascii="Arial Narrow" w:hAnsi="Arial Narrow"/>
                <w:b/>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(Meta ITT) v VDZ (GEMINI 1 ITT)</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
                <w:noProof/>
                <w:color w:val="000000"/>
                <w:sz w:val="18"/>
                <w:szCs w:val="18"/>
                <w:highlight w:val="black"/>
              </w:rPr>
              <w:t>''''''''</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b/>
                <w:bCs/>
                <w:iCs/>
                <w:sz w:val="18"/>
                <w:szCs w:val="18"/>
              </w:rPr>
              <w:t xml:space="preserve">Indirect comparisons, </w:t>
            </w:r>
            <w:proofErr w:type="spellStart"/>
            <w:r w:rsidRPr="00B51DEF">
              <w:rPr>
                <w:rFonts w:ascii="Arial Narrow" w:hAnsi="Arial Narrow"/>
                <w:b/>
                <w:bCs/>
                <w:iCs/>
                <w:sz w:val="18"/>
                <w:szCs w:val="18"/>
              </w:rPr>
              <w:t>TNFi</w:t>
            </w:r>
            <w:proofErr w:type="spellEnd"/>
            <w:r w:rsidRPr="00B51DEF">
              <w:rPr>
                <w:rFonts w:ascii="Arial Narrow" w:hAnsi="Arial Narrow"/>
                <w:b/>
                <w:bCs/>
                <w:iCs/>
                <w:sz w:val="18"/>
                <w:szCs w:val="18"/>
              </w:rPr>
              <w:t>-n</w:t>
            </w:r>
          </w:p>
        </w:tc>
        <w:tc>
          <w:tcPr>
            <w:tcW w:w="786" w:type="pct"/>
            <w:tcBorders>
              <w:top w:val="nil"/>
              <w:left w:val="single" w:sz="4" w:space="0" w:color="auto"/>
              <w:bottom w:val="nil"/>
              <w:right w:val="single" w:sz="4" w:space="0" w:color="auto"/>
            </w:tcBorders>
            <w:shd w:val="clear" w:color="auto" w:fill="auto"/>
          </w:tcPr>
          <w:p w:rsidR="00022D31" w:rsidRPr="00922EF4" w:rsidRDefault="00022D31" w:rsidP="009467BF">
            <w:pPr>
              <w:widowControl/>
              <w:jc w:val="center"/>
              <w:rPr>
                <w:rFonts w:ascii="Arial Narrow" w:hAnsi="Arial Narrow"/>
                <w:iCs/>
                <w:sz w:val="18"/>
                <w:szCs w:val="18"/>
              </w:rPr>
            </w:pPr>
          </w:p>
        </w:tc>
        <w:tc>
          <w:tcPr>
            <w:tcW w:w="708" w:type="pct"/>
            <w:tcBorders>
              <w:top w:val="nil"/>
              <w:left w:val="single" w:sz="4" w:space="0" w:color="auto"/>
              <w:bottom w:val="nil"/>
              <w:right w:val="nil"/>
            </w:tcBorders>
            <w:shd w:val="clear" w:color="auto" w:fill="auto"/>
          </w:tcPr>
          <w:p w:rsidR="00022D31" w:rsidRPr="00922EF4" w:rsidRDefault="00022D31" w:rsidP="009467BF">
            <w:pPr>
              <w:widowControl/>
              <w:jc w:val="center"/>
              <w:rPr>
                <w:rFonts w:ascii="Arial Narrow" w:hAnsi="Arial Narrow"/>
                <w:bCs/>
                <w:iCs/>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Cs/>
                <w:sz w:val="18"/>
                <w:szCs w:val="18"/>
              </w:rPr>
            </w:pPr>
          </w:p>
        </w:tc>
        <w:tc>
          <w:tcPr>
            <w:tcW w:w="443"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iCs/>
                <w:sz w:val="18"/>
                <w:szCs w:val="18"/>
              </w:rPr>
            </w:pP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 xml:space="preserve">TOF (Meta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 v IFX (Meta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
                <w:noProof/>
                <w:color w:val="000000"/>
                <w:sz w:val="18"/>
                <w:szCs w:val="18"/>
                <w:highlight w:val="black"/>
              </w:rPr>
              <w:t>'''''''</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 xml:space="preserve">TOF (Meta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 v IFX (Meta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 ACT1/2)</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
                <w:noProof/>
                <w:color w:val="000000"/>
                <w:sz w:val="18"/>
                <w:szCs w:val="18"/>
                <w:highlight w:val="black"/>
              </w:rPr>
              <w:t>''''''''</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 xml:space="preserve">TOF (Meta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 v GOL (Meta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
                <w:noProof/>
                <w:color w:val="000000"/>
                <w:sz w:val="18"/>
                <w:szCs w:val="18"/>
                <w:highlight w:val="black"/>
              </w:rPr>
              <w:t>'''''''''</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 xml:space="preserve">TOF (Meta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 xml:space="preserve">-n) v ADA (Meta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
                <w:noProof/>
                <w:color w:val="000000"/>
                <w:sz w:val="18"/>
                <w:szCs w:val="18"/>
                <w:highlight w:val="black"/>
              </w:rPr>
              <w:t>''''''''</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
                <w:sz w:val="18"/>
                <w:szCs w:val="18"/>
              </w:rPr>
              <w:t xml:space="preserve">TOF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-n) v VDZ (</w:t>
            </w:r>
            <w:proofErr w:type="spellStart"/>
            <w:r w:rsidRPr="00B51DEF">
              <w:rPr>
                <w:rFonts w:ascii="Arial Narrow" w:hAnsi="Arial Narrow"/>
                <w:i/>
                <w:sz w:val="18"/>
                <w:szCs w:val="18"/>
              </w:rPr>
              <w:t>TNFi</w:t>
            </w:r>
            <w:proofErr w:type="spellEnd"/>
            <w:r w:rsidRPr="00B51DEF">
              <w:rPr>
                <w:rFonts w:ascii="Arial Narrow" w:hAnsi="Arial Narrow"/>
                <w:i/>
                <w:sz w:val="18"/>
                <w:szCs w:val="18"/>
              </w:rPr>
              <w:t xml:space="preserve">-n) </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
                <w:noProof/>
                <w:color w:val="000000"/>
                <w:sz w:val="18"/>
                <w:szCs w:val="18"/>
                <w:highlight w:val="black"/>
              </w:rPr>
              <w:t>''''''''</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b/>
                <w:bCs/>
                <w:iCs/>
                <w:sz w:val="18"/>
                <w:szCs w:val="18"/>
              </w:rPr>
              <w:t xml:space="preserve">Indirect comparisons, </w:t>
            </w:r>
            <w:proofErr w:type="spellStart"/>
            <w:r w:rsidRPr="00B51DEF">
              <w:rPr>
                <w:rFonts w:ascii="Arial Narrow" w:hAnsi="Arial Narrow"/>
                <w:b/>
                <w:bCs/>
                <w:iCs/>
                <w:sz w:val="18"/>
                <w:szCs w:val="18"/>
              </w:rPr>
              <w:t>TNFi</w:t>
            </w:r>
            <w:proofErr w:type="spellEnd"/>
            <w:r w:rsidRPr="00B51DEF">
              <w:rPr>
                <w:rFonts w:ascii="Arial Narrow" w:hAnsi="Arial Narrow"/>
                <w:b/>
                <w:bCs/>
                <w:iCs/>
                <w:sz w:val="18"/>
                <w:szCs w:val="18"/>
              </w:rPr>
              <w:t>-e</w:t>
            </w:r>
          </w:p>
        </w:tc>
        <w:tc>
          <w:tcPr>
            <w:tcW w:w="786" w:type="pct"/>
            <w:tcBorders>
              <w:top w:val="nil"/>
              <w:left w:val="single" w:sz="4" w:space="0" w:color="auto"/>
              <w:bottom w:val="nil"/>
              <w:right w:val="single" w:sz="4" w:space="0" w:color="auto"/>
            </w:tcBorders>
            <w:shd w:val="clear" w:color="auto" w:fill="auto"/>
          </w:tcPr>
          <w:p w:rsidR="00022D31" w:rsidRPr="00922EF4" w:rsidRDefault="00022D31" w:rsidP="009467BF">
            <w:pPr>
              <w:widowControl/>
              <w:jc w:val="center"/>
              <w:rPr>
                <w:rFonts w:ascii="Arial Narrow" w:hAnsi="Arial Narrow"/>
                <w:iCs/>
                <w:sz w:val="18"/>
                <w:szCs w:val="18"/>
              </w:rPr>
            </w:pPr>
          </w:p>
        </w:tc>
        <w:tc>
          <w:tcPr>
            <w:tcW w:w="708" w:type="pct"/>
            <w:tcBorders>
              <w:top w:val="nil"/>
              <w:left w:val="single" w:sz="4" w:space="0" w:color="auto"/>
              <w:bottom w:val="nil"/>
              <w:right w:val="nil"/>
            </w:tcBorders>
            <w:shd w:val="clear" w:color="auto" w:fill="auto"/>
          </w:tcPr>
          <w:p w:rsidR="00022D31" w:rsidRPr="00922EF4" w:rsidRDefault="00022D31" w:rsidP="009467BF">
            <w:pPr>
              <w:widowControl/>
              <w:jc w:val="center"/>
              <w:rPr>
                <w:rFonts w:ascii="Arial Narrow" w:hAnsi="Arial Narrow"/>
                <w:bCs/>
                <w:iCs/>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Cs/>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xml:space="preserve"> </w:t>
            </w:r>
          </w:p>
        </w:tc>
      </w:tr>
      <w:tr w:rsidR="00022D31" w:rsidRPr="00B51DEF" w:rsidTr="006D40D3">
        <w:trPr>
          <w:trHeight w:val="170"/>
        </w:trPr>
        <w:tc>
          <w:tcPr>
            <w:tcW w:w="2356" w:type="pct"/>
            <w:gridSpan w:val="3"/>
            <w:tcBorders>
              <w:left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 xml:space="preserve">TOF (Meta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 xml:space="preserve">-e) v ADA (ULTRA 2,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-e)</w:t>
            </w:r>
          </w:p>
        </w:tc>
        <w:tc>
          <w:tcPr>
            <w:tcW w:w="786"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08" w:type="pct"/>
            <w:tcBorders>
              <w:top w:val="nil"/>
              <w:left w:val="single" w:sz="4" w:space="0" w:color="auto"/>
              <w:bottom w:val="nil"/>
              <w:right w:val="nil"/>
            </w:tcBorders>
            <w:shd w:val="clear" w:color="auto" w:fill="auto"/>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r>
      <w:tr w:rsidR="00022D31" w:rsidRPr="00B51DEF" w:rsidTr="006D40D3">
        <w:trPr>
          <w:trHeight w:val="59"/>
        </w:trPr>
        <w:tc>
          <w:tcPr>
            <w:tcW w:w="2356" w:type="pct"/>
            <w:gridSpan w:val="3"/>
            <w:tcBorders>
              <w:left w:val="single" w:sz="4" w:space="0" w:color="auto"/>
              <w:bottom w:val="single" w:sz="4" w:space="0" w:color="auto"/>
              <w:right w:val="single" w:sz="4" w:space="0" w:color="auto"/>
            </w:tcBorders>
            <w:shd w:val="clear" w:color="auto" w:fill="auto"/>
          </w:tcPr>
          <w:p w:rsidR="00022D31" w:rsidRPr="00B51DEF" w:rsidRDefault="00022D31" w:rsidP="009467BF">
            <w:pPr>
              <w:widowControl/>
              <w:jc w:val="right"/>
              <w:rPr>
                <w:rFonts w:ascii="Arial Narrow" w:hAnsi="Arial Narrow"/>
                <w:iCs/>
                <w:sz w:val="18"/>
                <w:szCs w:val="18"/>
              </w:rPr>
            </w:pPr>
            <w:r w:rsidRPr="00B51DEF">
              <w:rPr>
                <w:rFonts w:ascii="Arial Narrow" w:hAnsi="Arial Narrow"/>
                <w:i/>
                <w:sz w:val="18"/>
                <w:szCs w:val="18"/>
              </w:rPr>
              <w:t xml:space="preserve">TOF (Meta </w:t>
            </w:r>
            <w:proofErr w:type="spellStart"/>
            <w:r w:rsidRPr="00B51DEF">
              <w:rPr>
                <w:rFonts w:ascii="Arial Narrow" w:hAnsi="Arial Narrow"/>
                <w:i/>
                <w:sz w:val="18"/>
                <w:szCs w:val="18"/>
              </w:rPr>
              <w:t>TNFi</w:t>
            </w:r>
            <w:proofErr w:type="spellEnd"/>
            <w:r w:rsidRPr="00B51DEF">
              <w:rPr>
                <w:rFonts w:ascii="Arial Narrow" w:hAnsi="Arial Narrow"/>
                <w:i/>
                <w:sz w:val="18"/>
                <w:szCs w:val="18"/>
              </w:rPr>
              <w:t>-e) v VDZ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-e failure)</w:t>
            </w:r>
          </w:p>
        </w:tc>
        <w:tc>
          <w:tcPr>
            <w:tcW w:w="786" w:type="pct"/>
            <w:tcBorders>
              <w:top w:val="nil"/>
              <w:left w:val="single" w:sz="4" w:space="0" w:color="auto"/>
              <w:bottom w:val="single" w:sz="4" w:space="0" w:color="auto"/>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8" w:type="pct"/>
            <w:tcBorders>
              <w:top w:val="nil"/>
              <w:left w:val="single" w:sz="4" w:space="0" w:color="auto"/>
              <w:bottom w:val="single" w:sz="4" w:space="0" w:color="auto"/>
              <w:right w:val="nil"/>
            </w:tcBorders>
            <w:shd w:val="clear" w:color="auto" w:fill="auto"/>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707" w:type="pct"/>
            <w:vMerge/>
            <w:tcBorders>
              <w:left w:val="nil"/>
              <w:bottom w:val="single" w:sz="4" w:space="0" w:color="auto"/>
              <w:right w:val="single" w:sz="4" w:space="0" w:color="auto"/>
            </w:tcBorders>
          </w:tcPr>
          <w:p w:rsidR="00022D31" w:rsidRPr="00B51DEF" w:rsidRDefault="00022D31" w:rsidP="009467BF">
            <w:pPr>
              <w:widowControl/>
              <w:jc w:val="center"/>
              <w:rPr>
                <w:rFonts w:ascii="Arial Narrow" w:hAnsi="Arial Narrow"/>
                <w:i/>
                <w:sz w:val="18"/>
                <w:szCs w:val="18"/>
              </w:rPr>
            </w:pPr>
          </w:p>
        </w:tc>
        <w:tc>
          <w:tcPr>
            <w:tcW w:w="443" w:type="pct"/>
            <w:tcBorders>
              <w:top w:val="nil"/>
              <w:left w:val="single" w:sz="4" w:space="0" w:color="auto"/>
              <w:bottom w:val="single" w:sz="4" w:space="0" w:color="auto"/>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w:t>
            </w:r>
          </w:p>
          <w:p w:rsidR="00022D31" w:rsidRPr="00922EF4" w:rsidRDefault="00022D31" w:rsidP="009467BF">
            <w:pPr>
              <w:widowControl/>
              <w:jc w:val="center"/>
              <w:rPr>
                <w:rFonts w:ascii="Arial Narrow" w:hAnsi="Arial Narrow"/>
                <w:i/>
                <w:sz w:val="18"/>
                <w:szCs w:val="18"/>
              </w:rPr>
            </w:pPr>
          </w:p>
        </w:tc>
      </w:tr>
    </w:tbl>
    <w:p w:rsidR="00022D31" w:rsidRPr="00B51DEF" w:rsidRDefault="00022D31" w:rsidP="009467BF">
      <w:pPr>
        <w:pStyle w:val="TableFooter"/>
        <w:widowControl/>
        <w:rPr>
          <w:rStyle w:val="CommentReference"/>
          <w:b w:val="0"/>
          <w:sz w:val="16"/>
        </w:rPr>
      </w:pPr>
      <w:r w:rsidRPr="00B51DEF">
        <w:rPr>
          <w:rStyle w:val="CommentReference"/>
          <w:b w:val="0"/>
          <w:sz w:val="16"/>
        </w:rPr>
        <w:t xml:space="preserve">Source: Table 2.5.5, Table 2.5.11-13, Table 2.6.2, pp80-112 of the submission; Attachment 1 of the submission (Tables 1.2.13-18, pp6-7); </w:t>
      </w:r>
      <w:proofErr w:type="spellStart"/>
      <w:r w:rsidRPr="00B51DEF">
        <w:rPr>
          <w:rStyle w:val="CommentReference"/>
          <w:b w:val="0"/>
          <w:sz w:val="16"/>
        </w:rPr>
        <w:t>Faegan</w:t>
      </w:r>
      <w:proofErr w:type="spellEnd"/>
      <w:r w:rsidRPr="00B51DEF">
        <w:rPr>
          <w:rStyle w:val="CommentReference"/>
          <w:b w:val="0"/>
          <w:sz w:val="16"/>
        </w:rPr>
        <w:t xml:space="preserve"> 2017, Kobayashi 2016, </w:t>
      </w:r>
      <w:proofErr w:type="spellStart"/>
      <w:r w:rsidRPr="00B51DEF">
        <w:rPr>
          <w:rStyle w:val="CommentReference"/>
          <w:b w:val="0"/>
          <w:sz w:val="16"/>
        </w:rPr>
        <w:t>Sandborn</w:t>
      </w:r>
      <w:proofErr w:type="spellEnd"/>
      <w:r w:rsidRPr="00B51DEF">
        <w:rPr>
          <w:rStyle w:val="CommentReference"/>
          <w:b w:val="0"/>
          <w:sz w:val="16"/>
        </w:rPr>
        <w:t xml:space="preserve"> 2012.</w:t>
      </w:r>
    </w:p>
    <w:p w:rsidR="00022D31" w:rsidRPr="00B51DEF" w:rsidRDefault="00022D31" w:rsidP="009467BF">
      <w:pPr>
        <w:widowControl/>
        <w:rPr>
          <w:rStyle w:val="CommentReference"/>
          <w:b w:val="0"/>
          <w:bCs/>
          <w:sz w:val="16"/>
        </w:rPr>
      </w:pPr>
      <w:r w:rsidRPr="00B51DEF">
        <w:rPr>
          <w:rStyle w:val="CommentReference"/>
          <w:b w:val="0"/>
          <w:bCs/>
          <w:sz w:val="16"/>
        </w:rPr>
        <w:t>Abbreviations: ADA=</w:t>
      </w:r>
      <w:proofErr w:type="spellStart"/>
      <w:r w:rsidRPr="00B51DEF">
        <w:rPr>
          <w:rStyle w:val="CommentReference"/>
          <w:b w:val="0"/>
          <w:bCs/>
          <w:sz w:val="16"/>
        </w:rPr>
        <w:t>adalimumab</w:t>
      </w:r>
      <w:proofErr w:type="spellEnd"/>
      <w:r w:rsidRPr="00B51DEF">
        <w:rPr>
          <w:rStyle w:val="CommentReference"/>
          <w:b w:val="0"/>
          <w:bCs/>
          <w:sz w:val="16"/>
        </w:rPr>
        <w:t>, CI=confidence interval, GOL=</w:t>
      </w:r>
      <w:proofErr w:type="spellStart"/>
      <w:r w:rsidRPr="00B51DEF">
        <w:rPr>
          <w:rStyle w:val="CommentReference"/>
          <w:b w:val="0"/>
          <w:bCs/>
          <w:sz w:val="16"/>
        </w:rPr>
        <w:t>golimumab</w:t>
      </w:r>
      <w:proofErr w:type="spellEnd"/>
      <w:r w:rsidRPr="00B51DEF">
        <w:rPr>
          <w:rStyle w:val="CommentReference"/>
          <w:b w:val="0"/>
          <w:bCs/>
          <w:sz w:val="16"/>
        </w:rPr>
        <w:t>, ITT=intention to treat, NNT=number needed to treat, NS=not significant, RD=risk difference, RR=risk ratio, TOF=</w:t>
      </w:r>
      <w:proofErr w:type="spellStart"/>
      <w:r w:rsidRPr="00B51DEF">
        <w:rPr>
          <w:rStyle w:val="CommentReference"/>
          <w:b w:val="0"/>
          <w:bCs/>
          <w:sz w:val="16"/>
        </w:rPr>
        <w:t>tofacitinib</w:t>
      </w:r>
      <w:proofErr w:type="spellEnd"/>
      <w:r w:rsidRPr="00B51DEF">
        <w:rPr>
          <w:rStyle w:val="CommentReference"/>
          <w:b w:val="0"/>
          <w:bCs/>
          <w:sz w:val="16"/>
        </w:rPr>
        <w:t xml:space="preserve">, </w:t>
      </w:r>
      <w:proofErr w:type="spellStart"/>
      <w:r w:rsidRPr="00B51DEF">
        <w:rPr>
          <w:rStyle w:val="CommentReference"/>
          <w:b w:val="0"/>
          <w:bCs/>
          <w:sz w:val="16"/>
        </w:rPr>
        <w:t>TNFi</w:t>
      </w:r>
      <w:proofErr w:type="spellEnd"/>
      <w:r w:rsidRPr="00B51DEF">
        <w:rPr>
          <w:rStyle w:val="CommentReference"/>
          <w:b w:val="0"/>
          <w:bCs/>
          <w:sz w:val="16"/>
        </w:rPr>
        <w:t xml:space="preserve">=tumour necrosis factor inhibitor, </w:t>
      </w:r>
      <w:proofErr w:type="spellStart"/>
      <w:r w:rsidRPr="00B51DEF">
        <w:rPr>
          <w:rStyle w:val="CommentReference"/>
          <w:b w:val="0"/>
          <w:bCs/>
          <w:sz w:val="16"/>
        </w:rPr>
        <w:t>TNFi</w:t>
      </w:r>
      <w:proofErr w:type="spellEnd"/>
      <w:r w:rsidRPr="00B51DEF">
        <w:rPr>
          <w:rStyle w:val="CommentReference"/>
          <w:b w:val="0"/>
          <w:bCs/>
          <w:sz w:val="16"/>
        </w:rPr>
        <w:t>-n=</w:t>
      </w:r>
      <w:proofErr w:type="spellStart"/>
      <w:r w:rsidRPr="00B51DEF">
        <w:rPr>
          <w:rStyle w:val="CommentReference"/>
          <w:b w:val="0"/>
          <w:bCs/>
          <w:sz w:val="16"/>
        </w:rPr>
        <w:t>TNFi</w:t>
      </w:r>
      <w:proofErr w:type="spellEnd"/>
      <w:r w:rsidRPr="00B51DEF">
        <w:rPr>
          <w:rStyle w:val="CommentReference"/>
          <w:b w:val="0"/>
          <w:bCs/>
          <w:sz w:val="16"/>
        </w:rPr>
        <w:t xml:space="preserve"> naïve, </w:t>
      </w:r>
      <w:proofErr w:type="spellStart"/>
      <w:r w:rsidRPr="00B51DEF">
        <w:rPr>
          <w:rStyle w:val="CommentReference"/>
          <w:b w:val="0"/>
          <w:bCs/>
          <w:sz w:val="16"/>
        </w:rPr>
        <w:t>TNFi</w:t>
      </w:r>
      <w:proofErr w:type="spellEnd"/>
      <w:r w:rsidRPr="00B51DEF">
        <w:rPr>
          <w:rStyle w:val="CommentReference"/>
          <w:b w:val="0"/>
          <w:bCs/>
          <w:sz w:val="16"/>
        </w:rPr>
        <w:t>-e=</w:t>
      </w:r>
      <w:proofErr w:type="spellStart"/>
      <w:r w:rsidRPr="00B51DEF">
        <w:rPr>
          <w:rStyle w:val="CommentReference"/>
          <w:b w:val="0"/>
          <w:bCs/>
          <w:sz w:val="16"/>
        </w:rPr>
        <w:t>TNFi</w:t>
      </w:r>
      <w:proofErr w:type="spellEnd"/>
      <w:r w:rsidRPr="00B51DEF">
        <w:rPr>
          <w:rStyle w:val="CommentReference"/>
          <w:b w:val="0"/>
          <w:bCs/>
          <w:sz w:val="16"/>
        </w:rPr>
        <w:t xml:space="preserve"> exposed, VDZ=</w:t>
      </w:r>
      <w:proofErr w:type="spellStart"/>
      <w:r w:rsidRPr="00B51DEF">
        <w:rPr>
          <w:rStyle w:val="CommentReference"/>
          <w:b w:val="0"/>
          <w:bCs/>
          <w:sz w:val="16"/>
        </w:rPr>
        <w:t>vedolizumab</w:t>
      </w:r>
      <w:proofErr w:type="spellEnd"/>
    </w:p>
    <w:p w:rsidR="00022D31" w:rsidRPr="00B51DEF" w:rsidRDefault="00022D31" w:rsidP="009467BF">
      <w:pPr>
        <w:widowControl/>
        <w:rPr>
          <w:rStyle w:val="CommentReference"/>
          <w:b w:val="0"/>
          <w:bCs/>
          <w:sz w:val="16"/>
        </w:rPr>
      </w:pPr>
      <w:r w:rsidRPr="00B51DEF">
        <w:rPr>
          <w:rStyle w:val="CommentReference"/>
          <w:b w:val="0"/>
          <w:bCs/>
          <w:sz w:val="16"/>
        </w:rPr>
        <w:t>Italics indicate results estimated during the evaluation. Bold typography indicate statistically significant differences. Blue line crossing zero.</w:t>
      </w:r>
    </w:p>
    <w:p w:rsidR="00022D31" w:rsidRPr="00B51DEF" w:rsidRDefault="00022D31" w:rsidP="009467BF">
      <w:pPr>
        <w:widowControl/>
        <w:rPr>
          <w:rStyle w:val="CommentReference"/>
          <w:b w:val="0"/>
          <w:sz w:val="16"/>
          <w:szCs w:val="18"/>
        </w:rPr>
      </w:pPr>
      <w:r w:rsidRPr="00B51DEF">
        <w:rPr>
          <w:rStyle w:val="CommentReference"/>
          <w:bCs/>
          <w:sz w:val="16"/>
          <w:szCs w:val="18"/>
        </w:rPr>
        <w:t>^</w:t>
      </w:r>
      <w:r w:rsidRPr="00B51DEF">
        <w:rPr>
          <w:rStyle w:val="CommentReference"/>
          <w:b w:val="0"/>
          <w:sz w:val="16"/>
          <w:szCs w:val="18"/>
        </w:rPr>
        <w:t xml:space="preserve">estimated during the evaluation using random effects meta-analysis using </w:t>
      </w:r>
      <w:proofErr w:type="spellStart"/>
      <w:r w:rsidRPr="00B51DEF">
        <w:rPr>
          <w:rStyle w:val="CommentReference"/>
          <w:b w:val="0"/>
          <w:sz w:val="16"/>
          <w:szCs w:val="18"/>
        </w:rPr>
        <w:t>RevMan</w:t>
      </w:r>
      <w:proofErr w:type="spellEnd"/>
      <w:r w:rsidRPr="00B51DEF">
        <w:rPr>
          <w:rStyle w:val="CommentReference"/>
          <w:b w:val="0"/>
          <w:sz w:val="16"/>
          <w:szCs w:val="18"/>
        </w:rPr>
        <w:t xml:space="preserve"> Version 5.3.</w:t>
      </w:r>
    </w:p>
    <w:p w:rsidR="00022D31" w:rsidRPr="00B51DEF" w:rsidRDefault="00022D31" w:rsidP="009467BF">
      <w:pPr>
        <w:widowControl/>
        <w:rPr>
          <w:rStyle w:val="CommentReference"/>
          <w:b w:val="0"/>
          <w:sz w:val="16"/>
          <w:szCs w:val="18"/>
        </w:rPr>
      </w:pPr>
      <w:r w:rsidRPr="00B51DEF">
        <w:rPr>
          <w:rStyle w:val="CommentReference"/>
          <w:b w:val="0"/>
          <w:sz w:val="16"/>
          <w:szCs w:val="18"/>
        </w:rPr>
        <w:t>*</w:t>
      </w:r>
      <w:proofErr w:type="spellStart"/>
      <w:r w:rsidRPr="00B51DEF">
        <w:rPr>
          <w:rStyle w:val="CommentReference"/>
          <w:b w:val="0"/>
          <w:sz w:val="16"/>
          <w:szCs w:val="18"/>
        </w:rPr>
        <w:t>TNFi-exposed+failure</w:t>
      </w:r>
      <w:proofErr w:type="spellEnd"/>
      <w:r w:rsidRPr="00B51DEF">
        <w:rPr>
          <w:rStyle w:val="CommentReference"/>
          <w:b w:val="0"/>
          <w:sz w:val="16"/>
          <w:szCs w:val="18"/>
        </w:rPr>
        <w:t>, TNF-exposed without failure were excluded.</w:t>
      </w:r>
    </w:p>
    <w:p w:rsidR="00022D31" w:rsidRPr="00B51DEF" w:rsidRDefault="00022D31" w:rsidP="009467BF">
      <w:pPr>
        <w:pStyle w:val="TableHeading"/>
        <w:sectPr w:rsidR="00022D31" w:rsidRPr="00B51DEF" w:rsidSect="005B36AA">
          <w:pgSz w:w="11907" w:h="16840" w:code="9"/>
          <w:pgMar w:top="1440" w:right="1440" w:bottom="1440" w:left="1440" w:header="1440" w:footer="1440" w:gutter="0"/>
          <w:cols w:space="708"/>
          <w:docGrid w:linePitch="360"/>
        </w:sectPr>
      </w:pPr>
    </w:p>
    <w:p w:rsidR="00022D31" w:rsidRPr="00B51DEF" w:rsidRDefault="00022D31" w:rsidP="009467BF">
      <w:pPr>
        <w:pStyle w:val="TableHeading"/>
        <w:rPr>
          <w:rStyle w:val="CommentReference"/>
          <w:b/>
          <w:bCs w:val="0"/>
        </w:rPr>
      </w:pPr>
      <w:r w:rsidRPr="00B51DEF">
        <w:lastRenderedPageBreak/>
        <w:t xml:space="preserve">Table </w:t>
      </w:r>
      <w:r w:rsidR="004D1D00" w:rsidRPr="00B51DEF">
        <w:t>7</w:t>
      </w:r>
      <w:r w:rsidRPr="00B51DEF">
        <w:t xml:space="preserve"> </w:t>
      </w:r>
      <w:r w:rsidRPr="00B51DEF">
        <w:rPr>
          <w:rStyle w:val="CommentReference"/>
          <w:b/>
          <w:bCs w:val="0"/>
        </w:rPr>
        <w:t>Sustained remission or sustained clinical remission at 52/54 Weeks– maintenance therapy (relevant arms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28" w:type="dxa"/>
          <w:right w:w="28" w:type="dxa"/>
        </w:tblCellMar>
        <w:tblLook w:val="00A0" w:firstRow="1" w:lastRow="0" w:firstColumn="1" w:lastColumn="0" w:noHBand="0" w:noVBand="0"/>
        <w:tblCaption w:val="Sustained remission or sustained clinical remission at 52/54 Weeks– maintenance therapy (relevant arms only)"/>
      </w:tblPr>
      <w:tblGrid>
        <w:gridCol w:w="1764"/>
        <w:gridCol w:w="1218"/>
        <w:gridCol w:w="1081"/>
        <w:gridCol w:w="1413"/>
        <w:gridCol w:w="1405"/>
        <w:gridCol w:w="1346"/>
        <w:gridCol w:w="790"/>
      </w:tblGrid>
      <w:tr w:rsidR="00022D31" w:rsidRPr="00B51DEF" w:rsidTr="006D40D3">
        <w:trPr>
          <w:trHeight w:val="112"/>
          <w:tblHeader/>
        </w:trPr>
        <w:tc>
          <w:tcPr>
            <w:tcW w:w="985" w:type="pct"/>
            <w:tcBorders>
              <w:bottom w:val="single" w:sz="4" w:space="0" w:color="auto"/>
              <w:right w:val="single" w:sz="4" w:space="0" w:color="auto"/>
            </w:tcBorders>
            <w:shd w:val="clear" w:color="auto" w:fill="auto"/>
            <w:vAlign w:val="center"/>
          </w:tcPr>
          <w:p w:rsidR="00022D31" w:rsidRPr="00B51DEF" w:rsidRDefault="00022D31" w:rsidP="009467BF">
            <w:pPr>
              <w:widowControl/>
              <w:jc w:val="left"/>
              <w:rPr>
                <w:rFonts w:ascii="Arial Narrow" w:hAnsi="Arial Narrow"/>
                <w:b/>
                <w:sz w:val="18"/>
                <w:szCs w:val="18"/>
              </w:rPr>
            </w:pPr>
            <w:r w:rsidRPr="00B51DEF">
              <w:rPr>
                <w:rFonts w:ascii="Arial Narrow" w:hAnsi="Arial Narrow"/>
                <w:b/>
                <w:bCs/>
                <w:iCs/>
                <w:sz w:val="18"/>
                <w:szCs w:val="18"/>
              </w:rPr>
              <w:t>Trial</w:t>
            </w:r>
          </w:p>
        </w:tc>
        <w:tc>
          <w:tcPr>
            <w:tcW w:w="682" w:type="pct"/>
            <w:tcBorders>
              <w:bottom w:val="single" w:sz="4" w:space="0" w:color="auto"/>
              <w:right w:val="single" w:sz="4" w:space="0" w:color="auto"/>
            </w:tcBorders>
            <w:shd w:val="clear" w:color="auto" w:fill="auto"/>
            <w:vAlign w:val="center"/>
          </w:tcPr>
          <w:p w:rsidR="00022D31" w:rsidRPr="00B51DEF" w:rsidRDefault="00022D31" w:rsidP="009467BF">
            <w:pPr>
              <w:widowControl/>
              <w:rPr>
                <w:rFonts w:ascii="Arial Narrow" w:hAnsi="Arial Narrow"/>
                <w:b/>
                <w:sz w:val="18"/>
                <w:szCs w:val="18"/>
              </w:rPr>
            </w:pPr>
            <w:r w:rsidRPr="00B51DEF">
              <w:rPr>
                <w:rFonts w:ascii="Arial Narrow" w:hAnsi="Arial Narrow"/>
                <w:b/>
                <w:bCs/>
                <w:iCs/>
                <w:sz w:val="18"/>
                <w:szCs w:val="18"/>
              </w:rPr>
              <w:t>Drug n/N (%)</w:t>
            </w:r>
          </w:p>
        </w:tc>
        <w:tc>
          <w:tcPr>
            <w:tcW w:w="606" w:type="pct"/>
            <w:tcBorders>
              <w:bottom w:val="single" w:sz="4" w:space="0" w:color="auto"/>
              <w:right w:val="single" w:sz="4" w:space="0" w:color="auto"/>
            </w:tcBorders>
            <w:shd w:val="clear" w:color="auto" w:fill="auto"/>
            <w:vAlign w:val="center"/>
          </w:tcPr>
          <w:p w:rsidR="00022D31" w:rsidRPr="00B51DEF" w:rsidRDefault="00022D31" w:rsidP="009467BF">
            <w:pPr>
              <w:widowControl/>
              <w:rPr>
                <w:rFonts w:ascii="Arial Narrow" w:hAnsi="Arial Narrow"/>
                <w:b/>
                <w:sz w:val="18"/>
                <w:szCs w:val="18"/>
              </w:rPr>
            </w:pPr>
            <w:r w:rsidRPr="00B51DEF">
              <w:rPr>
                <w:rFonts w:ascii="Arial Narrow" w:hAnsi="Arial Narrow"/>
                <w:b/>
                <w:bCs/>
                <w:iCs/>
                <w:sz w:val="18"/>
                <w:szCs w:val="18"/>
              </w:rPr>
              <w:t>Control n/N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022D31" w:rsidRPr="00B51DEF" w:rsidRDefault="00022D31" w:rsidP="009467BF">
            <w:pPr>
              <w:widowControl/>
              <w:jc w:val="center"/>
              <w:rPr>
                <w:rFonts w:ascii="Arial Narrow" w:hAnsi="Arial Narrow"/>
                <w:i/>
                <w:iCs/>
                <w:sz w:val="18"/>
                <w:szCs w:val="18"/>
              </w:rPr>
            </w:pPr>
            <w:r w:rsidRPr="00B51DEF">
              <w:rPr>
                <w:rFonts w:ascii="Arial Narrow" w:hAnsi="Arial Narrow"/>
                <w:b/>
                <w:bCs/>
                <w:iCs/>
                <w:sz w:val="18"/>
                <w:szCs w:val="18"/>
              </w:rPr>
              <w:t>RR (95% CI)^</w:t>
            </w:r>
          </w:p>
        </w:tc>
        <w:tc>
          <w:tcPr>
            <w:tcW w:w="1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RD [95% CI]^</w:t>
            </w:r>
          </w:p>
        </w:tc>
        <w:tc>
          <w:tcPr>
            <w:tcW w:w="444" w:type="pct"/>
            <w:tcBorders>
              <w:left w:val="single" w:sz="4" w:space="0" w:color="auto"/>
              <w:bottom w:val="single" w:sz="4" w:space="0" w:color="auto"/>
            </w:tcBorders>
            <w:shd w:val="clear" w:color="auto" w:fill="auto"/>
            <w:vAlign w:val="center"/>
          </w:tcPr>
          <w:p w:rsidR="00022D31" w:rsidRPr="00B51DEF" w:rsidRDefault="00022D31" w:rsidP="009467BF">
            <w:pPr>
              <w:widowControl/>
              <w:jc w:val="center"/>
              <w:rPr>
                <w:rFonts w:ascii="Arial Narrow" w:hAnsi="Arial Narrow"/>
                <w:i/>
                <w:iCs/>
                <w:sz w:val="18"/>
                <w:szCs w:val="18"/>
              </w:rPr>
            </w:pPr>
            <w:r w:rsidRPr="00B51DEF">
              <w:rPr>
                <w:rFonts w:ascii="Arial Narrow" w:hAnsi="Arial Narrow"/>
                <w:b/>
                <w:bCs/>
                <w:iCs/>
                <w:sz w:val="18"/>
                <w:szCs w:val="18"/>
              </w:rPr>
              <w:t>NNT (95%CI)</w:t>
            </w:r>
          </w:p>
        </w:tc>
      </w:tr>
      <w:tr w:rsidR="00022D31" w:rsidRPr="00B51DEF" w:rsidTr="006D40D3">
        <w:trPr>
          <w:trHeight w:val="112"/>
        </w:trPr>
        <w:tc>
          <w:tcPr>
            <w:tcW w:w="2273" w:type="pct"/>
            <w:gridSpan w:val="3"/>
            <w:tcBorders>
              <w:left w:val="single" w:sz="4" w:space="0" w:color="auto"/>
              <w:bottom w:val="single" w:sz="4" w:space="0" w:color="auto"/>
              <w:right w:val="single" w:sz="4" w:space="0" w:color="auto"/>
            </w:tcBorders>
            <w:shd w:val="clear" w:color="auto" w:fill="auto"/>
            <w:vAlign w:val="center"/>
          </w:tcPr>
          <w:p w:rsidR="00022D31" w:rsidRPr="00B51DEF" w:rsidRDefault="00022D31" w:rsidP="009467BF">
            <w:pPr>
              <w:widowControl/>
              <w:jc w:val="left"/>
              <w:rPr>
                <w:rFonts w:ascii="Arial Narrow" w:hAnsi="Arial Narrow"/>
                <w:b/>
                <w:bCs/>
                <w:i/>
                <w:iCs/>
                <w:sz w:val="18"/>
                <w:szCs w:val="18"/>
              </w:rPr>
            </w:pPr>
            <w:r w:rsidRPr="00B51DEF">
              <w:rPr>
                <w:rFonts w:ascii="Arial Narrow" w:hAnsi="Arial Narrow"/>
                <w:b/>
                <w:sz w:val="18"/>
                <w:szCs w:val="18"/>
              </w:rPr>
              <w:t>TOF v PBO (</w:t>
            </w:r>
            <w:proofErr w:type="spellStart"/>
            <w:r w:rsidRPr="00B51DEF">
              <w:rPr>
                <w:rFonts w:ascii="Arial Narrow" w:hAnsi="Arial Narrow"/>
                <w:b/>
                <w:sz w:val="18"/>
                <w:szCs w:val="18"/>
              </w:rPr>
              <w:t>Wk</w:t>
            </w:r>
            <w:proofErr w:type="spellEnd"/>
            <w:r w:rsidRPr="00B51DEF">
              <w:rPr>
                <w:rFonts w:ascii="Arial Narrow" w:hAnsi="Arial Narrow"/>
                <w:b/>
                <w:sz w:val="18"/>
                <w:szCs w:val="18"/>
              </w:rPr>
              <w:t xml:space="preserve"> 24&amp;52)*</w:t>
            </w:r>
          </w:p>
        </w:tc>
        <w:tc>
          <w:tcPr>
            <w:tcW w:w="790" w:type="pct"/>
            <w:tcBorders>
              <w:top w:val="single" w:sz="4" w:space="0" w:color="auto"/>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iCs/>
                <w:sz w:val="18"/>
                <w:szCs w:val="18"/>
              </w:rPr>
            </w:pPr>
          </w:p>
        </w:tc>
        <w:tc>
          <w:tcPr>
            <w:tcW w:w="786" w:type="pct"/>
            <w:tcBorders>
              <w:top w:val="single" w:sz="4" w:space="0" w:color="auto"/>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
                <w:iCs/>
                <w:sz w:val="18"/>
                <w:szCs w:val="18"/>
              </w:rPr>
            </w:pPr>
          </w:p>
        </w:tc>
        <w:tc>
          <w:tcPr>
            <w:tcW w:w="707" w:type="pct"/>
            <w:tcBorders>
              <w:left w:val="nil"/>
              <w:bottom w:val="nil"/>
              <w:right w:val="single" w:sz="4" w:space="0" w:color="auto"/>
            </w:tcBorders>
          </w:tcPr>
          <w:p w:rsidR="00022D31" w:rsidRPr="00B51DEF" w:rsidRDefault="00022D31" w:rsidP="009467BF">
            <w:pPr>
              <w:widowControl/>
              <w:jc w:val="center"/>
              <w:rPr>
                <w:rFonts w:ascii="Arial Narrow" w:hAnsi="Arial Narrow"/>
                <w:i/>
                <w:iCs/>
                <w:sz w:val="18"/>
                <w:szCs w:val="18"/>
              </w:rPr>
            </w:pPr>
          </w:p>
        </w:tc>
        <w:tc>
          <w:tcPr>
            <w:tcW w:w="444" w:type="pct"/>
            <w:tcBorders>
              <w:left w:val="single" w:sz="4" w:space="0" w:color="auto"/>
              <w:bottom w:val="nil"/>
            </w:tcBorders>
            <w:shd w:val="clear" w:color="auto" w:fill="auto"/>
            <w:vAlign w:val="center"/>
          </w:tcPr>
          <w:p w:rsidR="00022D31" w:rsidRPr="00B51DEF" w:rsidRDefault="00022D31" w:rsidP="009467BF">
            <w:pPr>
              <w:widowControl/>
              <w:jc w:val="center"/>
              <w:rPr>
                <w:rFonts w:ascii="Arial Narrow" w:hAnsi="Arial Narrow"/>
                <w:i/>
                <w:iCs/>
                <w:sz w:val="18"/>
                <w:szCs w:val="18"/>
              </w:rPr>
            </w:pPr>
          </w:p>
        </w:tc>
      </w:tr>
      <w:tr w:rsidR="00022D31" w:rsidRPr="00B51DEF" w:rsidTr="006D40D3">
        <w:trPr>
          <w:trHeight w:val="112"/>
        </w:trPr>
        <w:tc>
          <w:tcPr>
            <w:tcW w:w="985"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OCTAVE S, 5mg ITT</w:t>
            </w:r>
          </w:p>
        </w:tc>
        <w:tc>
          <w:tcPr>
            <w:tcW w:w="682"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44/198 (22.2)</w:t>
            </w:r>
          </w:p>
        </w:tc>
        <w:tc>
          <w:tcPr>
            <w:tcW w:w="606"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10/198 (5.1)</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4.40 (2.28, 8.49)</w:t>
            </w: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0.17 (0.11, 0.24)</w:t>
            </w:r>
          </w:p>
        </w:tc>
        <w:tc>
          <w:tcPr>
            <w:tcW w:w="707" w:type="pct"/>
            <w:vMerge w:val="restart"/>
            <w:tcBorders>
              <w:top w:val="nil"/>
              <w:left w:val="nil"/>
              <w:right w:val="single" w:sz="4" w:space="0" w:color="auto"/>
            </w:tcBorders>
          </w:tcPr>
          <w:p w:rsidR="00022D31" w:rsidRPr="00B51DEF" w:rsidRDefault="00083C3A" w:rsidP="009467BF">
            <w:pPr>
              <w:widowControl/>
              <w:jc w:val="center"/>
              <w:rPr>
                <w:rFonts w:ascii="Arial Narrow" w:hAnsi="Arial Narrow"/>
                <w:i/>
                <w:sz w:val="16"/>
                <w:szCs w:val="16"/>
              </w:rPr>
            </w:pPr>
            <w:r>
              <w:rPr>
                <w:noProof/>
                <w:snapToGrid/>
                <w:lang w:eastAsia="en-AU"/>
              </w:rPr>
              <w:drawing>
                <wp:inline distT="0" distB="0" distL="0" distR="0" wp14:anchorId="5F6E74B4" wp14:editId="03068728">
                  <wp:extent cx="819150" cy="5003321"/>
                  <wp:effectExtent l="0" t="0" r="0" b="6985"/>
                  <wp:docPr id="5" name="Picture 5" title="Sustained remission or sustained clinical remission at 52/54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21650" cy="5018589"/>
                          </a:xfrm>
                          <a:prstGeom prst="rect">
                            <a:avLst/>
                          </a:prstGeom>
                        </pic:spPr>
                      </pic:pic>
                    </a:graphicData>
                  </a:graphic>
                </wp:inline>
              </w:drawing>
            </w: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6 (4, 9)</w:t>
            </w:r>
          </w:p>
        </w:tc>
      </w:tr>
      <w:tr w:rsidR="00022D31" w:rsidRPr="00B51DEF" w:rsidTr="006D40D3">
        <w:trPr>
          <w:trHeight w:val="112"/>
        </w:trPr>
        <w:tc>
          <w:tcPr>
            <w:tcW w:w="985" w:type="pct"/>
            <w:shd w:val="clear" w:color="auto" w:fill="auto"/>
            <w:vAlign w:val="center"/>
          </w:tcPr>
          <w:p w:rsidR="00022D31" w:rsidRPr="00B51DEF" w:rsidRDefault="00022D31" w:rsidP="009467BF">
            <w:pPr>
              <w:widowControl/>
              <w:jc w:val="left"/>
              <w:rPr>
                <w:rFonts w:ascii="Arial Narrow" w:hAnsi="Arial Narrow"/>
                <w:b/>
                <w:sz w:val="18"/>
                <w:szCs w:val="18"/>
              </w:rPr>
            </w:pPr>
            <w:r w:rsidRPr="00B51DEF">
              <w:rPr>
                <w:rFonts w:ascii="Arial Narrow" w:hAnsi="Arial Narrow"/>
                <w:iCs/>
                <w:sz w:val="18"/>
                <w:szCs w:val="18"/>
              </w:rPr>
              <w:t>OCTAVE S, 10mg ITT</w:t>
            </w:r>
          </w:p>
        </w:tc>
        <w:tc>
          <w:tcPr>
            <w:tcW w:w="682"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50/197 (25.4)</w:t>
            </w:r>
          </w:p>
        </w:tc>
        <w:tc>
          <w:tcPr>
            <w:tcW w:w="606"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10/198 (5.1)</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5.03 (2.62, 9.62)</w:t>
            </w: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0.20 (0.14, 0.27)</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5 (4, 7)</w:t>
            </w:r>
          </w:p>
        </w:tc>
      </w:tr>
      <w:tr w:rsidR="00022D31" w:rsidRPr="00B51DEF" w:rsidTr="006D40D3">
        <w:trPr>
          <w:trHeight w:val="112"/>
        </w:trPr>
        <w:tc>
          <w:tcPr>
            <w:tcW w:w="985"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OCTAVE S, 5mg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82"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06"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Cs/>
                <w:sz w:val="18"/>
                <w:szCs w:val="18"/>
                <w:highlight w:val="black"/>
              </w:rPr>
            </w:pPr>
            <w:r>
              <w:rPr>
                <w:rFonts w:ascii="Arial Narrow" w:hAnsi="Arial Narrow"/>
                <w:b/>
                <w:bCs/>
                <w:i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12"/>
        </w:trPr>
        <w:tc>
          <w:tcPr>
            <w:tcW w:w="985"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OCTAVE S, 5mg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-e</w:t>
            </w:r>
          </w:p>
        </w:tc>
        <w:tc>
          <w:tcPr>
            <w:tcW w:w="682"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06"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pStyle w:val="Tabletext"/>
              <w:jc w:val="center"/>
              <w:rPr>
                <w:b/>
                <w:bCs/>
                <w:highlight w:val="black"/>
              </w:rPr>
            </w:pPr>
            <w:r>
              <w:rPr>
                <w:b/>
                <w:bCs/>
                <w:noProof/>
                <w:color w:val="000000"/>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pStyle w:val="Tabletext"/>
              <w:jc w:val="center"/>
              <w:rPr>
                <w:b/>
                <w:bCs/>
                <w:highlight w:val="black"/>
              </w:rPr>
            </w:pPr>
            <w:r>
              <w:rPr>
                <w:b/>
                <w:bCs/>
                <w:noProof/>
                <w:color w:val="000000"/>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53"/>
        </w:trPr>
        <w:tc>
          <w:tcPr>
            <w:tcW w:w="985"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OCTAVE S, 10mg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82"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06"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adjustRightInd w:val="0"/>
              <w:spacing w:before="40" w:after="40"/>
              <w:jc w:val="center"/>
              <w:rPr>
                <w:rFonts w:ascii="Arial Narrow" w:hAnsi="Arial Narrow"/>
                <w:b/>
                <w:bCs/>
                <w:iCs/>
                <w:sz w:val="18"/>
                <w:szCs w:val="18"/>
                <w:highlight w:val="black"/>
              </w:rPr>
            </w:pPr>
            <w:r>
              <w:rPr>
                <w:rFonts w:ascii="Arial Narrow" w:hAnsi="Arial Narrow"/>
                <w:b/>
                <w:bCs/>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adjustRightInd w:val="0"/>
              <w:spacing w:before="40" w:after="40"/>
              <w:jc w:val="center"/>
              <w:rPr>
                <w:rFonts w:ascii="Arial Narrow" w:hAnsi="Arial Narrow"/>
                <w:b/>
                <w:bCs/>
                <w:iCs/>
                <w:sz w:val="18"/>
                <w:szCs w:val="18"/>
                <w:highlight w:val="black"/>
              </w:rPr>
            </w:pPr>
            <w:r>
              <w:rPr>
                <w:rFonts w:ascii="Arial Narrow" w:hAnsi="Arial Narrow"/>
                <w:b/>
                <w:b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12"/>
        </w:trPr>
        <w:tc>
          <w:tcPr>
            <w:tcW w:w="985"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OCTAVE S, 10mg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-e</w:t>
            </w:r>
          </w:p>
        </w:tc>
        <w:tc>
          <w:tcPr>
            <w:tcW w:w="682" w:type="pct"/>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606"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pStyle w:val="Tabletext"/>
              <w:jc w:val="center"/>
              <w:rPr>
                <w:b/>
                <w:bCs/>
                <w:highlight w:val="black"/>
              </w:rPr>
            </w:pPr>
            <w:r>
              <w:rPr>
                <w:b/>
                <w:bCs/>
                <w:noProof/>
                <w:color w:val="000000"/>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pStyle w:val="Tabletext"/>
              <w:jc w:val="center"/>
              <w:rPr>
                <w:b/>
                <w:bCs/>
                <w:highlight w:val="black"/>
              </w:rPr>
            </w:pPr>
            <w:r>
              <w:rPr>
                <w:b/>
                <w:bCs/>
                <w:noProof/>
                <w:color w:val="000000"/>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12"/>
        </w:trPr>
        <w:tc>
          <w:tcPr>
            <w:tcW w:w="985" w:type="pct"/>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Pooled 5/10mg ITT</w:t>
            </w:r>
          </w:p>
        </w:tc>
        <w:tc>
          <w:tcPr>
            <w:tcW w:w="682"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94/395 (23.8)</w:t>
            </w:r>
          </w:p>
        </w:tc>
        <w:tc>
          <w:tcPr>
            <w:tcW w:w="606"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Cs/>
                <w:sz w:val="18"/>
                <w:szCs w:val="18"/>
              </w:rPr>
              <w:t>10/198 (5.1)</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4.71 (2.51, 8.84)</w:t>
            </w: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0.19 (0.14, 0.24)</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5 (4, 7)</w:t>
            </w:r>
          </w:p>
        </w:tc>
      </w:tr>
      <w:tr w:rsidR="00022D31" w:rsidRPr="00B51DEF" w:rsidTr="006D40D3">
        <w:trPr>
          <w:trHeight w:val="112"/>
        </w:trPr>
        <w:tc>
          <w:tcPr>
            <w:tcW w:w="985" w:type="pct"/>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Pooled 5/10mg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82" w:type="pct"/>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606"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Cs/>
                <w:noProof/>
                <w:color w:val="000000"/>
                <w:sz w:val="18"/>
                <w:szCs w:val="18"/>
                <w:highlight w:val="black"/>
              </w:rPr>
              <w:t>'''''''''''''' '''''''''''</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12"/>
        </w:trPr>
        <w:tc>
          <w:tcPr>
            <w:tcW w:w="985" w:type="pct"/>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Pooled 5/10mg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682" w:type="pct"/>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606"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Cs/>
                <w:noProof/>
                <w:color w:val="000000"/>
                <w:sz w:val="18"/>
                <w:szCs w:val="18"/>
                <w:highlight w:val="black"/>
              </w:rPr>
              <w:t>''''''''' ''''''''''''</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left"/>
              <w:rPr>
                <w:rFonts w:ascii="Arial Narrow" w:hAnsi="Arial Narrow"/>
                <w:b/>
                <w:bCs/>
                <w:iCs/>
                <w:sz w:val="18"/>
                <w:szCs w:val="18"/>
              </w:rPr>
            </w:pPr>
            <w:r w:rsidRPr="00B51DEF">
              <w:rPr>
                <w:rFonts w:ascii="Arial Narrow" w:hAnsi="Arial Narrow"/>
                <w:b/>
                <w:bCs/>
                <w:iCs/>
                <w:sz w:val="18"/>
                <w:szCs w:val="18"/>
              </w:rPr>
              <w:t>GOL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30&amp;54)</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985" w:type="pct"/>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PURSUIT-M,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82"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42/151 (27.8)</w:t>
            </w:r>
          </w:p>
        </w:tc>
        <w:tc>
          <w:tcPr>
            <w:tcW w:w="606"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24/154 (15.6)</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1.78 (1.14, 2.79)</w:t>
            </w: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0.12 (0.03, 0.21)</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8 (5, 33)</w:t>
            </w:r>
          </w:p>
        </w:tc>
      </w:tr>
      <w:tr w:rsidR="00022D31" w:rsidRPr="00B51DEF" w:rsidTr="006D40D3">
        <w:trPr>
          <w:trHeight w:val="170"/>
        </w:trPr>
        <w:tc>
          <w:tcPr>
            <w:tcW w:w="985" w:type="pct"/>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PURSUIT-J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82"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16/32 (50.0)</w:t>
            </w:r>
          </w:p>
        </w:tc>
        <w:tc>
          <w:tcPr>
            <w:tcW w:w="606"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2/31 (6.5)</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7.75 (1.94, 30.94)</w:t>
            </w: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0.44 (0.24, 0.63)</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2 (2, 4)</w:t>
            </w:r>
          </w:p>
        </w:tc>
      </w:tr>
      <w:tr w:rsidR="00022D31" w:rsidRPr="00B51DEF" w:rsidTr="006D40D3">
        <w:trPr>
          <w:trHeight w:val="170"/>
        </w:trPr>
        <w:tc>
          <w:tcPr>
            <w:tcW w:w="985" w:type="pct"/>
            <w:shd w:val="clear" w:color="auto" w:fill="auto"/>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Meta</w:t>
            </w:r>
          </w:p>
        </w:tc>
        <w:tc>
          <w:tcPr>
            <w:tcW w:w="682"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58/183 (31.7)</w:t>
            </w:r>
          </w:p>
        </w:tc>
        <w:tc>
          <w:tcPr>
            <w:tcW w:w="606"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26/185 (14.1)</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2.25 (1.48, 3.43)</w:t>
            </w: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0.18 (0.09, 0.26)</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5.5 (4, 11)</w:t>
            </w:r>
          </w:p>
        </w:tc>
      </w:tr>
      <w:tr w:rsidR="00022D31" w:rsidRPr="00B51DEF" w:rsidTr="006D40D3">
        <w:trPr>
          <w:trHeight w:val="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left"/>
              <w:rPr>
                <w:rFonts w:ascii="Arial Narrow" w:hAnsi="Arial Narrow"/>
                <w:b/>
                <w:bCs/>
                <w:iCs/>
                <w:sz w:val="18"/>
                <w:szCs w:val="18"/>
              </w:rPr>
            </w:pPr>
            <w:r w:rsidRPr="00B51DEF">
              <w:rPr>
                <w:rFonts w:ascii="Arial Narrow" w:hAnsi="Arial Narrow"/>
                <w:b/>
                <w:bCs/>
                <w:iCs/>
                <w:sz w:val="18"/>
                <w:szCs w:val="18"/>
              </w:rPr>
              <w:t>VDZ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6&amp;52)</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985"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GEMINI 1, ITT</w:t>
            </w:r>
          </w:p>
        </w:tc>
        <w:tc>
          <w:tcPr>
            <w:tcW w:w="682" w:type="pct"/>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25/122 (20.5)</w:t>
            </w:r>
          </w:p>
        </w:tc>
        <w:tc>
          <w:tcPr>
            <w:tcW w:w="606" w:type="pct"/>
            <w:tcBorders>
              <w:right w:val="single" w:sz="4" w:space="0" w:color="auto"/>
            </w:tcBorders>
            <w:shd w:val="clear" w:color="auto" w:fill="auto"/>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11/126 (19.8)</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2.35 (1.21, 4.56)</w:t>
            </w: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0.12 (0.03, 0.20)</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8 (5, 33)</w:t>
            </w:r>
          </w:p>
        </w:tc>
      </w:tr>
      <w:tr w:rsidR="00022D31" w:rsidRPr="00B51DEF" w:rsidTr="006D40D3">
        <w:trPr>
          <w:trHeight w:val="170"/>
        </w:trPr>
        <w:tc>
          <w:tcPr>
            <w:tcW w:w="985" w:type="pct"/>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GEMINI 1,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82"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16/72 (22.2)</w:t>
            </w:r>
          </w:p>
        </w:tc>
        <w:tc>
          <w:tcPr>
            <w:tcW w:w="606"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10/79 (12.7)</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1.76 (0.85, 3.62)</w:t>
            </w: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0.10 (-0.03, 0.22)</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NS</w:t>
            </w:r>
          </w:p>
        </w:tc>
      </w:tr>
      <w:tr w:rsidR="00022D31" w:rsidRPr="00B51DEF" w:rsidTr="006D40D3">
        <w:trPr>
          <w:trHeight w:val="170"/>
        </w:trPr>
        <w:tc>
          <w:tcPr>
            <w:tcW w:w="985" w:type="pct"/>
            <w:shd w:val="clear" w:color="auto" w:fill="auto"/>
          </w:tcPr>
          <w:p w:rsidR="00022D31" w:rsidRPr="00B51DEF" w:rsidRDefault="00022D31" w:rsidP="009467BF">
            <w:pPr>
              <w:widowControl/>
              <w:rPr>
                <w:rFonts w:ascii="Arial Narrow" w:hAnsi="Arial Narrow"/>
                <w:iCs/>
                <w:sz w:val="18"/>
                <w:szCs w:val="18"/>
              </w:rPr>
            </w:pPr>
            <w:r w:rsidRPr="00B51DEF">
              <w:rPr>
                <w:rFonts w:ascii="Arial Narrow" w:hAnsi="Arial Narrow"/>
                <w:iCs/>
                <w:sz w:val="18"/>
                <w:szCs w:val="18"/>
              </w:rPr>
              <w:t xml:space="preserve">GEMINI 1,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682" w:type="pct"/>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9/43 (20.9)</w:t>
            </w:r>
          </w:p>
        </w:tc>
        <w:tc>
          <w:tcPr>
            <w:tcW w:w="606" w:type="pct"/>
            <w:tcBorders>
              <w:right w:val="single" w:sz="4" w:space="0" w:color="auto"/>
            </w:tcBorders>
            <w:shd w:val="clear" w:color="auto" w:fill="auto"/>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1/38 (2.6)</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7.95 (1.06, 59.92)</w:t>
            </w: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0.18 (0.05, 0.31)</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5.5 (3, 20)</w:t>
            </w:r>
          </w:p>
        </w:tc>
      </w:tr>
      <w:tr w:rsidR="00022D31" w:rsidRPr="00B51DEF" w:rsidTr="006D40D3">
        <w:trPr>
          <w:trHeight w:val="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b/>
                <w:bCs/>
                <w:iCs/>
                <w:sz w:val="18"/>
                <w:szCs w:val="18"/>
              </w:rPr>
            </w:pPr>
            <w:r w:rsidRPr="00B51DEF">
              <w:rPr>
                <w:rFonts w:ascii="Arial Narrow" w:hAnsi="Arial Narrow"/>
                <w:b/>
                <w:bCs/>
                <w:iCs/>
                <w:sz w:val="18"/>
                <w:szCs w:val="18"/>
              </w:rPr>
              <w:t>Indirect comparisons ITT</w:t>
            </w:r>
          </w:p>
        </w:tc>
        <w:tc>
          <w:tcPr>
            <w:tcW w:w="79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p>
        </w:tc>
        <w:tc>
          <w:tcPr>
            <w:tcW w:w="786"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5mg v GOL (Meta)</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10mg v GOL (Meta)</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 5/10mg (Pooled) v GOL (Meta)</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5mg v VDZ</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10mg v VDZ</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Cs/>
                <w:sz w:val="18"/>
                <w:szCs w:val="18"/>
                <w:highlight w:val="black"/>
              </w:rPr>
            </w:pPr>
            <w:r>
              <w:rPr>
                <w:rFonts w:ascii="Arial Narrow" w:hAnsi="Arial Narrow"/>
                <w:iCs/>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 5/10mg (Pooled) v VDZ</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b/>
                <w:bCs/>
                <w:iCs/>
                <w:sz w:val="18"/>
                <w:szCs w:val="18"/>
              </w:rPr>
              <w:t xml:space="preserve">Indirect comparisons, </w:t>
            </w:r>
            <w:proofErr w:type="spellStart"/>
            <w:r w:rsidRPr="00B51DEF">
              <w:rPr>
                <w:rFonts w:ascii="Arial Narrow" w:hAnsi="Arial Narrow"/>
                <w:b/>
                <w:bCs/>
                <w:iCs/>
                <w:sz w:val="18"/>
                <w:szCs w:val="18"/>
              </w:rPr>
              <w:t>TNFi</w:t>
            </w:r>
            <w:proofErr w:type="spellEnd"/>
            <w:r w:rsidRPr="00B51DEF">
              <w:rPr>
                <w:rFonts w:ascii="Arial Narrow" w:hAnsi="Arial Narrow"/>
                <w:b/>
                <w:bCs/>
                <w:iCs/>
                <w:sz w:val="18"/>
                <w:szCs w:val="18"/>
              </w:rPr>
              <w:t>-n</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i/>
                <w:sz w:val="18"/>
                <w:szCs w:val="18"/>
              </w:rPr>
            </w:pPr>
          </w:p>
        </w:tc>
        <w:tc>
          <w:tcPr>
            <w:tcW w:w="786" w:type="pct"/>
            <w:tcBorders>
              <w:top w:val="nil"/>
              <w:left w:val="single" w:sz="4" w:space="0" w:color="auto"/>
              <w:bottom w:val="nil"/>
              <w:right w:val="nil"/>
            </w:tcBorders>
            <w:shd w:val="clear" w:color="auto" w:fill="auto"/>
            <w:vAlign w:val="center"/>
          </w:tcPr>
          <w:p w:rsidR="00022D31" w:rsidRPr="00922EF4" w:rsidRDefault="00022D31" w:rsidP="009467BF">
            <w:pPr>
              <w:widowControl/>
              <w:jc w:val="center"/>
              <w:rPr>
                <w:rFonts w:ascii="Arial Narrow" w:hAnsi="Arial Narrow"/>
                <w:i/>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022D31" w:rsidP="009467BF">
            <w:pPr>
              <w:widowControl/>
              <w:jc w:val="center"/>
              <w:rPr>
                <w:rFonts w:ascii="Arial Narrow" w:hAnsi="Arial Narrow"/>
                <w:i/>
                <w:sz w:val="16"/>
                <w:szCs w:val="16"/>
              </w:rPr>
            </w:pP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5mg v GOL (Meta)</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10mg v GOL (Meta)</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5/10mg (Pooled) v GOL (Meta)</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rPr>
                <w:rFonts w:ascii="Arial Narrow" w:hAnsi="Arial Narrow"/>
                <w:b/>
                <w:bCs/>
                <w:i/>
                <w:sz w:val="18"/>
                <w:szCs w:val="18"/>
                <w:highlight w:val="black"/>
              </w:rPr>
            </w:pPr>
            <w:r>
              <w:rPr>
                <w:rFonts w:ascii="Arial Narrow" w:hAnsi="Arial Narrow"/>
                <w:b/>
                <w:bCs/>
                <w:i/>
                <w:noProof/>
                <w:color w:val="000000"/>
                <w:sz w:val="18"/>
                <w:szCs w:val="18"/>
                <w:highlight w:val="black"/>
              </w:rPr>
              <w:t xml:space="preserve">   '''''''''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5mg v VDZ</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10mg v VDZ</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5/10mg (Pooled) v VDZ</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b/>
                <w:bCs/>
                <w:iCs/>
                <w:sz w:val="18"/>
                <w:szCs w:val="18"/>
              </w:rPr>
              <w:t xml:space="preserve">Indirect comparisons, </w:t>
            </w:r>
            <w:proofErr w:type="spellStart"/>
            <w:r w:rsidRPr="00B51DEF">
              <w:rPr>
                <w:rFonts w:ascii="Arial Narrow" w:hAnsi="Arial Narrow"/>
                <w:b/>
                <w:bCs/>
                <w:iCs/>
                <w:sz w:val="18"/>
                <w:szCs w:val="18"/>
              </w:rPr>
              <w:t>TNFi</w:t>
            </w:r>
            <w:proofErr w:type="spellEnd"/>
            <w:r w:rsidRPr="00B51DEF">
              <w:rPr>
                <w:rFonts w:ascii="Arial Narrow" w:hAnsi="Arial Narrow"/>
                <w:b/>
                <w:bCs/>
                <w:iCs/>
                <w:sz w:val="18"/>
                <w:szCs w:val="18"/>
              </w:rPr>
              <w:t>-e</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i/>
                <w:sz w:val="18"/>
                <w:szCs w:val="18"/>
              </w:rPr>
            </w:pPr>
          </w:p>
        </w:tc>
        <w:tc>
          <w:tcPr>
            <w:tcW w:w="786" w:type="pct"/>
            <w:tcBorders>
              <w:top w:val="nil"/>
              <w:left w:val="single" w:sz="4" w:space="0" w:color="auto"/>
              <w:bottom w:val="nil"/>
              <w:right w:val="nil"/>
            </w:tcBorders>
            <w:shd w:val="clear" w:color="auto" w:fill="auto"/>
            <w:vAlign w:val="center"/>
          </w:tcPr>
          <w:p w:rsidR="00022D31" w:rsidRPr="00922EF4" w:rsidRDefault="00022D31" w:rsidP="009467BF">
            <w:pPr>
              <w:widowControl/>
              <w:jc w:val="center"/>
              <w:rPr>
                <w:rFonts w:ascii="Arial Narrow" w:hAnsi="Arial Narrow"/>
                <w:i/>
                <w:sz w:val="18"/>
                <w:szCs w:val="18"/>
              </w:rPr>
            </w:pP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022D31" w:rsidP="009467BF">
            <w:pPr>
              <w:widowControl/>
              <w:jc w:val="center"/>
              <w:rPr>
                <w:rFonts w:ascii="Arial Narrow" w:hAnsi="Arial Narrow"/>
                <w:i/>
                <w:sz w:val="16"/>
                <w:szCs w:val="16"/>
              </w:rPr>
            </w:pP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b/>
                <w:bCs/>
                <w:i/>
                <w:sz w:val="18"/>
                <w:szCs w:val="18"/>
              </w:rPr>
            </w:pPr>
            <w:r w:rsidRPr="00B51DEF">
              <w:rPr>
                <w:rFonts w:ascii="Arial Narrow" w:hAnsi="Arial Narrow"/>
                <w:i/>
                <w:sz w:val="18"/>
                <w:szCs w:val="18"/>
              </w:rPr>
              <w:t>TOF/TNF-e-n 5mg v VDZ</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73"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b/>
                <w:bCs/>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-e 10mg v VDZ</w:t>
            </w:r>
          </w:p>
        </w:tc>
        <w:tc>
          <w:tcPr>
            <w:tcW w:w="79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86"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nil"/>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70"/>
        </w:trPr>
        <w:tc>
          <w:tcPr>
            <w:tcW w:w="2273" w:type="pct"/>
            <w:gridSpan w:val="3"/>
            <w:tcBorders>
              <w:right w:val="single" w:sz="4" w:space="0" w:color="auto"/>
            </w:tcBorders>
            <w:shd w:val="clear" w:color="auto" w:fill="auto"/>
          </w:tcPr>
          <w:p w:rsidR="00022D31" w:rsidRPr="00B51DEF" w:rsidRDefault="00022D31" w:rsidP="009467BF">
            <w:pPr>
              <w:widowControl/>
              <w:jc w:val="right"/>
              <w:rPr>
                <w:rFonts w:ascii="Arial Narrow" w:hAnsi="Arial Narrow"/>
                <w:b/>
                <w:bCs/>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-e 5/10mg (Pooled) v VDZ</w:t>
            </w:r>
          </w:p>
        </w:tc>
        <w:tc>
          <w:tcPr>
            <w:tcW w:w="790" w:type="pct"/>
            <w:tcBorders>
              <w:top w:val="nil"/>
              <w:left w:val="single" w:sz="4" w:space="0" w:color="auto"/>
              <w:bottom w:val="single" w:sz="4" w:space="0" w:color="auto"/>
              <w:right w:val="single" w:sz="4" w:space="0" w:color="auto"/>
            </w:tcBorders>
            <w:shd w:val="clear" w:color="auto" w:fill="auto"/>
          </w:tcPr>
          <w:p w:rsidR="00022D31" w:rsidRPr="00922EF4" w:rsidRDefault="00922EF4" w:rsidP="009467BF">
            <w:pPr>
              <w:widowControl/>
              <w:jc w:val="right"/>
              <w:rPr>
                <w:rFonts w:ascii="Arial Narrow" w:hAnsi="Arial Narrow"/>
                <w:i/>
                <w:sz w:val="18"/>
                <w:szCs w:val="18"/>
                <w:highlight w:val="black"/>
              </w:rPr>
            </w:pPr>
            <w:r>
              <w:rPr>
                <w:rFonts w:ascii="Arial Narrow" w:hAnsi="Arial Narrow"/>
                <w:i/>
                <w:noProof/>
                <w:color w:val="000000"/>
                <w:sz w:val="18"/>
                <w:szCs w:val="18"/>
                <w:highlight w:val="black"/>
              </w:rPr>
              <w:t>'''''''''' '''''''''''''' '''''''''''</w:t>
            </w:r>
          </w:p>
        </w:tc>
        <w:tc>
          <w:tcPr>
            <w:tcW w:w="786" w:type="pct"/>
            <w:tcBorders>
              <w:top w:val="nil"/>
              <w:left w:val="single" w:sz="4" w:space="0" w:color="auto"/>
              <w:bottom w:val="single" w:sz="4" w:space="0" w:color="auto"/>
              <w:right w:val="nil"/>
            </w:tcBorders>
            <w:shd w:val="clear" w:color="auto" w:fill="auto"/>
          </w:tcPr>
          <w:p w:rsidR="00022D31" w:rsidRPr="00922EF4" w:rsidRDefault="00922EF4" w:rsidP="009467BF">
            <w:pPr>
              <w:widowControl/>
              <w:ind w:right="90"/>
              <w:jc w:val="right"/>
              <w:rPr>
                <w:rFonts w:ascii="Arial Narrow" w:hAnsi="Arial Narrow"/>
                <w:i/>
                <w:sz w:val="18"/>
                <w:szCs w:val="18"/>
                <w:highlight w:val="black"/>
              </w:rPr>
            </w:pPr>
            <w:r>
              <w:rPr>
                <w:rFonts w:ascii="Arial Narrow" w:hAnsi="Arial Narrow"/>
                <w:i/>
                <w:noProof/>
                <w:color w:val="000000"/>
                <w:sz w:val="18"/>
                <w:szCs w:val="18"/>
                <w:highlight w:val="black"/>
              </w:rPr>
              <w:t>''''''''''''' '''''''''''''''' '''''''''''''</w:t>
            </w:r>
          </w:p>
        </w:tc>
        <w:tc>
          <w:tcPr>
            <w:tcW w:w="707" w:type="pct"/>
            <w:vMerge/>
            <w:tcBorders>
              <w:left w:val="nil"/>
              <w:bottom w:val="single" w:sz="4" w:space="0" w:color="auto"/>
              <w:right w:val="single" w:sz="4" w:space="0" w:color="auto"/>
            </w:tcBorders>
          </w:tcPr>
          <w:p w:rsidR="00022D31" w:rsidRPr="00B51DEF" w:rsidRDefault="00022D31" w:rsidP="009467BF">
            <w:pPr>
              <w:widowControl/>
              <w:jc w:val="center"/>
              <w:rPr>
                <w:rFonts w:ascii="Arial Narrow" w:hAnsi="Arial Narrow"/>
                <w:i/>
                <w:sz w:val="16"/>
                <w:szCs w:val="16"/>
              </w:rPr>
            </w:pPr>
          </w:p>
        </w:tc>
        <w:tc>
          <w:tcPr>
            <w:tcW w:w="444" w:type="pct"/>
            <w:tcBorders>
              <w:top w:val="nil"/>
              <w:left w:val="single" w:sz="4" w:space="0" w:color="auto"/>
              <w:bottom w:val="single" w:sz="4" w:space="0" w:color="auto"/>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p w:rsidR="00022D31" w:rsidRPr="00922EF4" w:rsidRDefault="00022D31" w:rsidP="009467BF">
            <w:pPr>
              <w:widowControl/>
              <w:jc w:val="center"/>
              <w:rPr>
                <w:rFonts w:ascii="Arial Narrow" w:hAnsi="Arial Narrow"/>
                <w:i/>
                <w:sz w:val="16"/>
                <w:szCs w:val="16"/>
              </w:rPr>
            </w:pPr>
          </w:p>
        </w:tc>
      </w:tr>
    </w:tbl>
    <w:p w:rsidR="00022D31" w:rsidRPr="00B51DEF" w:rsidRDefault="00022D31" w:rsidP="009467BF">
      <w:pPr>
        <w:widowControl/>
        <w:rPr>
          <w:rStyle w:val="CommentReference"/>
          <w:b w:val="0"/>
          <w:bCs/>
          <w:sz w:val="16"/>
        </w:rPr>
      </w:pPr>
      <w:r w:rsidRPr="00B51DEF">
        <w:rPr>
          <w:rStyle w:val="CommentReference"/>
          <w:b w:val="0"/>
          <w:bCs/>
          <w:sz w:val="16"/>
        </w:rPr>
        <w:t xml:space="preserve">Source: Table 2.5.6 (p81), Table 2.6.4 (p120) of the submission; </w:t>
      </w:r>
      <w:proofErr w:type="spellStart"/>
      <w:r w:rsidRPr="00B51DEF">
        <w:rPr>
          <w:rStyle w:val="CommentReference"/>
          <w:b w:val="0"/>
          <w:bCs/>
          <w:sz w:val="16"/>
        </w:rPr>
        <w:t>Faegan</w:t>
      </w:r>
      <w:proofErr w:type="spellEnd"/>
      <w:r w:rsidRPr="00B51DEF">
        <w:rPr>
          <w:rStyle w:val="CommentReference"/>
          <w:b w:val="0"/>
          <w:bCs/>
          <w:sz w:val="16"/>
        </w:rPr>
        <w:t xml:space="preserve"> 2013, </w:t>
      </w:r>
      <w:proofErr w:type="spellStart"/>
      <w:r w:rsidRPr="00B51DEF">
        <w:rPr>
          <w:rStyle w:val="CommentReference"/>
          <w:b w:val="0"/>
          <w:bCs/>
          <w:sz w:val="16"/>
        </w:rPr>
        <w:t>Faegan</w:t>
      </w:r>
      <w:proofErr w:type="spellEnd"/>
      <w:r w:rsidRPr="00B51DEF">
        <w:rPr>
          <w:rStyle w:val="CommentReference"/>
          <w:b w:val="0"/>
          <w:bCs/>
          <w:sz w:val="16"/>
        </w:rPr>
        <w:t xml:space="preserve"> 2017, </w:t>
      </w:r>
      <w:proofErr w:type="spellStart"/>
      <w:r w:rsidRPr="00B51DEF">
        <w:rPr>
          <w:rStyle w:val="CommentReference"/>
          <w:b w:val="0"/>
          <w:bCs/>
          <w:sz w:val="16"/>
        </w:rPr>
        <w:t>Hibi</w:t>
      </w:r>
      <w:proofErr w:type="spellEnd"/>
      <w:r w:rsidRPr="00B51DEF">
        <w:rPr>
          <w:rStyle w:val="CommentReference"/>
          <w:b w:val="0"/>
          <w:bCs/>
          <w:sz w:val="16"/>
        </w:rPr>
        <w:t xml:space="preserve"> 2017, </w:t>
      </w:r>
      <w:proofErr w:type="spellStart"/>
      <w:r w:rsidRPr="00B51DEF">
        <w:rPr>
          <w:rStyle w:val="CommentReference"/>
          <w:b w:val="0"/>
          <w:bCs/>
          <w:sz w:val="16"/>
        </w:rPr>
        <w:t>Sandborn</w:t>
      </w:r>
      <w:proofErr w:type="spellEnd"/>
      <w:r w:rsidRPr="00B51DEF">
        <w:rPr>
          <w:rStyle w:val="CommentReference"/>
          <w:b w:val="0"/>
          <w:bCs/>
          <w:sz w:val="16"/>
        </w:rPr>
        <w:t xml:space="preserve"> 2014</w:t>
      </w:r>
    </w:p>
    <w:p w:rsidR="00022D31" w:rsidRPr="00B51DEF" w:rsidRDefault="00022D31" w:rsidP="009467BF">
      <w:pPr>
        <w:widowControl/>
        <w:rPr>
          <w:rStyle w:val="CommentReference"/>
          <w:b w:val="0"/>
          <w:bCs/>
          <w:sz w:val="16"/>
        </w:rPr>
      </w:pPr>
      <w:r w:rsidRPr="00B51DEF">
        <w:rPr>
          <w:rStyle w:val="CommentReference"/>
          <w:b w:val="0"/>
          <w:bCs/>
          <w:sz w:val="16"/>
        </w:rPr>
        <w:t>Abbreviations: CI=confidence interval, GOL=</w:t>
      </w:r>
      <w:proofErr w:type="spellStart"/>
      <w:r w:rsidRPr="00B51DEF">
        <w:rPr>
          <w:rStyle w:val="CommentReference"/>
          <w:b w:val="0"/>
          <w:bCs/>
          <w:sz w:val="16"/>
        </w:rPr>
        <w:t>golimumab</w:t>
      </w:r>
      <w:proofErr w:type="spellEnd"/>
      <w:r w:rsidRPr="00B51DEF">
        <w:rPr>
          <w:rStyle w:val="CommentReference"/>
          <w:b w:val="0"/>
          <w:bCs/>
          <w:sz w:val="16"/>
        </w:rPr>
        <w:t>, ITT=intention to treat, NNT=number needed to treat, NS=not significant, RD=risk difference, RR=risk ratio, TOF=</w:t>
      </w:r>
      <w:proofErr w:type="spellStart"/>
      <w:r w:rsidRPr="00B51DEF">
        <w:rPr>
          <w:rStyle w:val="CommentReference"/>
          <w:b w:val="0"/>
          <w:bCs/>
          <w:sz w:val="16"/>
        </w:rPr>
        <w:t>tofacitinib</w:t>
      </w:r>
      <w:proofErr w:type="spellEnd"/>
      <w:r w:rsidRPr="00B51DEF">
        <w:rPr>
          <w:rStyle w:val="CommentReference"/>
          <w:b w:val="0"/>
          <w:bCs/>
          <w:sz w:val="16"/>
        </w:rPr>
        <w:t xml:space="preserve">, </w:t>
      </w:r>
      <w:proofErr w:type="spellStart"/>
      <w:r w:rsidRPr="00B51DEF">
        <w:rPr>
          <w:rStyle w:val="CommentReference"/>
          <w:b w:val="0"/>
          <w:bCs/>
          <w:sz w:val="16"/>
        </w:rPr>
        <w:t>TNFi</w:t>
      </w:r>
      <w:proofErr w:type="spellEnd"/>
      <w:r w:rsidRPr="00B51DEF">
        <w:rPr>
          <w:rStyle w:val="CommentReference"/>
          <w:b w:val="0"/>
          <w:bCs/>
          <w:sz w:val="16"/>
        </w:rPr>
        <w:t xml:space="preserve">=tumour necrosis factor inhibitor, </w:t>
      </w:r>
      <w:proofErr w:type="spellStart"/>
      <w:r w:rsidRPr="00B51DEF">
        <w:rPr>
          <w:rStyle w:val="CommentReference"/>
          <w:b w:val="0"/>
          <w:bCs/>
          <w:sz w:val="16"/>
        </w:rPr>
        <w:t>TNFi</w:t>
      </w:r>
      <w:proofErr w:type="spellEnd"/>
      <w:r w:rsidRPr="00B51DEF">
        <w:rPr>
          <w:rStyle w:val="CommentReference"/>
          <w:b w:val="0"/>
          <w:bCs/>
          <w:sz w:val="16"/>
        </w:rPr>
        <w:t>-n=</w:t>
      </w:r>
      <w:proofErr w:type="spellStart"/>
      <w:r w:rsidRPr="00B51DEF">
        <w:rPr>
          <w:rStyle w:val="CommentReference"/>
          <w:b w:val="0"/>
          <w:bCs/>
          <w:sz w:val="16"/>
        </w:rPr>
        <w:t>TNFi</w:t>
      </w:r>
      <w:proofErr w:type="spellEnd"/>
      <w:r w:rsidRPr="00B51DEF">
        <w:rPr>
          <w:rStyle w:val="CommentReference"/>
          <w:b w:val="0"/>
          <w:bCs/>
          <w:sz w:val="16"/>
        </w:rPr>
        <w:t xml:space="preserve"> naïve, VDZ=</w:t>
      </w:r>
      <w:proofErr w:type="spellStart"/>
      <w:r w:rsidRPr="00B51DEF">
        <w:rPr>
          <w:rStyle w:val="CommentReference"/>
          <w:b w:val="0"/>
          <w:bCs/>
          <w:sz w:val="16"/>
        </w:rPr>
        <w:t>vedolizumab</w:t>
      </w:r>
      <w:proofErr w:type="spellEnd"/>
    </w:p>
    <w:p w:rsidR="00022D31" w:rsidRPr="00B51DEF" w:rsidRDefault="00022D31" w:rsidP="009467BF">
      <w:pPr>
        <w:widowControl/>
        <w:rPr>
          <w:rStyle w:val="CommentReference"/>
          <w:b w:val="0"/>
          <w:bCs/>
          <w:sz w:val="16"/>
        </w:rPr>
      </w:pPr>
      <w:r w:rsidRPr="00B51DEF">
        <w:rPr>
          <w:rStyle w:val="CommentReference"/>
          <w:b w:val="0"/>
          <w:bCs/>
          <w:sz w:val="16"/>
        </w:rPr>
        <w:t>Italics indicate results estimated during the evaluation. Bold typography indicate statistically significant differences. Blue line crossing zero.</w:t>
      </w:r>
    </w:p>
    <w:p w:rsidR="00022D31" w:rsidRPr="00B51DEF" w:rsidRDefault="00022D31" w:rsidP="009467BF">
      <w:pPr>
        <w:widowControl/>
        <w:rPr>
          <w:rStyle w:val="CommentReference"/>
          <w:b w:val="0"/>
          <w:sz w:val="16"/>
          <w:szCs w:val="18"/>
        </w:rPr>
      </w:pPr>
      <w:r w:rsidRPr="00B51DEF">
        <w:rPr>
          <w:rStyle w:val="CommentReference"/>
          <w:b w:val="0"/>
          <w:sz w:val="16"/>
          <w:szCs w:val="18"/>
        </w:rPr>
        <w:t>*</w:t>
      </w:r>
      <w:proofErr w:type="spellStart"/>
      <w:r w:rsidRPr="00B51DEF">
        <w:rPr>
          <w:rStyle w:val="CommentReference"/>
          <w:b w:val="0"/>
          <w:sz w:val="16"/>
          <w:szCs w:val="18"/>
        </w:rPr>
        <w:t>TNFi-exposed+failure</w:t>
      </w:r>
      <w:proofErr w:type="spellEnd"/>
      <w:r w:rsidRPr="00B51DEF">
        <w:rPr>
          <w:rStyle w:val="CommentReference"/>
          <w:b w:val="0"/>
          <w:sz w:val="16"/>
          <w:szCs w:val="18"/>
        </w:rPr>
        <w:t>, TNF-exposed without failure were excluded.</w:t>
      </w:r>
    </w:p>
    <w:p w:rsidR="00022D31" w:rsidRPr="00B51DEF" w:rsidRDefault="00022D31" w:rsidP="009467BF">
      <w:pPr>
        <w:widowControl/>
        <w:rPr>
          <w:rStyle w:val="CommentReference"/>
          <w:b w:val="0"/>
          <w:bCs/>
          <w:sz w:val="16"/>
        </w:rPr>
      </w:pPr>
      <w:r w:rsidRPr="00B51DEF">
        <w:rPr>
          <w:rStyle w:val="CommentReference"/>
          <w:bCs/>
          <w:sz w:val="16"/>
        </w:rPr>
        <w:t>*</w:t>
      </w:r>
      <w:r w:rsidRPr="00B51DEF">
        <w:rPr>
          <w:rStyle w:val="CommentReference"/>
          <w:b w:val="0"/>
          <w:bCs/>
          <w:sz w:val="16"/>
        </w:rPr>
        <w:t xml:space="preserve"> Sustained remission, as reported in the submission and OCTAVE sustain</w:t>
      </w:r>
    </w:p>
    <w:p w:rsidR="00022D31" w:rsidRPr="00B51DEF" w:rsidRDefault="00022D31" w:rsidP="009467BF">
      <w:pPr>
        <w:widowControl/>
        <w:tabs>
          <w:tab w:val="left" w:pos="142"/>
        </w:tabs>
        <w:rPr>
          <w:rStyle w:val="CommentReference"/>
          <w:b w:val="0"/>
          <w:sz w:val="16"/>
          <w:szCs w:val="18"/>
        </w:rPr>
      </w:pPr>
      <w:r w:rsidRPr="00B51DEF">
        <w:rPr>
          <w:rStyle w:val="CommentReference"/>
          <w:bCs/>
          <w:sz w:val="16"/>
          <w:szCs w:val="18"/>
        </w:rPr>
        <w:t>^</w:t>
      </w:r>
      <w:r w:rsidRPr="00B51DEF">
        <w:rPr>
          <w:rStyle w:val="CommentReference"/>
          <w:bCs/>
          <w:sz w:val="16"/>
          <w:szCs w:val="18"/>
        </w:rPr>
        <w:tab/>
      </w:r>
      <w:r w:rsidRPr="00B51DEF">
        <w:rPr>
          <w:rStyle w:val="CommentReference"/>
          <w:b w:val="0"/>
          <w:sz w:val="16"/>
          <w:szCs w:val="18"/>
        </w:rPr>
        <w:t xml:space="preserve">estimated during the evaluation using random effects meta-analysis using </w:t>
      </w:r>
      <w:proofErr w:type="spellStart"/>
      <w:r w:rsidRPr="00B51DEF">
        <w:rPr>
          <w:rStyle w:val="CommentReference"/>
          <w:b w:val="0"/>
          <w:sz w:val="16"/>
          <w:szCs w:val="18"/>
        </w:rPr>
        <w:t>RevMan</w:t>
      </w:r>
      <w:proofErr w:type="spellEnd"/>
      <w:r w:rsidRPr="00B51DEF">
        <w:rPr>
          <w:rStyle w:val="CommentReference"/>
          <w:b w:val="0"/>
          <w:sz w:val="16"/>
          <w:szCs w:val="18"/>
        </w:rPr>
        <w:t xml:space="preserve"> Version 5.3.</w:t>
      </w:r>
    </w:p>
    <w:p w:rsidR="00022D31" w:rsidRPr="00B51DEF" w:rsidRDefault="00022D31" w:rsidP="009467BF">
      <w:pPr>
        <w:pStyle w:val="TableHeading"/>
        <w:sectPr w:rsidR="00022D31" w:rsidRPr="00B51DEF" w:rsidSect="005B36AA">
          <w:pgSz w:w="11907" w:h="16840" w:code="9"/>
          <w:pgMar w:top="1440" w:right="1440" w:bottom="1440" w:left="1440" w:header="1440" w:footer="1440" w:gutter="0"/>
          <w:cols w:space="708"/>
          <w:docGrid w:linePitch="360"/>
        </w:sectPr>
      </w:pPr>
    </w:p>
    <w:p w:rsidR="00022D31" w:rsidRPr="00B51DEF" w:rsidRDefault="00022D31" w:rsidP="009467BF">
      <w:pPr>
        <w:pStyle w:val="TableHeading"/>
        <w:tabs>
          <w:tab w:val="left" w:pos="8010"/>
        </w:tabs>
        <w:rPr>
          <w:rStyle w:val="CommentReference"/>
          <w:b/>
          <w:bCs w:val="0"/>
        </w:rPr>
      </w:pPr>
      <w:r w:rsidRPr="00B51DEF">
        <w:lastRenderedPageBreak/>
        <w:t xml:space="preserve">Table </w:t>
      </w:r>
      <w:r w:rsidR="004D1D00" w:rsidRPr="00B51DEF">
        <w:t>8</w:t>
      </w:r>
      <w:r w:rsidRPr="00B51DEF">
        <w:rPr>
          <w:rStyle w:val="CommentReference"/>
        </w:rPr>
        <w:t xml:space="preserve">: </w:t>
      </w:r>
      <w:r w:rsidRPr="00B51DEF">
        <w:rPr>
          <w:rStyle w:val="CommentReference"/>
          <w:b/>
          <w:bCs w:val="0"/>
        </w:rPr>
        <w:t>Sustained Clinical response at 52/54 Weeks – maintenance therapy (relevant arms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28" w:type="dxa"/>
          <w:right w:w="28" w:type="dxa"/>
        </w:tblCellMar>
        <w:tblLook w:val="00A0" w:firstRow="1" w:lastRow="0" w:firstColumn="1" w:lastColumn="0" w:noHBand="0" w:noVBand="0"/>
        <w:tblCaption w:val="Sustained Clinical response at 52/54 Weeks – maintenance therapy (relevant arms only)"/>
      </w:tblPr>
      <w:tblGrid>
        <w:gridCol w:w="1838"/>
        <w:gridCol w:w="1091"/>
        <w:gridCol w:w="1050"/>
        <w:gridCol w:w="1298"/>
        <w:gridCol w:w="1787"/>
        <w:gridCol w:w="1214"/>
        <w:gridCol w:w="739"/>
      </w:tblGrid>
      <w:tr w:rsidR="00022D31" w:rsidRPr="00B51DEF" w:rsidTr="00DE34FD">
        <w:trPr>
          <w:trHeight w:val="112"/>
        </w:trPr>
        <w:tc>
          <w:tcPr>
            <w:tcW w:w="1019" w:type="pct"/>
            <w:tcBorders>
              <w:bottom w:val="single" w:sz="4" w:space="0" w:color="auto"/>
              <w:right w:val="single" w:sz="4" w:space="0" w:color="auto"/>
            </w:tcBorders>
            <w:shd w:val="clear" w:color="auto" w:fill="auto"/>
            <w:vAlign w:val="center"/>
          </w:tcPr>
          <w:p w:rsidR="00022D31" w:rsidRPr="00B51DEF" w:rsidRDefault="00022D31" w:rsidP="009467BF">
            <w:pPr>
              <w:widowControl/>
              <w:jc w:val="left"/>
              <w:rPr>
                <w:rFonts w:ascii="Arial Narrow" w:hAnsi="Arial Narrow"/>
                <w:b/>
                <w:sz w:val="18"/>
                <w:szCs w:val="18"/>
              </w:rPr>
            </w:pPr>
            <w:r w:rsidRPr="00B51DEF">
              <w:rPr>
                <w:rFonts w:ascii="Arial Narrow" w:hAnsi="Arial Narrow"/>
                <w:b/>
                <w:bCs/>
                <w:iCs/>
                <w:sz w:val="18"/>
                <w:szCs w:val="18"/>
              </w:rPr>
              <w:t>Trial</w:t>
            </w:r>
          </w:p>
        </w:tc>
        <w:tc>
          <w:tcPr>
            <w:tcW w:w="605" w:type="pct"/>
            <w:tcBorders>
              <w:bottom w:val="single" w:sz="4" w:space="0" w:color="auto"/>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Drug</w:t>
            </w:r>
          </w:p>
          <w:p w:rsidR="00022D31" w:rsidRPr="00B51DEF" w:rsidRDefault="00022D31" w:rsidP="009467BF">
            <w:pPr>
              <w:widowControl/>
              <w:jc w:val="center"/>
              <w:rPr>
                <w:rFonts w:ascii="Arial Narrow" w:hAnsi="Arial Narrow"/>
                <w:b/>
                <w:sz w:val="18"/>
                <w:szCs w:val="18"/>
              </w:rPr>
            </w:pPr>
            <w:proofErr w:type="gramStart"/>
            <w:r w:rsidRPr="00B51DEF">
              <w:rPr>
                <w:rFonts w:ascii="Arial Narrow" w:hAnsi="Arial Narrow"/>
                <w:b/>
                <w:bCs/>
                <w:iCs/>
                <w:sz w:val="18"/>
                <w:szCs w:val="18"/>
              </w:rPr>
              <w:t>n/N</w:t>
            </w:r>
            <w:proofErr w:type="gramEnd"/>
            <w:r w:rsidRPr="00B51DEF">
              <w:rPr>
                <w:rFonts w:ascii="Arial Narrow" w:hAnsi="Arial Narrow"/>
                <w:b/>
                <w:bCs/>
                <w:iCs/>
                <w:sz w:val="18"/>
                <w:szCs w:val="18"/>
              </w:rPr>
              <w:t xml:space="preserve"> (%)</w:t>
            </w:r>
          </w:p>
        </w:tc>
        <w:tc>
          <w:tcPr>
            <w:tcW w:w="582" w:type="pct"/>
            <w:tcBorders>
              <w:bottom w:val="single" w:sz="4" w:space="0" w:color="auto"/>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Control</w:t>
            </w:r>
          </w:p>
          <w:p w:rsidR="00022D31" w:rsidRPr="00B51DEF" w:rsidRDefault="00022D31" w:rsidP="009467BF">
            <w:pPr>
              <w:widowControl/>
              <w:jc w:val="center"/>
              <w:rPr>
                <w:rFonts w:ascii="Arial Narrow" w:hAnsi="Arial Narrow"/>
                <w:b/>
                <w:sz w:val="18"/>
                <w:szCs w:val="18"/>
              </w:rPr>
            </w:pPr>
            <w:proofErr w:type="gramStart"/>
            <w:r w:rsidRPr="00B51DEF">
              <w:rPr>
                <w:rFonts w:ascii="Arial Narrow" w:hAnsi="Arial Narrow"/>
                <w:b/>
                <w:bCs/>
                <w:iCs/>
                <w:sz w:val="18"/>
                <w:szCs w:val="18"/>
              </w:rPr>
              <w:t>n/N</w:t>
            </w:r>
            <w:proofErr w:type="gramEnd"/>
            <w:r w:rsidRPr="00B51DEF">
              <w:rPr>
                <w:rFonts w:ascii="Arial Narrow" w:hAnsi="Arial Narrow"/>
                <w:b/>
                <w:bCs/>
                <w:iCs/>
                <w:sz w:val="18"/>
                <w:szCs w:val="18"/>
              </w:rPr>
              <w:t xml:space="preserve">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022D31" w:rsidRPr="00B51DEF" w:rsidRDefault="00022D31" w:rsidP="009467BF">
            <w:pPr>
              <w:widowControl/>
              <w:jc w:val="center"/>
              <w:rPr>
                <w:rFonts w:ascii="Arial Narrow" w:hAnsi="Arial Narrow"/>
                <w:i/>
                <w:iCs/>
                <w:sz w:val="18"/>
                <w:szCs w:val="18"/>
              </w:rPr>
            </w:pPr>
            <w:r w:rsidRPr="00B51DEF">
              <w:rPr>
                <w:rFonts w:ascii="Arial Narrow" w:hAnsi="Arial Narrow"/>
                <w:b/>
                <w:bCs/>
                <w:iCs/>
                <w:sz w:val="18"/>
                <w:szCs w:val="18"/>
              </w:rPr>
              <w:t>RR (95% CI)^</w:t>
            </w:r>
          </w:p>
        </w:tc>
        <w:tc>
          <w:tcPr>
            <w:tcW w:w="991" w:type="pct"/>
            <w:tcBorders>
              <w:top w:val="single" w:sz="4" w:space="0" w:color="auto"/>
              <w:left w:val="single" w:sz="4" w:space="0" w:color="auto"/>
              <w:bottom w:val="single" w:sz="4" w:space="0" w:color="auto"/>
              <w:right w:val="nil"/>
            </w:tcBorders>
            <w:shd w:val="clear" w:color="auto" w:fill="auto"/>
            <w:vAlign w:val="center"/>
          </w:tcPr>
          <w:p w:rsidR="00022D31" w:rsidRPr="00B51DEF" w:rsidRDefault="00022D31" w:rsidP="009467BF">
            <w:pPr>
              <w:widowControl/>
              <w:jc w:val="center"/>
              <w:rPr>
                <w:rFonts w:ascii="Arial Narrow" w:hAnsi="Arial Narrow"/>
                <w:i/>
                <w:iCs/>
                <w:sz w:val="18"/>
                <w:szCs w:val="18"/>
              </w:rPr>
            </w:pPr>
            <w:r w:rsidRPr="00B51DEF">
              <w:rPr>
                <w:rFonts w:ascii="Arial Narrow" w:hAnsi="Arial Narrow"/>
                <w:b/>
                <w:bCs/>
                <w:iCs/>
                <w:sz w:val="18"/>
                <w:szCs w:val="18"/>
              </w:rPr>
              <w:t>RD [95% CI]^</w:t>
            </w:r>
          </w:p>
        </w:tc>
        <w:tc>
          <w:tcPr>
            <w:tcW w:w="673" w:type="pct"/>
            <w:tcBorders>
              <w:left w:val="nil"/>
              <w:bottom w:val="single" w:sz="4" w:space="0" w:color="auto"/>
              <w:right w:val="single" w:sz="4" w:space="0" w:color="auto"/>
            </w:tcBorders>
          </w:tcPr>
          <w:p w:rsidR="00022D31" w:rsidRPr="00B51DEF" w:rsidRDefault="00022D31" w:rsidP="009467BF">
            <w:pPr>
              <w:widowControl/>
              <w:jc w:val="center"/>
              <w:rPr>
                <w:rFonts w:ascii="Arial Narrow" w:hAnsi="Arial Narrow"/>
                <w:b/>
                <w:bCs/>
                <w:iCs/>
                <w:sz w:val="18"/>
                <w:szCs w:val="18"/>
              </w:rPr>
            </w:pPr>
          </w:p>
        </w:tc>
        <w:tc>
          <w:tcPr>
            <w:tcW w:w="410" w:type="pct"/>
            <w:tcBorders>
              <w:left w:val="single" w:sz="4" w:space="0" w:color="auto"/>
              <w:bottom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NNT</w:t>
            </w:r>
          </w:p>
          <w:p w:rsidR="00022D31" w:rsidRPr="00B51DEF" w:rsidRDefault="00022D31" w:rsidP="009467BF">
            <w:pPr>
              <w:widowControl/>
              <w:jc w:val="center"/>
              <w:rPr>
                <w:rFonts w:ascii="Arial Narrow" w:hAnsi="Arial Narrow"/>
                <w:i/>
                <w:iCs/>
                <w:sz w:val="18"/>
                <w:szCs w:val="18"/>
              </w:rPr>
            </w:pPr>
            <w:r w:rsidRPr="00B51DEF">
              <w:rPr>
                <w:rFonts w:ascii="Arial Narrow" w:hAnsi="Arial Narrow"/>
                <w:b/>
                <w:bCs/>
                <w:iCs/>
                <w:sz w:val="18"/>
                <w:szCs w:val="18"/>
              </w:rPr>
              <w:t>(95%CI)</w:t>
            </w:r>
          </w:p>
        </w:tc>
      </w:tr>
      <w:tr w:rsidR="00022D31" w:rsidRPr="00B51DEF" w:rsidTr="006D40D3">
        <w:trPr>
          <w:trHeight w:val="112"/>
        </w:trPr>
        <w:tc>
          <w:tcPr>
            <w:tcW w:w="2206" w:type="pct"/>
            <w:gridSpan w:val="3"/>
            <w:tcBorders>
              <w:bottom w:val="single" w:sz="4" w:space="0" w:color="auto"/>
              <w:right w:val="single" w:sz="4" w:space="0" w:color="auto"/>
            </w:tcBorders>
            <w:shd w:val="clear" w:color="auto" w:fill="auto"/>
            <w:vAlign w:val="center"/>
          </w:tcPr>
          <w:p w:rsidR="00022D31" w:rsidRPr="00B51DEF" w:rsidRDefault="00022D31" w:rsidP="009467BF">
            <w:pPr>
              <w:widowControl/>
              <w:jc w:val="left"/>
              <w:rPr>
                <w:rFonts w:ascii="Arial Narrow" w:hAnsi="Arial Narrow"/>
                <w:b/>
                <w:bCs/>
                <w:i/>
                <w:iCs/>
                <w:sz w:val="18"/>
                <w:szCs w:val="18"/>
              </w:rPr>
            </w:pPr>
            <w:r w:rsidRPr="00B51DEF">
              <w:rPr>
                <w:rFonts w:ascii="Arial Narrow" w:hAnsi="Arial Narrow"/>
                <w:b/>
                <w:sz w:val="18"/>
                <w:szCs w:val="18"/>
              </w:rPr>
              <w:t>TOF v PBO (</w:t>
            </w:r>
            <w:proofErr w:type="spellStart"/>
            <w:r w:rsidRPr="00B51DEF">
              <w:rPr>
                <w:rFonts w:ascii="Arial Narrow" w:hAnsi="Arial Narrow"/>
                <w:b/>
                <w:sz w:val="18"/>
                <w:szCs w:val="18"/>
              </w:rPr>
              <w:t>Wk</w:t>
            </w:r>
            <w:proofErr w:type="spellEnd"/>
            <w:r w:rsidRPr="00B51DEF">
              <w:rPr>
                <w:rFonts w:ascii="Arial Narrow" w:hAnsi="Arial Narrow"/>
                <w:b/>
                <w:sz w:val="18"/>
                <w:szCs w:val="18"/>
              </w:rPr>
              <w:t xml:space="preserve"> 24&amp;52)</w:t>
            </w:r>
          </w:p>
        </w:tc>
        <w:tc>
          <w:tcPr>
            <w:tcW w:w="720" w:type="pct"/>
            <w:tcBorders>
              <w:top w:val="single" w:sz="4" w:space="0" w:color="auto"/>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iCs/>
                <w:sz w:val="18"/>
                <w:szCs w:val="18"/>
              </w:rPr>
            </w:pPr>
          </w:p>
        </w:tc>
        <w:tc>
          <w:tcPr>
            <w:tcW w:w="991" w:type="pct"/>
            <w:tcBorders>
              <w:top w:val="single" w:sz="4" w:space="0" w:color="auto"/>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
                <w:iCs/>
                <w:sz w:val="18"/>
                <w:szCs w:val="18"/>
              </w:rPr>
            </w:pPr>
          </w:p>
        </w:tc>
        <w:tc>
          <w:tcPr>
            <w:tcW w:w="673" w:type="pct"/>
            <w:tcBorders>
              <w:top w:val="single" w:sz="4" w:space="0" w:color="auto"/>
              <w:left w:val="nil"/>
              <w:bottom w:val="nil"/>
              <w:right w:val="single" w:sz="4" w:space="0" w:color="auto"/>
            </w:tcBorders>
          </w:tcPr>
          <w:p w:rsidR="00022D31" w:rsidRPr="00B51DEF" w:rsidRDefault="00022D31" w:rsidP="009467BF">
            <w:pPr>
              <w:widowControl/>
              <w:jc w:val="center"/>
              <w:rPr>
                <w:rFonts w:ascii="Arial Narrow" w:hAnsi="Arial Narrow"/>
                <w:i/>
                <w:iCs/>
                <w:sz w:val="18"/>
                <w:szCs w:val="18"/>
              </w:rPr>
            </w:pPr>
          </w:p>
        </w:tc>
        <w:tc>
          <w:tcPr>
            <w:tcW w:w="410" w:type="pct"/>
            <w:tcBorders>
              <w:top w:val="single" w:sz="4" w:space="0" w:color="auto"/>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iCs/>
                <w:sz w:val="18"/>
                <w:szCs w:val="18"/>
              </w:rPr>
            </w:pPr>
          </w:p>
        </w:tc>
      </w:tr>
      <w:tr w:rsidR="00022D31" w:rsidRPr="00B51DEF" w:rsidTr="006D40D3">
        <w:trPr>
          <w:trHeight w:val="112"/>
        </w:trPr>
        <w:tc>
          <w:tcPr>
            <w:tcW w:w="1019" w:type="pct"/>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OCTAVE S, 5mg ITT</w:t>
            </w:r>
          </w:p>
        </w:tc>
        <w:tc>
          <w:tcPr>
            <w:tcW w:w="605"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97/198 (49.0)</w:t>
            </w:r>
          </w:p>
        </w:tc>
        <w:tc>
          <w:tcPr>
            <w:tcW w:w="582"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38/198 (19.2)</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2.55 (1.86, 3.51)</w:t>
            </w: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0.30 (0.21, 0.39)</w:t>
            </w:r>
          </w:p>
        </w:tc>
        <w:tc>
          <w:tcPr>
            <w:tcW w:w="673" w:type="pct"/>
            <w:vMerge w:val="restart"/>
            <w:tcBorders>
              <w:top w:val="nil"/>
              <w:left w:val="nil"/>
              <w:right w:val="single" w:sz="4" w:space="0" w:color="auto"/>
            </w:tcBorders>
          </w:tcPr>
          <w:p w:rsidR="00022D31" w:rsidRPr="00B51DEF" w:rsidRDefault="004B10EF" w:rsidP="009467BF">
            <w:pPr>
              <w:widowControl/>
              <w:jc w:val="center"/>
              <w:rPr>
                <w:rFonts w:ascii="Arial Narrow" w:hAnsi="Arial Narrow"/>
                <w:i/>
                <w:sz w:val="16"/>
                <w:szCs w:val="16"/>
              </w:rPr>
            </w:pPr>
            <w:r>
              <w:rPr>
                <w:noProof/>
                <w:snapToGrid/>
                <w:lang w:eastAsia="en-AU"/>
              </w:rPr>
              <w:drawing>
                <wp:inline distT="0" distB="0" distL="0" distR="0" wp14:anchorId="1B9387B4" wp14:editId="65BAD5EC">
                  <wp:extent cx="715992" cy="4907915"/>
                  <wp:effectExtent l="0" t="0" r="8255" b="6985"/>
                  <wp:docPr id="6" name="Picture 6" title="Sustained Clinical response at 52/54 Weeks – maintenance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18132" cy="4922584"/>
                          </a:xfrm>
                          <a:prstGeom prst="rect">
                            <a:avLst/>
                          </a:prstGeom>
                        </pic:spPr>
                      </pic:pic>
                    </a:graphicData>
                  </a:graphic>
                </wp:inline>
              </w:drawing>
            </w: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3 (3, 5)</w:t>
            </w:r>
          </w:p>
        </w:tc>
      </w:tr>
      <w:tr w:rsidR="00022D31" w:rsidRPr="00B51DEF" w:rsidTr="006D40D3">
        <w:trPr>
          <w:trHeight w:val="112"/>
        </w:trPr>
        <w:tc>
          <w:tcPr>
            <w:tcW w:w="1019" w:type="pct"/>
            <w:shd w:val="clear" w:color="auto" w:fill="auto"/>
          </w:tcPr>
          <w:p w:rsidR="00022D31" w:rsidRPr="00B51DEF" w:rsidRDefault="00022D31" w:rsidP="009467BF">
            <w:pPr>
              <w:widowControl/>
              <w:jc w:val="left"/>
              <w:rPr>
                <w:rFonts w:ascii="Arial Narrow" w:hAnsi="Arial Narrow"/>
                <w:b/>
                <w:sz w:val="18"/>
                <w:szCs w:val="18"/>
              </w:rPr>
            </w:pPr>
            <w:r w:rsidRPr="00B51DEF">
              <w:rPr>
                <w:rFonts w:ascii="Arial Narrow" w:hAnsi="Arial Narrow"/>
                <w:iCs/>
                <w:sz w:val="18"/>
                <w:szCs w:val="18"/>
              </w:rPr>
              <w:t>OCTAVE S, 10mg ITT</w:t>
            </w:r>
          </w:p>
        </w:tc>
        <w:tc>
          <w:tcPr>
            <w:tcW w:w="605" w:type="pct"/>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117/197 (59.4)</w:t>
            </w:r>
          </w:p>
        </w:tc>
        <w:tc>
          <w:tcPr>
            <w:tcW w:w="582"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r w:rsidRPr="00B51DEF">
              <w:rPr>
                <w:rFonts w:ascii="Arial Narrow" w:hAnsi="Arial Narrow"/>
                <w:iCs/>
                <w:sz w:val="18"/>
                <w:szCs w:val="18"/>
              </w:rPr>
              <w:t>38/198 (19.2)</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3.09 (2.27, 4.21)</w:t>
            </w: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r w:rsidRPr="00B51DEF">
              <w:rPr>
                <w:rFonts w:ascii="Arial Narrow" w:hAnsi="Arial Narrow"/>
                <w:b/>
                <w:bCs/>
                <w:iCs/>
                <w:sz w:val="18"/>
                <w:szCs w:val="18"/>
              </w:rPr>
              <w:t>0.40 (0.31, 0.49)</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2.5 (2, 3)</w:t>
            </w:r>
          </w:p>
        </w:tc>
      </w:tr>
      <w:tr w:rsidR="00022D31" w:rsidRPr="00B51DEF" w:rsidTr="006D40D3">
        <w:trPr>
          <w:trHeight w:val="112"/>
        </w:trPr>
        <w:tc>
          <w:tcPr>
            <w:tcW w:w="1019"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OCTAVE S, 5mg </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05" w:type="pct"/>
            <w:shd w:val="clear" w:color="auto" w:fill="auto"/>
            <w:vAlign w:val="center"/>
          </w:tcPr>
          <w:p w:rsidR="00022D31" w:rsidRPr="00922EF4" w:rsidRDefault="00922EF4" w:rsidP="009467BF">
            <w:pPr>
              <w:pStyle w:val="Tabletext"/>
              <w:jc w:val="center"/>
              <w:rPr>
                <w:highlight w:val="black"/>
              </w:rPr>
            </w:pPr>
            <w:r>
              <w:rPr>
                <w:noProof/>
                <w:color w:val="000000"/>
                <w:highlight w:val="black"/>
              </w:rPr>
              <w:t>'''''''''''''''''' '''''''''''''''</w:t>
            </w:r>
          </w:p>
        </w:tc>
        <w:tc>
          <w:tcPr>
            <w:tcW w:w="582" w:type="pct"/>
            <w:tcBorders>
              <w:right w:val="single" w:sz="4" w:space="0" w:color="auto"/>
            </w:tcBorders>
            <w:shd w:val="clear" w:color="auto" w:fill="auto"/>
            <w:vAlign w:val="center"/>
          </w:tcPr>
          <w:p w:rsidR="00022D31" w:rsidRPr="00922EF4" w:rsidRDefault="00922EF4" w:rsidP="009467BF">
            <w:pPr>
              <w:pStyle w:val="Tabletext"/>
              <w:jc w:val="center"/>
              <w:rPr>
                <w:highlight w:val="black"/>
              </w:rPr>
            </w:pPr>
            <w:r>
              <w:rPr>
                <w:noProof/>
                <w:color w:val="000000"/>
                <w:highlight w:val="black"/>
              </w:rPr>
              <w:t>'''''''''''''''' '''''''''''''</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pStyle w:val="Tabletext"/>
              <w:jc w:val="center"/>
              <w:rPr>
                <w:b/>
                <w:bCs/>
                <w:i/>
                <w:highlight w:val="black"/>
              </w:rPr>
            </w:pPr>
            <w:r>
              <w:rPr>
                <w:b/>
                <w:bCs/>
                <w:noProof/>
                <w:color w:val="000000"/>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pStyle w:val="Tabletext"/>
              <w:jc w:val="center"/>
              <w:rPr>
                <w:b/>
                <w:bCs/>
                <w:i/>
                <w:highlight w:val="black"/>
              </w:rPr>
            </w:pPr>
            <w:r>
              <w:rPr>
                <w:b/>
                <w:bCs/>
                <w:noProof/>
                <w:color w:val="000000"/>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12"/>
        </w:trPr>
        <w:tc>
          <w:tcPr>
            <w:tcW w:w="1019" w:type="pct"/>
            <w:shd w:val="clear" w:color="auto" w:fill="auto"/>
            <w:vAlign w:val="center"/>
          </w:tcPr>
          <w:p w:rsidR="00022D31" w:rsidRPr="00B51DEF" w:rsidRDefault="00022D31" w:rsidP="009467BF">
            <w:pPr>
              <w:pStyle w:val="Tabletext"/>
            </w:pPr>
            <w:r w:rsidRPr="00B51DEF">
              <w:t xml:space="preserve">OCTAVE S, 5mg </w:t>
            </w:r>
            <w:proofErr w:type="spellStart"/>
            <w:r w:rsidRPr="00B51DEF">
              <w:t>TNFi</w:t>
            </w:r>
            <w:proofErr w:type="spellEnd"/>
            <w:r w:rsidRPr="00B51DEF">
              <w:t>-e</w:t>
            </w:r>
          </w:p>
        </w:tc>
        <w:tc>
          <w:tcPr>
            <w:tcW w:w="605" w:type="pct"/>
            <w:shd w:val="clear" w:color="auto" w:fill="auto"/>
            <w:vAlign w:val="center"/>
          </w:tcPr>
          <w:p w:rsidR="00022D31" w:rsidRPr="00922EF4" w:rsidRDefault="00922EF4" w:rsidP="009467BF">
            <w:pPr>
              <w:pStyle w:val="Tabletext"/>
              <w:jc w:val="center"/>
              <w:rPr>
                <w:highlight w:val="black"/>
              </w:rPr>
            </w:pPr>
            <w:r>
              <w:rPr>
                <w:noProof/>
                <w:color w:val="000000"/>
                <w:szCs w:val="18"/>
                <w:highlight w:val="black"/>
              </w:rPr>
              <w:t>'''''''''''''' '''''''''''''''</w:t>
            </w:r>
          </w:p>
        </w:tc>
        <w:tc>
          <w:tcPr>
            <w:tcW w:w="582" w:type="pct"/>
            <w:tcBorders>
              <w:right w:val="single" w:sz="4" w:space="0" w:color="auto"/>
            </w:tcBorders>
            <w:shd w:val="clear" w:color="auto" w:fill="auto"/>
            <w:vAlign w:val="center"/>
          </w:tcPr>
          <w:p w:rsidR="00022D31" w:rsidRPr="00922EF4" w:rsidRDefault="00922EF4" w:rsidP="009467BF">
            <w:pPr>
              <w:pStyle w:val="Tabletext"/>
              <w:jc w:val="center"/>
              <w:rPr>
                <w:highlight w:val="black"/>
              </w:rPr>
            </w:pPr>
            <w:r>
              <w:rPr>
                <w:noProof/>
                <w:color w:val="000000"/>
                <w:szCs w:val="18"/>
                <w:highlight w:val="black"/>
              </w:rPr>
              <w:t>'''''''''''''' '''''''''''''''</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pStyle w:val="Tabletext"/>
              <w:jc w:val="center"/>
              <w:rPr>
                <w:b/>
                <w:bCs/>
                <w:i/>
                <w:highlight w:val="black"/>
              </w:rPr>
            </w:pPr>
            <w:r>
              <w:rPr>
                <w:b/>
                <w:bCs/>
                <w:noProof/>
                <w:color w:val="000000"/>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pStyle w:val="Tabletext"/>
              <w:jc w:val="center"/>
              <w:rPr>
                <w:b/>
                <w:bCs/>
                <w:i/>
                <w:highlight w:val="black"/>
              </w:rPr>
            </w:pPr>
            <w:r>
              <w:rPr>
                <w:b/>
                <w:bCs/>
                <w:noProof/>
                <w:color w:val="000000"/>
                <w:highlight w:val="black"/>
              </w:rPr>
              <w:t>''''''''' '''''''''' '''''''''</w:t>
            </w:r>
          </w:p>
        </w:tc>
        <w:tc>
          <w:tcPr>
            <w:tcW w:w="673" w:type="pct"/>
            <w:vMerge/>
            <w:tcBorders>
              <w:left w:val="nil"/>
              <w:right w:val="single" w:sz="4" w:space="0" w:color="auto"/>
            </w:tcBorders>
          </w:tcPr>
          <w:p w:rsidR="00022D31" w:rsidRPr="00B51DEF" w:rsidRDefault="00022D31" w:rsidP="009467BF">
            <w:pPr>
              <w:pStyle w:val="Tabletext"/>
              <w:jc w:val="center"/>
              <w:rPr>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pStyle w:val="Tabletext"/>
              <w:jc w:val="center"/>
              <w:rPr>
                <w:i/>
                <w:sz w:val="16"/>
                <w:szCs w:val="16"/>
                <w:highlight w:val="black"/>
              </w:rPr>
            </w:pPr>
            <w:r>
              <w:rPr>
                <w:i/>
                <w:noProof/>
                <w:color w:val="000000"/>
                <w:sz w:val="16"/>
                <w:szCs w:val="16"/>
                <w:highlight w:val="black"/>
              </w:rPr>
              <w:t>''' ''''''' ''''''</w:t>
            </w:r>
          </w:p>
        </w:tc>
      </w:tr>
      <w:tr w:rsidR="00022D31" w:rsidRPr="00B51DEF" w:rsidTr="006D40D3">
        <w:trPr>
          <w:trHeight w:val="112"/>
        </w:trPr>
        <w:tc>
          <w:tcPr>
            <w:tcW w:w="1019" w:type="pct"/>
            <w:shd w:val="clear" w:color="auto" w:fill="auto"/>
            <w:vAlign w:val="center"/>
          </w:tcPr>
          <w:p w:rsidR="00022D31" w:rsidRPr="00B51DEF" w:rsidRDefault="00022D31" w:rsidP="009467BF">
            <w:pPr>
              <w:pStyle w:val="Tabletext"/>
            </w:pPr>
            <w:r w:rsidRPr="00B51DEF">
              <w:t xml:space="preserve">OCTAVE S, 10mg </w:t>
            </w:r>
            <w:proofErr w:type="spellStart"/>
            <w:r w:rsidRPr="00B51DEF">
              <w:t>TNFi</w:t>
            </w:r>
            <w:proofErr w:type="spellEnd"/>
            <w:r w:rsidRPr="00B51DEF">
              <w:t>-n</w:t>
            </w:r>
          </w:p>
        </w:tc>
        <w:tc>
          <w:tcPr>
            <w:tcW w:w="605" w:type="pct"/>
            <w:shd w:val="clear" w:color="auto" w:fill="auto"/>
            <w:vAlign w:val="center"/>
          </w:tcPr>
          <w:p w:rsidR="00022D31" w:rsidRPr="00922EF4" w:rsidRDefault="00922EF4" w:rsidP="009467BF">
            <w:pPr>
              <w:pStyle w:val="Tabletext"/>
              <w:jc w:val="center"/>
              <w:rPr>
                <w:highlight w:val="black"/>
              </w:rPr>
            </w:pPr>
            <w:r>
              <w:rPr>
                <w:noProof/>
                <w:color w:val="000000"/>
                <w:highlight w:val="black"/>
              </w:rPr>
              <w:t>''''''''''''' '''''''''''''''</w:t>
            </w:r>
          </w:p>
        </w:tc>
        <w:tc>
          <w:tcPr>
            <w:tcW w:w="582" w:type="pct"/>
            <w:tcBorders>
              <w:right w:val="single" w:sz="4" w:space="0" w:color="auto"/>
            </w:tcBorders>
            <w:shd w:val="clear" w:color="auto" w:fill="auto"/>
            <w:vAlign w:val="center"/>
          </w:tcPr>
          <w:p w:rsidR="00022D31" w:rsidRPr="00922EF4" w:rsidRDefault="00922EF4" w:rsidP="009467BF">
            <w:pPr>
              <w:pStyle w:val="Tabletext"/>
              <w:jc w:val="center"/>
              <w:rPr>
                <w:highlight w:val="black"/>
              </w:rPr>
            </w:pPr>
            <w:r>
              <w:rPr>
                <w:noProof/>
                <w:color w:val="000000"/>
                <w:szCs w:val="18"/>
                <w:highlight w:val="black"/>
              </w:rPr>
              <w:t>'''''''''''''''' '''''''''''''''</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pStyle w:val="Tabletext"/>
              <w:jc w:val="center"/>
              <w:rPr>
                <w:b/>
                <w:bCs/>
                <w:i/>
                <w:highlight w:val="black"/>
              </w:rPr>
            </w:pPr>
            <w:r>
              <w:rPr>
                <w:b/>
                <w:bCs/>
                <w:noProof/>
                <w:color w:val="000000"/>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pStyle w:val="Tabletext"/>
              <w:jc w:val="center"/>
              <w:rPr>
                <w:b/>
                <w:bCs/>
                <w:i/>
                <w:highlight w:val="black"/>
              </w:rPr>
            </w:pPr>
            <w:r>
              <w:rPr>
                <w:b/>
                <w:bCs/>
                <w:noProof/>
                <w:color w:val="000000"/>
                <w:highlight w:val="black"/>
              </w:rPr>
              <w:t>'''''''' '''''''''' '''''''''''</w:t>
            </w:r>
          </w:p>
        </w:tc>
        <w:tc>
          <w:tcPr>
            <w:tcW w:w="673" w:type="pct"/>
            <w:vMerge/>
            <w:tcBorders>
              <w:left w:val="nil"/>
              <w:right w:val="single" w:sz="4" w:space="0" w:color="auto"/>
            </w:tcBorders>
          </w:tcPr>
          <w:p w:rsidR="00022D31" w:rsidRPr="00B51DEF" w:rsidRDefault="00022D31" w:rsidP="009467BF">
            <w:pPr>
              <w:pStyle w:val="Tabletext"/>
              <w:jc w:val="center"/>
              <w:rPr>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pStyle w:val="Tabletext"/>
              <w:jc w:val="center"/>
              <w:rPr>
                <w:i/>
                <w:sz w:val="16"/>
                <w:szCs w:val="16"/>
                <w:highlight w:val="black"/>
              </w:rPr>
            </w:pPr>
            <w:r>
              <w:rPr>
                <w:i/>
                <w:noProof/>
                <w:color w:val="000000"/>
                <w:sz w:val="16"/>
                <w:szCs w:val="16"/>
                <w:highlight w:val="black"/>
              </w:rPr>
              <w:t>'''' '''''''' '''''</w:t>
            </w:r>
          </w:p>
        </w:tc>
      </w:tr>
      <w:tr w:rsidR="00022D31" w:rsidRPr="00B51DEF" w:rsidTr="006D40D3">
        <w:trPr>
          <w:trHeight w:val="112"/>
        </w:trPr>
        <w:tc>
          <w:tcPr>
            <w:tcW w:w="1019" w:type="pct"/>
            <w:shd w:val="clear" w:color="auto" w:fill="auto"/>
            <w:vAlign w:val="center"/>
          </w:tcPr>
          <w:p w:rsidR="00022D31" w:rsidRPr="00B51DEF" w:rsidRDefault="00022D31" w:rsidP="009467BF">
            <w:pPr>
              <w:pStyle w:val="Tabletext"/>
            </w:pPr>
            <w:r w:rsidRPr="00B51DEF">
              <w:t xml:space="preserve">OCTAVE S, 10mg </w:t>
            </w:r>
            <w:proofErr w:type="spellStart"/>
            <w:r w:rsidRPr="00B51DEF">
              <w:t>TNFi</w:t>
            </w:r>
            <w:proofErr w:type="spellEnd"/>
            <w:r w:rsidRPr="00B51DEF">
              <w:t>-e</w:t>
            </w:r>
          </w:p>
        </w:tc>
        <w:tc>
          <w:tcPr>
            <w:tcW w:w="605" w:type="pct"/>
            <w:shd w:val="clear" w:color="auto" w:fill="auto"/>
            <w:vAlign w:val="center"/>
          </w:tcPr>
          <w:p w:rsidR="00022D31" w:rsidRPr="00922EF4" w:rsidRDefault="00922EF4" w:rsidP="009467BF">
            <w:pPr>
              <w:pStyle w:val="Tabletext"/>
              <w:jc w:val="center"/>
              <w:rPr>
                <w:highlight w:val="black"/>
              </w:rPr>
            </w:pPr>
            <w:r>
              <w:rPr>
                <w:noProof/>
                <w:color w:val="000000"/>
                <w:szCs w:val="18"/>
                <w:highlight w:val="black"/>
              </w:rPr>
              <w:t>'''''''''''''''''' ''''''''''''''</w:t>
            </w:r>
          </w:p>
        </w:tc>
        <w:tc>
          <w:tcPr>
            <w:tcW w:w="582" w:type="pct"/>
            <w:tcBorders>
              <w:right w:val="single" w:sz="4" w:space="0" w:color="auto"/>
            </w:tcBorders>
            <w:shd w:val="clear" w:color="auto" w:fill="auto"/>
            <w:vAlign w:val="center"/>
          </w:tcPr>
          <w:p w:rsidR="00022D31" w:rsidRPr="00922EF4" w:rsidRDefault="00922EF4" w:rsidP="009467BF">
            <w:pPr>
              <w:pStyle w:val="Tabletext"/>
              <w:jc w:val="center"/>
              <w:rPr>
                <w:highlight w:val="black"/>
              </w:rPr>
            </w:pPr>
            <w:r>
              <w:rPr>
                <w:noProof/>
                <w:color w:val="000000"/>
                <w:szCs w:val="18"/>
                <w:highlight w:val="black"/>
              </w:rPr>
              <w:t>''''''''''''' '''''''''''''''</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pStyle w:val="Tabletext"/>
              <w:jc w:val="center"/>
              <w:rPr>
                <w:b/>
                <w:bCs/>
                <w:i/>
                <w:highlight w:val="black"/>
              </w:rPr>
            </w:pPr>
            <w:r>
              <w:rPr>
                <w:b/>
                <w:bCs/>
                <w:noProof/>
                <w:color w:val="000000"/>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pStyle w:val="Tabletext"/>
              <w:jc w:val="center"/>
              <w:rPr>
                <w:b/>
                <w:bCs/>
                <w:i/>
                <w:highlight w:val="black"/>
              </w:rPr>
            </w:pPr>
            <w:r>
              <w:rPr>
                <w:b/>
                <w:bCs/>
                <w:noProof/>
                <w:color w:val="000000"/>
                <w:highlight w:val="black"/>
              </w:rPr>
              <w:t>'''''''' ''''''''''' ''''''''''</w:t>
            </w:r>
          </w:p>
        </w:tc>
        <w:tc>
          <w:tcPr>
            <w:tcW w:w="673" w:type="pct"/>
            <w:vMerge/>
            <w:tcBorders>
              <w:left w:val="nil"/>
              <w:right w:val="single" w:sz="4" w:space="0" w:color="auto"/>
            </w:tcBorders>
          </w:tcPr>
          <w:p w:rsidR="00022D31" w:rsidRPr="00B51DEF" w:rsidRDefault="00022D31" w:rsidP="009467BF">
            <w:pPr>
              <w:pStyle w:val="Tabletext"/>
              <w:jc w:val="center"/>
              <w:rPr>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pStyle w:val="Tabletext"/>
              <w:jc w:val="center"/>
              <w:rPr>
                <w:i/>
                <w:sz w:val="16"/>
                <w:szCs w:val="16"/>
                <w:highlight w:val="black"/>
              </w:rPr>
            </w:pPr>
            <w:r>
              <w:rPr>
                <w:i/>
                <w:noProof/>
                <w:color w:val="000000"/>
                <w:sz w:val="16"/>
                <w:szCs w:val="16"/>
                <w:highlight w:val="black"/>
              </w:rPr>
              <w:t>'''' ''''''' '''''</w:t>
            </w:r>
          </w:p>
        </w:tc>
      </w:tr>
      <w:tr w:rsidR="00022D31" w:rsidRPr="00B51DEF" w:rsidTr="006D40D3">
        <w:trPr>
          <w:trHeight w:val="112"/>
        </w:trPr>
        <w:tc>
          <w:tcPr>
            <w:tcW w:w="1019" w:type="pct"/>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Pooled 5/10mg ITT</w:t>
            </w:r>
          </w:p>
        </w:tc>
        <w:tc>
          <w:tcPr>
            <w:tcW w:w="605"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214/395 (54.2)</w:t>
            </w:r>
          </w:p>
        </w:tc>
        <w:tc>
          <w:tcPr>
            <w:tcW w:w="582"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Cs/>
                <w:sz w:val="18"/>
                <w:szCs w:val="18"/>
              </w:rPr>
              <w:t>38/198 (19.2)</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2.82 (2.09, 3.81)</w:t>
            </w: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0.35 (0.28, 0.48)</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3 (2, 4)</w:t>
            </w:r>
          </w:p>
        </w:tc>
      </w:tr>
      <w:tr w:rsidR="00022D31" w:rsidRPr="00B51DEF" w:rsidTr="006D40D3">
        <w:trPr>
          <w:trHeight w:val="112"/>
        </w:trPr>
        <w:tc>
          <w:tcPr>
            <w:tcW w:w="1019" w:type="pct"/>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Pooled 5/10mg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05" w:type="pct"/>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582"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FFFFFF" w:themeFill="background1"/>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12"/>
        </w:trPr>
        <w:tc>
          <w:tcPr>
            <w:tcW w:w="1019" w:type="pct"/>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 xml:space="preserve">Pooled 5/10mg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605" w:type="pct"/>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582" w:type="pct"/>
            <w:tcBorders>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rPr>
                <w:rFonts w:ascii="Arial Narrow" w:hAnsi="Arial Narrow"/>
                <w:b/>
                <w:bCs/>
                <w:iCs/>
                <w:sz w:val="18"/>
                <w:szCs w:val="18"/>
              </w:rPr>
            </w:pPr>
            <w:r w:rsidRPr="00B51DEF">
              <w:rPr>
                <w:rFonts w:ascii="Arial Narrow" w:hAnsi="Arial Narrow"/>
                <w:b/>
                <w:bCs/>
                <w:iCs/>
                <w:sz w:val="18"/>
                <w:szCs w:val="18"/>
              </w:rPr>
              <w:t>GOL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30&amp;54)</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Cs/>
                <w:sz w:val="18"/>
                <w:szCs w:val="18"/>
              </w:rPr>
            </w:pP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1019" w:type="pct"/>
            <w:shd w:val="clear" w:color="auto" w:fill="auto"/>
          </w:tcPr>
          <w:p w:rsidR="00022D31" w:rsidRPr="00B51DEF" w:rsidRDefault="00022D31" w:rsidP="009467BF">
            <w:pPr>
              <w:widowControl/>
              <w:jc w:val="left"/>
              <w:rPr>
                <w:rFonts w:ascii="Arial Narrow" w:hAnsi="Arial Narrow"/>
                <w:b/>
                <w:bCs/>
                <w:iCs/>
                <w:sz w:val="18"/>
                <w:szCs w:val="18"/>
              </w:rPr>
            </w:pPr>
            <w:r w:rsidRPr="00B51DEF">
              <w:rPr>
                <w:rFonts w:ascii="Arial Narrow" w:hAnsi="Arial Narrow"/>
                <w:iCs/>
                <w:sz w:val="18"/>
                <w:szCs w:val="18"/>
              </w:rPr>
              <w:t>PURSUIT-M,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05"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75/151 (49.7)</w:t>
            </w:r>
          </w:p>
        </w:tc>
        <w:tc>
          <w:tcPr>
            <w:tcW w:w="582"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48/154 (31.2)</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1.59 (1.20, 2.12)</w:t>
            </w: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0.19 (0.08, 0.29)</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5 (3, 12.5)</w:t>
            </w:r>
          </w:p>
        </w:tc>
      </w:tr>
      <w:tr w:rsidR="00022D31" w:rsidRPr="00B51DEF" w:rsidTr="006D40D3">
        <w:trPr>
          <w:trHeight w:val="170"/>
        </w:trPr>
        <w:tc>
          <w:tcPr>
            <w:tcW w:w="1019" w:type="pct"/>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PURSUIT-J ITT/</w:t>
            </w:r>
            <w:proofErr w:type="spellStart"/>
            <w:r w:rsidRPr="00B51DEF">
              <w:rPr>
                <w:rFonts w:ascii="Arial Narrow" w:hAnsi="Arial Narrow"/>
                <w:iCs/>
                <w:sz w:val="18"/>
                <w:szCs w:val="18"/>
              </w:rPr>
              <w:t>TNFi</w:t>
            </w:r>
            <w:proofErr w:type="spellEnd"/>
            <w:r w:rsidRPr="00B51DEF">
              <w:rPr>
                <w:rFonts w:ascii="Arial Narrow" w:hAnsi="Arial Narrow"/>
                <w:iCs/>
                <w:sz w:val="18"/>
                <w:szCs w:val="18"/>
              </w:rPr>
              <w:t>-n</w:t>
            </w:r>
          </w:p>
        </w:tc>
        <w:tc>
          <w:tcPr>
            <w:tcW w:w="605"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18/32 (56.3)</w:t>
            </w:r>
          </w:p>
        </w:tc>
        <w:tc>
          <w:tcPr>
            <w:tcW w:w="582"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6/31 (19.4)</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2.91 (1.33, 6.35)</w:t>
            </w: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0.37 (0.15, 0.59)</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4 (2, 50)</w:t>
            </w:r>
          </w:p>
        </w:tc>
      </w:tr>
      <w:tr w:rsidR="00022D31" w:rsidRPr="00B51DEF" w:rsidTr="006D40D3">
        <w:trPr>
          <w:trHeight w:val="170"/>
        </w:trPr>
        <w:tc>
          <w:tcPr>
            <w:tcW w:w="1019" w:type="pct"/>
            <w:shd w:val="clear" w:color="auto" w:fill="auto"/>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Meta</w:t>
            </w:r>
          </w:p>
        </w:tc>
        <w:tc>
          <w:tcPr>
            <w:tcW w:w="605"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93/183 (50.8)</w:t>
            </w:r>
          </w:p>
        </w:tc>
        <w:tc>
          <w:tcPr>
            <w:tcW w:w="582"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54/185 (29.2)</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1.74 (1.33, 2.28)</w:t>
            </w: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0.22 (0.12, 0.31)</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4.5 (3, 8)</w:t>
            </w:r>
          </w:p>
        </w:tc>
      </w:tr>
      <w:tr w:rsidR="00022D31" w:rsidRPr="00B51DEF" w:rsidTr="006D40D3">
        <w:trPr>
          <w:trHeight w:val="70"/>
        </w:trPr>
        <w:tc>
          <w:tcPr>
            <w:tcW w:w="2206" w:type="pct"/>
            <w:gridSpan w:val="3"/>
            <w:tcBorders>
              <w:right w:val="single" w:sz="4" w:space="0" w:color="auto"/>
            </w:tcBorders>
            <w:shd w:val="clear" w:color="auto" w:fill="auto"/>
            <w:vAlign w:val="center"/>
          </w:tcPr>
          <w:p w:rsidR="00022D31" w:rsidRPr="00B51DEF" w:rsidRDefault="00022D31" w:rsidP="009467BF">
            <w:pPr>
              <w:widowControl/>
              <w:rPr>
                <w:rFonts w:ascii="Arial Narrow" w:hAnsi="Arial Narrow"/>
                <w:b/>
                <w:bCs/>
                <w:iCs/>
                <w:sz w:val="18"/>
                <w:szCs w:val="18"/>
              </w:rPr>
            </w:pPr>
            <w:r w:rsidRPr="00B51DEF">
              <w:rPr>
                <w:rFonts w:ascii="Arial Narrow" w:hAnsi="Arial Narrow"/>
                <w:b/>
                <w:bCs/>
                <w:iCs/>
                <w:sz w:val="18"/>
                <w:szCs w:val="18"/>
              </w:rPr>
              <w:t>VDZ v PBO (</w:t>
            </w:r>
            <w:proofErr w:type="spellStart"/>
            <w:r w:rsidRPr="00B51DEF">
              <w:rPr>
                <w:rFonts w:ascii="Arial Narrow" w:hAnsi="Arial Narrow"/>
                <w:b/>
                <w:bCs/>
                <w:iCs/>
                <w:sz w:val="18"/>
                <w:szCs w:val="18"/>
              </w:rPr>
              <w:t>Wk</w:t>
            </w:r>
            <w:proofErr w:type="spellEnd"/>
            <w:r w:rsidRPr="00B51DEF">
              <w:rPr>
                <w:rFonts w:ascii="Arial Narrow" w:hAnsi="Arial Narrow"/>
                <w:b/>
                <w:bCs/>
                <w:iCs/>
                <w:sz w:val="18"/>
                <w:szCs w:val="18"/>
              </w:rPr>
              <w:t xml:space="preserve"> 6&amp;52)</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Cs/>
                <w:sz w:val="18"/>
                <w:szCs w:val="18"/>
              </w:rPr>
            </w:pP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Cs/>
                <w:sz w:val="18"/>
                <w:szCs w:val="18"/>
              </w:rPr>
            </w:pP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1019" w:type="pct"/>
            <w:shd w:val="clear" w:color="auto" w:fill="auto"/>
            <w:vAlign w:val="center"/>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GEMINI 1, ITT</w:t>
            </w:r>
          </w:p>
        </w:tc>
        <w:tc>
          <w:tcPr>
            <w:tcW w:w="605"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69/122 (56.6)</w:t>
            </w:r>
          </w:p>
        </w:tc>
        <w:tc>
          <w:tcPr>
            <w:tcW w:w="582"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30/126 (23.8)</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2.38 (1.68, 3.37)</w:t>
            </w: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0.33 (0.21, 0.44)</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3 (2, 5)</w:t>
            </w:r>
          </w:p>
        </w:tc>
      </w:tr>
      <w:tr w:rsidR="00022D31" w:rsidRPr="00B51DEF" w:rsidTr="006D40D3">
        <w:trPr>
          <w:trHeight w:val="170"/>
        </w:trPr>
        <w:tc>
          <w:tcPr>
            <w:tcW w:w="1019" w:type="pct"/>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GEMINI 1, </w:t>
            </w:r>
            <w:proofErr w:type="spellStart"/>
            <w:r w:rsidRPr="00B51DEF">
              <w:rPr>
                <w:rFonts w:ascii="Arial Narrow" w:hAnsi="Arial Narrow"/>
                <w:i/>
                <w:sz w:val="18"/>
                <w:szCs w:val="18"/>
              </w:rPr>
              <w:t>TNFi</w:t>
            </w:r>
            <w:proofErr w:type="spellEnd"/>
            <w:r w:rsidRPr="00B51DEF">
              <w:rPr>
                <w:rFonts w:ascii="Arial Narrow" w:hAnsi="Arial Narrow"/>
                <w:i/>
                <w:sz w:val="18"/>
                <w:szCs w:val="18"/>
              </w:rPr>
              <w:t>-n</w:t>
            </w:r>
          </w:p>
        </w:tc>
        <w:tc>
          <w:tcPr>
            <w:tcW w:w="605"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47/72 (65.3)</w:t>
            </w:r>
          </w:p>
        </w:tc>
        <w:tc>
          <w:tcPr>
            <w:tcW w:w="582"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21/79 (26.6)</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2.46 (1.64, 3.68)</w:t>
            </w: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0.39 (0.24, 0.53)</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3 (2, 4)</w:t>
            </w:r>
          </w:p>
        </w:tc>
      </w:tr>
      <w:tr w:rsidR="00022D31" w:rsidRPr="00B51DEF" w:rsidTr="006D40D3">
        <w:trPr>
          <w:trHeight w:val="170"/>
        </w:trPr>
        <w:tc>
          <w:tcPr>
            <w:tcW w:w="1019" w:type="pct"/>
            <w:shd w:val="clear" w:color="auto" w:fill="auto"/>
          </w:tcPr>
          <w:p w:rsidR="00022D31" w:rsidRPr="00B51DEF" w:rsidRDefault="00022D31" w:rsidP="009467BF">
            <w:pPr>
              <w:widowControl/>
              <w:jc w:val="left"/>
              <w:rPr>
                <w:rFonts w:ascii="Arial Narrow" w:hAnsi="Arial Narrow"/>
                <w:iCs/>
                <w:sz w:val="18"/>
                <w:szCs w:val="18"/>
              </w:rPr>
            </w:pPr>
            <w:r w:rsidRPr="00B51DEF">
              <w:rPr>
                <w:rFonts w:ascii="Arial Narrow" w:hAnsi="Arial Narrow"/>
                <w:iCs/>
                <w:sz w:val="18"/>
                <w:szCs w:val="18"/>
              </w:rPr>
              <w:t xml:space="preserve">GEMINI 1, </w:t>
            </w:r>
            <w:proofErr w:type="spellStart"/>
            <w:r w:rsidRPr="00B51DEF">
              <w:rPr>
                <w:rFonts w:ascii="Arial Narrow" w:hAnsi="Arial Narrow"/>
                <w:i/>
                <w:sz w:val="18"/>
                <w:szCs w:val="18"/>
              </w:rPr>
              <w:t>TNFi</w:t>
            </w:r>
            <w:proofErr w:type="spellEnd"/>
            <w:r w:rsidRPr="00B51DEF">
              <w:rPr>
                <w:rFonts w:ascii="Arial Narrow" w:hAnsi="Arial Narrow"/>
                <w:i/>
                <w:sz w:val="18"/>
                <w:szCs w:val="18"/>
              </w:rPr>
              <w:t>-e*</w:t>
            </w:r>
          </w:p>
        </w:tc>
        <w:tc>
          <w:tcPr>
            <w:tcW w:w="605" w:type="pct"/>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20/43 (46.5)</w:t>
            </w:r>
          </w:p>
        </w:tc>
        <w:tc>
          <w:tcPr>
            <w:tcW w:w="582" w:type="pct"/>
            <w:tcBorders>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r w:rsidRPr="00B51DEF">
              <w:rPr>
                <w:rFonts w:ascii="Arial Narrow" w:hAnsi="Arial Narrow"/>
                <w:i/>
                <w:sz w:val="18"/>
                <w:szCs w:val="18"/>
              </w:rPr>
              <w:t>6/38 (15.8)</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2.95 (1.32, 6.56)</w:t>
            </w: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b/>
                <w:bCs/>
                <w:i/>
                <w:sz w:val="18"/>
                <w:szCs w:val="18"/>
              </w:rPr>
            </w:pPr>
            <w:r w:rsidRPr="00B51DEF">
              <w:rPr>
                <w:rFonts w:ascii="Arial Narrow" w:hAnsi="Arial Narrow"/>
                <w:b/>
                <w:bCs/>
                <w:i/>
                <w:sz w:val="18"/>
                <w:szCs w:val="18"/>
              </w:rPr>
              <w:t>0.31 (0.12, 0.50)</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r w:rsidRPr="00B51DEF">
              <w:rPr>
                <w:rFonts w:ascii="Arial Narrow" w:hAnsi="Arial Narrow"/>
                <w:i/>
                <w:sz w:val="16"/>
                <w:szCs w:val="16"/>
              </w:rPr>
              <w:t>1 (1, 2)</w:t>
            </w:r>
          </w:p>
        </w:tc>
      </w:tr>
      <w:tr w:rsidR="00022D31" w:rsidRPr="00B51DEF" w:rsidTr="006D40D3">
        <w:trPr>
          <w:trHeight w:val="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b/>
                <w:bCs/>
                <w:iCs/>
                <w:sz w:val="18"/>
                <w:szCs w:val="18"/>
              </w:rPr>
            </w:pPr>
            <w:r w:rsidRPr="00B51DEF">
              <w:rPr>
                <w:rFonts w:ascii="Arial Narrow" w:hAnsi="Arial Narrow"/>
                <w:b/>
                <w:bCs/>
                <w:iCs/>
                <w:sz w:val="18"/>
                <w:szCs w:val="18"/>
              </w:rPr>
              <w:t>Indirect comparisons ITT</w:t>
            </w:r>
          </w:p>
        </w:tc>
        <w:tc>
          <w:tcPr>
            <w:tcW w:w="72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8"/>
                <w:szCs w:val="18"/>
              </w:rPr>
            </w:pPr>
          </w:p>
        </w:tc>
        <w:tc>
          <w:tcPr>
            <w:tcW w:w="991" w:type="pct"/>
            <w:tcBorders>
              <w:top w:val="nil"/>
              <w:left w:val="single" w:sz="4" w:space="0" w:color="auto"/>
              <w:bottom w:val="nil"/>
              <w:right w:val="nil"/>
            </w:tcBorders>
            <w:shd w:val="clear" w:color="auto" w:fill="auto"/>
            <w:vAlign w:val="center"/>
          </w:tcPr>
          <w:p w:rsidR="00022D31" w:rsidRPr="00B51DEF" w:rsidRDefault="00022D31" w:rsidP="009467BF">
            <w:pPr>
              <w:widowControl/>
              <w:jc w:val="center"/>
              <w:rPr>
                <w:rFonts w:ascii="Arial Narrow" w:hAnsi="Arial Narrow"/>
                <w:i/>
                <w:sz w:val="18"/>
                <w:szCs w:val="18"/>
              </w:rPr>
            </w:pP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B51DEF" w:rsidRDefault="00022D31" w:rsidP="009467BF">
            <w:pPr>
              <w:widowControl/>
              <w:jc w:val="center"/>
              <w:rPr>
                <w:rFonts w:ascii="Arial Narrow" w:hAnsi="Arial Narrow"/>
                <w:i/>
                <w:sz w:val="16"/>
                <w:szCs w:val="16"/>
              </w:rPr>
            </w:pP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5mg v GOL (Meta)</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10mg v GOL (Meta)</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5/10mg (Pooled) v GOL (Meta)</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5mg v VDZ</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10mg v VDZ</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iCs/>
                <w:sz w:val="18"/>
                <w:szCs w:val="18"/>
              </w:rPr>
              <w:t>TOF 5/10mg (Pooled) v VDZ</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Cs/>
                <w:sz w:val="18"/>
                <w:szCs w:val="18"/>
              </w:rPr>
            </w:pPr>
            <w:r w:rsidRPr="00B51DEF">
              <w:rPr>
                <w:rFonts w:ascii="Arial Narrow" w:hAnsi="Arial Narrow"/>
                <w:b/>
                <w:bCs/>
                <w:iCs/>
                <w:sz w:val="18"/>
                <w:szCs w:val="18"/>
              </w:rPr>
              <w:t xml:space="preserve">Indirect comparisons, </w:t>
            </w:r>
            <w:proofErr w:type="spellStart"/>
            <w:r w:rsidRPr="00B51DEF">
              <w:rPr>
                <w:rFonts w:ascii="Arial Narrow" w:hAnsi="Arial Narrow"/>
                <w:b/>
                <w:bCs/>
                <w:iCs/>
                <w:sz w:val="18"/>
                <w:szCs w:val="18"/>
              </w:rPr>
              <w:t>TNFi</w:t>
            </w:r>
            <w:proofErr w:type="spellEnd"/>
            <w:r w:rsidRPr="00B51DEF">
              <w:rPr>
                <w:rFonts w:ascii="Arial Narrow" w:hAnsi="Arial Narrow"/>
                <w:b/>
                <w:bCs/>
                <w:iCs/>
                <w:sz w:val="18"/>
                <w:szCs w:val="18"/>
              </w:rPr>
              <w:t>-n</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i/>
                <w:sz w:val="18"/>
                <w:szCs w:val="18"/>
              </w:rPr>
            </w:pPr>
          </w:p>
        </w:tc>
        <w:tc>
          <w:tcPr>
            <w:tcW w:w="991" w:type="pct"/>
            <w:tcBorders>
              <w:top w:val="nil"/>
              <w:left w:val="single" w:sz="4" w:space="0" w:color="auto"/>
              <w:bottom w:val="nil"/>
              <w:right w:val="nil"/>
            </w:tcBorders>
            <w:shd w:val="clear" w:color="auto" w:fill="auto"/>
            <w:vAlign w:val="center"/>
          </w:tcPr>
          <w:p w:rsidR="00022D31" w:rsidRPr="00922EF4" w:rsidRDefault="00022D31" w:rsidP="009467BF">
            <w:pPr>
              <w:widowControl/>
              <w:jc w:val="center"/>
              <w:rPr>
                <w:rFonts w:ascii="Arial Narrow" w:hAnsi="Arial Narrow"/>
                <w:i/>
                <w:sz w:val="18"/>
                <w:szCs w:val="18"/>
              </w:rPr>
            </w:pP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i/>
                <w:sz w:val="16"/>
                <w:szCs w:val="16"/>
              </w:rPr>
            </w:pP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b/>
                <w:bCs/>
                <w:iCs/>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5mg v GOL (Meta)</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10mg v GOL (Meta)</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
                <w:bCs/>
                <w:i/>
                <w:sz w:val="18"/>
                <w:szCs w:val="18"/>
                <w:highlight w:val="black"/>
              </w:rPr>
            </w:pPr>
            <w:r>
              <w:rPr>
                <w:rFonts w:ascii="Arial Narrow" w:hAnsi="Arial Narrow"/>
                <w:b/>
                <w:bCs/>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 '''''' ''''''''</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5/10mg (Pooled) v GOL (Meta)</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bCs/>
                <w:i/>
                <w:sz w:val="18"/>
                <w:szCs w:val="18"/>
                <w:highlight w:val="black"/>
              </w:rPr>
            </w:pPr>
            <w:r>
              <w:rPr>
                <w:rFonts w:ascii="Arial Narrow" w:hAnsi="Arial Narrow"/>
                <w:bCs/>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5mg v VDZ</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10mg v VDZ</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-n 5/10mg (Pooled) v VDZ</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b/>
                <w:bCs/>
                <w:iCs/>
                <w:sz w:val="18"/>
                <w:szCs w:val="18"/>
              </w:rPr>
              <w:t xml:space="preserve">Indirect comparisons, </w:t>
            </w:r>
            <w:proofErr w:type="spellStart"/>
            <w:r w:rsidRPr="00B51DEF">
              <w:rPr>
                <w:rFonts w:ascii="Arial Narrow" w:hAnsi="Arial Narrow"/>
                <w:b/>
                <w:bCs/>
                <w:iCs/>
                <w:sz w:val="18"/>
                <w:szCs w:val="18"/>
              </w:rPr>
              <w:t>TNFi</w:t>
            </w:r>
            <w:proofErr w:type="spellEnd"/>
            <w:r w:rsidRPr="00B51DEF">
              <w:rPr>
                <w:rFonts w:ascii="Arial Narrow" w:hAnsi="Arial Narrow"/>
                <w:b/>
                <w:bCs/>
                <w:iCs/>
                <w:sz w:val="18"/>
                <w:szCs w:val="18"/>
              </w:rPr>
              <w:t>-e</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b/>
                <w:bCs/>
                <w:i/>
                <w:sz w:val="18"/>
                <w:szCs w:val="18"/>
              </w:rPr>
            </w:pPr>
          </w:p>
        </w:tc>
        <w:tc>
          <w:tcPr>
            <w:tcW w:w="991" w:type="pct"/>
            <w:tcBorders>
              <w:top w:val="nil"/>
              <w:left w:val="single" w:sz="4" w:space="0" w:color="auto"/>
              <w:bottom w:val="nil"/>
              <w:right w:val="nil"/>
            </w:tcBorders>
            <w:shd w:val="clear" w:color="auto" w:fill="auto"/>
            <w:vAlign w:val="center"/>
          </w:tcPr>
          <w:p w:rsidR="00022D31" w:rsidRPr="00922EF4" w:rsidRDefault="00022D31" w:rsidP="009467BF">
            <w:pPr>
              <w:widowControl/>
              <w:jc w:val="center"/>
              <w:rPr>
                <w:rFonts w:ascii="Arial Narrow" w:hAnsi="Arial Narrow"/>
                <w:b/>
                <w:bCs/>
                <w:i/>
                <w:sz w:val="18"/>
                <w:szCs w:val="18"/>
              </w:rPr>
            </w:pP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022D31" w:rsidP="009467BF">
            <w:pPr>
              <w:widowControl/>
              <w:jc w:val="center"/>
              <w:rPr>
                <w:rFonts w:ascii="Arial Narrow" w:hAnsi="Arial Narrow"/>
                <w:i/>
                <w:sz w:val="16"/>
                <w:szCs w:val="16"/>
              </w:rPr>
            </w:pP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b/>
                <w:bCs/>
                <w:iCs/>
                <w:sz w:val="18"/>
                <w:szCs w:val="18"/>
              </w:rPr>
            </w:pPr>
            <w:r w:rsidRPr="00B51DEF">
              <w:rPr>
                <w:rFonts w:ascii="Arial Narrow" w:hAnsi="Arial Narrow"/>
                <w:i/>
                <w:sz w:val="18"/>
                <w:szCs w:val="18"/>
              </w:rPr>
              <w:t>TOF/TNF-e-n 5mg v VDZ</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vAlign w:val="center"/>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-e 10mg v VDZ</w:t>
            </w:r>
          </w:p>
        </w:tc>
        <w:tc>
          <w:tcPr>
            <w:tcW w:w="72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nil"/>
              <w:right w:val="nil"/>
            </w:tcBorders>
            <w:shd w:val="clear" w:color="auto" w:fill="auto"/>
            <w:vAlign w:val="center"/>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nil"/>
              <w:right w:val="single" w:sz="4" w:space="0" w:color="auto"/>
            </w:tcBorders>
            <w:shd w:val="clear" w:color="auto" w:fill="auto"/>
            <w:vAlign w:val="center"/>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r w:rsidR="00022D31" w:rsidRPr="00B51DEF" w:rsidTr="006D40D3">
        <w:trPr>
          <w:trHeight w:val="170"/>
        </w:trPr>
        <w:tc>
          <w:tcPr>
            <w:tcW w:w="2206" w:type="pct"/>
            <w:gridSpan w:val="3"/>
            <w:tcBorders>
              <w:right w:val="single" w:sz="4" w:space="0" w:color="auto"/>
            </w:tcBorders>
            <w:shd w:val="clear" w:color="auto" w:fill="auto"/>
          </w:tcPr>
          <w:p w:rsidR="00022D31" w:rsidRPr="00B51DEF" w:rsidRDefault="00022D31" w:rsidP="009467BF">
            <w:pPr>
              <w:widowControl/>
              <w:jc w:val="right"/>
              <w:rPr>
                <w:rFonts w:ascii="Arial Narrow" w:hAnsi="Arial Narrow"/>
                <w:i/>
                <w:sz w:val="18"/>
                <w:szCs w:val="18"/>
              </w:rPr>
            </w:pPr>
            <w:r w:rsidRPr="00B51DEF">
              <w:rPr>
                <w:rFonts w:ascii="Arial Narrow" w:hAnsi="Arial Narrow"/>
                <w:i/>
                <w:sz w:val="18"/>
                <w:szCs w:val="18"/>
              </w:rPr>
              <w:t>TOF/</w:t>
            </w:r>
            <w:proofErr w:type="spellStart"/>
            <w:r w:rsidRPr="00B51DEF">
              <w:rPr>
                <w:rFonts w:ascii="Arial Narrow" w:hAnsi="Arial Narrow"/>
                <w:i/>
                <w:sz w:val="18"/>
                <w:szCs w:val="18"/>
              </w:rPr>
              <w:t>TNFi</w:t>
            </w:r>
            <w:proofErr w:type="spellEnd"/>
            <w:r w:rsidRPr="00B51DEF">
              <w:rPr>
                <w:rFonts w:ascii="Arial Narrow" w:hAnsi="Arial Narrow"/>
                <w:i/>
                <w:sz w:val="18"/>
                <w:szCs w:val="18"/>
              </w:rPr>
              <w:t>-e 5/10mg (Pooled) v VDZ</w:t>
            </w:r>
          </w:p>
        </w:tc>
        <w:tc>
          <w:tcPr>
            <w:tcW w:w="720" w:type="pct"/>
            <w:tcBorders>
              <w:top w:val="nil"/>
              <w:left w:val="single" w:sz="4" w:space="0" w:color="auto"/>
              <w:bottom w:val="single" w:sz="4" w:space="0" w:color="auto"/>
              <w:right w:val="single" w:sz="4" w:space="0" w:color="auto"/>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991" w:type="pct"/>
            <w:tcBorders>
              <w:top w:val="nil"/>
              <w:left w:val="single" w:sz="4" w:space="0" w:color="auto"/>
              <w:bottom w:val="single" w:sz="4" w:space="0" w:color="auto"/>
              <w:right w:val="nil"/>
            </w:tcBorders>
            <w:shd w:val="clear" w:color="auto" w:fill="auto"/>
          </w:tcPr>
          <w:p w:rsidR="00022D31" w:rsidRPr="00922EF4" w:rsidRDefault="00922EF4" w:rsidP="009467BF">
            <w:pPr>
              <w:widowControl/>
              <w:jc w:val="center"/>
              <w:rPr>
                <w:rFonts w:ascii="Arial Narrow" w:hAnsi="Arial Narrow"/>
                <w:i/>
                <w:sz w:val="18"/>
                <w:szCs w:val="18"/>
                <w:highlight w:val="black"/>
              </w:rPr>
            </w:pPr>
            <w:r>
              <w:rPr>
                <w:rFonts w:ascii="Arial Narrow" w:hAnsi="Arial Narrow"/>
                <w:i/>
                <w:noProof/>
                <w:color w:val="000000"/>
                <w:sz w:val="18"/>
                <w:szCs w:val="18"/>
                <w:highlight w:val="black"/>
              </w:rPr>
              <w:t>''''''''''' ''''''''''''''' '''''''''''''</w:t>
            </w:r>
          </w:p>
        </w:tc>
        <w:tc>
          <w:tcPr>
            <w:tcW w:w="673" w:type="pct"/>
            <w:vMerge/>
            <w:tcBorders>
              <w:left w:val="nil"/>
              <w:bottom w:val="single" w:sz="4" w:space="0" w:color="auto"/>
              <w:right w:val="single" w:sz="4" w:space="0" w:color="auto"/>
            </w:tcBorders>
          </w:tcPr>
          <w:p w:rsidR="00022D31" w:rsidRPr="00B51DEF" w:rsidRDefault="00022D31" w:rsidP="009467BF">
            <w:pPr>
              <w:widowControl/>
              <w:jc w:val="center"/>
              <w:rPr>
                <w:rFonts w:ascii="Arial Narrow" w:hAnsi="Arial Narrow"/>
                <w:i/>
                <w:sz w:val="16"/>
                <w:szCs w:val="16"/>
              </w:rPr>
            </w:pPr>
          </w:p>
        </w:tc>
        <w:tc>
          <w:tcPr>
            <w:tcW w:w="410" w:type="pct"/>
            <w:tcBorders>
              <w:top w:val="nil"/>
              <w:left w:val="single" w:sz="4" w:space="0" w:color="auto"/>
              <w:bottom w:val="single" w:sz="4" w:space="0" w:color="auto"/>
              <w:right w:val="single" w:sz="4" w:space="0" w:color="auto"/>
            </w:tcBorders>
            <w:shd w:val="clear" w:color="auto" w:fill="auto"/>
          </w:tcPr>
          <w:p w:rsidR="00022D31" w:rsidRPr="00922EF4" w:rsidRDefault="00922EF4" w:rsidP="009467BF">
            <w:pPr>
              <w:widowControl/>
              <w:jc w:val="center"/>
              <w:rPr>
                <w:rFonts w:ascii="Arial Narrow" w:hAnsi="Arial Narrow"/>
                <w:i/>
                <w:sz w:val="16"/>
                <w:szCs w:val="16"/>
                <w:highlight w:val="black"/>
              </w:rPr>
            </w:pPr>
            <w:r>
              <w:rPr>
                <w:rFonts w:ascii="Arial Narrow" w:hAnsi="Arial Narrow"/>
                <w:i/>
                <w:noProof/>
                <w:color w:val="000000"/>
                <w:sz w:val="16"/>
                <w:szCs w:val="16"/>
                <w:highlight w:val="black"/>
              </w:rPr>
              <w:t>''''''''</w:t>
            </w:r>
          </w:p>
        </w:tc>
      </w:tr>
    </w:tbl>
    <w:p w:rsidR="00022D31" w:rsidRPr="00B51DEF" w:rsidRDefault="00022D31" w:rsidP="009467BF">
      <w:pPr>
        <w:widowControl/>
        <w:rPr>
          <w:rStyle w:val="CommentReference"/>
          <w:b w:val="0"/>
          <w:bCs/>
          <w:sz w:val="16"/>
        </w:rPr>
      </w:pPr>
      <w:r w:rsidRPr="00B51DEF">
        <w:rPr>
          <w:rStyle w:val="CommentReference"/>
          <w:b w:val="0"/>
          <w:bCs/>
          <w:sz w:val="16"/>
        </w:rPr>
        <w:t xml:space="preserve">Source: Table 2.5.10 (p85), Table 2.6.4 (p120) of the submission; </w:t>
      </w:r>
      <w:proofErr w:type="spellStart"/>
      <w:r w:rsidRPr="00B51DEF">
        <w:rPr>
          <w:rStyle w:val="CommentReference"/>
          <w:b w:val="0"/>
          <w:bCs/>
          <w:sz w:val="16"/>
        </w:rPr>
        <w:t>Faegan</w:t>
      </w:r>
      <w:proofErr w:type="spellEnd"/>
      <w:r w:rsidRPr="00B51DEF">
        <w:rPr>
          <w:rStyle w:val="CommentReference"/>
          <w:b w:val="0"/>
          <w:bCs/>
          <w:sz w:val="16"/>
        </w:rPr>
        <w:t xml:space="preserve"> 2013, </w:t>
      </w:r>
      <w:proofErr w:type="spellStart"/>
      <w:r w:rsidRPr="00B51DEF">
        <w:rPr>
          <w:rStyle w:val="CommentReference"/>
          <w:b w:val="0"/>
          <w:bCs/>
          <w:sz w:val="16"/>
        </w:rPr>
        <w:t>Faegan</w:t>
      </w:r>
      <w:proofErr w:type="spellEnd"/>
      <w:r w:rsidRPr="00B51DEF">
        <w:rPr>
          <w:rStyle w:val="CommentReference"/>
          <w:b w:val="0"/>
          <w:bCs/>
          <w:sz w:val="16"/>
        </w:rPr>
        <w:t xml:space="preserve"> 2017, </w:t>
      </w:r>
      <w:proofErr w:type="spellStart"/>
      <w:r w:rsidRPr="00B51DEF">
        <w:rPr>
          <w:rStyle w:val="CommentReference"/>
          <w:b w:val="0"/>
          <w:bCs/>
          <w:sz w:val="16"/>
        </w:rPr>
        <w:t>Hibi</w:t>
      </w:r>
      <w:proofErr w:type="spellEnd"/>
      <w:r w:rsidRPr="00B51DEF">
        <w:rPr>
          <w:rStyle w:val="CommentReference"/>
          <w:b w:val="0"/>
          <w:bCs/>
          <w:sz w:val="16"/>
        </w:rPr>
        <w:t xml:space="preserve"> 2017, </w:t>
      </w:r>
      <w:proofErr w:type="spellStart"/>
      <w:r w:rsidRPr="00B51DEF">
        <w:rPr>
          <w:rStyle w:val="CommentReference"/>
          <w:b w:val="0"/>
          <w:bCs/>
          <w:sz w:val="16"/>
        </w:rPr>
        <w:t>Sandborn</w:t>
      </w:r>
      <w:proofErr w:type="spellEnd"/>
      <w:r w:rsidRPr="00B51DEF">
        <w:rPr>
          <w:rStyle w:val="CommentReference"/>
          <w:b w:val="0"/>
          <w:bCs/>
          <w:sz w:val="16"/>
        </w:rPr>
        <w:t xml:space="preserve"> 2014</w:t>
      </w:r>
    </w:p>
    <w:p w:rsidR="00022D31" w:rsidRPr="00B51DEF" w:rsidRDefault="00022D31" w:rsidP="009467BF">
      <w:pPr>
        <w:widowControl/>
        <w:rPr>
          <w:rStyle w:val="CommentReference"/>
          <w:b w:val="0"/>
          <w:bCs/>
          <w:sz w:val="16"/>
        </w:rPr>
      </w:pPr>
      <w:r w:rsidRPr="00B51DEF">
        <w:rPr>
          <w:rStyle w:val="CommentReference"/>
          <w:b w:val="0"/>
          <w:bCs/>
          <w:sz w:val="16"/>
        </w:rPr>
        <w:t>Italics indicate results estimated during the evaluation</w:t>
      </w:r>
    </w:p>
    <w:p w:rsidR="00022D31" w:rsidRPr="00B51DEF" w:rsidRDefault="00022D31" w:rsidP="009467BF">
      <w:pPr>
        <w:widowControl/>
        <w:rPr>
          <w:rStyle w:val="CommentReference"/>
          <w:b w:val="0"/>
          <w:bCs/>
          <w:sz w:val="16"/>
        </w:rPr>
      </w:pPr>
      <w:r w:rsidRPr="00B51DEF">
        <w:rPr>
          <w:rStyle w:val="CommentReference"/>
          <w:b w:val="0"/>
          <w:bCs/>
          <w:sz w:val="16"/>
        </w:rPr>
        <w:t>. Bold typography indicate statistically significant differences. Blue line crossing zero.</w:t>
      </w:r>
    </w:p>
    <w:p w:rsidR="00022D31" w:rsidRPr="00B51DEF" w:rsidRDefault="00022D31" w:rsidP="009467BF">
      <w:pPr>
        <w:widowControl/>
        <w:tabs>
          <w:tab w:val="left" w:pos="142"/>
        </w:tabs>
        <w:rPr>
          <w:rStyle w:val="CommentReference"/>
          <w:b w:val="0"/>
          <w:sz w:val="16"/>
          <w:szCs w:val="18"/>
        </w:rPr>
      </w:pPr>
      <w:r w:rsidRPr="00B51DEF">
        <w:rPr>
          <w:rStyle w:val="CommentReference"/>
          <w:bCs/>
          <w:sz w:val="16"/>
          <w:szCs w:val="18"/>
        </w:rPr>
        <w:t>^</w:t>
      </w:r>
      <w:r w:rsidRPr="00B51DEF">
        <w:rPr>
          <w:rStyle w:val="CommentReference"/>
          <w:bCs/>
          <w:sz w:val="16"/>
          <w:szCs w:val="18"/>
        </w:rPr>
        <w:tab/>
      </w:r>
      <w:r w:rsidRPr="00B51DEF">
        <w:rPr>
          <w:rStyle w:val="CommentReference"/>
          <w:b w:val="0"/>
          <w:sz w:val="16"/>
          <w:szCs w:val="18"/>
        </w:rPr>
        <w:t xml:space="preserve">estimated during the evaluation using random effects meta-analysis using </w:t>
      </w:r>
      <w:proofErr w:type="spellStart"/>
      <w:r w:rsidRPr="00B51DEF">
        <w:rPr>
          <w:rStyle w:val="CommentReference"/>
          <w:b w:val="0"/>
          <w:sz w:val="16"/>
          <w:szCs w:val="18"/>
        </w:rPr>
        <w:t>RevMan</w:t>
      </w:r>
      <w:proofErr w:type="spellEnd"/>
      <w:r w:rsidRPr="00B51DEF">
        <w:rPr>
          <w:rStyle w:val="CommentReference"/>
          <w:b w:val="0"/>
          <w:sz w:val="16"/>
          <w:szCs w:val="18"/>
        </w:rPr>
        <w:t xml:space="preserve"> Version 5.3.</w:t>
      </w:r>
    </w:p>
    <w:p w:rsidR="00022D31" w:rsidRPr="00B51DEF" w:rsidRDefault="00022D31" w:rsidP="00C624B2">
      <w:pPr>
        <w:pStyle w:val="ListParagraph"/>
        <w:widowControl/>
        <w:numPr>
          <w:ilvl w:val="1"/>
          <w:numId w:val="3"/>
        </w:numPr>
        <w:spacing w:before="120" w:after="120"/>
        <w:rPr>
          <w:rStyle w:val="CommentReference"/>
          <w:rFonts w:ascii="Calibri" w:hAnsi="Calibri" w:cs="Calibri"/>
          <w:b w:val="0"/>
          <w:iCs/>
          <w:color w:val="000000" w:themeColor="text1"/>
          <w:sz w:val="24"/>
          <w:szCs w:val="24"/>
        </w:rPr>
      </w:pPr>
      <w:r w:rsidRPr="00B51DEF">
        <w:rPr>
          <w:rStyle w:val="CommentReference"/>
          <w:rFonts w:ascii="Calibri" w:hAnsi="Calibri" w:cs="Calibri"/>
          <w:b w:val="0"/>
          <w:iCs/>
          <w:color w:val="000000" w:themeColor="text1"/>
          <w:sz w:val="24"/>
          <w:szCs w:val="24"/>
        </w:rPr>
        <w:t xml:space="preserve">The trial results demonstrated TOF and the relevant </w:t>
      </w:r>
      <w:r w:rsidR="002B40F3" w:rsidRPr="00B51DEF">
        <w:rPr>
          <w:rStyle w:val="CommentReference"/>
          <w:rFonts w:ascii="Calibri" w:hAnsi="Calibri" w:cs="Calibri"/>
          <w:b w:val="0"/>
          <w:iCs/>
          <w:color w:val="000000" w:themeColor="text1"/>
          <w:sz w:val="24"/>
          <w:szCs w:val="24"/>
        </w:rPr>
        <w:t>biological therapies</w:t>
      </w:r>
      <w:r w:rsidRPr="00B51DEF">
        <w:rPr>
          <w:rStyle w:val="CommentReference"/>
          <w:rFonts w:ascii="Calibri" w:hAnsi="Calibri" w:cs="Calibri"/>
          <w:b w:val="0"/>
          <w:iCs/>
          <w:color w:val="000000" w:themeColor="text1"/>
          <w:sz w:val="24"/>
          <w:szCs w:val="24"/>
        </w:rPr>
        <w:t xml:space="preserve"> were more effective than placebo for the outcomes of clinical remission and clinical response following induction therapy, and sustained clinical remission and sustained clinical response in maintenance therapy.</w:t>
      </w:r>
    </w:p>
    <w:p w:rsidR="00022D31" w:rsidRPr="00B51DEF" w:rsidRDefault="00812A0C" w:rsidP="00C624B2">
      <w:pPr>
        <w:keepNext/>
        <w:widowControl/>
        <w:spacing w:before="120" w:after="120"/>
        <w:rPr>
          <w:rFonts w:cs="Calibri"/>
          <w:b/>
          <w:bCs/>
          <w:snapToGrid/>
          <w:color w:val="000000" w:themeColor="text1"/>
          <w:szCs w:val="24"/>
          <w:lang w:eastAsia="en-AU"/>
        </w:rPr>
      </w:pPr>
      <w:r w:rsidRPr="00B51DEF">
        <w:rPr>
          <w:rFonts w:cs="Calibri"/>
          <w:b/>
          <w:bCs/>
          <w:snapToGrid/>
          <w:color w:val="000000" w:themeColor="text1"/>
          <w:szCs w:val="24"/>
          <w:lang w:eastAsia="en-AU"/>
        </w:rPr>
        <w:t xml:space="preserve">Indirect comparison: </w:t>
      </w:r>
      <w:r w:rsidR="00022D31" w:rsidRPr="00B51DEF">
        <w:rPr>
          <w:rFonts w:cs="Calibri"/>
          <w:b/>
          <w:bCs/>
          <w:snapToGrid/>
          <w:color w:val="000000" w:themeColor="text1"/>
          <w:szCs w:val="24"/>
          <w:lang w:eastAsia="en-AU"/>
        </w:rPr>
        <w:t xml:space="preserve"> clinical remission at 6/8 Weeks</w:t>
      </w:r>
    </w:p>
    <w:p w:rsidR="00022D31" w:rsidRPr="00B51DEF" w:rsidRDefault="00022D31" w:rsidP="00C624B2">
      <w:pPr>
        <w:pStyle w:val="ListParagraph"/>
        <w:widowControl/>
        <w:numPr>
          <w:ilvl w:val="1"/>
          <w:numId w:val="3"/>
        </w:numPr>
        <w:spacing w:before="120" w:after="120"/>
        <w:rPr>
          <w:rStyle w:val="CommentReference"/>
          <w:rFonts w:ascii="Calibri" w:hAnsi="Calibri" w:cs="Calibri"/>
          <w:b w:val="0"/>
          <w:iCs/>
          <w:color w:val="000000" w:themeColor="text1"/>
          <w:sz w:val="24"/>
          <w:szCs w:val="24"/>
        </w:rPr>
      </w:pPr>
      <w:r w:rsidRPr="00B51DEF">
        <w:rPr>
          <w:rStyle w:val="CommentReference"/>
          <w:rFonts w:ascii="Calibri" w:hAnsi="Calibri" w:cs="Calibri"/>
          <w:b w:val="0"/>
          <w:iCs/>
          <w:color w:val="000000" w:themeColor="text1"/>
          <w:sz w:val="24"/>
          <w:szCs w:val="24"/>
        </w:rPr>
        <w:t>IFX was significantly more effective than TOF in the ITT population</w:t>
      </w:r>
      <w:r w:rsidR="003B16A8" w:rsidRPr="00B51DEF">
        <w:rPr>
          <w:rStyle w:val="CommentReference"/>
          <w:rFonts w:ascii="Calibri" w:hAnsi="Calibri" w:cs="Calibri"/>
          <w:b w:val="0"/>
          <w:iCs/>
          <w:color w:val="000000" w:themeColor="text1"/>
          <w:sz w:val="24"/>
          <w:szCs w:val="24"/>
        </w:rPr>
        <w:t xml:space="preserve"> based on RD</w:t>
      </w:r>
      <w:r w:rsidRPr="00B51DEF">
        <w:rPr>
          <w:rStyle w:val="CommentReference"/>
          <w:rFonts w:ascii="Calibri" w:hAnsi="Calibri" w:cs="Calibri"/>
          <w:b w:val="0"/>
          <w:iCs/>
          <w:color w:val="000000" w:themeColor="text1"/>
          <w:sz w:val="24"/>
          <w:szCs w:val="24"/>
        </w:rPr>
        <w:t xml:space="preserve">, and remained more effective than TOF when the primary outcome of “remission” (which is more conservative than clinical remission) reported in the OCTAVE trials was used (RD </w:t>
      </w:r>
      <w:r w:rsidR="00922EF4">
        <w:rPr>
          <w:rStyle w:val="CommentReference"/>
          <w:rFonts w:ascii="Calibri" w:hAnsi="Calibri" w:cs="Calibri"/>
          <w:b w:val="0"/>
          <w:iCs/>
          <w:noProof/>
          <w:color w:val="000000"/>
          <w:sz w:val="24"/>
          <w:szCs w:val="24"/>
          <w:highlight w:val="black"/>
        </w:rPr>
        <w:t xml:space="preserve">''''''''' </w:t>
      </w:r>
      <w:r w:rsidRPr="00B51DEF">
        <w:rPr>
          <w:rStyle w:val="CommentReference"/>
          <w:rFonts w:ascii="Calibri" w:hAnsi="Calibri" w:cs="Calibri"/>
          <w:b w:val="0"/>
          <w:iCs/>
          <w:color w:val="000000" w:themeColor="text1"/>
          <w:sz w:val="24"/>
          <w:szCs w:val="24"/>
        </w:rPr>
        <w:t xml:space="preserve">[95% CI </w:t>
      </w:r>
      <w:r w:rsidR="00922EF4">
        <w:rPr>
          <w:rStyle w:val="CommentReference"/>
          <w:rFonts w:ascii="Calibri" w:hAnsi="Calibri" w:cs="Calibri"/>
          <w:b w:val="0"/>
          <w:iCs/>
          <w:noProof/>
          <w:color w:val="000000"/>
          <w:sz w:val="24"/>
          <w:szCs w:val="24"/>
          <w:highlight w:val="black"/>
        </w:rPr>
        <w:t>''''''''''' '''''''''''</w:t>
      </w:r>
      <w:r w:rsidRPr="00B51DEF">
        <w:rPr>
          <w:rStyle w:val="CommentReference"/>
          <w:rFonts w:ascii="Calibri" w:hAnsi="Calibri" w:cs="Calibri"/>
          <w:b w:val="0"/>
          <w:iCs/>
          <w:color w:val="000000" w:themeColor="text1"/>
          <w:sz w:val="24"/>
          <w:szCs w:val="24"/>
        </w:rPr>
        <w:t xml:space="preserve">]). This finding was consistent in the </w:t>
      </w:r>
      <w:proofErr w:type="spellStart"/>
      <w:r w:rsidRPr="00B51DEF">
        <w:rPr>
          <w:rStyle w:val="CommentReference"/>
          <w:rFonts w:ascii="Calibri" w:hAnsi="Calibri" w:cs="Calibri"/>
          <w:b w:val="0"/>
          <w:iCs/>
          <w:color w:val="000000" w:themeColor="text1"/>
          <w:sz w:val="24"/>
          <w:szCs w:val="24"/>
        </w:rPr>
        <w:t>TNFi</w:t>
      </w:r>
      <w:proofErr w:type="spellEnd"/>
      <w:r w:rsidRPr="00B51DEF">
        <w:rPr>
          <w:rStyle w:val="CommentReference"/>
          <w:rFonts w:ascii="Calibri" w:hAnsi="Calibri" w:cs="Calibri"/>
          <w:b w:val="0"/>
          <w:iCs/>
          <w:color w:val="000000" w:themeColor="text1"/>
          <w:sz w:val="24"/>
          <w:szCs w:val="24"/>
        </w:rPr>
        <w:t>-naïve subgroup but did not reach statistical significance (note small numbers).</w:t>
      </w:r>
      <w:r w:rsidR="006476A7" w:rsidRPr="00B51DEF">
        <w:rPr>
          <w:rStyle w:val="CommentReference"/>
          <w:rFonts w:ascii="Calibri" w:hAnsi="Calibri" w:cs="Calibri"/>
          <w:b w:val="0"/>
          <w:iCs/>
          <w:color w:val="000000" w:themeColor="text1"/>
          <w:sz w:val="24"/>
          <w:szCs w:val="24"/>
        </w:rPr>
        <w:t xml:space="preserve"> </w:t>
      </w:r>
      <w:r w:rsidR="00A84CD5" w:rsidRPr="00B51DEF">
        <w:rPr>
          <w:rStyle w:val="CommentReference"/>
          <w:rFonts w:ascii="Calibri" w:hAnsi="Calibri" w:cs="Calibri"/>
          <w:b w:val="0"/>
          <w:iCs/>
          <w:color w:val="000000" w:themeColor="text1"/>
          <w:sz w:val="24"/>
          <w:szCs w:val="24"/>
        </w:rPr>
        <w:t xml:space="preserve">The Pre-PBAC Response argued there were differences in the definition of </w:t>
      </w:r>
      <w:r w:rsidR="00B45748" w:rsidRPr="00B51DEF">
        <w:rPr>
          <w:rStyle w:val="CommentReference"/>
          <w:rFonts w:ascii="Calibri" w:hAnsi="Calibri" w:cs="Calibri"/>
          <w:b w:val="0"/>
          <w:iCs/>
          <w:color w:val="000000" w:themeColor="text1"/>
          <w:sz w:val="24"/>
          <w:szCs w:val="24"/>
        </w:rPr>
        <w:t xml:space="preserve">the </w:t>
      </w:r>
      <w:r w:rsidR="00A84CD5" w:rsidRPr="00B51DEF">
        <w:rPr>
          <w:rStyle w:val="CommentReference"/>
          <w:rFonts w:ascii="Calibri" w:hAnsi="Calibri" w:cs="Calibri"/>
          <w:b w:val="0"/>
          <w:iCs/>
          <w:color w:val="000000" w:themeColor="text1"/>
          <w:sz w:val="24"/>
          <w:szCs w:val="24"/>
        </w:rPr>
        <w:t xml:space="preserve">Mayo endoscopic </w:t>
      </w:r>
      <w:proofErr w:type="spellStart"/>
      <w:r w:rsidR="00A84CD5" w:rsidRPr="00B51DEF">
        <w:rPr>
          <w:rStyle w:val="CommentReference"/>
          <w:rFonts w:ascii="Calibri" w:hAnsi="Calibri" w:cs="Calibri"/>
          <w:b w:val="0"/>
          <w:iCs/>
          <w:color w:val="000000" w:themeColor="text1"/>
          <w:sz w:val="24"/>
          <w:szCs w:val="24"/>
        </w:rPr>
        <w:lastRenderedPageBreak/>
        <w:t>subscore</w:t>
      </w:r>
      <w:proofErr w:type="spellEnd"/>
      <w:r w:rsidR="00A84CD5" w:rsidRPr="00B51DEF">
        <w:rPr>
          <w:rStyle w:val="CommentReference"/>
          <w:rFonts w:ascii="Calibri" w:hAnsi="Calibri" w:cs="Calibri"/>
          <w:b w:val="0"/>
          <w:iCs/>
          <w:color w:val="000000" w:themeColor="text1"/>
          <w:sz w:val="24"/>
          <w:szCs w:val="24"/>
        </w:rPr>
        <w:t xml:space="preserve"> between the TOF and IFX studies that made it more difficult for the TOF studies to meet the criteria for clinical remission and mucosal healing, which favoured IFX in the indirect comparison.</w:t>
      </w:r>
      <w:r w:rsidR="00A84CD5" w:rsidRPr="00B51DEF">
        <w:rPr>
          <w:rStyle w:val="CommentReference"/>
          <w:rFonts w:ascii="Calibri" w:hAnsi="Calibri" w:cs="Calibri"/>
          <w:b w:val="0"/>
          <w:i/>
          <w:iCs/>
          <w:color w:val="000000" w:themeColor="text1"/>
          <w:sz w:val="24"/>
          <w:szCs w:val="24"/>
        </w:rPr>
        <w:t xml:space="preserve"> </w:t>
      </w:r>
    </w:p>
    <w:p w:rsidR="00022D31" w:rsidRPr="00B51DEF" w:rsidRDefault="00022D31" w:rsidP="00C624B2">
      <w:pPr>
        <w:pStyle w:val="ListParagraph"/>
        <w:widowControl/>
        <w:numPr>
          <w:ilvl w:val="1"/>
          <w:numId w:val="3"/>
        </w:numPr>
        <w:spacing w:before="120" w:after="120"/>
        <w:rPr>
          <w:rStyle w:val="CommentReference"/>
          <w:rFonts w:ascii="Calibri" w:hAnsi="Calibri" w:cs="Calibri"/>
          <w:b w:val="0"/>
          <w:iCs/>
          <w:color w:val="000000" w:themeColor="text1"/>
          <w:sz w:val="24"/>
          <w:szCs w:val="24"/>
        </w:rPr>
      </w:pPr>
      <w:r w:rsidRPr="00B51DEF">
        <w:rPr>
          <w:rStyle w:val="CommentReference"/>
          <w:rFonts w:ascii="Calibri" w:hAnsi="Calibri" w:cs="Calibri"/>
          <w:b w:val="0"/>
          <w:iCs/>
          <w:color w:val="000000" w:themeColor="text1"/>
          <w:sz w:val="24"/>
          <w:szCs w:val="24"/>
        </w:rPr>
        <w:t>There were no significant differences between TOF and GOL or VDZ.</w:t>
      </w:r>
    </w:p>
    <w:p w:rsidR="00022D31" w:rsidRPr="00B51DEF" w:rsidRDefault="00022D31" w:rsidP="00C624B2">
      <w:pPr>
        <w:pStyle w:val="ListParagraph"/>
        <w:widowControl/>
        <w:numPr>
          <w:ilvl w:val="1"/>
          <w:numId w:val="3"/>
        </w:numPr>
        <w:spacing w:before="120" w:after="120"/>
        <w:rPr>
          <w:rStyle w:val="CommentReference"/>
          <w:rFonts w:ascii="Calibri" w:hAnsi="Calibri" w:cs="Calibri"/>
          <w:b w:val="0"/>
          <w:iCs/>
          <w:color w:val="000000" w:themeColor="text1"/>
          <w:sz w:val="24"/>
          <w:szCs w:val="24"/>
        </w:rPr>
      </w:pPr>
      <w:r w:rsidRPr="00B51DEF">
        <w:rPr>
          <w:rStyle w:val="CommentReference"/>
          <w:rFonts w:ascii="Calibri" w:hAnsi="Calibri" w:cs="Calibri"/>
          <w:b w:val="0"/>
          <w:iCs/>
          <w:color w:val="000000" w:themeColor="text1"/>
          <w:sz w:val="24"/>
          <w:szCs w:val="24"/>
        </w:rPr>
        <w:t xml:space="preserve">TOF was marginally more effective than ADA in the ITT population and </w:t>
      </w:r>
      <w:proofErr w:type="spellStart"/>
      <w:r w:rsidRPr="00B51DEF">
        <w:rPr>
          <w:rStyle w:val="CommentReference"/>
          <w:rFonts w:ascii="Calibri" w:hAnsi="Calibri" w:cs="Calibri"/>
          <w:b w:val="0"/>
          <w:iCs/>
          <w:color w:val="000000" w:themeColor="text1"/>
          <w:sz w:val="24"/>
          <w:szCs w:val="24"/>
        </w:rPr>
        <w:t>TNFi</w:t>
      </w:r>
      <w:proofErr w:type="spellEnd"/>
      <w:r w:rsidRPr="00B51DEF">
        <w:rPr>
          <w:rStyle w:val="CommentReference"/>
          <w:rFonts w:ascii="Calibri" w:hAnsi="Calibri" w:cs="Calibri"/>
          <w:b w:val="0"/>
          <w:iCs/>
          <w:color w:val="000000" w:themeColor="text1"/>
          <w:sz w:val="24"/>
          <w:szCs w:val="24"/>
        </w:rPr>
        <w:t xml:space="preserve">-experienced subgroup. This result should be interpreted with caution given the ADA trials used a more stringent method to calculate Mayo </w:t>
      </w:r>
      <w:proofErr w:type="spellStart"/>
      <w:r w:rsidRPr="00B51DEF">
        <w:rPr>
          <w:rStyle w:val="CommentReference"/>
          <w:rFonts w:ascii="Calibri" w:hAnsi="Calibri" w:cs="Calibri"/>
          <w:b w:val="0"/>
          <w:iCs/>
          <w:color w:val="000000" w:themeColor="text1"/>
          <w:sz w:val="24"/>
          <w:szCs w:val="24"/>
        </w:rPr>
        <w:t>subscores</w:t>
      </w:r>
      <w:proofErr w:type="spellEnd"/>
      <w:r w:rsidRPr="00B51DEF">
        <w:rPr>
          <w:rStyle w:val="CommentReference"/>
          <w:rFonts w:ascii="Calibri" w:hAnsi="Calibri" w:cs="Calibri"/>
          <w:b w:val="0"/>
          <w:iCs/>
          <w:color w:val="000000" w:themeColor="text1"/>
          <w:sz w:val="24"/>
          <w:szCs w:val="24"/>
        </w:rPr>
        <w:t xml:space="preserve">, which may have influenced the results in favour of TOF. There was no difference between therapies in the </w:t>
      </w:r>
      <w:proofErr w:type="spellStart"/>
      <w:r w:rsidRPr="00B51DEF">
        <w:rPr>
          <w:rStyle w:val="CommentReference"/>
          <w:rFonts w:ascii="Calibri" w:hAnsi="Calibri" w:cs="Calibri"/>
          <w:b w:val="0"/>
          <w:iCs/>
          <w:color w:val="000000" w:themeColor="text1"/>
          <w:sz w:val="24"/>
          <w:szCs w:val="24"/>
        </w:rPr>
        <w:t>TNFi</w:t>
      </w:r>
      <w:proofErr w:type="spellEnd"/>
      <w:r w:rsidRPr="00B51DEF">
        <w:rPr>
          <w:rStyle w:val="CommentReference"/>
          <w:rFonts w:ascii="Calibri" w:hAnsi="Calibri" w:cs="Calibri"/>
          <w:b w:val="0"/>
          <w:iCs/>
          <w:color w:val="000000" w:themeColor="text1"/>
          <w:sz w:val="24"/>
          <w:szCs w:val="24"/>
        </w:rPr>
        <w:t>-naïve subgroup.</w:t>
      </w:r>
    </w:p>
    <w:p w:rsidR="00022D31" w:rsidRPr="00B51DEF" w:rsidRDefault="0017148C" w:rsidP="00C624B2">
      <w:pPr>
        <w:widowControl/>
        <w:spacing w:before="120" w:after="120"/>
        <w:rPr>
          <w:rFonts w:cs="Calibri"/>
          <w:b/>
          <w:bCs/>
          <w:snapToGrid/>
          <w:color w:val="000000" w:themeColor="text1"/>
          <w:szCs w:val="24"/>
          <w:lang w:eastAsia="en-AU"/>
        </w:rPr>
      </w:pPr>
      <w:r w:rsidRPr="00B51DEF">
        <w:rPr>
          <w:rFonts w:cs="Calibri"/>
          <w:b/>
          <w:bCs/>
          <w:snapToGrid/>
          <w:color w:val="000000" w:themeColor="text1"/>
          <w:szCs w:val="24"/>
          <w:lang w:eastAsia="en-AU"/>
        </w:rPr>
        <w:t>Indirect comparison:</w:t>
      </w:r>
      <w:r w:rsidR="00022D31" w:rsidRPr="00B51DEF">
        <w:rPr>
          <w:rFonts w:cs="Calibri"/>
          <w:b/>
          <w:bCs/>
          <w:snapToGrid/>
          <w:color w:val="000000" w:themeColor="text1"/>
          <w:szCs w:val="24"/>
          <w:lang w:eastAsia="en-AU"/>
        </w:rPr>
        <w:t xml:space="preserve"> clinical response at 6/8 Weeks</w:t>
      </w:r>
    </w:p>
    <w:p w:rsidR="00022D31" w:rsidRPr="00B51DEF" w:rsidRDefault="00022D31" w:rsidP="00C624B2">
      <w:pPr>
        <w:pStyle w:val="ListParagraph"/>
        <w:widowControl/>
        <w:numPr>
          <w:ilvl w:val="1"/>
          <w:numId w:val="3"/>
        </w:numPr>
        <w:spacing w:before="120" w:after="120"/>
        <w:rPr>
          <w:rStyle w:val="CommentReference"/>
          <w:rFonts w:ascii="Calibri" w:hAnsi="Calibri" w:cs="Calibri"/>
          <w:b w:val="0"/>
          <w:iCs/>
          <w:color w:val="000000" w:themeColor="text1"/>
          <w:sz w:val="24"/>
          <w:szCs w:val="24"/>
        </w:rPr>
      </w:pPr>
      <w:r w:rsidRPr="00B51DEF">
        <w:rPr>
          <w:rStyle w:val="CommentReference"/>
          <w:rFonts w:ascii="Calibri" w:hAnsi="Calibri" w:cs="Calibri"/>
          <w:b w:val="0"/>
          <w:iCs/>
          <w:color w:val="000000" w:themeColor="text1"/>
          <w:sz w:val="24"/>
          <w:szCs w:val="24"/>
        </w:rPr>
        <w:t>There were no significant differences between TOF and IFX, GOL or VDZ.</w:t>
      </w:r>
    </w:p>
    <w:p w:rsidR="00022D31" w:rsidRPr="00B51DEF" w:rsidRDefault="00022D31" w:rsidP="00C624B2">
      <w:pPr>
        <w:pStyle w:val="ListParagraph"/>
        <w:widowControl/>
        <w:numPr>
          <w:ilvl w:val="1"/>
          <w:numId w:val="3"/>
        </w:numPr>
        <w:spacing w:before="120" w:after="120"/>
        <w:rPr>
          <w:rStyle w:val="CommentReference"/>
          <w:rFonts w:ascii="Calibri" w:hAnsi="Calibri" w:cs="Calibri"/>
          <w:bCs/>
          <w:snapToGrid/>
          <w:color w:val="000000" w:themeColor="text1"/>
          <w:sz w:val="24"/>
          <w:szCs w:val="24"/>
          <w:lang w:eastAsia="en-AU"/>
        </w:rPr>
      </w:pPr>
      <w:r w:rsidRPr="00B51DEF">
        <w:rPr>
          <w:rStyle w:val="CommentReference"/>
          <w:rFonts w:ascii="Calibri" w:hAnsi="Calibri" w:cs="Calibri"/>
          <w:b w:val="0"/>
          <w:iCs/>
          <w:color w:val="000000" w:themeColor="text1"/>
          <w:sz w:val="24"/>
          <w:szCs w:val="24"/>
        </w:rPr>
        <w:t xml:space="preserve">TOF was significantly more effective than ADA in the ITT population and </w:t>
      </w:r>
      <w:proofErr w:type="spellStart"/>
      <w:r w:rsidRPr="00B51DEF">
        <w:rPr>
          <w:rStyle w:val="CommentReference"/>
          <w:rFonts w:ascii="Calibri" w:hAnsi="Calibri" w:cs="Calibri"/>
          <w:b w:val="0"/>
          <w:iCs/>
          <w:color w:val="000000" w:themeColor="text1"/>
          <w:sz w:val="24"/>
          <w:szCs w:val="24"/>
        </w:rPr>
        <w:t>TNFi</w:t>
      </w:r>
      <w:proofErr w:type="spellEnd"/>
      <w:r w:rsidRPr="00B51DEF">
        <w:rPr>
          <w:rStyle w:val="CommentReference"/>
          <w:rFonts w:ascii="Calibri" w:hAnsi="Calibri" w:cs="Calibri"/>
          <w:b w:val="0"/>
          <w:iCs/>
          <w:color w:val="000000" w:themeColor="text1"/>
          <w:sz w:val="24"/>
          <w:szCs w:val="24"/>
        </w:rPr>
        <w:t xml:space="preserve">-experienced subgroup, but not in </w:t>
      </w:r>
      <w:proofErr w:type="spellStart"/>
      <w:r w:rsidRPr="00B51DEF">
        <w:rPr>
          <w:rStyle w:val="CommentReference"/>
          <w:rFonts w:ascii="Calibri" w:hAnsi="Calibri" w:cs="Calibri"/>
          <w:b w:val="0"/>
          <w:iCs/>
          <w:color w:val="000000" w:themeColor="text1"/>
          <w:sz w:val="24"/>
          <w:szCs w:val="24"/>
        </w:rPr>
        <w:t>TNFi</w:t>
      </w:r>
      <w:proofErr w:type="spellEnd"/>
      <w:r w:rsidRPr="00B51DEF">
        <w:rPr>
          <w:rStyle w:val="CommentReference"/>
          <w:rFonts w:ascii="Calibri" w:hAnsi="Calibri" w:cs="Calibri"/>
          <w:b w:val="0"/>
          <w:iCs/>
          <w:color w:val="000000" w:themeColor="text1"/>
          <w:sz w:val="24"/>
          <w:szCs w:val="24"/>
        </w:rPr>
        <w:t>-naïve patients. As discussed</w:t>
      </w:r>
      <w:r w:rsidR="000B0420" w:rsidRPr="00B51DEF">
        <w:rPr>
          <w:rStyle w:val="CommentReference"/>
          <w:rFonts w:ascii="Calibri" w:hAnsi="Calibri" w:cs="Calibri"/>
          <w:b w:val="0"/>
          <w:iCs/>
          <w:color w:val="000000" w:themeColor="text1"/>
          <w:sz w:val="24"/>
          <w:szCs w:val="24"/>
        </w:rPr>
        <w:t xml:space="preserve"> above</w:t>
      </w:r>
      <w:r w:rsidRPr="00B51DEF">
        <w:rPr>
          <w:rStyle w:val="CommentReference"/>
          <w:rFonts w:ascii="Calibri" w:hAnsi="Calibri" w:cs="Calibri"/>
          <w:b w:val="0"/>
          <w:iCs/>
          <w:color w:val="000000" w:themeColor="text1"/>
          <w:sz w:val="24"/>
          <w:szCs w:val="24"/>
        </w:rPr>
        <w:t xml:space="preserve">, this result should be interpreted with caution given the ADA trials used a more stringent method to calculate Mayo </w:t>
      </w:r>
      <w:proofErr w:type="spellStart"/>
      <w:r w:rsidRPr="00B51DEF">
        <w:rPr>
          <w:rStyle w:val="CommentReference"/>
          <w:rFonts w:ascii="Calibri" w:hAnsi="Calibri" w:cs="Calibri"/>
          <w:b w:val="0"/>
          <w:iCs/>
          <w:color w:val="000000" w:themeColor="text1"/>
          <w:sz w:val="24"/>
          <w:szCs w:val="24"/>
        </w:rPr>
        <w:t>subscores</w:t>
      </w:r>
      <w:proofErr w:type="spellEnd"/>
      <w:r w:rsidRPr="00B51DEF">
        <w:rPr>
          <w:rStyle w:val="CommentReference"/>
          <w:rFonts w:ascii="Calibri" w:hAnsi="Calibri" w:cs="Calibri"/>
          <w:b w:val="0"/>
          <w:iCs/>
          <w:color w:val="000000" w:themeColor="text1"/>
          <w:sz w:val="24"/>
          <w:szCs w:val="24"/>
        </w:rPr>
        <w:t xml:space="preserve">, </w:t>
      </w:r>
      <w:r w:rsidR="000B0420" w:rsidRPr="00B51DEF">
        <w:rPr>
          <w:rStyle w:val="CommentReference"/>
          <w:rFonts w:ascii="Calibri" w:hAnsi="Calibri" w:cs="Calibri"/>
          <w:b w:val="0"/>
          <w:iCs/>
          <w:color w:val="000000" w:themeColor="text1"/>
          <w:sz w:val="24"/>
          <w:szCs w:val="24"/>
        </w:rPr>
        <w:t>which</w:t>
      </w:r>
      <w:r w:rsidRPr="00B51DEF">
        <w:rPr>
          <w:rStyle w:val="CommentReference"/>
          <w:rFonts w:ascii="Calibri" w:hAnsi="Calibri" w:cs="Calibri"/>
          <w:b w:val="0"/>
          <w:iCs/>
          <w:color w:val="000000" w:themeColor="text1"/>
          <w:sz w:val="24"/>
          <w:szCs w:val="24"/>
        </w:rPr>
        <w:t xml:space="preserve"> may have influenced the results in favour of TOF.</w:t>
      </w:r>
    </w:p>
    <w:p w:rsidR="00022D31" w:rsidRPr="00B51DEF" w:rsidRDefault="0017148C" w:rsidP="00C624B2">
      <w:pPr>
        <w:widowControl/>
        <w:spacing w:before="120" w:after="120"/>
        <w:rPr>
          <w:rFonts w:cs="Calibri"/>
          <w:b/>
          <w:bCs/>
          <w:snapToGrid/>
          <w:color w:val="000000" w:themeColor="text1"/>
          <w:szCs w:val="24"/>
          <w:lang w:eastAsia="en-AU"/>
        </w:rPr>
      </w:pPr>
      <w:r w:rsidRPr="00B51DEF">
        <w:rPr>
          <w:rFonts w:cs="Calibri"/>
          <w:b/>
          <w:bCs/>
          <w:snapToGrid/>
          <w:color w:val="000000" w:themeColor="text1"/>
          <w:szCs w:val="24"/>
          <w:lang w:eastAsia="en-AU"/>
        </w:rPr>
        <w:t>Indirect comparison:</w:t>
      </w:r>
      <w:r w:rsidR="00022D31" w:rsidRPr="00B51DEF">
        <w:rPr>
          <w:rFonts w:cs="Calibri"/>
          <w:b/>
          <w:bCs/>
          <w:snapToGrid/>
          <w:color w:val="000000" w:themeColor="text1"/>
          <w:szCs w:val="24"/>
          <w:lang w:eastAsia="en-AU"/>
        </w:rPr>
        <w:t xml:space="preserve"> sustained clinical remission at 52/54 Weeks</w:t>
      </w:r>
    </w:p>
    <w:p w:rsidR="00022D31" w:rsidRPr="00B51DEF" w:rsidRDefault="00022D31" w:rsidP="00C624B2">
      <w:pPr>
        <w:pStyle w:val="ListParagraph"/>
        <w:widowControl/>
        <w:numPr>
          <w:ilvl w:val="1"/>
          <w:numId w:val="3"/>
        </w:numPr>
        <w:spacing w:before="120" w:after="120"/>
        <w:rPr>
          <w:rFonts w:cs="Calibri"/>
          <w:iCs/>
          <w:snapToGrid/>
          <w:color w:val="000000" w:themeColor="text1"/>
          <w:szCs w:val="24"/>
          <w:lang w:eastAsia="en-AU"/>
        </w:rPr>
      </w:pPr>
      <w:r w:rsidRPr="00B51DEF">
        <w:rPr>
          <w:rStyle w:val="CommentReference"/>
          <w:rFonts w:ascii="Calibri" w:hAnsi="Calibri" w:cs="Calibri"/>
          <w:b w:val="0"/>
          <w:iCs/>
          <w:color w:val="000000" w:themeColor="text1"/>
          <w:sz w:val="24"/>
          <w:szCs w:val="24"/>
        </w:rPr>
        <w:t xml:space="preserve">There were generally no significant differences between TOF and GOL or VDZ. Subgroup analyses indicated that TOF 10 mg and TOF 5mg/10mg (pooled) was more effective compared to VDZ in </w:t>
      </w:r>
      <w:proofErr w:type="spellStart"/>
      <w:r w:rsidRPr="00B51DEF">
        <w:rPr>
          <w:rStyle w:val="CommentReference"/>
          <w:rFonts w:ascii="Calibri" w:hAnsi="Calibri" w:cs="Calibri"/>
          <w:b w:val="0"/>
          <w:iCs/>
          <w:color w:val="000000" w:themeColor="text1"/>
          <w:sz w:val="24"/>
          <w:szCs w:val="24"/>
        </w:rPr>
        <w:t>TNFi</w:t>
      </w:r>
      <w:proofErr w:type="spellEnd"/>
      <w:r w:rsidRPr="00B51DEF">
        <w:rPr>
          <w:rStyle w:val="CommentReference"/>
          <w:rFonts w:ascii="Calibri" w:hAnsi="Calibri" w:cs="Calibri"/>
          <w:b w:val="0"/>
          <w:iCs/>
          <w:color w:val="000000" w:themeColor="text1"/>
          <w:sz w:val="24"/>
          <w:szCs w:val="24"/>
        </w:rPr>
        <w:t xml:space="preserve">-naïve patients, but this post-hoc analysis should be interpreted with caution due to very small numbers of patients. </w:t>
      </w:r>
    </w:p>
    <w:p w:rsidR="00022D31" w:rsidRPr="00B51DEF" w:rsidRDefault="0017148C" w:rsidP="00C624B2">
      <w:pPr>
        <w:widowControl/>
        <w:spacing w:before="120" w:after="120"/>
        <w:rPr>
          <w:rFonts w:cs="Calibri"/>
          <w:b/>
          <w:bCs/>
          <w:snapToGrid/>
          <w:color w:val="000000" w:themeColor="text1"/>
          <w:szCs w:val="24"/>
          <w:lang w:eastAsia="en-AU"/>
        </w:rPr>
      </w:pPr>
      <w:r w:rsidRPr="00B51DEF">
        <w:rPr>
          <w:rFonts w:cs="Calibri"/>
          <w:b/>
          <w:bCs/>
          <w:snapToGrid/>
          <w:color w:val="000000" w:themeColor="text1"/>
          <w:szCs w:val="24"/>
          <w:lang w:eastAsia="en-AU"/>
        </w:rPr>
        <w:t>Indirect comparison:</w:t>
      </w:r>
      <w:r w:rsidR="00022D31" w:rsidRPr="00B51DEF">
        <w:rPr>
          <w:rFonts w:cs="Calibri"/>
          <w:b/>
          <w:bCs/>
          <w:snapToGrid/>
          <w:color w:val="000000" w:themeColor="text1"/>
          <w:szCs w:val="24"/>
          <w:lang w:eastAsia="en-AU"/>
        </w:rPr>
        <w:t xml:space="preserve"> sustained clinical response at 52/54 Weeks</w:t>
      </w:r>
    </w:p>
    <w:p w:rsidR="00022D31" w:rsidRPr="00B51DEF" w:rsidRDefault="00022D31" w:rsidP="00C624B2">
      <w:pPr>
        <w:pStyle w:val="ListParagraph"/>
        <w:widowControl/>
        <w:numPr>
          <w:ilvl w:val="1"/>
          <w:numId w:val="3"/>
        </w:numPr>
        <w:spacing w:before="120" w:after="120"/>
        <w:rPr>
          <w:iCs/>
        </w:rPr>
      </w:pPr>
      <w:r w:rsidRPr="00B51DEF">
        <w:rPr>
          <w:rFonts w:cs="Calibri"/>
          <w:iCs/>
          <w:snapToGrid/>
          <w:color w:val="000000" w:themeColor="text1"/>
          <w:szCs w:val="24"/>
          <w:lang w:eastAsia="en-AU"/>
        </w:rPr>
        <w:t xml:space="preserve">There were generally no significant differences between TOF and GOL or VDZ. </w:t>
      </w:r>
      <w:r w:rsidRPr="00B51DEF">
        <w:rPr>
          <w:rStyle w:val="CommentReference"/>
          <w:rFonts w:ascii="Calibri" w:hAnsi="Calibri" w:cs="Calibri"/>
          <w:b w:val="0"/>
          <w:iCs/>
          <w:color w:val="000000" w:themeColor="text1"/>
          <w:sz w:val="24"/>
          <w:szCs w:val="24"/>
        </w:rPr>
        <w:t>Subgroup analyses indicated that TOF 10</w:t>
      </w:r>
      <w:r w:rsidR="0017148C" w:rsidRPr="00B51DEF">
        <w:rPr>
          <w:rStyle w:val="CommentReference"/>
          <w:rFonts w:ascii="Calibri" w:hAnsi="Calibri" w:cs="Calibri"/>
          <w:b w:val="0"/>
          <w:iCs/>
          <w:color w:val="000000" w:themeColor="text1"/>
          <w:sz w:val="24"/>
          <w:szCs w:val="24"/>
        </w:rPr>
        <w:t xml:space="preserve"> </w:t>
      </w:r>
      <w:r w:rsidRPr="00B51DEF">
        <w:rPr>
          <w:rStyle w:val="CommentReference"/>
          <w:rFonts w:ascii="Calibri" w:hAnsi="Calibri" w:cs="Calibri"/>
          <w:b w:val="0"/>
          <w:iCs/>
          <w:color w:val="000000" w:themeColor="text1"/>
          <w:sz w:val="24"/>
          <w:szCs w:val="24"/>
        </w:rPr>
        <w:t xml:space="preserve">mg was more effective compared to GOL in the </w:t>
      </w:r>
      <w:proofErr w:type="spellStart"/>
      <w:r w:rsidRPr="00B51DEF">
        <w:rPr>
          <w:rStyle w:val="CommentReference"/>
          <w:rFonts w:ascii="Calibri" w:hAnsi="Calibri" w:cs="Calibri"/>
          <w:b w:val="0"/>
          <w:iCs/>
          <w:color w:val="000000" w:themeColor="text1"/>
          <w:sz w:val="24"/>
          <w:szCs w:val="24"/>
        </w:rPr>
        <w:t>TNFi</w:t>
      </w:r>
      <w:proofErr w:type="spellEnd"/>
      <w:r w:rsidRPr="00B51DEF">
        <w:rPr>
          <w:rStyle w:val="CommentReference"/>
          <w:rFonts w:ascii="Calibri" w:hAnsi="Calibri" w:cs="Calibri"/>
          <w:b w:val="0"/>
          <w:iCs/>
          <w:color w:val="000000" w:themeColor="text1"/>
          <w:sz w:val="24"/>
          <w:szCs w:val="24"/>
        </w:rPr>
        <w:t xml:space="preserve"> naïve patients, although this post-hoc analysis should be interpreted with caution due to very small numbers. </w:t>
      </w:r>
    </w:p>
    <w:p w:rsidR="00022D31" w:rsidRPr="00B51DEF" w:rsidRDefault="00022D31" w:rsidP="00C624B2">
      <w:pPr>
        <w:widowControl/>
        <w:spacing w:before="120" w:after="120"/>
        <w:rPr>
          <w:b/>
          <w:bCs/>
          <w:i/>
          <w:iCs/>
          <w:color w:val="000000" w:themeColor="text1"/>
        </w:rPr>
      </w:pPr>
      <w:r w:rsidRPr="00B51DEF">
        <w:rPr>
          <w:b/>
          <w:bCs/>
          <w:i/>
          <w:iCs/>
          <w:color w:val="000000" w:themeColor="text1"/>
        </w:rPr>
        <w:t>Other outcomes and analyses</w:t>
      </w:r>
    </w:p>
    <w:p w:rsidR="00022D31" w:rsidRPr="00B51DEF" w:rsidRDefault="00022D31" w:rsidP="00C624B2">
      <w:pPr>
        <w:pStyle w:val="ListParagraph"/>
        <w:widowControl/>
        <w:numPr>
          <w:ilvl w:val="1"/>
          <w:numId w:val="3"/>
        </w:numPr>
        <w:spacing w:before="120" w:after="120"/>
        <w:rPr>
          <w:iCs/>
          <w:color w:val="000000" w:themeColor="text1"/>
        </w:rPr>
      </w:pPr>
      <w:r w:rsidRPr="00B51DEF">
        <w:rPr>
          <w:iCs/>
          <w:color w:val="000000" w:themeColor="text1"/>
        </w:rPr>
        <w:t xml:space="preserve">The submission presented indirect comparisons of TOF and the </w:t>
      </w:r>
      <w:r w:rsidR="002B40F3" w:rsidRPr="00B51DEF">
        <w:rPr>
          <w:iCs/>
          <w:color w:val="000000" w:themeColor="text1"/>
        </w:rPr>
        <w:t xml:space="preserve">biological therapies </w:t>
      </w:r>
      <w:r w:rsidRPr="00B51DEF">
        <w:rPr>
          <w:iCs/>
          <w:color w:val="000000" w:themeColor="text1"/>
        </w:rPr>
        <w:t xml:space="preserve">for the outcome of mucosal healing, with findings generally consistent with the induction results presented above; TOF was inferior to IFX (RD </w:t>
      </w:r>
      <w:r w:rsidR="00922EF4">
        <w:rPr>
          <w:iCs/>
          <w:noProof/>
          <w:color w:val="000000"/>
          <w:highlight w:val="black"/>
        </w:rPr>
        <w:t>'''''''''</w:t>
      </w:r>
      <w:r w:rsidRPr="00B51DEF">
        <w:rPr>
          <w:iCs/>
          <w:color w:val="000000" w:themeColor="text1"/>
        </w:rPr>
        <w:t xml:space="preserve"> [</w:t>
      </w:r>
      <w:r w:rsidR="00922EF4">
        <w:rPr>
          <w:iCs/>
          <w:noProof/>
          <w:color w:val="000000"/>
          <w:highlight w:val="black"/>
        </w:rPr>
        <w:t>'''''''''' '''''''''</w:t>
      </w:r>
      <w:r w:rsidRPr="00B51DEF">
        <w:rPr>
          <w:iCs/>
          <w:color w:val="000000" w:themeColor="text1"/>
        </w:rPr>
        <w:t xml:space="preserve">]) but no significant differences were found with other </w:t>
      </w:r>
      <w:r w:rsidR="002B40F3" w:rsidRPr="00B51DEF">
        <w:rPr>
          <w:iCs/>
          <w:color w:val="000000" w:themeColor="text1"/>
        </w:rPr>
        <w:t>biological therapies</w:t>
      </w:r>
      <w:r w:rsidRPr="00B51DEF">
        <w:rPr>
          <w:iCs/>
          <w:color w:val="000000" w:themeColor="text1"/>
        </w:rPr>
        <w:t xml:space="preserve">. </w:t>
      </w:r>
    </w:p>
    <w:p w:rsidR="00022D31" w:rsidRPr="00B51DEF" w:rsidRDefault="00022D31" w:rsidP="00C624B2">
      <w:pPr>
        <w:pStyle w:val="ListParagraph"/>
        <w:widowControl/>
        <w:numPr>
          <w:ilvl w:val="1"/>
          <w:numId w:val="3"/>
        </w:numPr>
        <w:spacing w:before="120" w:after="120"/>
        <w:rPr>
          <w:iCs/>
          <w:color w:val="000000" w:themeColor="text1"/>
        </w:rPr>
      </w:pPr>
      <w:r w:rsidRPr="00B51DEF">
        <w:rPr>
          <w:iCs/>
          <w:color w:val="000000" w:themeColor="text1"/>
        </w:rPr>
        <w:t xml:space="preserve">The direct comparison of TOF 5 mg and TOF 10 mg in maintenance therapy indicated that TOF 10 mg was significantly more effective at maintaining clinical response than TOF 5 mg (RD </w:t>
      </w:r>
      <w:r w:rsidR="00922EF4">
        <w:rPr>
          <w:iCs/>
          <w:noProof/>
          <w:color w:val="000000"/>
          <w:highlight w:val="black"/>
        </w:rPr>
        <w:t>'''''''''</w:t>
      </w:r>
      <w:r w:rsidRPr="00B51DEF">
        <w:rPr>
          <w:iCs/>
          <w:color w:val="000000" w:themeColor="text1"/>
        </w:rPr>
        <w:t xml:space="preserve"> [95% CI </w:t>
      </w:r>
      <w:r w:rsidR="00922EF4">
        <w:rPr>
          <w:iCs/>
          <w:noProof/>
          <w:color w:val="000000"/>
          <w:highlight w:val="black"/>
        </w:rPr>
        <w:t>'''''''''' '''''''''</w:t>
      </w:r>
      <w:r w:rsidRPr="00B51DEF">
        <w:rPr>
          <w:iCs/>
          <w:color w:val="000000" w:themeColor="text1"/>
        </w:rPr>
        <w:t xml:space="preserve">]), but there was a non-significant difference between the two doses for the outcome of sustained clinical remission (RD </w:t>
      </w:r>
      <w:r w:rsidR="00922EF4">
        <w:rPr>
          <w:iCs/>
          <w:noProof/>
          <w:color w:val="000000"/>
          <w:highlight w:val="black"/>
        </w:rPr>
        <w:t>''''''''</w:t>
      </w:r>
      <w:r w:rsidRPr="00B51DEF">
        <w:rPr>
          <w:iCs/>
          <w:color w:val="000000" w:themeColor="text1"/>
        </w:rPr>
        <w:t xml:space="preserve"> [95% CI</w:t>
      </w:r>
      <w:r w:rsidR="00922EF4">
        <w:rPr>
          <w:iCs/>
          <w:noProof/>
          <w:color w:val="000000"/>
          <w:highlight w:val="black"/>
        </w:rPr>
        <w:t>''''''''''' '''''''''</w:t>
      </w:r>
      <w:r w:rsidRPr="00B51DEF">
        <w:rPr>
          <w:iCs/>
          <w:color w:val="000000" w:themeColor="text1"/>
        </w:rPr>
        <w:t>]).</w:t>
      </w:r>
    </w:p>
    <w:p w:rsidR="00022D31" w:rsidRPr="00B51DEF" w:rsidRDefault="00022D31" w:rsidP="00C624B2">
      <w:pPr>
        <w:pStyle w:val="ListParagraph"/>
        <w:widowControl/>
        <w:numPr>
          <w:ilvl w:val="1"/>
          <w:numId w:val="3"/>
        </w:numPr>
        <w:spacing w:before="120" w:after="120"/>
        <w:rPr>
          <w:iCs/>
          <w:color w:val="000000" w:themeColor="text1"/>
        </w:rPr>
      </w:pPr>
      <w:r w:rsidRPr="00B51DEF">
        <w:rPr>
          <w:iCs/>
          <w:color w:val="000000" w:themeColor="text1"/>
        </w:rPr>
        <w:t xml:space="preserve">Quality of life results from the OCTAVE trials demonstrated significant improvements associated with TOF treatment compared with placebo. </w:t>
      </w:r>
    </w:p>
    <w:p w:rsidR="00DE16B4" w:rsidRPr="00B51DEF" w:rsidRDefault="003F7461" w:rsidP="00C624B2">
      <w:pPr>
        <w:pStyle w:val="ListParagraph"/>
        <w:widowControl/>
        <w:numPr>
          <w:ilvl w:val="1"/>
          <w:numId w:val="3"/>
        </w:numPr>
        <w:spacing w:before="120" w:after="120"/>
        <w:rPr>
          <w:iCs/>
          <w:color w:val="000000" w:themeColor="text1"/>
        </w:rPr>
      </w:pPr>
      <w:r w:rsidRPr="00B51DEF">
        <w:rPr>
          <w:rFonts w:cs="Calibri"/>
          <w:iCs/>
          <w:snapToGrid/>
          <w:color w:val="000000" w:themeColor="text1"/>
          <w:szCs w:val="24"/>
          <w:lang w:eastAsia="en-AU"/>
        </w:rPr>
        <w:lastRenderedPageBreak/>
        <w:t xml:space="preserve">The PBAC agreed with the ESC and the </w:t>
      </w:r>
      <w:r w:rsidR="00A64114">
        <w:rPr>
          <w:rFonts w:cs="Calibri"/>
          <w:iCs/>
          <w:snapToGrid/>
          <w:color w:val="000000" w:themeColor="text1"/>
          <w:szCs w:val="24"/>
          <w:lang w:eastAsia="en-AU"/>
        </w:rPr>
        <w:t>Pre-Sub-Committee Response</w:t>
      </w:r>
      <w:r w:rsidR="00A64114" w:rsidRPr="00B51DEF">
        <w:rPr>
          <w:rFonts w:cs="Calibri"/>
          <w:iCs/>
          <w:snapToGrid/>
          <w:color w:val="000000" w:themeColor="text1"/>
          <w:szCs w:val="24"/>
          <w:lang w:eastAsia="en-AU"/>
        </w:rPr>
        <w:t xml:space="preserve"> </w:t>
      </w:r>
      <w:r w:rsidRPr="00B51DEF">
        <w:rPr>
          <w:rFonts w:cs="Calibri"/>
          <w:iCs/>
          <w:snapToGrid/>
          <w:color w:val="000000" w:themeColor="text1"/>
          <w:szCs w:val="24"/>
          <w:lang w:eastAsia="en-AU"/>
        </w:rPr>
        <w:t xml:space="preserve">that </w:t>
      </w:r>
      <w:r w:rsidR="0093778B" w:rsidRPr="00B51DEF">
        <w:rPr>
          <w:rFonts w:cs="Calibri"/>
          <w:iCs/>
          <w:snapToGrid/>
          <w:color w:val="000000" w:themeColor="text1"/>
          <w:szCs w:val="24"/>
          <w:lang w:eastAsia="en-AU"/>
        </w:rPr>
        <w:t>relative risk (</w:t>
      </w:r>
      <w:r w:rsidRPr="00B51DEF">
        <w:rPr>
          <w:rFonts w:cs="Calibri"/>
          <w:iCs/>
          <w:snapToGrid/>
          <w:color w:val="000000" w:themeColor="text1"/>
          <w:szCs w:val="24"/>
          <w:lang w:eastAsia="en-AU"/>
        </w:rPr>
        <w:t>RR</w:t>
      </w:r>
      <w:r w:rsidR="0093778B" w:rsidRPr="00B51DEF">
        <w:rPr>
          <w:rFonts w:cs="Calibri"/>
          <w:iCs/>
          <w:snapToGrid/>
          <w:color w:val="000000" w:themeColor="text1"/>
          <w:szCs w:val="24"/>
          <w:lang w:eastAsia="en-AU"/>
        </w:rPr>
        <w:t>)</w:t>
      </w:r>
      <w:r w:rsidRPr="00B51DEF">
        <w:rPr>
          <w:rFonts w:cs="Calibri"/>
          <w:iCs/>
          <w:snapToGrid/>
          <w:color w:val="000000" w:themeColor="text1"/>
          <w:szCs w:val="24"/>
          <w:lang w:eastAsia="en-AU"/>
        </w:rPr>
        <w:t xml:space="preserve"> may be a more appropriate measure than RD </w:t>
      </w:r>
      <w:r w:rsidR="006C3878" w:rsidRPr="00B51DEF">
        <w:rPr>
          <w:rFonts w:cs="Calibri"/>
          <w:iCs/>
          <w:snapToGrid/>
          <w:color w:val="000000" w:themeColor="text1"/>
          <w:szCs w:val="24"/>
          <w:lang w:eastAsia="en-AU"/>
        </w:rPr>
        <w:t xml:space="preserve">in the indirect treatment comparisons </w:t>
      </w:r>
      <w:r w:rsidRPr="00B51DEF">
        <w:rPr>
          <w:rFonts w:cs="Calibri"/>
          <w:iCs/>
          <w:snapToGrid/>
          <w:color w:val="000000" w:themeColor="text1"/>
          <w:szCs w:val="24"/>
          <w:lang w:eastAsia="en-AU"/>
        </w:rPr>
        <w:t xml:space="preserve">to assess the differences in treatments </w:t>
      </w:r>
      <w:r w:rsidR="0093778B" w:rsidRPr="00B51DEF">
        <w:rPr>
          <w:rFonts w:cs="Calibri"/>
          <w:iCs/>
          <w:snapToGrid/>
          <w:color w:val="000000" w:themeColor="text1"/>
          <w:szCs w:val="24"/>
          <w:lang w:eastAsia="en-AU"/>
        </w:rPr>
        <w:t xml:space="preserve">because </w:t>
      </w:r>
      <w:r w:rsidRPr="00B51DEF">
        <w:rPr>
          <w:rFonts w:cs="Calibri"/>
          <w:iCs/>
          <w:snapToGrid/>
          <w:color w:val="000000" w:themeColor="text1"/>
          <w:szCs w:val="24"/>
          <w:lang w:eastAsia="en-AU"/>
        </w:rPr>
        <w:t>placebo response</w:t>
      </w:r>
      <w:r w:rsidR="0093778B" w:rsidRPr="00B51DEF">
        <w:rPr>
          <w:rFonts w:cs="Calibri"/>
          <w:iCs/>
          <w:snapToGrid/>
          <w:color w:val="000000" w:themeColor="text1"/>
          <w:szCs w:val="24"/>
          <w:lang w:eastAsia="en-AU"/>
        </w:rPr>
        <w:t>s differed</w:t>
      </w:r>
      <w:r w:rsidRPr="00B51DEF">
        <w:rPr>
          <w:rFonts w:cs="Calibri"/>
          <w:iCs/>
          <w:snapToGrid/>
          <w:color w:val="000000" w:themeColor="text1"/>
          <w:szCs w:val="24"/>
          <w:lang w:eastAsia="en-AU"/>
        </w:rPr>
        <w:t xml:space="preserve"> across the trials. The PBAC noted that based on RR, there </w:t>
      </w:r>
      <w:r w:rsidR="004D6C8F" w:rsidRPr="00B51DEF">
        <w:rPr>
          <w:rFonts w:cs="Calibri"/>
          <w:iCs/>
          <w:snapToGrid/>
          <w:color w:val="000000" w:themeColor="text1"/>
          <w:szCs w:val="24"/>
          <w:lang w:eastAsia="en-AU"/>
        </w:rPr>
        <w:t>were</w:t>
      </w:r>
      <w:r w:rsidRPr="00B51DEF">
        <w:rPr>
          <w:rFonts w:cs="Calibri"/>
          <w:iCs/>
          <w:snapToGrid/>
          <w:color w:val="000000" w:themeColor="text1"/>
          <w:szCs w:val="24"/>
          <w:lang w:eastAsia="en-AU"/>
        </w:rPr>
        <w:t xml:space="preserve"> no significant </w:t>
      </w:r>
      <w:r w:rsidR="004D6C8F" w:rsidRPr="00B51DEF">
        <w:rPr>
          <w:rFonts w:cs="Calibri"/>
          <w:iCs/>
          <w:snapToGrid/>
          <w:color w:val="000000" w:themeColor="text1"/>
          <w:szCs w:val="24"/>
          <w:lang w:eastAsia="en-AU"/>
        </w:rPr>
        <w:t>differences for the induction outcomes between TOF and IFX in the ITT population</w:t>
      </w:r>
      <w:r w:rsidR="00B51DEF">
        <w:rPr>
          <w:rFonts w:cs="Calibri"/>
          <w:iCs/>
          <w:snapToGrid/>
          <w:color w:val="000000" w:themeColor="text1"/>
          <w:szCs w:val="24"/>
          <w:lang w:eastAsia="en-AU"/>
        </w:rPr>
        <w:t xml:space="preserve">. </w:t>
      </w:r>
    </w:p>
    <w:p w:rsidR="00022D31" w:rsidRPr="00B51DEF" w:rsidRDefault="00022D31" w:rsidP="00C624B2">
      <w:pPr>
        <w:pStyle w:val="Heading2"/>
        <w:widowControl/>
        <w:spacing w:before="120" w:after="120"/>
      </w:pPr>
      <w:bookmarkStart w:id="10" w:name="_Toc535929147"/>
      <w:r w:rsidRPr="00B51DEF">
        <w:t>Comparative harms</w:t>
      </w:r>
      <w:bookmarkEnd w:id="10"/>
    </w:p>
    <w:p w:rsidR="00022D31" w:rsidRPr="00B51DEF" w:rsidRDefault="00022D31" w:rsidP="00C624B2">
      <w:pPr>
        <w:pStyle w:val="ListParagraph"/>
        <w:widowControl/>
        <w:numPr>
          <w:ilvl w:val="1"/>
          <w:numId w:val="3"/>
        </w:numPr>
        <w:spacing w:before="120" w:after="120"/>
        <w:rPr>
          <w:iCs/>
          <w:color w:val="000000" w:themeColor="text1"/>
        </w:rPr>
      </w:pPr>
      <w:bookmarkStart w:id="11" w:name="_Toc534648724"/>
      <w:r w:rsidRPr="00B51DEF">
        <w:rPr>
          <w:iCs/>
          <w:color w:val="000000" w:themeColor="text1"/>
        </w:rPr>
        <w:t>The submission presented safety data from the TOF trials, summarised in</w:t>
      </w:r>
      <w:r w:rsidR="00F1708C" w:rsidRPr="00B51DEF">
        <w:rPr>
          <w:iCs/>
          <w:color w:val="000000" w:themeColor="text1"/>
        </w:rPr>
        <w:t xml:space="preserve"> </w:t>
      </w:r>
      <w:r w:rsidR="00F1708C" w:rsidRPr="00B51DEF">
        <w:t xml:space="preserve">Table </w:t>
      </w:r>
      <w:proofErr w:type="gramStart"/>
      <w:r w:rsidR="006723AB">
        <w:t>9</w:t>
      </w:r>
      <w:r w:rsidRPr="00B51DEF">
        <w:rPr>
          <w:iCs/>
          <w:color w:val="000000" w:themeColor="text1"/>
        </w:rPr>
        <w:t xml:space="preserve">  and</w:t>
      </w:r>
      <w:proofErr w:type="gramEnd"/>
      <w:r w:rsidRPr="00B51DEF">
        <w:rPr>
          <w:iCs/>
          <w:color w:val="000000" w:themeColor="text1"/>
        </w:rPr>
        <w:t xml:space="preserve"> </w:t>
      </w:r>
      <w:r w:rsidR="00F1708C" w:rsidRPr="00B51DEF">
        <w:t>Table 1</w:t>
      </w:r>
      <w:r w:rsidR="006723AB">
        <w:rPr>
          <w:iCs/>
          <w:color w:val="000000" w:themeColor="text1"/>
        </w:rPr>
        <w:t>0</w:t>
      </w:r>
      <w:r w:rsidRPr="00B51DEF">
        <w:rPr>
          <w:iCs/>
          <w:color w:val="000000" w:themeColor="text1"/>
        </w:rPr>
        <w:t>.</w:t>
      </w:r>
      <w:bookmarkEnd w:id="11"/>
    </w:p>
    <w:p w:rsidR="00022D31" w:rsidRPr="00B51DEF" w:rsidRDefault="00022D31" w:rsidP="009467BF">
      <w:pPr>
        <w:pStyle w:val="TableHeading0"/>
      </w:pPr>
      <w:bookmarkStart w:id="12" w:name="_Ref1374345"/>
      <w:r w:rsidRPr="00B51DEF">
        <w:t xml:space="preserve">Table </w:t>
      </w:r>
      <w:bookmarkEnd w:id="12"/>
      <w:r w:rsidR="006723AB">
        <w:t>9</w:t>
      </w:r>
      <w:r w:rsidRPr="00B51DEF">
        <w:t xml:space="preserve"> Summary of key AEs in OCTAVE 1 and 2 (TOF 10mg vs. PBO) – induction therapy (</w:t>
      </w:r>
      <w:proofErr w:type="spellStart"/>
      <w:r w:rsidRPr="00B51DEF">
        <w:t>Wk</w:t>
      </w:r>
      <w:proofErr w:type="spellEnd"/>
      <w:r w:rsidRPr="00B51DEF">
        <w:t xml:space="preserve">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Summary of key AEs in OCTAVE 1 and 2 (TOF 10mg vs. PBO) – induction therapy (Wk 8)"/>
      </w:tblPr>
      <w:tblGrid>
        <w:gridCol w:w="1329"/>
        <w:gridCol w:w="1414"/>
        <w:gridCol w:w="1245"/>
        <w:gridCol w:w="1741"/>
        <w:gridCol w:w="1676"/>
        <w:gridCol w:w="1612"/>
      </w:tblGrid>
      <w:tr w:rsidR="00022D31" w:rsidRPr="00B51DEF" w:rsidTr="006D40D3">
        <w:trPr>
          <w:trHeight w:val="70"/>
          <w:tblHeader/>
        </w:trPr>
        <w:tc>
          <w:tcPr>
            <w:tcW w:w="1329" w:type="dxa"/>
            <w:shd w:val="clear" w:color="auto" w:fill="auto"/>
            <w:vAlign w:val="center"/>
          </w:tcPr>
          <w:p w:rsidR="00022D31" w:rsidRPr="00B51DEF" w:rsidRDefault="00022D31" w:rsidP="009467BF">
            <w:pPr>
              <w:pStyle w:val="Tabletext"/>
              <w:rPr>
                <w:b/>
                <w:bCs/>
              </w:rPr>
            </w:pPr>
            <w:r w:rsidRPr="00B51DEF">
              <w:rPr>
                <w:b/>
                <w:bCs/>
              </w:rPr>
              <w:t>Trial ID</w:t>
            </w:r>
          </w:p>
        </w:tc>
        <w:tc>
          <w:tcPr>
            <w:tcW w:w="1414" w:type="dxa"/>
            <w:shd w:val="clear" w:color="auto" w:fill="auto"/>
            <w:vAlign w:val="center"/>
          </w:tcPr>
          <w:p w:rsidR="00022D31" w:rsidRPr="00B51DEF" w:rsidRDefault="00022D31" w:rsidP="009467BF">
            <w:pPr>
              <w:pStyle w:val="Tabletext"/>
              <w:jc w:val="center"/>
              <w:rPr>
                <w:b/>
                <w:bCs/>
              </w:rPr>
            </w:pPr>
            <w:r w:rsidRPr="00B51DEF">
              <w:rPr>
                <w:b/>
                <w:bCs/>
              </w:rPr>
              <w:t>TOF n/N (%)</w:t>
            </w:r>
          </w:p>
        </w:tc>
        <w:tc>
          <w:tcPr>
            <w:tcW w:w="1245" w:type="dxa"/>
            <w:shd w:val="clear" w:color="auto" w:fill="auto"/>
            <w:vAlign w:val="center"/>
          </w:tcPr>
          <w:p w:rsidR="00022D31" w:rsidRPr="00B51DEF" w:rsidRDefault="00022D31" w:rsidP="009467BF">
            <w:pPr>
              <w:pStyle w:val="Tabletext"/>
              <w:jc w:val="center"/>
              <w:rPr>
                <w:b/>
                <w:bCs/>
              </w:rPr>
            </w:pPr>
            <w:r w:rsidRPr="00B51DEF">
              <w:rPr>
                <w:b/>
                <w:bCs/>
              </w:rPr>
              <w:t>PBO n/N (%)</w:t>
            </w:r>
          </w:p>
        </w:tc>
        <w:tc>
          <w:tcPr>
            <w:tcW w:w="1741" w:type="dxa"/>
            <w:shd w:val="clear" w:color="auto" w:fill="auto"/>
            <w:vAlign w:val="center"/>
          </w:tcPr>
          <w:p w:rsidR="00022D31" w:rsidRPr="00B51DEF" w:rsidRDefault="00022D31" w:rsidP="009467BF">
            <w:pPr>
              <w:pStyle w:val="Tabletext"/>
              <w:jc w:val="center"/>
              <w:rPr>
                <w:b/>
                <w:bCs/>
              </w:rPr>
            </w:pPr>
            <w:r w:rsidRPr="00B51DEF">
              <w:rPr>
                <w:b/>
                <w:bCs/>
              </w:rPr>
              <w:t>RR (95% CI)</w:t>
            </w:r>
          </w:p>
        </w:tc>
        <w:tc>
          <w:tcPr>
            <w:tcW w:w="1676" w:type="dxa"/>
            <w:shd w:val="clear" w:color="auto" w:fill="auto"/>
            <w:vAlign w:val="center"/>
          </w:tcPr>
          <w:p w:rsidR="00022D31" w:rsidRPr="00B51DEF" w:rsidRDefault="00022D31" w:rsidP="009467BF">
            <w:pPr>
              <w:pStyle w:val="Tabletext"/>
              <w:jc w:val="center"/>
              <w:rPr>
                <w:b/>
                <w:bCs/>
              </w:rPr>
            </w:pPr>
            <w:r w:rsidRPr="00B51DEF">
              <w:rPr>
                <w:b/>
                <w:bCs/>
              </w:rPr>
              <w:t>OR (95% CI)</w:t>
            </w:r>
          </w:p>
        </w:tc>
        <w:tc>
          <w:tcPr>
            <w:tcW w:w="1612" w:type="dxa"/>
            <w:shd w:val="clear" w:color="auto" w:fill="auto"/>
            <w:vAlign w:val="center"/>
          </w:tcPr>
          <w:p w:rsidR="00022D31" w:rsidRPr="00B51DEF" w:rsidRDefault="00022D31" w:rsidP="009467BF">
            <w:pPr>
              <w:pStyle w:val="Tabletext"/>
              <w:jc w:val="center"/>
              <w:rPr>
                <w:b/>
                <w:bCs/>
              </w:rPr>
            </w:pPr>
            <w:r w:rsidRPr="00B51DEF">
              <w:rPr>
                <w:b/>
                <w:bCs/>
              </w:rPr>
              <w:t>RD (95% CI)</w:t>
            </w:r>
          </w:p>
        </w:tc>
      </w:tr>
      <w:tr w:rsidR="00022D31" w:rsidRPr="00B51DEF" w:rsidTr="006D40D3">
        <w:trPr>
          <w:trHeight w:val="163"/>
        </w:trPr>
        <w:tc>
          <w:tcPr>
            <w:tcW w:w="9017" w:type="dxa"/>
            <w:gridSpan w:val="6"/>
            <w:shd w:val="clear" w:color="auto" w:fill="auto"/>
            <w:vAlign w:val="center"/>
          </w:tcPr>
          <w:p w:rsidR="00022D31" w:rsidRPr="00B51DEF" w:rsidRDefault="00022D31" w:rsidP="009467BF">
            <w:pPr>
              <w:pStyle w:val="Tabletext"/>
              <w:rPr>
                <w:b/>
                <w:bCs/>
              </w:rPr>
            </w:pPr>
            <w:r w:rsidRPr="00B51DEF">
              <w:rPr>
                <w:b/>
                <w:bCs/>
              </w:rPr>
              <w:t>Any adverse event</w:t>
            </w:r>
          </w:p>
        </w:tc>
      </w:tr>
      <w:tr w:rsidR="00022D31" w:rsidRPr="00B51DEF" w:rsidTr="006D40D3">
        <w:trPr>
          <w:trHeight w:val="64"/>
        </w:trPr>
        <w:tc>
          <w:tcPr>
            <w:tcW w:w="1329" w:type="dxa"/>
            <w:shd w:val="clear" w:color="auto" w:fill="auto"/>
            <w:vAlign w:val="center"/>
          </w:tcPr>
          <w:p w:rsidR="00022D31" w:rsidRPr="00B51DEF" w:rsidRDefault="00022D31" w:rsidP="009467BF">
            <w:pPr>
              <w:pStyle w:val="Tabletext"/>
            </w:pPr>
            <w:r w:rsidRPr="00B51DEF">
              <w:t>OCTAVE 1</w:t>
            </w:r>
          </w:p>
        </w:tc>
        <w:tc>
          <w:tcPr>
            <w:tcW w:w="1414" w:type="dxa"/>
            <w:shd w:val="clear" w:color="auto" w:fill="auto"/>
            <w:vAlign w:val="center"/>
          </w:tcPr>
          <w:p w:rsidR="00022D31" w:rsidRPr="00B51DEF" w:rsidRDefault="00022D31" w:rsidP="009467BF">
            <w:pPr>
              <w:pStyle w:val="Tabletext"/>
              <w:jc w:val="center"/>
            </w:pPr>
            <w:r w:rsidRPr="00B51DEF">
              <w:t>269/476 (56.5)</w:t>
            </w:r>
          </w:p>
        </w:tc>
        <w:tc>
          <w:tcPr>
            <w:tcW w:w="1245" w:type="dxa"/>
            <w:shd w:val="clear" w:color="auto" w:fill="auto"/>
            <w:vAlign w:val="center"/>
          </w:tcPr>
          <w:p w:rsidR="00022D31" w:rsidRPr="00B51DEF" w:rsidRDefault="00022D31" w:rsidP="009467BF">
            <w:pPr>
              <w:pStyle w:val="Tabletext"/>
              <w:jc w:val="center"/>
            </w:pPr>
            <w:r w:rsidRPr="00B51DEF">
              <w:t>73/122 (59.8)</w:t>
            </w:r>
          </w:p>
        </w:tc>
        <w:tc>
          <w:tcPr>
            <w:tcW w:w="1741" w:type="dxa"/>
            <w:shd w:val="clear" w:color="auto" w:fill="auto"/>
            <w:vAlign w:val="center"/>
          </w:tcPr>
          <w:p w:rsidR="00022D31" w:rsidRPr="00B51DEF" w:rsidRDefault="00022D31" w:rsidP="009467BF">
            <w:pPr>
              <w:pStyle w:val="Tabletext"/>
              <w:jc w:val="center"/>
            </w:pPr>
            <w:r w:rsidRPr="00B51DEF">
              <w:t>0.94 (0.80, 1.11)</w:t>
            </w:r>
          </w:p>
        </w:tc>
        <w:tc>
          <w:tcPr>
            <w:tcW w:w="1676" w:type="dxa"/>
            <w:shd w:val="clear" w:color="auto" w:fill="auto"/>
            <w:vAlign w:val="center"/>
          </w:tcPr>
          <w:p w:rsidR="00022D31" w:rsidRPr="00B51DEF" w:rsidRDefault="00022D31" w:rsidP="009467BF">
            <w:pPr>
              <w:pStyle w:val="Tabletext"/>
              <w:jc w:val="center"/>
            </w:pPr>
            <w:r w:rsidRPr="00B51DEF">
              <w:t>0.87 (0.58, 1.31)</w:t>
            </w:r>
          </w:p>
        </w:tc>
        <w:tc>
          <w:tcPr>
            <w:tcW w:w="1612" w:type="dxa"/>
            <w:shd w:val="clear" w:color="auto" w:fill="auto"/>
            <w:vAlign w:val="center"/>
          </w:tcPr>
          <w:p w:rsidR="00022D31" w:rsidRPr="00B51DEF" w:rsidRDefault="00022D31" w:rsidP="009467BF">
            <w:pPr>
              <w:pStyle w:val="Tabletext"/>
              <w:jc w:val="center"/>
            </w:pPr>
            <w:r w:rsidRPr="00B51DEF">
              <w:t>-0.03 (-0.13, 0.06)</w:t>
            </w:r>
          </w:p>
        </w:tc>
      </w:tr>
      <w:tr w:rsidR="00022D31" w:rsidRPr="00B51DEF" w:rsidTr="006D40D3">
        <w:trPr>
          <w:trHeight w:val="213"/>
        </w:trPr>
        <w:tc>
          <w:tcPr>
            <w:tcW w:w="1329" w:type="dxa"/>
            <w:shd w:val="clear" w:color="auto" w:fill="auto"/>
            <w:vAlign w:val="center"/>
          </w:tcPr>
          <w:p w:rsidR="00022D31" w:rsidRPr="00B51DEF" w:rsidRDefault="00022D31" w:rsidP="009467BF">
            <w:pPr>
              <w:pStyle w:val="Tabletext"/>
            </w:pPr>
            <w:r w:rsidRPr="00B51DEF">
              <w:t>OCTAVE 2</w:t>
            </w:r>
          </w:p>
        </w:tc>
        <w:tc>
          <w:tcPr>
            <w:tcW w:w="1414" w:type="dxa"/>
            <w:shd w:val="clear" w:color="auto" w:fill="auto"/>
            <w:vAlign w:val="center"/>
          </w:tcPr>
          <w:p w:rsidR="00022D31" w:rsidRPr="00B51DEF" w:rsidRDefault="00022D31" w:rsidP="009467BF">
            <w:pPr>
              <w:pStyle w:val="Tabletext"/>
              <w:jc w:val="center"/>
            </w:pPr>
            <w:r w:rsidRPr="00B51DEF">
              <w:t>232/429 (54.1)</w:t>
            </w:r>
          </w:p>
        </w:tc>
        <w:tc>
          <w:tcPr>
            <w:tcW w:w="1245" w:type="dxa"/>
            <w:shd w:val="clear" w:color="auto" w:fill="auto"/>
            <w:vAlign w:val="center"/>
          </w:tcPr>
          <w:p w:rsidR="00022D31" w:rsidRPr="00B51DEF" w:rsidRDefault="00022D31" w:rsidP="009467BF">
            <w:pPr>
              <w:pStyle w:val="Tabletext"/>
              <w:jc w:val="center"/>
            </w:pPr>
            <w:r w:rsidRPr="00B51DEF">
              <w:t>59/112 (52.7)</w:t>
            </w:r>
          </w:p>
        </w:tc>
        <w:tc>
          <w:tcPr>
            <w:tcW w:w="1741" w:type="dxa"/>
            <w:shd w:val="clear" w:color="auto" w:fill="auto"/>
            <w:vAlign w:val="center"/>
          </w:tcPr>
          <w:p w:rsidR="00022D31" w:rsidRPr="00B51DEF" w:rsidRDefault="00022D31" w:rsidP="009467BF">
            <w:pPr>
              <w:pStyle w:val="Tabletext"/>
              <w:jc w:val="center"/>
            </w:pPr>
            <w:r w:rsidRPr="00B51DEF">
              <w:t>1.03 (0.84, 1.25)</w:t>
            </w:r>
          </w:p>
        </w:tc>
        <w:tc>
          <w:tcPr>
            <w:tcW w:w="1676" w:type="dxa"/>
            <w:shd w:val="clear" w:color="auto" w:fill="auto"/>
            <w:vAlign w:val="center"/>
          </w:tcPr>
          <w:p w:rsidR="00022D31" w:rsidRPr="00B51DEF" w:rsidRDefault="00022D31" w:rsidP="009467BF">
            <w:pPr>
              <w:pStyle w:val="Tabletext"/>
              <w:jc w:val="center"/>
            </w:pPr>
            <w:r w:rsidRPr="00B51DEF">
              <w:t>1.06 (0.70, 1.60)</w:t>
            </w:r>
          </w:p>
        </w:tc>
        <w:tc>
          <w:tcPr>
            <w:tcW w:w="1612" w:type="dxa"/>
            <w:shd w:val="clear" w:color="auto" w:fill="auto"/>
            <w:vAlign w:val="center"/>
          </w:tcPr>
          <w:p w:rsidR="00022D31" w:rsidRPr="00B51DEF" w:rsidRDefault="00022D31" w:rsidP="009467BF">
            <w:pPr>
              <w:pStyle w:val="Tabletext"/>
              <w:jc w:val="center"/>
            </w:pPr>
            <w:r w:rsidRPr="00B51DEF">
              <w:t>0.01 (-0.09, 0.12)</w:t>
            </w:r>
          </w:p>
        </w:tc>
      </w:tr>
      <w:tr w:rsidR="00022D31" w:rsidRPr="00B51DEF" w:rsidTr="006D40D3">
        <w:trPr>
          <w:trHeight w:val="187"/>
        </w:trPr>
        <w:tc>
          <w:tcPr>
            <w:tcW w:w="1329" w:type="dxa"/>
            <w:shd w:val="clear" w:color="auto" w:fill="auto"/>
            <w:vAlign w:val="center"/>
          </w:tcPr>
          <w:p w:rsidR="00022D31" w:rsidRPr="00B51DEF" w:rsidRDefault="00022D31" w:rsidP="009467BF">
            <w:pPr>
              <w:pStyle w:val="Tabletext"/>
            </w:pPr>
            <w:r w:rsidRPr="00B51DEF">
              <w:t>Pooled Result</w:t>
            </w:r>
          </w:p>
        </w:tc>
        <w:tc>
          <w:tcPr>
            <w:tcW w:w="1414" w:type="dxa"/>
            <w:shd w:val="clear" w:color="auto" w:fill="auto"/>
            <w:vAlign w:val="center"/>
          </w:tcPr>
          <w:p w:rsidR="00022D31" w:rsidRPr="00B51DEF" w:rsidRDefault="00022D31" w:rsidP="009467BF">
            <w:pPr>
              <w:pStyle w:val="Tabletext"/>
              <w:jc w:val="center"/>
              <w:rPr>
                <w:bCs/>
              </w:rPr>
            </w:pPr>
            <w:r w:rsidRPr="00B51DEF">
              <w:rPr>
                <w:bCs/>
              </w:rPr>
              <w:t>501/905 (55.4)</w:t>
            </w:r>
          </w:p>
        </w:tc>
        <w:tc>
          <w:tcPr>
            <w:tcW w:w="1245" w:type="dxa"/>
            <w:shd w:val="clear" w:color="auto" w:fill="auto"/>
            <w:vAlign w:val="center"/>
          </w:tcPr>
          <w:p w:rsidR="00022D31" w:rsidRPr="00B51DEF" w:rsidRDefault="00022D31" w:rsidP="009467BF">
            <w:pPr>
              <w:pStyle w:val="Tabletext"/>
              <w:jc w:val="center"/>
              <w:rPr>
                <w:bCs/>
              </w:rPr>
            </w:pPr>
            <w:r w:rsidRPr="00B51DEF">
              <w:rPr>
                <w:bCs/>
              </w:rPr>
              <w:t>132/234 (56.4)</w:t>
            </w:r>
          </w:p>
        </w:tc>
        <w:tc>
          <w:tcPr>
            <w:tcW w:w="1741" w:type="dxa"/>
            <w:shd w:val="clear" w:color="auto" w:fill="auto"/>
            <w:vAlign w:val="center"/>
          </w:tcPr>
          <w:p w:rsidR="00022D31" w:rsidRPr="00B51DEF" w:rsidRDefault="00022D31" w:rsidP="009467BF">
            <w:pPr>
              <w:pStyle w:val="Tabletext"/>
              <w:jc w:val="center"/>
              <w:rPr>
                <w:bCs/>
              </w:rPr>
            </w:pPr>
            <w:r w:rsidRPr="00B51DEF">
              <w:rPr>
                <w:bCs/>
              </w:rPr>
              <w:t>0.98 (0.86, 1.11)</w:t>
            </w:r>
          </w:p>
        </w:tc>
        <w:tc>
          <w:tcPr>
            <w:tcW w:w="1676" w:type="dxa"/>
            <w:shd w:val="clear" w:color="auto" w:fill="auto"/>
            <w:vAlign w:val="center"/>
          </w:tcPr>
          <w:p w:rsidR="00022D31" w:rsidRPr="00B51DEF" w:rsidRDefault="00022D31" w:rsidP="009467BF">
            <w:pPr>
              <w:pStyle w:val="Tabletext"/>
              <w:jc w:val="center"/>
              <w:rPr>
                <w:bCs/>
              </w:rPr>
            </w:pPr>
            <w:r w:rsidRPr="00B51DEF">
              <w:rPr>
                <w:bCs/>
              </w:rPr>
              <w:t>0.96 (0.72, 1.28)</w:t>
            </w:r>
          </w:p>
        </w:tc>
        <w:tc>
          <w:tcPr>
            <w:tcW w:w="1612" w:type="dxa"/>
            <w:shd w:val="clear" w:color="auto" w:fill="auto"/>
            <w:vAlign w:val="center"/>
          </w:tcPr>
          <w:p w:rsidR="00022D31" w:rsidRPr="00B51DEF" w:rsidRDefault="00022D31" w:rsidP="009467BF">
            <w:pPr>
              <w:pStyle w:val="Tabletext"/>
              <w:jc w:val="center"/>
              <w:rPr>
                <w:bCs/>
              </w:rPr>
            </w:pPr>
            <w:r w:rsidRPr="00B51DEF">
              <w:rPr>
                <w:bCs/>
              </w:rPr>
              <w:t>-0.01 (-0.08, 0.06)</w:t>
            </w:r>
          </w:p>
        </w:tc>
      </w:tr>
      <w:tr w:rsidR="00022D31" w:rsidRPr="00B51DEF" w:rsidTr="006D40D3">
        <w:trPr>
          <w:trHeight w:val="64"/>
        </w:trPr>
        <w:tc>
          <w:tcPr>
            <w:tcW w:w="9017" w:type="dxa"/>
            <w:gridSpan w:val="6"/>
            <w:shd w:val="clear" w:color="auto" w:fill="auto"/>
            <w:vAlign w:val="center"/>
          </w:tcPr>
          <w:p w:rsidR="00022D31" w:rsidRPr="00B51DEF" w:rsidRDefault="00022D31" w:rsidP="009467BF">
            <w:pPr>
              <w:pStyle w:val="Tabletext"/>
              <w:rPr>
                <w:b/>
                <w:bCs/>
              </w:rPr>
            </w:pPr>
            <w:r w:rsidRPr="00B51DEF">
              <w:rPr>
                <w:b/>
                <w:bCs/>
              </w:rPr>
              <w:t>Serious adverse event</w:t>
            </w:r>
          </w:p>
        </w:tc>
      </w:tr>
      <w:tr w:rsidR="00022D31" w:rsidRPr="00B51DEF" w:rsidTr="006D40D3">
        <w:trPr>
          <w:trHeight w:val="123"/>
        </w:trPr>
        <w:tc>
          <w:tcPr>
            <w:tcW w:w="1329" w:type="dxa"/>
            <w:shd w:val="clear" w:color="auto" w:fill="auto"/>
            <w:vAlign w:val="center"/>
          </w:tcPr>
          <w:p w:rsidR="00022D31" w:rsidRPr="00B51DEF" w:rsidRDefault="00022D31" w:rsidP="009467BF">
            <w:pPr>
              <w:pStyle w:val="Tabletext"/>
            </w:pPr>
            <w:r w:rsidRPr="00B51DEF">
              <w:t>OCTAVE 1</w:t>
            </w:r>
          </w:p>
        </w:tc>
        <w:tc>
          <w:tcPr>
            <w:tcW w:w="1414" w:type="dxa"/>
            <w:shd w:val="clear" w:color="auto" w:fill="auto"/>
            <w:vAlign w:val="center"/>
          </w:tcPr>
          <w:p w:rsidR="00022D31" w:rsidRPr="00B51DEF" w:rsidRDefault="00022D31" w:rsidP="009467BF">
            <w:pPr>
              <w:pStyle w:val="Tabletext"/>
              <w:jc w:val="center"/>
            </w:pPr>
            <w:r w:rsidRPr="00B51DEF">
              <w:t>16/476 (3.4)</w:t>
            </w:r>
          </w:p>
        </w:tc>
        <w:tc>
          <w:tcPr>
            <w:tcW w:w="1245" w:type="dxa"/>
            <w:shd w:val="clear" w:color="auto" w:fill="auto"/>
            <w:vAlign w:val="center"/>
          </w:tcPr>
          <w:p w:rsidR="00022D31" w:rsidRPr="00B51DEF" w:rsidRDefault="00022D31" w:rsidP="009467BF">
            <w:pPr>
              <w:pStyle w:val="Tabletext"/>
              <w:jc w:val="center"/>
            </w:pPr>
            <w:r w:rsidRPr="00B51DEF">
              <w:t>5/122 (4.1)</w:t>
            </w:r>
          </w:p>
        </w:tc>
        <w:tc>
          <w:tcPr>
            <w:tcW w:w="1741" w:type="dxa"/>
            <w:shd w:val="clear" w:color="auto" w:fill="auto"/>
            <w:vAlign w:val="center"/>
          </w:tcPr>
          <w:p w:rsidR="00022D31" w:rsidRPr="00B51DEF" w:rsidRDefault="00022D31" w:rsidP="009467BF">
            <w:pPr>
              <w:pStyle w:val="Tabletext"/>
              <w:jc w:val="center"/>
            </w:pPr>
            <w:r w:rsidRPr="00B51DEF">
              <w:t>0.82 (0.31, 2.19)</w:t>
            </w:r>
          </w:p>
        </w:tc>
        <w:tc>
          <w:tcPr>
            <w:tcW w:w="1676" w:type="dxa"/>
            <w:shd w:val="clear" w:color="auto" w:fill="auto"/>
            <w:vAlign w:val="center"/>
          </w:tcPr>
          <w:p w:rsidR="00022D31" w:rsidRPr="00B51DEF" w:rsidRDefault="00022D31" w:rsidP="009467BF">
            <w:pPr>
              <w:pStyle w:val="Tabletext"/>
              <w:jc w:val="center"/>
            </w:pPr>
            <w:r w:rsidRPr="00B51DEF">
              <w:t>0.81 (0.29, 2.27)</w:t>
            </w:r>
          </w:p>
        </w:tc>
        <w:tc>
          <w:tcPr>
            <w:tcW w:w="1612" w:type="dxa"/>
            <w:shd w:val="clear" w:color="auto" w:fill="auto"/>
            <w:vAlign w:val="center"/>
          </w:tcPr>
          <w:p w:rsidR="00022D31" w:rsidRPr="00B51DEF" w:rsidRDefault="00022D31" w:rsidP="009467BF">
            <w:pPr>
              <w:pStyle w:val="Tabletext"/>
              <w:jc w:val="center"/>
            </w:pPr>
            <w:r w:rsidRPr="00B51DEF">
              <w:t>-0.01 (-0.05, 0.03)</w:t>
            </w:r>
          </w:p>
        </w:tc>
      </w:tr>
      <w:tr w:rsidR="00022D31" w:rsidRPr="00B51DEF" w:rsidTr="006D40D3">
        <w:trPr>
          <w:trHeight w:val="197"/>
        </w:trPr>
        <w:tc>
          <w:tcPr>
            <w:tcW w:w="1329" w:type="dxa"/>
            <w:shd w:val="clear" w:color="auto" w:fill="auto"/>
            <w:vAlign w:val="center"/>
          </w:tcPr>
          <w:p w:rsidR="00022D31" w:rsidRPr="00B51DEF" w:rsidRDefault="00022D31" w:rsidP="009467BF">
            <w:pPr>
              <w:pStyle w:val="Tabletext"/>
            </w:pPr>
            <w:r w:rsidRPr="00B51DEF">
              <w:t>OCTAVE 2</w:t>
            </w:r>
          </w:p>
        </w:tc>
        <w:tc>
          <w:tcPr>
            <w:tcW w:w="1414" w:type="dxa"/>
            <w:shd w:val="clear" w:color="auto" w:fill="auto"/>
            <w:vAlign w:val="center"/>
          </w:tcPr>
          <w:p w:rsidR="00022D31" w:rsidRPr="00B51DEF" w:rsidRDefault="00022D31" w:rsidP="009467BF">
            <w:pPr>
              <w:pStyle w:val="Tabletext"/>
              <w:jc w:val="center"/>
            </w:pPr>
            <w:r w:rsidRPr="00B51DEF">
              <w:t>18/429 (4.2)</w:t>
            </w:r>
          </w:p>
        </w:tc>
        <w:tc>
          <w:tcPr>
            <w:tcW w:w="1245" w:type="dxa"/>
            <w:shd w:val="clear" w:color="auto" w:fill="auto"/>
            <w:vAlign w:val="center"/>
          </w:tcPr>
          <w:p w:rsidR="00022D31" w:rsidRPr="00B51DEF" w:rsidRDefault="00022D31" w:rsidP="009467BF">
            <w:pPr>
              <w:pStyle w:val="Tabletext"/>
              <w:jc w:val="center"/>
            </w:pPr>
            <w:r w:rsidRPr="00B51DEF">
              <w:t>9/112 (8.0)</w:t>
            </w:r>
          </w:p>
        </w:tc>
        <w:tc>
          <w:tcPr>
            <w:tcW w:w="1741" w:type="dxa"/>
            <w:shd w:val="clear" w:color="auto" w:fill="auto"/>
            <w:vAlign w:val="center"/>
          </w:tcPr>
          <w:p w:rsidR="00022D31" w:rsidRPr="00B51DEF" w:rsidRDefault="00022D31" w:rsidP="009467BF">
            <w:pPr>
              <w:pStyle w:val="Tabletext"/>
              <w:jc w:val="center"/>
            </w:pPr>
            <w:r w:rsidRPr="00B51DEF">
              <w:t>0.52 (0.24, 1.13)</w:t>
            </w:r>
          </w:p>
        </w:tc>
        <w:tc>
          <w:tcPr>
            <w:tcW w:w="1676" w:type="dxa"/>
            <w:shd w:val="clear" w:color="auto" w:fill="auto"/>
            <w:vAlign w:val="center"/>
          </w:tcPr>
          <w:p w:rsidR="00022D31" w:rsidRPr="00B51DEF" w:rsidRDefault="00022D31" w:rsidP="009467BF">
            <w:pPr>
              <w:pStyle w:val="Tabletext"/>
              <w:jc w:val="center"/>
            </w:pPr>
            <w:r w:rsidRPr="00B51DEF">
              <w:t>0.50 (0.22, 1.15)</w:t>
            </w:r>
          </w:p>
        </w:tc>
        <w:tc>
          <w:tcPr>
            <w:tcW w:w="1612" w:type="dxa"/>
            <w:shd w:val="clear" w:color="auto" w:fill="auto"/>
            <w:vAlign w:val="center"/>
          </w:tcPr>
          <w:p w:rsidR="00022D31" w:rsidRPr="00B51DEF" w:rsidRDefault="00022D31" w:rsidP="009467BF">
            <w:pPr>
              <w:pStyle w:val="Tabletext"/>
              <w:jc w:val="center"/>
            </w:pPr>
            <w:r w:rsidRPr="00B51DEF">
              <w:t>-0.04 (-0.09, 0.02)</w:t>
            </w:r>
          </w:p>
        </w:tc>
      </w:tr>
      <w:tr w:rsidR="00022D31" w:rsidRPr="00B51DEF" w:rsidTr="006D40D3">
        <w:trPr>
          <w:trHeight w:val="87"/>
        </w:trPr>
        <w:tc>
          <w:tcPr>
            <w:tcW w:w="1329" w:type="dxa"/>
            <w:shd w:val="clear" w:color="auto" w:fill="auto"/>
            <w:vAlign w:val="center"/>
          </w:tcPr>
          <w:p w:rsidR="00022D31" w:rsidRPr="00B51DEF" w:rsidRDefault="00022D31" w:rsidP="009467BF">
            <w:pPr>
              <w:pStyle w:val="Tabletext"/>
            </w:pPr>
            <w:r w:rsidRPr="00B51DEF">
              <w:t>Pooled Result</w:t>
            </w:r>
          </w:p>
        </w:tc>
        <w:tc>
          <w:tcPr>
            <w:tcW w:w="1414" w:type="dxa"/>
            <w:shd w:val="clear" w:color="auto" w:fill="auto"/>
            <w:vAlign w:val="center"/>
          </w:tcPr>
          <w:p w:rsidR="00022D31" w:rsidRPr="00B51DEF" w:rsidRDefault="00022D31" w:rsidP="009467BF">
            <w:pPr>
              <w:pStyle w:val="Tabletext"/>
              <w:jc w:val="center"/>
              <w:rPr>
                <w:bCs/>
              </w:rPr>
            </w:pPr>
            <w:r w:rsidRPr="00B51DEF">
              <w:rPr>
                <w:bCs/>
              </w:rPr>
              <w:t>34/905 (3.8)</w:t>
            </w:r>
          </w:p>
        </w:tc>
        <w:tc>
          <w:tcPr>
            <w:tcW w:w="1245" w:type="dxa"/>
            <w:shd w:val="clear" w:color="auto" w:fill="auto"/>
            <w:vAlign w:val="center"/>
          </w:tcPr>
          <w:p w:rsidR="00022D31" w:rsidRPr="00B51DEF" w:rsidRDefault="00022D31" w:rsidP="009467BF">
            <w:pPr>
              <w:pStyle w:val="Tabletext"/>
              <w:jc w:val="center"/>
              <w:rPr>
                <w:bCs/>
              </w:rPr>
            </w:pPr>
            <w:r w:rsidRPr="00B51DEF">
              <w:rPr>
                <w:bCs/>
              </w:rPr>
              <w:t>14/234 (6.0)</w:t>
            </w:r>
          </w:p>
        </w:tc>
        <w:tc>
          <w:tcPr>
            <w:tcW w:w="1741" w:type="dxa"/>
            <w:shd w:val="clear" w:color="auto" w:fill="auto"/>
            <w:vAlign w:val="center"/>
          </w:tcPr>
          <w:p w:rsidR="00022D31" w:rsidRPr="00B51DEF" w:rsidRDefault="00022D31" w:rsidP="009467BF">
            <w:pPr>
              <w:pStyle w:val="Tabletext"/>
              <w:jc w:val="center"/>
              <w:rPr>
                <w:bCs/>
              </w:rPr>
            </w:pPr>
            <w:r w:rsidRPr="00B51DEF">
              <w:rPr>
                <w:bCs/>
              </w:rPr>
              <w:t>0.62 (0.34, 1.14)</w:t>
            </w:r>
          </w:p>
        </w:tc>
        <w:tc>
          <w:tcPr>
            <w:tcW w:w="1676" w:type="dxa"/>
            <w:shd w:val="clear" w:color="auto" w:fill="auto"/>
            <w:vAlign w:val="center"/>
          </w:tcPr>
          <w:p w:rsidR="00022D31" w:rsidRPr="00B51DEF" w:rsidRDefault="00022D31" w:rsidP="009467BF">
            <w:pPr>
              <w:pStyle w:val="Tabletext"/>
              <w:jc w:val="center"/>
              <w:rPr>
                <w:bCs/>
              </w:rPr>
            </w:pPr>
            <w:r w:rsidRPr="00B51DEF">
              <w:rPr>
                <w:bCs/>
              </w:rPr>
              <w:t>0.61 (0.32, 1.16)</w:t>
            </w:r>
          </w:p>
        </w:tc>
        <w:tc>
          <w:tcPr>
            <w:tcW w:w="1612" w:type="dxa"/>
            <w:shd w:val="clear" w:color="auto" w:fill="auto"/>
            <w:vAlign w:val="center"/>
          </w:tcPr>
          <w:p w:rsidR="00022D31" w:rsidRPr="00B51DEF" w:rsidRDefault="00022D31" w:rsidP="009467BF">
            <w:pPr>
              <w:pStyle w:val="Tabletext"/>
              <w:jc w:val="center"/>
              <w:rPr>
                <w:bCs/>
              </w:rPr>
            </w:pPr>
            <w:r w:rsidRPr="00B51DEF">
              <w:rPr>
                <w:bCs/>
              </w:rPr>
              <w:t>-0.02 (-0.05, 0.01)</w:t>
            </w:r>
          </w:p>
        </w:tc>
      </w:tr>
      <w:tr w:rsidR="00022D31" w:rsidRPr="00B51DEF" w:rsidTr="006D40D3">
        <w:trPr>
          <w:trHeight w:val="247"/>
        </w:trPr>
        <w:tc>
          <w:tcPr>
            <w:tcW w:w="9017" w:type="dxa"/>
            <w:gridSpan w:val="6"/>
            <w:shd w:val="clear" w:color="auto" w:fill="auto"/>
            <w:vAlign w:val="center"/>
          </w:tcPr>
          <w:p w:rsidR="00022D31" w:rsidRPr="00B51DEF" w:rsidRDefault="00022D31" w:rsidP="009467BF">
            <w:pPr>
              <w:pStyle w:val="Tabletext"/>
              <w:rPr>
                <w:b/>
                <w:bCs/>
              </w:rPr>
            </w:pPr>
            <w:r w:rsidRPr="00B51DEF">
              <w:rPr>
                <w:b/>
                <w:bCs/>
              </w:rPr>
              <w:t>Discontinuation due to adverse event</w:t>
            </w:r>
          </w:p>
        </w:tc>
      </w:tr>
      <w:tr w:rsidR="00022D31" w:rsidRPr="00B51DEF" w:rsidTr="006D40D3">
        <w:trPr>
          <w:trHeight w:val="123"/>
        </w:trPr>
        <w:tc>
          <w:tcPr>
            <w:tcW w:w="1329" w:type="dxa"/>
            <w:shd w:val="clear" w:color="auto" w:fill="auto"/>
            <w:vAlign w:val="center"/>
          </w:tcPr>
          <w:p w:rsidR="00022D31" w:rsidRPr="00B51DEF" w:rsidRDefault="00022D31" w:rsidP="009467BF">
            <w:pPr>
              <w:pStyle w:val="Tabletext"/>
            </w:pPr>
            <w:r w:rsidRPr="00B51DEF">
              <w:t>OCTAVE 1</w:t>
            </w:r>
          </w:p>
        </w:tc>
        <w:tc>
          <w:tcPr>
            <w:tcW w:w="1414" w:type="dxa"/>
            <w:shd w:val="clear" w:color="auto" w:fill="auto"/>
            <w:vAlign w:val="center"/>
          </w:tcPr>
          <w:p w:rsidR="00022D31" w:rsidRPr="00B51DEF" w:rsidRDefault="00022D31" w:rsidP="009467BF">
            <w:pPr>
              <w:pStyle w:val="Tabletext"/>
              <w:jc w:val="center"/>
            </w:pPr>
            <w:r w:rsidRPr="00B51DEF">
              <w:t>18/476 (3.8)</w:t>
            </w:r>
          </w:p>
        </w:tc>
        <w:tc>
          <w:tcPr>
            <w:tcW w:w="1245" w:type="dxa"/>
            <w:shd w:val="clear" w:color="auto" w:fill="auto"/>
            <w:vAlign w:val="center"/>
          </w:tcPr>
          <w:p w:rsidR="00022D31" w:rsidRPr="00B51DEF" w:rsidRDefault="00022D31" w:rsidP="009467BF">
            <w:pPr>
              <w:pStyle w:val="Tabletext"/>
              <w:jc w:val="center"/>
            </w:pPr>
            <w:r w:rsidRPr="00B51DEF">
              <w:t>2/122 (1.6)</w:t>
            </w:r>
          </w:p>
        </w:tc>
        <w:tc>
          <w:tcPr>
            <w:tcW w:w="1741" w:type="dxa"/>
            <w:shd w:val="clear" w:color="auto" w:fill="auto"/>
            <w:vAlign w:val="center"/>
          </w:tcPr>
          <w:p w:rsidR="00022D31" w:rsidRPr="00B51DEF" w:rsidRDefault="00022D31" w:rsidP="009467BF">
            <w:pPr>
              <w:pStyle w:val="Tabletext"/>
              <w:jc w:val="center"/>
            </w:pPr>
            <w:r w:rsidRPr="00B51DEF">
              <w:t>2.31 (0.54, 9.81)</w:t>
            </w:r>
          </w:p>
        </w:tc>
        <w:tc>
          <w:tcPr>
            <w:tcW w:w="1676" w:type="dxa"/>
            <w:shd w:val="clear" w:color="auto" w:fill="auto"/>
            <w:vAlign w:val="center"/>
          </w:tcPr>
          <w:p w:rsidR="00022D31" w:rsidRPr="00B51DEF" w:rsidRDefault="00022D31" w:rsidP="009467BF">
            <w:pPr>
              <w:pStyle w:val="Tabletext"/>
              <w:jc w:val="center"/>
            </w:pPr>
            <w:r w:rsidRPr="00B51DEF">
              <w:t>2.36 (0.54, 10.30)</w:t>
            </w:r>
          </w:p>
        </w:tc>
        <w:tc>
          <w:tcPr>
            <w:tcW w:w="1612" w:type="dxa"/>
            <w:shd w:val="clear" w:color="auto" w:fill="auto"/>
            <w:vAlign w:val="center"/>
          </w:tcPr>
          <w:p w:rsidR="00022D31" w:rsidRPr="00B51DEF" w:rsidRDefault="00022D31" w:rsidP="009467BF">
            <w:pPr>
              <w:pStyle w:val="Tabletext"/>
              <w:jc w:val="center"/>
            </w:pPr>
            <w:r w:rsidRPr="00B51DEF">
              <w:t>0.02 (-0.01, 0.05)</w:t>
            </w:r>
          </w:p>
        </w:tc>
      </w:tr>
      <w:tr w:rsidR="00022D31" w:rsidRPr="00B51DEF" w:rsidTr="006D40D3">
        <w:trPr>
          <w:trHeight w:val="64"/>
        </w:trPr>
        <w:tc>
          <w:tcPr>
            <w:tcW w:w="1329" w:type="dxa"/>
            <w:shd w:val="clear" w:color="auto" w:fill="auto"/>
            <w:vAlign w:val="center"/>
          </w:tcPr>
          <w:p w:rsidR="00022D31" w:rsidRPr="00B51DEF" w:rsidRDefault="00022D31" w:rsidP="009467BF">
            <w:pPr>
              <w:pStyle w:val="Tabletext"/>
            </w:pPr>
            <w:r w:rsidRPr="00B51DEF">
              <w:t>OCTAVE 2</w:t>
            </w:r>
          </w:p>
        </w:tc>
        <w:tc>
          <w:tcPr>
            <w:tcW w:w="1414" w:type="dxa"/>
            <w:shd w:val="clear" w:color="auto" w:fill="auto"/>
            <w:vAlign w:val="center"/>
          </w:tcPr>
          <w:p w:rsidR="00022D31" w:rsidRPr="00B51DEF" w:rsidRDefault="00022D31" w:rsidP="009467BF">
            <w:pPr>
              <w:pStyle w:val="Tabletext"/>
              <w:jc w:val="center"/>
            </w:pPr>
            <w:r w:rsidRPr="00B51DEF">
              <w:t>17/429 (4.0)</w:t>
            </w:r>
          </w:p>
        </w:tc>
        <w:tc>
          <w:tcPr>
            <w:tcW w:w="1245" w:type="dxa"/>
            <w:shd w:val="clear" w:color="auto" w:fill="auto"/>
            <w:vAlign w:val="center"/>
          </w:tcPr>
          <w:p w:rsidR="00022D31" w:rsidRPr="00B51DEF" w:rsidRDefault="00022D31" w:rsidP="009467BF">
            <w:pPr>
              <w:pStyle w:val="Tabletext"/>
              <w:jc w:val="center"/>
            </w:pPr>
            <w:r w:rsidRPr="00B51DEF">
              <w:t>8/112 (7.1)</w:t>
            </w:r>
          </w:p>
        </w:tc>
        <w:tc>
          <w:tcPr>
            <w:tcW w:w="1741" w:type="dxa"/>
            <w:shd w:val="clear" w:color="auto" w:fill="auto"/>
            <w:vAlign w:val="center"/>
          </w:tcPr>
          <w:p w:rsidR="00022D31" w:rsidRPr="00B51DEF" w:rsidRDefault="00022D31" w:rsidP="009467BF">
            <w:pPr>
              <w:pStyle w:val="Tabletext"/>
              <w:jc w:val="center"/>
            </w:pPr>
            <w:r w:rsidRPr="00B51DEF">
              <w:t>0.55 (0.25, 1.25)</w:t>
            </w:r>
          </w:p>
        </w:tc>
        <w:tc>
          <w:tcPr>
            <w:tcW w:w="1676" w:type="dxa"/>
            <w:shd w:val="clear" w:color="auto" w:fill="auto"/>
            <w:vAlign w:val="center"/>
          </w:tcPr>
          <w:p w:rsidR="00022D31" w:rsidRPr="00B51DEF" w:rsidRDefault="00022D31" w:rsidP="009467BF">
            <w:pPr>
              <w:pStyle w:val="Tabletext"/>
              <w:jc w:val="center"/>
            </w:pPr>
            <w:r w:rsidRPr="00B51DEF">
              <w:t>0.54 (0.23, 1.28)</w:t>
            </w:r>
          </w:p>
        </w:tc>
        <w:tc>
          <w:tcPr>
            <w:tcW w:w="1612" w:type="dxa"/>
            <w:shd w:val="clear" w:color="auto" w:fill="auto"/>
            <w:vAlign w:val="center"/>
          </w:tcPr>
          <w:p w:rsidR="00022D31" w:rsidRPr="00B51DEF" w:rsidRDefault="00022D31" w:rsidP="009467BF">
            <w:pPr>
              <w:pStyle w:val="Tabletext"/>
              <w:jc w:val="center"/>
            </w:pPr>
            <w:r w:rsidRPr="00B51DEF">
              <w:t>-0.03 (-0.08, 0.02)</w:t>
            </w:r>
          </w:p>
        </w:tc>
      </w:tr>
      <w:tr w:rsidR="00022D31" w:rsidRPr="00B51DEF" w:rsidTr="006D40D3">
        <w:trPr>
          <w:trHeight w:val="70"/>
        </w:trPr>
        <w:tc>
          <w:tcPr>
            <w:tcW w:w="1329" w:type="dxa"/>
            <w:shd w:val="clear" w:color="auto" w:fill="auto"/>
            <w:vAlign w:val="center"/>
          </w:tcPr>
          <w:p w:rsidR="00022D31" w:rsidRPr="00B51DEF" w:rsidRDefault="00022D31" w:rsidP="009467BF">
            <w:pPr>
              <w:pStyle w:val="Tabletext"/>
            </w:pPr>
            <w:r w:rsidRPr="00B51DEF">
              <w:t>Pooled Result</w:t>
            </w:r>
          </w:p>
        </w:tc>
        <w:tc>
          <w:tcPr>
            <w:tcW w:w="1414" w:type="dxa"/>
            <w:shd w:val="clear" w:color="auto" w:fill="auto"/>
            <w:vAlign w:val="center"/>
          </w:tcPr>
          <w:p w:rsidR="00022D31" w:rsidRPr="00B51DEF" w:rsidRDefault="00022D31" w:rsidP="009467BF">
            <w:pPr>
              <w:pStyle w:val="Tabletext"/>
              <w:jc w:val="center"/>
            </w:pPr>
            <w:r w:rsidRPr="00B51DEF">
              <w:t>35/905 (3.9)</w:t>
            </w:r>
          </w:p>
        </w:tc>
        <w:tc>
          <w:tcPr>
            <w:tcW w:w="1245" w:type="dxa"/>
            <w:shd w:val="clear" w:color="auto" w:fill="auto"/>
            <w:vAlign w:val="center"/>
          </w:tcPr>
          <w:p w:rsidR="00022D31" w:rsidRPr="00B51DEF" w:rsidRDefault="00022D31" w:rsidP="009467BF">
            <w:pPr>
              <w:pStyle w:val="Tabletext"/>
              <w:jc w:val="center"/>
            </w:pPr>
            <w:r w:rsidRPr="00B51DEF">
              <w:t>10/234 (4.3)</w:t>
            </w:r>
          </w:p>
        </w:tc>
        <w:tc>
          <w:tcPr>
            <w:tcW w:w="1741" w:type="dxa"/>
            <w:shd w:val="clear" w:color="auto" w:fill="auto"/>
            <w:vAlign w:val="center"/>
          </w:tcPr>
          <w:p w:rsidR="00022D31" w:rsidRPr="00B51DEF" w:rsidRDefault="00022D31" w:rsidP="009467BF">
            <w:pPr>
              <w:pStyle w:val="Tabletext"/>
              <w:jc w:val="center"/>
              <w:rPr>
                <w:i/>
                <w:iCs/>
              </w:rPr>
            </w:pPr>
            <w:r w:rsidRPr="00B51DEF">
              <w:rPr>
                <w:i/>
                <w:iCs/>
              </w:rPr>
              <w:t>0.91 (0.46, 1.80)</w:t>
            </w:r>
          </w:p>
        </w:tc>
        <w:tc>
          <w:tcPr>
            <w:tcW w:w="1676" w:type="dxa"/>
            <w:shd w:val="clear" w:color="auto" w:fill="auto"/>
            <w:vAlign w:val="center"/>
          </w:tcPr>
          <w:p w:rsidR="00022D31" w:rsidRPr="00B51DEF" w:rsidRDefault="00022D31" w:rsidP="009467BF">
            <w:pPr>
              <w:pStyle w:val="Tabletext"/>
              <w:jc w:val="center"/>
              <w:rPr>
                <w:i/>
                <w:iCs/>
              </w:rPr>
            </w:pPr>
            <w:r w:rsidRPr="00B51DEF">
              <w:rPr>
                <w:i/>
                <w:iCs/>
              </w:rPr>
              <w:t>0.90 (0.44, 1.85)</w:t>
            </w:r>
          </w:p>
        </w:tc>
        <w:tc>
          <w:tcPr>
            <w:tcW w:w="1612" w:type="dxa"/>
            <w:shd w:val="clear" w:color="auto" w:fill="auto"/>
            <w:vAlign w:val="center"/>
          </w:tcPr>
          <w:p w:rsidR="00022D31" w:rsidRPr="00B51DEF" w:rsidRDefault="00022D31" w:rsidP="009467BF">
            <w:pPr>
              <w:pStyle w:val="Tabletext"/>
              <w:jc w:val="center"/>
              <w:rPr>
                <w:i/>
                <w:iCs/>
              </w:rPr>
            </w:pPr>
            <w:r w:rsidRPr="00B51DEF">
              <w:rPr>
                <w:i/>
                <w:iCs/>
              </w:rPr>
              <w:t>-0.00 (-0.03, 0.02)</w:t>
            </w:r>
          </w:p>
        </w:tc>
      </w:tr>
      <w:tr w:rsidR="00022D31" w:rsidRPr="00B51DEF" w:rsidTr="006D40D3">
        <w:trPr>
          <w:trHeight w:val="248"/>
        </w:trPr>
        <w:tc>
          <w:tcPr>
            <w:tcW w:w="9017" w:type="dxa"/>
            <w:gridSpan w:val="6"/>
            <w:shd w:val="clear" w:color="auto" w:fill="auto"/>
            <w:vAlign w:val="center"/>
          </w:tcPr>
          <w:p w:rsidR="00022D31" w:rsidRPr="00B51DEF" w:rsidRDefault="00022D31" w:rsidP="009467BF">
            <w:pPr>
              <w:pStyle w:val="Tabletext"/>
              <w:rPr>
                <w:b/>
                <w:bCs/>
              </w:rPr>
            </w:pPr>
            <w:r w:rsidRPr="00B51DEF">
              <w:rPr>
                <w:b/>
                <w:bCs/>
              </w:rPr>
              <w:t>Infections</w:t>
            </w:r>
          </w:p>
        </w:tc>
      </w:tr>
      <w:tr w:rsidR="00022D31" w:rsidRPr="00B51DEF" w:rsidTr="006D40D3">
        <w:trPr>
          <w:trHeight w:val="123"/>
        </w:trPr>
        <w:tc>
          <w:tcPr>
            <w:tcW w:w="1329" w:type="dxa"/>
            <w:shd w:val="clear" w:color="auto" w:fill="auto"/>
            <w:vAlign w:val="center"/>
          </w:tcPr>
          <w:p w:rsidR="00022D31" w:rsidRPr="00B51DEF" w:rsidRDefault="00022D31" w:rsidP="009467BF">
            <w:pPr>
              <w:pStyle w:val="Tabletext"/>
            </w:pPr>
            <w:r w:rsidRPr="00B51DEF">
              <w:t>OCTAVE 1</w:t>
            </w:r>
          </w:p>
        </w:tc>
        <w:tc>
          <w:tcPr>
            <w:tcW w:w="1414" w:type="dxa"/>
            <w:shd w:val="clear" w:color="auto" w:fill="auto"/>
            <w:vAlign w:val="center"/>
          </w:tcPr>
          <w:p w:rsidR="00022D31" w:rsidRPr="00B51DEF" w:rsidRDefault="00022D31" w:rsidP="009467BF">
            <w:pPr>
              <w:pStyle w:val="Tabletext"/>
              <w:jc w:val="center"/>
            </w:pPr>
            <w:r w:rsidRPr="00B51DEF">
              <w:t>111/476 (23.3)</w:t>
            </w:r>
          </w:p>
        </w:tc>
        <w:tc>
          <w:tcPr>
            <w:tcW w:w="1245" w:type="dxa"/>
            <w:shd w:val="clear" w:color="auto" w:fill="auto"/>
            <w:vAlign w:val="center"/>
          </w:tcPr>
          <w:p w:rsidR="00022D31" w:rsidRPr="00B51DEF" w:rsidRDefault="00022D31" w:rsidP="009467BF">
            <w:pPr>
              <w:pStyle w:val="Tabletext"/>
              <w:jc w:val="center"/>
            </w:pPr>
            <w:r w:rsidRPr="00B51DEF">
              <w:t>19/122 (15.6)</w:t>
            </w:r>
          </w:p>
        </w:tc>
        <w:tc>
          <w:tcPr>
            <w:tcW w:w="1741" w:type="dxa"/>
            <w:shd w:val="clear" w:color="auto" w:fill="auto"/>
            <w:vAlign w:val="center"/>
          </w:tcPr>
          <w:p w:rsidR="00022D31" w:rsidRPr="00B51DEF" w:rsidRDefault="00022D31" w:rsidP="009467BF">
            <w:pPr>
              <w:pStyle w:val="Tabletext"/>
              <w:jc w:val="center"/>
            </w:pPr>
            <w:r w:rsidRPr="00B51DEF">
              <w:t>1.50 (0.96, 2.33)</w:t>
            </w:r>
          </w:p>
        </w:tc>
        <w:tc>
          <w:tcPr>
            <w:tcW w:w="1676" w:type="dxa"/>
            <w:shd w:val="clear" w:color="auto" w:fill="auto"/>
            <w:vAlign w:val="center"/>
          </w:tcPr>
          <w:p w:rsidR="00022D31" w:rsidRPr="00B51DEF" w:rsidRDefault="00022D31" w:rsidP="009467BF">
            <w:pPr>
              <w:pStyle w:val="Tabletext"/>
              <w:jc w:val="center"/>
            </w:pPr>
            <w:r w:rsidRPr="00B51DEF">
              <w:t>1.65 (0.97, 2.81)</w:t>
            </w:r>
          </w:p>
        </w:tc>
        <w:tc>
          <w:tcPr>
            <w:tcW w:w="1612" w:type="dxa"/>
            <w:shd w:val="clear" w:color="auto" w:fill="auto"/>
            <w:vAlign w:val="center"/>
          </w:tcPr>
          <w:p w:rsidR="00022D31" w:rsidRPr="00B51DEF" w:rsidRDefault="00022D31" w:rsidP="009467BF">
            <w:pPr>
              <w:pStyle w:val="Tabletext"/>
              <w:jc w:val="center"/>
              <w:rPr>
                <w:b/>
                <w:bCs/>
              </w:rPr>
            </w:pPr>
            <w:r w:rsidRPr="00B51DEF">
              <w:rPr>
                <w:b/>
                <w:bCs/>
              </w:rPr>
              <w:t>0.08 (0.00, 0.15)</w:t>
            </w:r>
          </w:p>
        </w:tc>
      </w:tr>
      <w:tr w:rsidR="00022D31" w:rsidRPr="00B51DEF" w:rsidTr="006D40D3">
        <w:trPr>
          <w:trHeight w:val="64"/>
        </w:trPr>
        <w:tc>
          <w:tcPr>
            <w:tcW w:w="1329" w:type="dxa"/>
            <w:shd w:val="clear" w:color="auto" w:fill="auto"/>
            <w:vAlign w:val="center"/>
          </w:tcPr>
          <w:p w:rsidR="00022D31" w:rsidRPr="00B51DEF" w:rsidRDefault="00022D31" w:rsidP="009467BF">
            <w:pPr>
              <w:pStyle w:val="Tabletext"/>
            </w:pPr>
            <w:r w:rsidRPr="00B51DEF">
              <w:t>OCTAVE 2</w:t>
            </w:r>
          </w:p>
        </w:tc>
        <w:tc>
          <w:tcPr>
            <w:tcW w:w="1414" w:type="dxa"/>
            <w:shd w:val="clear" w:color="auto" w:fill="auto"/>
            <w:vAlign w:val="center"/>
          </w:tcPr>
          <w:p w:rsidR="00022D31" w:rsidRPr="00B51DEF" w:rsidRDefault="00022D31" w:rsidP="009467BF">
            <w:pPr>
              <w:pStyle w:val="Tabletext"/>
              <w:jc w:val="center"/>
            </w:pPr>
            <w:r w:rsidRPr="00B51DEF">
              <w:t>78/429 (18.2)</w:t>
            </w:r>
          </w:p>
        </w:tc>
        <w:tc>
          <w:tcPr>
            <w:tcW w:w="1245" w:type="dxa"/>
            <w:shd w:val="clear" w:color="auto" w:fill="auto"/>
            <w:vAlign w:val="center"/>
          </w:tcPr>
          <w:p w:rsidR="00022D31" w:rsidRPr="00B51DEF" w:rsidRDefault="00022D31" w:rsidP="009467BF">
            <w:pPr>
              <w:pStyle w:val="Tabletext"/>
              <w:jc w:val="center"/>
            </w:pPr>
            <w:r w:rsidRPr="00B51DEF">
              <w:t>17/112 (15.2)</w:t>
            </w:r>
          </w:p>
        </w:tc>
        <w:tc>
          <w:tcPr>
            <w:tcW w:w="1741" w:type="dxa"/>
            <w:shd w:val="clear" w:color="auto" w:fill="auto"/>
            <w:vAlign w:val="center"/>
          </w:tcPr>
          <w:p w:rsidR="00022D31" w:rsidRPr="00B51DEF" w:rsidRDefault="00022D31" w:rsidP="009467BF">
            <w:pPr>
              <w:pStyle w:val="Tabletext"/>
              <w:jc w:val="center"/>
            </w:pPr>
            <w:r w:rsidRPr="00B51DEF">
              <w:t>1.20 (0.74, 1.94)</w:t>
            </w:r>
          </w:p>
        </w:tc>
        <w:tc>
          <w:tcPr>
            <w:tcW w:w="1676" w:type="dxa"/>
            <w:shd w:val="clear" w:color="auto" w:fill="auto"/>
            <w:vAlign w:val="center"/>
          </w:tcPr>
          <w:p w:rsidR="00022D31" w:rsidRPr="00B51DEF" w:rsidRDefault="00022D31" w:rsidP="009467BF">
            <w:pPr>
              <w:pStyle w:val="Tabletext"/>
              <w:jc w:val="center"/>
            </w:pPr>
            <w:r w:rsidRPr="00B51DEF">
              <w:t>1.24 (0.70, 2.20)</w:t>
            </w:r>
          </w:p>
        </w:tc>
        <w:tc>
          <w:tcPr>
            <w:tcW w:w="1612" w:type="dxa"/>
            <w:shd w:val="clear" w:color="auto" w:fill="auto"/>
            <w:vAlign w:val="center"/>
          </w:tcPr>
          <w:p w:rsidR="00022D31" w:rsidRPr="00B51DEF" w:rsidRDefault="00022D31" w:rsidP="009467BF">
            <w:pPr>
              <w:pStyle w:val="Tabletext"/>
              <w:jc w:val="center"/>
            </w:pPr>
            <w:r w:rsidRPr="00B51DEF">
              <w:t>0.03 (-0.05, 0.11)</w:t>
            </w:r>
          </w:p>
        </w:tc>
      </w:tr>
      <w:tr w:rsidR="00022D31" w:rsidRPr="00B51DEF" w:rsidTr="006D40D3">
        <w:trPr>
          <w:trHeight w:val="70"/>
        </w:trPr>
        <w:tc>
          <w:tcPr>
            <w:tcW w:w="1329" w:type="dxa"/>
            <w:shd w:val="clear" w:color="auto" w:fill="auto"/>
            <w:vAlign w:val="center"/>
          </w:tcPr>
          <w:p w:rsidR="00022D31" w:rsidRPr="00B51DEF" w:rsidRDefault="00022D31" w:rsidP="009467BF">
            <w:pPr>
              <w:pStyle w:val="Tabletext"/>
            </w:pPr>
            <w:r w:rsidRPr="00B51DEF">
              <w:t>Pooled Result</w:t>
            </w:r>
          </w:p>
        </w:tc>
        <w:tc>
          <w:tcPr>
            <w:tcW w:w="1414" w:type="dxa"/>
            <w:shd w:val="clear" w:color="auto" w:fill="auto"/>
            <w:vAlign w:val="center"/>
          </w:tcPr>
          <w:p w:rsidR="00022D31" w:rsidRPr="00B51DEF" w:rsidRDefault="00022D31" w:rsidP="009467BF">
            <w:pPr>
              <w:pStyle w:val="Tabletext"/>
              <w:jc w:val="center"/>
              <w:rPr>
                <w:bCs/>
              </w:rPr>
            </w:pPr>
            <w:r w:rsidRPr="00B51DEF">
              <w:rPr>
                <w:bCs/>
              </w:rPr>
              <w:t>189/905 (20.9)</w:t>
            </w:r>
          </w:p>
        </w:tc>
        <w:tc>
          <w:tcPr>
            <w:tcW w:w="1245" w:type="dxa"/>
            <w:shd w:val="clear" w:color="auto" w:fill="auto"/>
            <w:vAlign w:val="center"/>
          </w:tcPr>
          <w:p w:rsidR="00022D31" w:rsidRPr="00B51DEF" w:rsidRDefault="00022D31" w:rsidP="009467BF">
            <w:pPr>
              <w:pStyle w:val="Tabletext"/>
              <w:jc w:val="center"/>
              <w:rPr>
                <w:bCs/>
              </w:rPr>
            </w:pPr>
            <w:r w:rsidRPr="00B51DEF">
              <w:rPr>
                <w:bCs/>
              </w:rPr>
              <w:t>36/234 (15.4)</w:t>
            </w:r>
          </w:p>
        </w:tc>
        <w:tc>
          <w:tcPr>
            <w:tcW w:w="1741" w:type="dxa"/>
            <w:shd w:val="clear" w:color="auto" w:fill="auto"/>
            <w:vAlign w:val="center"/>
          </w:tcPr>
          <w:p w:rsidR="00022D31" w:rsidRPr="00B51DEF" w:rsidRDefault="00022D31" w:rsidP="009467BF">
            <w:pPr>
              <w:pStyle w:val="Tabletext"/>
              <w:jc w:val="center"/>
              <w:rPr>
                <w:bCs/>
              </w:rPr>
            </w:pPr>
            <w:r w:rsidRPr="00B51DEF">
              <w:rPr>
                <w:bCs/>
              </w:rPr>
              <w:t>1.35 (0.97, 1.87)</w:t>
            </w:r>
          </w:p>
        </w:tc>
        <w:tc>
          <w:tcPr>
            <w:tcW w:w="1676" w:type="dxa"/>
            <w:shd w:val="clear" w:color="auto" w:fill="auto"/>
            <w:vAlign w:val="center"/>
          </w:tcPr>
          <w:p w:rsidR="00022D31" w:rsidRPr="00B51DEF" w:rsidRDefault="00022D31" w:rsidP="009467BF">
            <w:pPr>
              <w:pStyle w:val="Tabletext"/>
              <w:jc w:val="center"/>
              <w:rPr>
                <w:bCs/>
              </w:rPr>
            </w:pPr>
            <w:r w:rsidRPr="00B51DEF">
              <w:rPr>
                <w:bCs/>
              </w:rPr>
              <w:t>1.44 (0.98, 2.13)</w:t>
            </w:r>
          </w:p>
        </w:tc>
        <w:tc>
          <w:tcPr>
            <w:tcW w:w="1612" w:type="dxa"/>
            <w:shd w:val="clear" w:color="auto" w:fill="auto"/>
            <w:vAlign w:val="center"/>
          </w:tcPr>
          <w:p w:rsidR="00022D31" w:rsidRPr="00B51DEF" w:rsidRDefault="00022D31" w:rsidP="009467BF">
            <w:pPr>
              <w:pStyle w:val="Tabletext"/>
              <w:jc w:val="center"/>
              <w:rPr>
                <w:b/>
              </w:rPr>
            </w:pPr>
            <w:r w:rsidRPr="00B51DEF">
              <w:rPr>
                <w:b/>
              </w:rPr>
              <w:t>0.05 (0.00, 0.11)</w:t>
            </w:r>
          </w:p>
        </w:tc>
      </w:tr>
      <w:tr w:rsidR="00022D31" w:rsidRPr="00B51DEF" w:rsidTr="006D40D3">
        <w:trPr>
          <w:trHeight w:val="119"/>
        </w:trPr>
        <w:tc>
          <w:tcPr>
            <w:tcW w:w="9017" w:type="dxa"/>
            <w:gridSpan w:val="6"/>
            <w:shd w:val="clear" w:color="auto" w:fill="auto"/>
            <w:vAlign w:val="center"/>
          </w:tcPr>
          <w:p w:rsidR="00022D31" w:rsidRPr="00B51DEF" w:rsidRDefault="00022D31" w:rsidP="009467BF">
            <w:pPr>
              <w:pStyle w:val="Tabletext"/>
              <w:rPr>
                <w:b/>
                <w:bCs/>
              </w:rPr>
            </w:pPr>
            <w:r w:rsidRPr="00B51DEF">
              <w:rPr>
                <w:b/>
                <w:bCs/>
              </w:rPr>
              <w:t>Serious Infections</w:t>
            </w:r>
          </w:p>
        </w:tc>
      </w:tr>
      <w:tr w:rsidR="00022D31" w:rsidRPr="00B51DEF" w:rsidTr="006D40D3">
        <w:trPr>
          <w:trHeight w:val="179"/>
        </w:trPr>
        <w:tc>
          <w:tcPr>
            <w:tcW w:w="1329" w:type="dxa"/>
            <w:shd w:val="clear" w:color="auto" w:fill="auto"/>
            <w:vAlign w:val="center"/>
          </w:tcPr>
          <w:p w:rsidR="00022D31" w:rsidRPr="00B51DEF" w:rsidRDefault="00022D31" w:rsidP="009467BF">
            <w:pPr>
              <w:pStyle w:val="Tabletext"/>
            </w:pPr>
            <w:r w:rsidRPr="00B51DEF">
              <w:t>OCTAVE 1</w:t>
            </w:r>
          </w:p>
        </w:tc>
        <w:tc>
          <w:tcPr>
            <w:tcW w:w="1414" w:type="dxa"/>
            <w:shd w:val="clear" w:color="auto" w:fill="auto"/>
            <w:vAlign w:val="center"/>
          </w:tcPr>
          <w:p w:rsidR="00022D31" w:rsidRPr="00B51DEF" w:rsidRDefault="00022D31" w:rsidP="009467BF">
            <w:pPr>
              <w:pStyle w:val="Tabletext"/>
              <w:jc w:val="center"/>
            </w:pPr>
            <w:r w:rsidRPr="00B51DEF">
              <w:t>6/476 (1.3)</w:t>
            </w:r>
          </w:p>
        </w:tc>
        <w:tc>
          <w:tcPr>
            <w:tcW w:w="1245" w:type="dxa"/>
            <w:shd w:val="clear" w:color="auto" w:fill="auto"/>
            <w:vAlign w:val="center"/>
          </w:tcPr>
          <w:p w:rsidR="00022D31" w:rsidRPr="00B51DEF" w:rsidRDefault="00022D31" w:rsidP="009467BF">
            <w:pPr>
              <w:pStyle w:val="Tabletext"/>
              <w:jc w:val="center"/>
            </w:pPr>
            <w:r w:rsidRPr="00B51DEF">
              <w:t>0</w:t>
            </w:r>
          </w:p>
        </w:tc>
        <w:tc>
          <w:tcPr>
            <w:tcW w:w="1741" w:type="dxa"/>
            <w:shd w:val="clear" w:color="auto" w:fill="auto"/>
            <w:vAlign w:val="center"/>
          </w:tcPr>
          <w:p w:rsidR="00022D31" w:rsidRPr="00B51DEF" w:rsidRDefault="00022D31" w:rsidP="009467BF">
            <w:pPr>
              <w:pStyle w:val="Tabletext"/>
              <w:jc w:val="center"/>
            </w:pPr>
            <w:r w:rsidRPr="00B51DEF">
              <w:t>3.35 (0.19, 59.10)</w:t>
            </w:r>
          </w:p>
        </w:tc>
        <w:tc>
          <w:tcPr>
            <w:tcW w:w="1676" w:type="dxa"/>
            <w:shd w:val="clear" w:color="auto" w:fill="auto"/>
            <w:vAlign w:val="center"/>
          </w:tcPr>
          <w:p w:rsidR="00022D31" w:rsidRPr="00B51DEF" w:rsidRDefault="00022D31" w:rsidP="009467BF">
            <w:pPr>
              <w:pStyle w:val="Tabletext"/>
              <w:jc w:val="center"/>
            </w:pPr>
            <w:r w:rsidRPr="00B51DEF">
              <w:t>3.38 (0.19, 60.50)</w:t>
            </w:r>
          </w:p>
        </w:tc>
        <w:tc>
          <w:tcPr>
            <w:tcW w:w="1612" w:type="dxa"/>
            <w:shd w:val="clear" w:color="auto" w:fill="auto"/>
            <w:vAlign w:val="center"/>
          </w:tcPr>
          <w:p w:rsidR="00022D31" w:rsidRPr="00B51DEF" w:rsidRDefault="00022D31" w:rsidP="009467BF">
            <w:pPr>
              <w:pStyle w:val="Tabletext"/>
              <w:jc w:val="center"/>
            </w:pPr>
            <w:r w:rsidRPr="00B51DEF">
              <w:t>0.01 (-0.00, 0.03)</w:t>
            </w:r>
          </w:p>
        </w:tc>
      </w:tr>
      <w:tr w:rsidR="00022D31" w:rsidRPr="00B51DEF" w:rsidTr="006D40D3">
        <w:trPr>
          <w:trHeight w:val="111"/>
        </w:trPr>
        <w:tc>
          <w:tcPr>
            <w:tcW w:w="1329" w:type="dxa"/>
            <w:shd w:val="clear" w:color="auto" w:fill="auto"/>
            <w:vAlign w:val="center"/>
          </w:tcPr>
          <w:p w:rsidR="00022D31" w:rsidRPr="00B51DEF" w:rsidRDefault="00022D31" w:rsidP="009467BF">
            <w:pPr>
              <w:pStyle w:val="Tabletext"/>
            </w:pPr>
            <w:r w:rsidRPr="00B51DEF">
              <w:t>OCTAVE 2</w:t>
            </w:r>
          </w:p>
        </w:tc>
        <w:tc>
          <w:tcPr>
            <w:tcW w:w="1414" w:type="dxa"/>
            <w:shd w:val="clear" w:color="auto" w:fill="auto"/>
            <w:vAlign w:val="center"/>
          </w:tcPr>
          <w:p w:rsidR="00022D31" w:rsidRPr="00B51DEF" w:rsidRDefault="00022D31" w:rsidP="009467BF">
            <w:pPr>
              <w:pStyle w:val="Tabletext"/>
              <w:jc w:val="center"/>
            </w:pPr>
            <w:r w:rsidRPr="00B51DEF">
              <w:t>1/429 (0.2)</w:t>
            </w:r>
          </w:p>
        </w:tc>
        <w:tc>
          <w:tcPr>
            <w:tcW w:w="1245" w:type="dxa"/>
            <w:shd w:val="clear" w:color="auto" w:fill="auto"/>
            <w:vAlign w:val="center"/>
          </w:tcPr>
          <w:p w:rsidR="00022D31" w:rsidRPr="00B51DEF" w:rsidRDefault="00022D31" w:rsidP="009467BF">
            <w:pPr>
              <w:pStyle w:val="Tabletext"/>
              <w:jc w:val="center"/>
            </w:pPr>
            <w:r w:rsidRPr="00B51DEF">
              <w:t>0</w:t>
            </w:r>
          </w:p>
        </w:tc>
        <w:tc>
          <w:tcPr>
            <w:tcW w:w="1741" w:type="dxa"/>
            <w:shd w:val="clear" w:color="auto" w:fill="auto"/>
            <w:vAlign w:val="center"/>
          </w:tcPr>
          <w:p w:rsidR="00022D31" w:rsidRPr="00B51DEF" w:rsidRDefault="00022D31" w:rsidP="009467BF">
            <w:pPr>
              <w:pStyle w:val="Tabletext"/>
              <w:jc w:val="center"/>
            </w:pPr>
            <w:r w:rsidRPr="00B51DEF">
              <w:t>0.79 (0.03, 19.22)</w:t>
            </w:r>
          </w:p>
        </w:tc>
        <w:tc>
          <w:tcPr>
            <w:tcW w:w="1676" w:type="dxa"/>
            <w:shd w:val="clear" w:color="auto" w:fill="auto"/>
            <w:vAlign w:val="center"/>
          </w:tcPr>
          <w:p w:rsidR="00022D31" w:rsidRPr="00B51DEF" w:rsidRDefault="00022D31" w:rsidP="009467BF">
            <w:pPr>
              <w:pStyle w:val="Tabletext"/>
              <w:jc w:val="center"/>
            </w:pPr>
            <w:r w:rsidRPr="00B51DEF">
              <w:t>0.79 (0.03, 19.46)</w:t>
            </w:r>
          </w:p>
        </w:tc>
        <w:tc>
          <w:tcPr>
            <w:tcW w:w="1612" w:type="dxa"/>
            <w:shd w:val="clear" w:color="auto" w:fill="auto"/>
            <w:vAlign w:val="center"/>
          </w:tcPr>
          <w:p w:rsidR="00022D31" w:rsidRPr="00B51DEF" w:rsidRDefault="00022D31" w:rsidP="009467BF">
            <w:pPr>
              <w:pStyle w:val="Tabletext"/>
              <w:jc w:val="center"/>
            </w:pPr>
            <w:r w:rsidRPr="00B51DEF">
              <w:t>0.00 (-0.01, 0.02)</w:t>
            </w:r>
          </w:p>
        </w:tc>
      </w:tr>
      <w:tr w:rsidR="00022D31" w:rsidRPr="00B51DEF" w:rsidTr="006D40D3">
        <w:trPr>
          <w:trHeight w:val="70"/>
        </w:trPr>
        <w:tc>
          <w:tcPr>
            <w:tcW w:w="1329" w:type="dxa"/>
            <w:shd w:val="clear" w:color="auto" w:fill="auto"/>
            <w:vAlign w:val="center"/>
          </w:tcPr>
          <w:p w:rsidR="00022D31" w:rsidRPr="00B51DEF" w:rsidRDefault="00022D31" w:rsidP="009467BF">
            <w:pPr>
              <w:pStyle w:val="Tabletext"/>
            </w:pPr>
            <w:r w:rsidRPr="00B51DEF">
              <w:t>Pooled Result</w:t>
            </w:r>
          </w:p>
        </w:tc>
        <w:tc>
          <w:tcPr>
            <w:tcW w:w="1414" w:type="dxa"/>
            <w:shd w:val="clear" w:color="auto" w:fill="auto"/>
            <w:vAlign w:val="center"/>
          </w:tcPr>
          <w:p w:rsidR="00022D31" w:rsidRPr="00B51DEF" w:rsidRDefault="00022D31" w:rsidP="009467BF">
            <w:pPr>
              <w:pStyle w:val="Tabletext"/>
              <w:jc w:val="center"/>
            </w:pPr>
            <w:r w:rsidRPr="00B51DEF">
              <w:t>7/905 (0.8)</w:t>
            </w:r>
          </w:p>
        </w:tc>
        <w:tc>
          <w:tcPr>
            <w:tcW w:w="1245" w:type="dxa"/>
            <w:shd w:val="clear" w:color="auto" w:fill="auto"/>
            <w:vAlign w:val="center"/>
          </w:tcPr>
          <w:p w:rsidR="00022D31" w:rsidRPr="00B51DEF" w:rsidRDefault="00022D31" w:rsidP="009467BF">
            <w:pPr>
              <w:pStyle w:val="Tabletext"/>
              <w:jc w:val="center"/>
            </w:pPr>
            <w:r w:rsidRPr="00B51DEF">
              <w:t>0/234 (0)</w:t>
            </w:r>
          </w:p>
        </w:tc>
        <w:tc>
          <w:tcPr>
            <w:tcW w:w="1741" w:type="dxa"/>
            <w:shd w:val="clear" w:color="auto" w:fill="auto"/>
            <w:vAlign w:val="center"/>
          </w:tcPr>
          <w:p w:rsidR="00022D31" w:rsidRPr="00B51DEF" w:rsidRDefault="00022D31" w:rsidP="009467BF">
            <w:pPr>
              <w:pStyle w:val="Tabletext"/>
              <w:jc w:val="center"/>
            </w:pPr>
            <w:r w:rsidRPr="00B51DEF">
              <w:t>1.76 (0.21, 14.85)</w:t>
            </w:r>
          </w:p>
        </w:tc>
        <w:tc>
          <w:tcPr>
            <w:tcW w:w="1676" w:type="dxa"/>
            <w:shd w:val="clear" w:color="auto" w:fill="auto"/>
            <w:vAlign w:val="center"/>
          </w:tcPr>
          <w:p w:rsidR="00022D31" w:rsidRPr="00B51DEF" w:rsidRDefault="00022D31" w:rsidP="009467BF">
            <w:pPr>
              <w:pStyle w:val="Tabletext"/>
              <w:jc w:val="center"/>
            </w:pPr>
            <w:r w:rsidRPr="00B51DEF">
              <w:t>1.76 (0.21, 15.06)</w:t>
            </w:r>
          </w:p>
        </w:tc>
        <w:tc>
          <w:tcPr>
            <w:tcW w:w="1612" w:type="dxa"/>
            <w:shd w:val="clear" w:color="auto" w:fill="auto"/>
            <w:vAlign w:val="center"/>
          </w:tcPr>
          <w:p w:rsidR="00022D31" w:rsidRPr="00B51DEF" w:rsidRDefault="00022D31" w:rsidP="009467BF">
            <w:pPr>
              <w:pStyle w:val="Tabletext"/>
              <w:jc w:val="center"/>
            </w:pPr>
            <w:r w:rsidRPr="00B51DEF">
              <w:t>0.01 (-0.00, 0.02)</w:t>
            </w:r>
          </w:p>
        </w:tc>
      </w:tr>
      <w:tr w:rsidR="00022D31" w:rsidRPr="00B51DEF" w:rsidTr="006D40D3">
        <w:trPr>
          <w:trHeight w:val="131"/>
        </w:trPr>
        <w:tc>
          <w:tcPr>
            <w:tcW w:w="9017" w:type="dxa"/>
            <w:gridSpan w:val="6"/>
            <w:shd w:val="clear" w:color="auto" w:fill="auto"/>
            <w:vAlign w:val="center"/>
          </w:tcPr>
          <w:p w:rsidR="00022D31" w:rsidRPr="00B51DEF" w:rsidRDefault="00022D31" w:rsidP="009467BF">
            <w:pPr>
              <w:pStyle w:val="Tabletext"/>
              <w:rPr>
                <w:b/>
                <w:bCs/>
                <w:i/>
                <w:iCs/>
              </w:rPr>
            </w:pPr>
            <w:r w:rsidRPr="00B51DEF">
              <w:rPr>
                <w:b/>
                <w:bCs/>
                <w:i/>
                <w:iCs/>
              </w:rPr>
              <w:t>Herpes Zoster</w:t>
            </w:r>
          </w:p>
        </w:tc>
      </w:tr>
      <w:tr w:rsidR="00022D31" w:rsidRPr="00B51DEF" w:rsidTr="006D40D3">
        <w:trPr>
          <w:trHeight w:val="64"/>
        </w:trPr>
        <w:tc>
          <w:tcPr>
            <w:tcW w:w="1329" w:type="dxa"/>
            <w:shd w:val="clear" w:color="auto" w:fill="auto"/>
            <w:vAlign w:val="center"/>
          </w:tcPr>
          <w:p w:rsidR="00022D31" w:rsidRPr="00B51DEF" w:rsidRDefault="00022D31" w:rsidP="009467BF">
            <w:pPr>
              <w:pStyle w:val="Tabletext"/>
            </w:pPr>
            <w:r w:rsidRPr="00B51DEF">
              <w:t>OCTAVE 1</w:t>
            </w:r>
          </w:p>
        </w:tc>
        <w:tc>
          <w:tcPr>
            <w:tcW w:w="1414" w:type="dxa"/>
            <w:shd w:val="clear" w:color="auto" w:fill="auto"/>
            <w:vAlign w:val="center"/>
          </w:tcPr>
          <w:p w:rsidR="00022D31" w:rsidRPr="00B51DEF" w:rsidRDefault="00022D31" w:rsidP="009467BF">
            <w:pPr>
              <w:pStyle w:val="Tabletext"/>
              <w:jc w:val="center"/>
              <w:rPr>
                <w:bCs/>
                <w:i/>
                <w:iCs/>
              </w:rPr>
            </w:pPr>
            <w:r w:rsidRPr="00B51DEF">
              <w:rPr>
                <w:bCs/>
                <w:i/>
                <w:iCs/>
              </w:rPr>
              <w:t>3/476 (0.8)</w:t>
            </w:r>
          </w:p>
        </w:tc>
        <w:tc>
          <w:tcPr>
            <w:tcW w:w="1245" w:type="dxa"/>
            <w:shd w:val="clear" w:color="auto" w:fill="auto"/>
            <w:vAlign w:val="center"/>
          </w:tcPr>
          <w:p w:rsidR="00022D31" w:rsidRPr="00B51DEF" w:rsidRDefault="00022D31" w:rsidP="009467BF">
            <w:pPr>
              <w:pStyle w:val="Tabletext"/>
              <w:jc w:val="center"/>
              <w:rPr>
                <w:bCs/>
                <w:i/>
                <w:iCs/>
              </w:rPr>
            </w:pPr>
            <w:r w:rsidRPr="00B51DEF">
              <w:rPr>
                <w:bCs/>
                <w:i/>
                <w:iCs/>
              </w:rPr>
              <w:t>1/122 (0.8)</w:t>
            </w:r>
          </w:p>
        </w:tc>
        <w:tc>
          <w:tcPr>
            <w:tcW w:w="1741" w:type="dxa"/>
            <w:shd w:val="clear" w:color="auto" w:fill="auto"/>
            <w:vAlign w:val="center"/>
          </w:tcPr>
          <w:p w:rsidR="00022D31" w:rsidRPr="00B51DEF" w:rsidRDefault="00022D31" w:rsidP="009467BF">
            <w:pPr>
              <w:pStyle w:val="Tabletext"/>
              <w:jc w:val="center"/>
              <w:rPr>
                <w:bCs/>
                <w:i/>
                <w:iCs/>
              </w:rPr>
            </w:pPr>
            <w:r w:rsidRPr="00B51DEF">
              <w:rPr>
                <w:bCs/>
                <w:i/>
                <w:iCs/>
              </w:rPr>
              <w:t>0.77 (0.08, 7.33)</w:t>
            </w:r>
          </w:p>
        </w:tc>
        <w:tc>
          <w:tcPr>
            <w:tcW w:w="1676" w:type="dxa"/>
            <w:shd w:val="clear" w:color="auto" w:fill="auto"/>
            <w:vAlign w:val="center"/>
          </w:tcPr>
          <w:p w:rsidR="00022D31" w:rsidRPr="00B51DEF" w:rsidRDefault="00022D31" w:rsidP="009467BF">
            <w:pPr>
              <w:pStyle w:val="Tabletext"/>
              <w:jc w:val="center"/>
              <w:rPr>
                <w:bCs/>
                <w:i/>
                <w:iCs/>
              </w:rPr>
            </w:pPr>
            <w:r w:rsidRPr="00B51DEF">
              <w:rPr>
                <w:bCs/>
                <w:i/>
                <w:iCs/>
              </w:rPr>
              <w:t>0.95 (0.16, 5.81)</w:t>
            </w:r>
          </w:p>
        </w:tc>
        <w:tc>
          <w:tcPr>
            <w:tcW w:w="1612" w:type="dxa"/>
            <w:shd w:val="clear" w:color="auto" w:fill="auto"/>
            <w:vAlign w:val="center"/>
          </w:tcPr>
          <w:p w:rsidR="00022D31" w:rsidRPr="00B51DEF" w:rsidRDefault="00022D31" w:rsidP="009467BF">
            <w:pPr>
              <w:pStyle w:val="Tabletext"/>
              <w:jc w:val="center"/>
              <w:rPr>
                <w:bCs/>
                <w:i/>
                <w:iCs/>
              </w:rPr>
            </w:pPr>
            <w:r w:rsidRPr="00B51DEF">
              <w:rPr>
                <w:bCs/>
                <w:i/>
                <w:iCs/>
              </w:rPr>
              <w:t>0.00 (-0.01, 0.02)</w:t>
            </w:r>
          </w:p>
        </w:tc>
      </w:tr>
      <w:tr w:rsidR="00022D31" w:rsidRPr="00B51DEF" w:rsidTr="006D40D3">
        <w:trPr>
          <w:trHeight w:val="64"/>
        </w:trPr>
        <w:tc>
          <w:tcPr>
            <w:tcW w:w="1329" w:type="dxa"/>
            <w:shd w:val="clear" w:color="auto" w:fill="auto"/>
            <w:vAlign w:val="center"/>
          </w:tcPr>
          <w:p w:rsidR="00022D31" w:rsidRPr="00B51DEF" w:rsidRDefault="00022D31" w:rsidP="009467BF">
            <w:pPr>
              <w:pStyle w:val="Tabletext"/>
            </w:pPr>
            <w:r w:rsidRPr="00B51DEF">
              <w:t>OCTAVE 2</w:t>
            </w:r>
          </w:p>
        </w:tc>
        <w:tc>
          <w:tcPr>
            <w:tcW w:w="1414" w:type="dxa"/>
            <w:shd w:val="clear" w:color="auto" w:fill="auto"/>
            <w:vAlign w:val="center"/>
          </w:tcPr>
          <w:p w:rsidR="00022D31" w:rsidRPr="00B51DEF" w:rsidRDefault="00022D31" w:rsidP="009467BF">
            <w:pPr>
              <w:pStyle w:val="Tabletext"/>
              <w:jc w:val="center"/>
              <w:rPr>
                <w:bCs/>
                <w:i/>
                <w:iCs/>
              </w:rPr>
            </w:pPr>
            <w:r w:rsidRPr="00B51DEF">
              <w:rPr>
                <w:bCs/>
                <w:i/>
                <w:iCs/>
              </w:rPr>
              <w:t>2/429 (0.4)</w:t>
            </w:r>
          </w:p>
        </w:tc>
        <w:tc>
          <w:tcPr>
            <w:tcW w:w="1245" w:type="dxa"/>
            <w:shd w:val="clear" w:color="auto" w:fill="auto"/>
            <w:vAlign w:val="center"/>
          </w:tcPr>
          <w:p w:rsidR="00022D31" w:rsidRPr="00B51DEF" w:rsidRDefault="00022D31" w:rsidP="009467BF">
            <w:pPr>
              <w:pStyle w:val="Tabletext"/>
              <w:jc w:val="center"/>
              <w:rPr>
                <w:bCs/>
                <w:i/>
                <w:iCs/>
              </w:rPr>
            </w:pPr>
            <w:r w:rsidRPr="00B51DEF">
              <w:rPr>
                <w:bCs/>
                <w:i/>
                <w:iCs/>
              </w:rPr>
              <w:t>0</w:t>
            </w:r>
          </w:p>
        </w:tc>
        <w:tc>
          <w:tcPr>
            <w:tcW w:w="1741" w:type="dxa"/>
            <w:shd w:val="clear" w:color="auto" w:fill="auto"/>
            <w:vAlign w:val="center"/>
          </w:tcPr>
          <w:p w:rsidR="00022D31" w:rsidRPr="00B51DEF" w:rsidRDefault="00022D31" w:rsidP="009467BF">
            <w:pPr>
              <w:pStyle w:val="Tabletext"/>
              <w:jc w:val="center"/>
              <w:rPr>
                <w:bCs/>
                <w:i/>
                <w:iCs/>
              </w:rPr>
            </w:pPr>
            <w:r w:rsidRPr="00B51DEF">
              <w:rPr>
                <w:bCs/>
                <w:i/>
                <w:iCs/>
              </w:rPr>
              <w:t>1.31 (0.06, 27.18)</w:t>
            </w:r>
          </w:p>
        </w:tc>
        <w:tc>
          <w:tcPr>
            <w:tcW w:w="1676" w:type="dxa"/>
            <w:shd w:val="clear" w:color="auto" w:fill="auto"/>
            <w:vAlign w:val="center"/>
          </w:tcPr>
          <w:p w:rsidR="00022D31" w:rsidRPr="00B51DEF" w:rsidRDefault="00022D31" w:rsidP="009467BF">
            <w:pPr>
              <w:pStyle w:val="Tabletext"/>
              <w:jc w:val="center"/>
              <w:rPr>
                <w:bCs/>
                <w:i/>
                <w:iCs/>
              </w:rPr>
            </w:pPr>
            <w:r w:rsidRPr="00B51DEF">
              <w:rPr>
                <w:bCs/>
                <w:i/>
                <w:iCs/>
              </w:rPr>
              <w:t>1.32 (0.06, 27.6)</w:t>
            </w:r>
          </w:p>
        </w:tc>
        <w:tc>
          <w:tcPr>
            <w:tcW w:w="1612" w:type="dxa"/>
            <w:shd w:val="clear" w:color="auto" w:fill="auto"/>
            <w:vAlign w:val="center"/>
          </w:tcPr>
          <w:p w:rsidR="00022D31" w:rsidRPr="00B51DEF" w:rsidRDefault="00022D31" w:rsidP="009467BF">
            <w:pPr>
              <w:pStyle w:val="Tabletext"/>
              <w:jc w:val="center"/>
              <w:rPr>
                <w:bCs/>
                <w:i/>
                <w:iCs/>
              </w:rPr>
            </w:pPr>
            <w:r w:rsidRPr="00B51DEF">
              <w:rPr>
                <w:bCs/>
                <w:i/>
                <w:iCs/>
              </w:rPr>
              <w:t>0.00 (-0.01, 0.02)</w:t>
            </w:r>
          </w:p>
        </w:tc>
      </w:tr>
      <w:tr w:rsidR="00022D31" w:rsidRPr="00B51DEF" w:rsidTr="006D40D3">
        <w:trPr>
          <w:trHeight w:val="70"/>
        </w:trPr>
        <w:tc>
          <w:tcPr>
            <w:tcW w:w="1329" w:type="dxa"/>
            <w:shd w:val="clear" w:color="auto" w:fill="auto"/>
            <w:vAlign w:val="center"/>
          </w:tcPr>
          <w:p w:rsidR="00022D31" w:rsidRPr="00B51DEF" w:rsidRDefault="00022D31" w:rsidP="009467BF">
            <w:pPr>
              <w:pStyle w:val="Tabletext"/>
            </w:pPr>
            <w:r w:rsidRPr="00B51DEF">
              <w:t>Pooled Result</w:t>
            </w:r>
          </w:p>
        </w:tc>
        <w:tc>
          <w:tcPr>
            <w:tcW w:w="1414" w:type="dxa"/>
            <w:shd w:val="clear" w:color="auto" w:fill="auto"/>
            <w:vAlign w:val="center"/>
          </w:tcPr>
          <w:p w:rsidR="00022D31" w:rsidRPr="00B51DEF" w:rsidRDefault="00022D31" w:rsidP="009467BF">
            <w:pPr>
              <w:pStyle w:val="Tabletext"/>
              <w:jc w:val="center"/>
              <w:rPr>
                <w:bCs/>
                <w:i/>
                <w:iCs/>
              </w:rPr>
            </w:pPr>
            <w:r w:rsidRPr="00B51DEF">
              <w:rPr>
                <w:bCs/>
                <w:i/>
                <w:iCs/>
              </w:rPr>
              <w:t>5/905 (0.5)</w:t>
            </w:r>
          </w:p>
        </w:tc>
        <w:tc>
          <w:tcPr>
            <w:tcW w:w="1245" w:type="dxa"/>
            <w:shd w:val="clear" w:color="auto" w:fill="auto"/>
            <w:vAlign w:val="center"/>
          </w:tcPr>
          <w:p w:rsidR="00022D31" w:rsidRPr="00B51DEF" w:rsidRDefault="00022D31" w:rsidP="009467BF">
            <w:pPr>
              <w:pStyle w:val="Tabletext"/>
              <w:jc w:val="center"/>
              <w:rPr>
                <w:bCs/>
                <w:i/>
                <w:iCs/>
              </w:rPr>
            </w:pPr>
            <w:r w:rsidRPr="00B51DEF">
              <w:rPr>
                <w:bCs/>
                <w:i/>
                <w:iCs/>
              </w:rPr>
              <w:t>1/234 (0.4)</w:t>
            </w:r>
          </w:p>
        </w:tc>
        <w:tc>
          <w:tcPr>
            <w:tcW w:w="1741" w:type="dxa"/>
            <w:shd w:val="clear" w:color="auto" w:fill="auto"/>
            <w:vAlign w:val="center"/>
          </w:tcPr>
          <w:p w:rsidR="00022D31" w:rsidRPr="00B51DEF" w:rsidRDefault="00022D31" w:rsidP="009467BF">
            <w:pPr>
              <w:pStyle w:val="Tabletext"/>
              <w:jc w:val="center"/>
              <w:rPr>
                <w:bCs/>
                <w:i/>
                <w:iCs/>
              </w:rPr>
            </w:pPr>
            <w:r w:rsidRPr="00B51DEF">
              <w:rPr>
                <w:bCs/>
                <w:i/>
                <w:iCs/>
              </w:rPr>
              <w:t>0.95 (0.16, 5.74)</w:t>
            </w:r>
          </w:p>
        </w:tc>
        <w:tc>
          <w:tcPr>
            <w:tcW w:w="1676" w:type="dxa"/>
            <w:shd w:val="clear" w:color="auto" w:fill="auto"/>
            <w:vAlign w:val="center"/>
          </w:tcPr>
          <w:p w:rsidR="00022D31" w:rsidRPr="00B51DEF" w:rsidRDefault="00022D31" w:rsidP="009467BF">
            <w:pPr>
              <w:pStyle w:val="Tabletext"/>
              <w:jc w:val="center"/>
              <w:rPr>
                <w:bCs/>
                <w:i/>
                <w:iCs/>
              </w:rPr>
            </w:pPr>
            <w:r w:rsidRPr="00B51DEF">
              <w:rPr>
                <w:bCs/>
                <w:i/>
                <w:iCs/>
              </w:rPr>
              <w:t>0.95 (0.16, 5.81)</w:t>
            </w:r>
          </w:p>
        </w:tc>
        <w:tc>
          <w:tcPr>
            <w:tcW w:w="1612" w:type="dxa"/>
            <w:shd w:val="clear" w:color="auto" w:fill="auto"/>
            <w:vAlign w:val="center"/>
          </w:tcPr>
          <w:p w:rsidR="00022D31" w:rsidRPr="00B51DEF" w:rsidRDefault="00022D31" w:rsidP="009467BF">
            <w:pPr>
              <w:pStyle w:val="Tabletext"/>
              <w:jc w:val="center"/>
              <w:rPr>
                <w:bCs/>
                <w:i/>
                <w:iCs/>
              </w:rPr>
            </w:pPr>
            <w:r w:rsidRPr="00B51DEF">
              <w:rPr>
                <w:bCs/>
                <w:i/>
                <w:iCs/>
              </w:rPr>
              <w:t>0.00 (-0.01, 0.01)</w:t>
            </w:r>
          </w:p>
        </w:tc>
      </w:tr>
    </w:tbl>
    <w:p w:rsidR="00022D31" w:rsidRPr="00B51DEF" w:rsidRDefault="00022D31" w:rsidP="009467BF">
      <w:pPr>
        <w:pStyle w:val="TableFooter"/>
        <w:widowControl/>
      </w:pPr>
      <w:r w:rsidRPr="00B51DEF">
        <w:t>Source: Table 2.5.18, p101 of the submission</w:t>
      </w:r>
    </w:p>
    <w:p w:rsidR="00022D31" w:rsidRPr="00B51DEF" w:rsidRDefault="00022D31" w:rsidP="009467BF">
      <w:pPr>
        <w:pStyle w:val="TableFooter"/>
        <w:widowControl/>
      </w:pPr>
      <w:r w:rsidRPr="00B51DEF">
        <w:t>Abbreviations: CI=confidence interval; n=number of participants with event; N=total participants in group, OR=odds ratio, RD=risk difference, RR=risk ratio, TOF=</w:t>
      </w:r>
      <w:proofErr w:type="spellStart"/>
      <w:r w:rsidRPr="00B51DEF">
        <w:t>tofacitinib</w:t>
      </w:r>
      <w:proofErr w:type="spellEnd"/>
    </w:p>
    <w:p w:rsidR="00022D31" w:rsidRPr="00B51DEF" w:rsidRDefault="00022D31" w:rsidP="009467BF">
      <w:pPr>
        <w:pStyle w:val="TableFooter"/>
        <w:widowControl/>
      </w:pPr>
      <w:r w:rsidRPr="00B51DEF">
        <w:t>Bold text=statistically significant</w:t>
      </w:r>
    </w:p>
    <w:p w:rsidR="000C47E6" w:rsidRPr="00B51DEF" w:rsidRDefault="000C47E6" w:rsidP="009467BF">
      <w:pPr>
        <w:pStyle w:val="TableFooter"/>
        <w:widowControl/>
      </w:pPr>
    </w:p>
    <w:p w:rsidR="000C47E6" w:rsidRPr="00B51DEF" w:rsidRDefault="000C47E6" w:rsidP="009467BF">
      <w:pPr>
        <w:pStyle w:val="TableFooter"/>
        <w:widowControl/>
      </w:pPr>
    </w:p>
    <w:p w:rsidR="006723AB" w:rsidRDefault="006723AB">
      <w:pPr>
        <w:widowControl/>
        <w:jc w:val="left"/>
        <w:rPr>
          <w:rFonts w:ascii="Arial Narrow" w:eastAsiaTheme="minorHAnsi" w:hAnsi="Arial Narrow" w:cstheme="minorBidi"/>
          <w:b/>
          <w:snapToGrid/>
          <w:sz w:val="20"/>
        </w:rPr>
      </w:pPr>
      <w:bookmarkStart w:id="13" w:name="_Ref1374353"/>
      <w:r>
        <w:br w:type="page"/>
      </w:r>
    </w:p>
    <w:p w:rsidR="00022D31" w:rsidRPr="00B51DEF" w:rsidRDefault="00022D31" w:rsidP="000C47E6">
      <w:pPr>
        <w:pStyle w:val="TableHeading0"/>
      </w:pPr>
      <w:r w:rsidRPr="00B51DEF">
        <w:lastRenderedPageBreak/>
        <w:t xml:space="preserve">Table </w:t>
      </w:r>
      <w:r w:rsidR="00C7435F" w:rsidRPr="00B51DEF">
        <w:t>1</w:t>
      </w:r>
      <w:bookmarkEnd w:id="13"/>
      <w:r w:rsidR="006723AB">
        <w:t>0</w:t>
      </w:r>
      <w:r w:rsidRPr="00B51DEF">
        <w:t xml:space="preserve"> Summary of key AEs in OCTAVE sustain (TOF 10mg / TOF 5mg vs. PBO) – maintenance therapy (</w:t>
      </w:r>
      <w:proofErr w:type="spellStart"/>
      <w:r w:rsidRPr="00B51DEF">
        <w:t>Wk</w:t>
      </w:r>
      <w:proofErr w:type="spellEnd"/>
      <w:r w:rsidRPr="00B51DEF">
        <w:t xml:space="preserve">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key AEs in OCTAVE sustain (TOF 10mg / TOF 5mg vs. PBO) – maintenance therapy (Wk 52)"/>
      </w:tblPr>
      <w:tblGrid>
        <w:gridCol w:w="1643"/>
        <w:gridCol w:w="1478"/>
        <w:gridCol w:w="1478"/>
        <w:gridCol w:w="1473"/>
        <w:gridCol w:w="1473"/>
        <w:gridCol w:w="1472"/>
      </w:tblGrid>
      <w:tr w:rsidR="00022D31" w:rsidRPr="00B51DEF" w:rsidTr="006D40D3">
        <w:trPr>
          <w:trHeight w:val="20"/>
          <w:tblHeader/>
        </w:trPr>
        <w:tc>
          <w:tcPr>
            <w:tcW w:w="1646" w:type="dxa"/>
            <w:shd w:val="clear" w:color="auto" w:fill="auto"/>
            <w:vAlign w:val="bottom"/>
          </w:tcPr>
          <w:p w:rsidR="00022D31" w:rsidRPr="00B51DEF" w:rsidRDefault="00022D31" w:rsidP="009467BF">
            <w:pPr>
              <w:pStyle w:val="Tabletext"/>
              <w:rPr>
                <w:b/>
                <w:bCs/>
              </w:rPr>
            </w:pPr>
            <w:r w:rsidRPr="00B51DEF">
              <w:rPr>
                <w:b/>
                <w:bCs/>
              </w:rPr>
              <w:t>Time point</w:t>
            </w:r>
          </w:p>
        </w:tc>
        <w:tc>
          <w:tcPr>
            <w:tcW w:w="1478" w:type="dxa"/>
            <w:shd w:val="clear" w:color="auto" w:fill="auto"/>
            <w:vAlign w:val="center"/>
          </w:tcPr>
          <w:p w:rsidR="00022D31" w:rsidRPr="00B51DEF" w:rsidRDefault="00022D31" w:rsidP="009467BF">
            <w:pPr>
              <w:pStyle w:val="Tabletext"/>
              <w:jc w:val="center"/>
              <w:rPr>
                <w:b/>
                <w:bCs/>
              </w:rPr>
            </w:pPr>
            <w:r w:rsidRPr="00B51DEF">
              <w:rPr>
                <w:b/>
                <w:bCs/>
              </w:rPr>
              <w:t>TOF n/N (%)</w:t>
            </w:r>
          </w:p>
        </w:tc>
        <w:tc>
          <w:tcPr>
            <w:tcW w:w="1479" w:type="dxa"/>
            <w:shd w:val="clear" w:color="auto" w:fill="auto"/>
            <w:vAlign w:val="center"/>
          </w:tcPr>
          <w:p w:rsidR="00022D31" w:rsidRPr="00B51DEF" w:rsidRDefault="00022D31" w:rsidP="009467BF">
            <w:pPr>
              <w:pStyle w:val="Tabletext"/>
              <w:jc w:val="center"/>
              <w:rPr>
                <w:b/>
                <w:bCs/>
              </w:rPr>
            </w:pPr>
            <w:r w:rsidRPr="00B51DEF">
              <w:rPr>
                <w:b/>
                <w:bCs/>
              </w:rPr>
              <w:t>PBO</w:t>
            </w:r>
            <w:r w:rsidR="0087001D" w:rsidRPr="00B51DEF">
              <w:rPr>
                <w:b/>
                <w:bCs/>
              </w:rPr>
              <w:t xml:space="preserve"> </w:t>
            </w:r>
            <w:r w:rsidRPr="00B51DEF">
              <w:rPr>
                <w:b/>
                <w:bCs/>
              </w:rPr>
              <w:t>n/N (%)</w:t>
            </w:r>
          </w:p>
        </w:tc>
        <w:tc>
          <w:tcPr>
            <w:tcW w:w="1472" w:type="dxa"/>
            <w:shd w:val="clear" w:color="auto" w:fill="auto"/>
            <w:vAlign w:val="center"/>
          </w:tcPr>
          <w:p w:rsidR="00022D31" w:rsidRPr="00B51DEF" w:rsidRDefault="00022D31" w:rsidP="009467BF">
            <w:pPr>
              <w:pStyle w:val="Tabletext"/>
              <w:jc w:val="center"/>
              <w:rPr>
                <w:b/>
                <w:bCs/>
              </w:rPr>
            </w:pPr>
            <w:r w:rsidRPr="00B51DEF">
              <w:rPr>
                <w:b/>
                <w:bCs/>
              </w:rPr>
              <w:t>RR (95% CI)</w:t>
            </w:r>
          </w:p>
        </w:tc>
        <w:tc>
          <w:tcPr>
            <w:tcW w:w="1472" w:type="dxa"/>
            <w:shd w:val="clear" w:color="auto" w:fill="auto"/>
            <w:vAlign w:val="center"/>
          </w:tcPr>
          <w:p w:rsidR="00022D31" w:rsidRPr="00B51DEF" w:rsidRDefault="00022D31" w:rsidP="009467BF">
            <w:pPr>
              <w:pStyle w:val="Tabletext"/>
              <w:jc w:val="center"/>
              <w:rPr>
                <w:b/>
                <w:bCs/>
              </w:rPr>
            </w:pPr>
            <w:r w:rsidRPr="00B51DEF">
              <w:rPr>
                <w:b/>
                <w:bCs/>
              </w:rPr>
              <w:t>OR (95% CI)</w:t>
            </w:r>
          </w:p>
        </w:tc>
        <w:tc>
          <w:tcPr>
            <w:tcW w:w="1470" w:type="dxa"/>
            <w:shd w:val="clear" w:color="auto" w:fill="auto"/>
            <w:vAlign w:val="center"/>
          </w:tcPr>
          <w:p w:rsidR="00022D31" w:rsidRPr="00B51DEF" w:rsidRDefault="00022D31" w:rsidP="009467BF">
            <w:pPr>
              <w:pStyle w:val="Tabletext"/>
              <w:jc w:val="center"/>
              <w:rPr>
                <w:b/>
                <w:bCs/>
              </w:rPr>
            </w:pPr>
            <w:r w:rsidRPr="00B51DEF">
              <w:rPr>
                <w:b/>
                <w:bCs/>
              </w:rPr>
              <w:t>RD (95% CI)</w:t>
            </w:r>
          </w:p>
        </w:tc>
      </w:tr>
      <w:tr w:rsidR="00022D31" w:rsidRPr="00B51DEF" w:rsidTr="006D40D3">
        <w:trPr>
          <w:trHeight w:val="20"/>
        </w:trPr>
        <w:tc>
          <w:tcPr>
            <w:tcW w:w="9017" w:type="dxa"/>
            <w:gridSpan w:val="6"/>
            <w:shd w:val="clear" w:color="auto" w:fill="auto"/>
          </w:tcPr>
          <w:p w:rsidR="00022D31" w:rsidRPr="00B51DEF" w:rsidRDefault="00022D31" w:rsidP="009467BF">
            <w:pPr>
              <w:pStyle w:val="Tabletext"/>
              <w:rPr>
                <w:b/>
                <w:bCs/>
              </w:rPr>
            </w:pPr>
            <w:r w:rsidRPr="00B51DEF">
              <w:rPr>
                <w:b/>
                <w:bCs/>
              </w:rPr>
              <w:t>TOF 5 mg</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Any AE</w:t>
            </w:r>
          </w:p>
        </w:tc>
        <w:tc>
          <w:tcPr>
            <w:tcW w:w="1514" w:type="dxa"/>
            <w:shd w:val="clear" w:color="auto" w:fill="auto"/>
            <w:vAlign w:val="center"/>
          </w:tcPr>
          <w:p w:rsidR="00022D31" w:rsidRPr="00B51DEF" w:rsidRDefault="00022D31" w:rsidP="009467BF">
            <w:pPr>
              <w:pStyle w:val="Tabletext"/>
              <w:jc w:val="center"/>
            </w:pPr>
            <w:r w:rsidRPr="00B51DEF">
              <w:t>143/198 (72.2)</w:t>
            </w:r>
          </w:p>
        </w:tc>
        <w:tc>
          <w:tcPr>
            <w:tcW w:w="1514" w:type="dxa"/>
            <w:shd w:val="clear" w:color="auto" w:fill="auto"/>
            <w:vAlign w:val="center"/>
          </w:tcPr>
          <w:p w:rsidR="00022D31" w:rsidRPr="00B51DEF" w:rsidRDefault="00022D31" w:rsidP="009467BF">
            <w:pPr>
              <w:pStyle w:val="Tabletext"/>
              <w:jc w:val="center"/>
            </w:pPr>
            <w:r w:rsidRPr="00B51DEF">
              <w:t>149/198 (75.3)</w:t>
            </w:r>
          </w:p>
        </w:tc>
        <w:tc>
          <w:tcPr>
            <w:tcW w:w="1514" w:type="dxa"/>
            <w:shd w:val="clear" w:color="auto" w:fill="auto"/>
            <w:vAlign w:val="center"/>
          </w:tcPr>
          <w:p w:rsidR="00022D31" w:rsidRPr="00B51DEF" w:rsidRDefault="00022D31" w:rsidP="009467BF">
            <w:pPr>
              <w:pStyle w:val="Tabletext"/>
              <w:jc w:val="center"/>
            </w:pPr>
            <w:r w:rsidRPr="00B51DEF">
              <w:t>0.96 (0.85, 1.08)</w:t>
            </w:r>
          </w:p>
        </w:tc>
        <w:tc>
          <w:tcPr>
            <w:tcW w:w="1514" w:type="dxa"/>
            <w:shd w:val="clear" w:color="auto" w:fill="auto"/>
            <w:vAlign w:val="center"/>
          </w:tcPr>
          <w:p w:rsidR="00022D31" w:rsidRPr="00B51DEF" w:rsidRDefault="00022D31" w:rsidP="009467BF">
            <w:pPr>
              <w:pStyle w:val="Tabletext"/>
              <w:jc w:val="center"/>
            </w:pPr>
            <w:r w:rsidRPr="00B51DEF">
              <w:t>0.86 (0.55, 1.34)</w:t>
            </w:r>
          </w:p>
        </w:tc>
        <w:tc>
          <w:tcPr>
            <w:tcW w:w="1514" w:type="dxa"/>
            <w:shd w:val="clear" w:color="auto" w:fill="auto"/>
            <w:vAlign w:val="center"/>
          </w:tcPr>
          <w:p w:rsidR="00022D31" w:rsidRPr="00B51DEF" w:rsidRDefault="00022D31" w:rsidP="009467BF">
            <w:pPr>
              <w:pStyle w:val="Tabletext"/>
              <w:jc w:val="center"/>
            </w:pPr>
            <w:r w:rsidRPr="00B51DEF">
              <w:t>-0.03 (-0.12, 0.06)</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Serious AE</w:t>
            </w:r>
          </w:p>
        </w:tc>
        <w:tc>
          <w:tcPr>
            <w:tcW w:w="1514" w:type="dxa"/>
            <w:shd w:val="clear" w:color="auto" w:fill="auto"/>
            <w:vAlign w:val="center"/>
          </w:tcPr>
          <w:p w:rsidR="00022D31" w:rsidRPr="00B51DEF" w:rsidRDefault="00022D31" w:rsidP="009467BF">
            <w:pPr>
              <w:pStyle w:val="Tabletext"/>
              <w:jc w:val="center"/>
            </w:pPr>
            <w:r w:rsidRPr="00B51DEF">
              <w:t>10/198 (5.1)</w:t>
            </w:r>
          </w:p>
        </w:tc>
        <w:tc>
          <w:tcPr>
            <w:tcW w:w="1514" w:type="dxa"/>
            <w:shd w:val="clear" w:color="auto" w:fill="auto"/>
            <w:vAlign w:val="center"/>
          </w:tcPr>
          <w:p w:rsidR="00022D31" w:rsidRPr="00B51DEF" w:rsidRDefault="00022D31" w:rsidP="009467BF">
            <w:pPr>
              <w:pStyle w:val="Tabletext"/>
              <w:jc w:val="center"/>
            </w:pPr>
            <w:r w:rsidRPr="00B51DEF">
              <w:t>13/198 (6.6)</w:t>
            </w:r>
          </w:p>
        </w:tc>
        <w:tc>
          <w:tcPr>
            <w:tcW w:w="1514" w:type="dxa"/>
            <w:shd w:val="clear" w:color="auto" w:fill="auto"/>
            <w:vAlign w:val="center"/>
          </w:tcPr>
          <w:p w:rsidR="00022D31" w:rsidRPr="00B51DEF" w:rsidRDefault="00022D31" w:rsidP="009467BF">
            <w:pPr>
              <w:pStyle w:val="Tabletext"/>
              <w:jc w:val="center"/>
            </w:pPr>
            <w:r w:rsidRPr="00B51DEF">
              <w:t>0.77 (0.35, 1.71)</w:t>
            </w:r>
          </w:p>
        </w:tc>
        <w:tc>
          <w:tcPr>
            <w:tcW w:w="1514" w:type="dxa"/>
            <w:shd w:val="clear" w:color="auto" w:fill="auto"/>
            <w:vAlign w:val="center"/>
          </w:tcPr>
          <w:p w:rsidR="00022D31" w:rsidRPr="00B51DEF" w:rsidRDefault="00022D31" w:rsidP="009467BF">
            <w:pPr>
              <w:pStyle w:val="Tabletext"/>
              <w:jc w:val="center"/>
            </w:pPr>
            <w:r w:rsidRPr="00B51DEF">
              <w:t>0.76 (0.32, 1.77)</w:t>
            </w:r>
          </w:p>
        </w:tc>
        <w:tc>
          <w:tcPr>
            <w:tcW w:w="1514" w:type="dxa"/>
            <w:shd w:val="clear" w:color="auto" w:fill="auto"/>
            <w:vAlign w:val="center"/>
          </w:tcPr>
          <w:p w:rsidR="00022D31" w:rsidRPr="00B51DEF" w:rsidRDefault="00022D31" w:rsidP="009467BF">
            <w:pPr>
              <w:pStyle w:val="Tabletext"/>
              <w:jc w:val="center"/>
            </w:pPr>
            <w:r w:rsidRPr="00B51DEF">
              <w:t>-0.02 (-0.06, 0.03)</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Discontinuation due to AE</w:t>
            </w:r>
          </w:p>
        </w:tc>
        <w:tc>
          <w:tcPr>
            <w:tcW w:w="1514" w:type="dxa"/>
            <w:shd w:val="clear" w:color="auto" w:fill="auto"/>
            <w:vAlign w:val="center"/>
          </w:tcPr>
          <w:p w:rsidR="00022D31" w:rsidRPr="00B51DEF" w:rsidRDefault="00022D31" w:rsidP="009467BF">
            <w:pPr>
              <w:pStyle w:val="Tabletext"/>
              <w:jc w:val="center"/>
            </w:pPr>
            <w:r w:rsidRPr="00B51DEF">
              <w:t>18/198 (9.1)</w:t>
            </w:r>
          </w:p>
        </w:tc>
        <w:tc>
          <w:tcPr>
            <w:tcW w:w="1514" w:type="dxa"/>
            <w:shd w:val="clear" w:color="auto" w:fill="auto"/>
            <w:vAlign w:val="center"/>
          </w:tcPr>
          <w:p w:rsidR="00022D31" w:rsidRPr="00B51DEF" w:rsidRDefault="00022D31" w:rsidP="009467BF">
            <w:pPr>
              <w:pStyle w:val="Tabletext"/>
              <w:jc w:val="center"/>
            </w:pPr>
            <w:r w:rsidRPr="00B51DEF">
              <w:t>37/198 (18.7)</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0.49 (0.29, 0.82)</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0.44 (0.24, 0.79)</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-0.10 (-0.16, -0.03)</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Infection</w:t>
            </w:r>
          </w:p>
        </w:tc>
        <w:tc>
          <w:tcPr>
            <w:tcW w:w="1514" w:type="dxa"/>
            <w:shd w:val="clear" w:color="auto" w:fill="auto"/>
            <w:vAlign w:val="center"/>
          </w:tcPr>
          <w:p w:rsidR="00022D31" w:rsidRPr="00B51DEF" w:rsidRDefault="00022D31" w:rsidP="009467BF">
            <w:pPr>
              <w:pStyle w:val="Tabletext"/>
              <w:jc w:val="center"/>
            </w:pPr>
            <w:r w:rsidRPr="00B51DEF">
              <w:t>71/198 (35.9)</w:t>
            </w:r>
          </w:p>
        </w:tc>
        <w:tc>
          <w:tcPr>
            <w:tcW w:w="1514" w:type="dxa"/>
            <w:shd w:val="clear" w:color="auto" w:fill="auto"/>
            <w:vAlign w:val="center"/>
          </w:tcPr>
          <w:p w:rsidR="00022D31" w:rsidRPr="00B51DEF" w:rsidRDefault="00022D31" w:rsidP="009467BF">
            <w:pPr>
              <w:pStyle w:val="Tabletext"/>
              <w:jc w:val="center"/>
            </w:pPr>
            <w:r w:rsidRPr="00B51DEF">
              <w:t>48/198 (24.2)</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1.48 (1.09, 2.01)</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1.75 (1.13, 2.70)</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0.12 (0.03, 0.21)</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Serious Infection</w:t>
            </w:r>
          </w:p>
        </w:tc>
        <w:tc>
          <w:tcPr>
            <w:tcW w:w="1514" w:type="dxa"/>
            <w:shd w:val="clear" w:color="auto" w:fill="auto"/>
            <w:vAlign w:val="center"/>
          </w:tcPr>
          <w:p w:rsidR="00022D31" w:rsidRPr="00B51DEF" w:rsidRDefault="00022D31" w:rsidP="009467BF">
            <w:pPr>
              <w:pStyle w:val="Tabletext"/>
              <w:jc w:val="center"/>
            </w:pPr>
            <w:r w:rsidRPr="00B51DEF">
              <w:t>2/198 (1.0)</w:t>
            </w:r>
          </w:p>
        </w:tc>
        <w:tc>
          <w:tcPr>
            <w:tcW w:w="1514" w:type="dxa"/>
            <w:shd w:val="clear" w:color="auto" w:fill="auto"/>
            <w:vAlign w:val="center"/>
          </w:tcPr>
          <w:p w:rsidR="00022D31" w:rsidRPr="00B51DEF" w:rsidRDefault="00022D31" w:rsidP="009467BF">
            <w:pPr>
              <w:pStyle w:val="Tabletext"/>
              <w:jc w:val="center"/>
            </w:pPr>
            <w:r w:rsidRPr="00B51DEF">
              <w:t>2/198 (1.0)</w:t>
            </w:r>
          </w:p>
        </w:tc>
        <w:tc>
          <w:tcPr>
            <w:tcW w:w="1514" w:type="dxa"/>
            <w:shd w:val="clear" w:color="auto" w:fill="auto"/>
            <w:vAlign w:val="center"/>
          </w:tcPr>
          <w:p w:rsidR="00022D31" w:rsidRPr="00B51DEF" w:rsidRDefault="00022D31" w:rsidP="009467BF">
            <w:pPr>
              <w:pStyle w:val="Tabletext"/>
              <w:jc w:val="center"/>
            </w:pPr>
            <w:r w:rsidRPr="00B51DEF">
              <w:t>1.00 (0.14, 7.03)</w:t>
            </w:r>
          </w:p>
        </w:tc>
        <w:tc>
          <w:tcPr>
            <w:tcW w:w="1514" w:type="dxa"/>
            <w:shd w:val="clear" w:color="auto" w:fill="auto"/>
            <w:vAlign w:val="center"/>
          </w:tcPr>
          <w:p w:rsidR="00022D31" w:rsidRPr="00B51DEF" w:rsidRDefault="00022D31" w:rsidP="009467BF">
            <w:pPr>
              <w:pStyle w:val="Tabletext"/>
              <w:jc w:val="center"/>
            </w:pPr>
            <w:r w:rsidRPr="00B51DEF">
              <w:t>1.00 (0.14, 7.17)</w:t>
            </w:r>
          </w:p>
        </w:tc>
        <w:tc>
          <w:tcPr>
            <w:tcW w:w="1514" w:type="dxa"/>
            <w:shd w:val="clear" w:color="auto" w:fill="auto"/>
            <w:vAlign w:val="center"/>
          </w:tcPr>
          <w:p w:rsidR="00022D31" w:rsidRPr="00B51DEF" w:rsidRDefault="00022D31" w:rsidP="009467BF">
            <w:pPr>
              <w:pStyle w:val="Tabletext"/>
              <w:jc w:val="center"/>
            </w:pPr>
            <w:r w:rsidRPr="00B51DEF">
              <w:t>0.00 (-0.02, 0.02)</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rPr>
                <w:i/>
                <w:iCs/>
              </w:rPr>
            </w:pPr>
            <w:r w:rsidRPr="00B51DEF">
              <w:rPr>
                <w:i/>
                <w:iCs/>
              </w:rPr>
              <w:t>Herpes Zoster</w:t>
            </w:r>
          </w:p>
        </w:tc>
        <w:tc>
          <w:tcPr>
            <w:tcW w:w="1514" w:type="dxa"/>
            <w:shd w:val="clear" w:color="auto" w:fill="auto"/>
            <w:vAlign w:val="center"/>
          </w:tcPr>
          <w:p w:rsidR="00022D31" w:rsidRPr="00B51DEF" w:rsidRDefault="00022D31" w:rsidP="009467BF">
            <w:pPr>
              <w:pStyle w:val="Tabletext"/>
              <w:jc w:val="center"/>
              <w:rPr>
                <w:i/>
                <w:iCs/>
              </w:rPr>
            </w:pPr>
            <w:r w:rsidRPr="00B51DEF">
              <w:rPr>
                <w:i/>
                <w:iCs/>
              </w:rPr>
              <w:t>3/198 (1.5)</w:t>
            </w:r>
          </w:p>
        </w:tc>
        <w:tc>
          <w:tcPr>
            <w:tcW w:w="1514" w:type="dxa"/>
            <w:shd w:val="clear" w:color="auto" w:fill="auto"/>
            <w:vAlign w:val="center"/>
          </w:tcPr>
          <w:p w:rsidR="00022D31" w:rsidRPr="00B51DEF" w:rsidRDefault="00022D31" w:rsidP="009467BF">
            <w:pPr>
              <w:pStyle w:val="Tabletext"/>
              <w:jc w:val="center"/>
              <w:rPr>
                <w:i/>
                <w:iCs/>
              </w:rPr>
            </w:pPr>
            <w:r w:rsidRPr="00B51DEF">
              <w:rPr>
                <w:i/>
                <w:iCs/>
              </w:rPr>
              <w:t>1/198 (0.5)</w:t>
            </w:r>
          </w:p>
        </w:tc>
        <w:tc>
          <w:tcPr>
            <w:tcW w:w="1514" w:type="dxa"/>
            <w:shd w:val="clear" w:color="auto" w:fill="auto"/>
            <w:vAlign w:val="center"/>
          </w:tcPr>
          <w:p w:rsidR="00022D31" w:rsidRPr="00B51DEF" w:rsidRDefault="00022D31" w:rsidP="009467BF">
            <w:pPr>
              <w:pStyle w:val="Tabletext"/>
              <w:jc w:val="center"/>
              <w:rPr>
                <w:i/>
                <w:iCs/>
              </w:rPr>
            </w:pPr>
            <w:r w:rsidRPr="00B51DEF">
              <w:rPr>
                <w:i/>
                <w:iCs/>
              </w:rPr>
              <w:t>3.00 (0.31, 28.59)</w:t>
            </w:r>
          </w:p>
        </w:tc>
        <w:tc>
          <w:tcPr>
            <w:tcW w:w="1514" w:type="dxa"/>
            <w:shd w:val="clear" w:color="auto" w:fill="auto"/>
            <w:vAlign w:val="center"/>
          </w:tcPr>
          <w:p w:rsidR="00022D31" w:rsidRPr="00B51DEF" w:rsidRDefault="00022D31" w:rsidP="009467BF">
            <w:pPr>
              <w:pStyle w:val="Tabletext"/>
              <w:jc w:val="center"/>
              <w:rPr>
                <w:i/>
                <w:iCs/>
              </w:rPr>
            </w:pPr>
            <w:r w:rsidRPr="00B51DEF">
              <w:rPr>
                <w:i/>
                <w:iCs/>
              </w:rPr>
              <w:t>3.03 (0.31, 29.39)</w:t>
            </w:r>
          </w:p>
        </w:tc>
        <w:tc>
          <w:tcPr>
            <w:tcW w:w="1514" w:type="dxa"/>
            <w:shd w:val="clear" w:color="auto" w:fill="auto"/>
            <w:vAlign w:val="center"/>
          </w:tcPr>
          <w:p w:rsidR="00022D31" w:rsidRPr="00B51DEF" w:rsidRDefault="00022D31" w:rsidP="009467BF">
            <w:pPr>
              <w:pStyle w:val="Tabletext"/>
              <w:jc w:val="center"/>
              <w:rPr>
                <w:i/>
                <w:iCs/>
              </w:rPr>
            </w:pPr>
            <w:r w:rsidRPr="00B51DEF">
              <w:rPr>
                <w:i/>
                <w:iCs/>
              </w:rPr>
              <w:t>0.01 (-0.01, 0.03)</w:t>
            </w:r>
          </w:p>
        </w:tc>
      </w:tr>
      <w:tr w:rsidR="00022D31" w:rsidRPr="00B51DEF" w:rsidTr="006D40D3">
        <w:trPr>
          <w:trHeight w:val="20"/>
        </w:trPr>
        <w:tc>
          <w:tcPr>
            <w:tcW w:w="9236" w:type="dxa"/>
            <w:gridSpan w:val="6"/>
            <w:shd w:val="clear" w:color="auto" w:fill="auto"/>
          </w:tcPr>
          <w:p w:rsidR="00022D31" w:rsidRPr="00B51DEF" w:rsidRDefault="00022D31" w:rsidP="009467BF">
            <w:pPr>
              <w:pStyle w:val="Tabletext"/>
              <w:rPr>
                <w:b/>
                <w:bCs/>
              </w:rPr>
            </w:pPr>
            <w:r w:rsidRPr="00B51DEF">
              <w:rPr>
                <w:b/>
                <w:bCs/>
              </w:rPr>
              <w:t>TOF 10 mg</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Any AE</w:t>
            </w:r>
          </w:p>
        </w:tc>
        <w:tc>
          <w:tcPr>
            <w:tcW w:w="1514" w:type="dxa"/>
            <w:shd w:val="clear" w:color="auto" w:fill="auto"/>
            <w:vAlign w:val="center"/>
          </w:tcPr>
          <w:p w:rsidR="00022D31" w:rsidRPr="00B51DEF" w:rsidRDefault="00022D31" w:rsidP="009467BF">
            <w:pPr>
              <w:pStyle w:val="Tabletext"/>
              <w:jc w:val="center"/>
            </w:pPr>
            <w:r w:rsidRPr="00B51DEF">
              <w:t>156/196 (79.6)</w:t>
            </w:r>
          </w:p>
        </w:tc>
        <w:tc>
          <w:tcPr>
            <w:tcW w:w="1514" w:type="dxa"/>
            <w:shd w:val="clear" w:color="auto" w:fill="auto"/>
            <w:vAlign w:val="center"/>
          </w:tcPr>
          <w:p w:rsidR="00022D31" w:rsidRPr="00B51DEF" w:rsidRDefault="00022D31" w:rsidP="009467BF">
            <w:pPr>
              <w:pStyle w:val="Tabletext"/>
              <w:jc w:val="center"/>
            </w:pPr>
            <w:r w:rsidRPr="00B51DEF">
              <w:t>149/198 (75.3)</w:t>
            </w:r>
          </w:p>
        </w:tc>
        <w:tc>
          <w:tcPr>
            <w:tcW w:w="1514" w:type="dxa"/>
            <w:shd w:val="clear" w:color="auto" w:fill="auto"/>
            <w:vAlign w:val="center"/>
          </w:tcPr>
          <w:p w:rsidR="00022D31" w:rsidRPr="00B51DEF" w:rsidRDefault="00022D31" w:rsidP="009467BF">
            <w:pPr>
              <w:pStyle w:val="Tabletext"/>
              <w:jc w:val="center"/>
            </w:pPr>
            <w:r w:rsidRPr="00B51DEF">
              <w:t>1.06 (0.95, 1.18)</w:t>
            </w:r>
          </w:p>
        </w:tc>
        <w:tc>
          <w:tcPr>
            <w:tcW w:w="1514" w:type="dxa"/>
            <w:shd w:val="clear" w:color="auto" w:fill="auto"/>
            <w:vAlign w:val="center"/>
          </w:tcPr>
          <w:p w:rsidR="00022D31" w:rsidRPr="00B51DEF" w:rsidRDefault="00022D31" w:rsidP="009467BF">
            <w:pPr>
              <w:pStyle w:val="Tabletext"/>
              <w:jc w:val="center"/>
            </w:pPr>
            <w:r w:rsidRPr="00B51DEF">
              <w:t>1.28 (0.80, 2.06)</w:t>
            </w:r>
          </w:p>
        </w:tc>
        <w:tc>
          <w:tcPr>
            <w:tcW w:w="1514" w:type="dxa"/>
            <w:shd w:val="clear" w:color="auto" w:fill="auto"/>
            <w:vAlign w:val="center"/>
          </w:tcPr>
          <w:p w:rsidR="00022D31" w:rsidRPr="00B51DEF" w:rsidRDefault="00022D31" w:rsidP="009467BF">
            <w:pPr>
              <w:pStyle w:val="Tabletext"/>
              <w:jc w:val="center"/>
            </w:pPr>
            <w:r w:rsidRPr="00B51DEF">
              <w:t>0.04 (-0.04, 0.13)</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Serious AE</w:t>
            </w:r>
          </w:p>
        </w:tc>
        <w:tc>
          <w:tcPr>
            <w:tcW w:w="1514" w:type="dxa"/>
            <w:shd w:val="clear" w:color="auto" w:fill="auto"/>
            <w:vAlign w:val="center"/>
          </w:tcPr>
          <w:p w:rsidR="00022D31" w:rsidRPr="00B51DEF" w:rsidRDefault="00022D31" w:rsidP="009467BF">
            <w:pPr>
              <w:pStyle w:val="Tabletext"/>
              <w:jc w:val="center"/>
            </w:pPr>
            <w:r w:rsidRPr="00B51DEF">
              <w:t>11/196 (5.6)</w:t>
            </w:r>
          </w:p>
        </w:tc>
        <w:tc>
          <w:tcPr>
            <w:tcW w:w="1514" w:type="dxa"/>
            <w:shd w:val="clear" w:color="auto" w:fill="auto"/>
            <w:vAlign w:val="center"/>
          </w:tcPr>
          <w:p w:rsidR="00022D31" w:rsidRPr="00B51DEF" w:rsidRDefault="00022D31" w:rsidP="009467BF">
            <w:pPr>
              <w:pStyle w:val="Tabletext"/>
              <w:jc w:val="center"/>
            </w:pPr>
            <w:r w:rsidRPr="00B51DEF">
              <w:t>13/198 (6.6)</w:t>
            </w:r>
          </w:p>
        </w:tc>
        <w:tc>
          <w:tcPr>
            <w:tcW w:w="1514" w:type="dxa"/>
            <w:shd w:val="clear" w:color="auto" w:fill="auto"/>
            <w:vAlign w:val="center"/>
          </w:tcPr>
          <w:p w:rsidR="00022D31" w:rsidRPr="00B51DEF" w:rsidRDefault="00022D31" w:rsidP="009467BF">
            <w:pPr>
              <w:pStyle w:val="Tabletext"/>
              <w:jc w:val="center"/>
            </w:pPr>
            <w:r w:rsidRPr="00B51DEF">
              <w:t>0.85 (0.39, 1.86)</w:t>
            </w:r>
          </w:p>
        </w:tc>
        <w:tc>
          <w:tcPr>
            <w:tcW w:w="1514" w:type="dxa"/>
            <w:shd w:val="clear" w:color="auto" w:fill="auto"/>
            <w:vAlign w:val="center"/>
          </w:tcPr>
          <w:p w:rsidR="00022D31" w:rsidRPr="00B51DEF" w:rsidRDefault="00022D31" w:rsidP="009467BF">
            <w:pPr>
              <w:pStyle w:val="Tabletext"/>
              <w:jc w:val="center"/>
            </w:pPr>
            <w:r w:rsidRPr="00B51DEF">
              <w:t>0.85 (0.37, 1.94)</w:t>
            </w:r>
          </w:p>
        </w:tc>
        <w:tc>
          <w:tcPr>
            <w:tcW w:w="1514" w:type="dxa"/>
            <w:shd w:val="clear" w:color="auto" w:fill="auto"/>
            <w:vAlign w:val="center"/>
          </w:tcPr>
          <w:p w:rsidR="00022D31" w:rsidRPr="00B51DEF" w:rsidRDefault="00022D31" w:rsidP="009467BF">
            <w:pPr>
              <w:pStyle w:val="Tabletext"/>
              <w:jc w:val="center"/>
            </w:pPr>
            <w:r w:rsidRPr="00B51DEF">
              <w:t>-0.01 (-0.06, 0.04)</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Discontinuation due to AE</w:t>
            </w:r>
          </w:p>
        </w:tc>
        <w:tc>
          <w:tcPr>
            <w:tcW w:w="1514" w:type="dxa"/>
            <w:shd w:val="clear" w:color="auto" w:fill="auto"/>
            <w:vAlign w:val="center"/>
          </w:tcPr>
          <w:p w:rsidR="00022D31" w:rsidRPr="00B51DEF" w:rsidRDefault="00022D31" w:rsidP="009467BF">
            <w:pPr>
              <w:pStyle w:val="Tabletext"/>
              <w:jc w:val="center"/>
            </w:pPr>
            <w:r w:rsidRPr="00B51DEF">
              <w:t>19/196 (9.7)</w:t>
            </w:r>
          </w:p>
        </w:tc>
        <w:tc>
          <w:tcPr>
            <w:tcW w:w="1514" w:type="dxa"/>
            <w:shd w:val="clear" w:color="auto" w:fill="auto"/>
            <w:vAlign w:val="center"/>
          </w:tcPr>
          <w:p w:rsidR="00022D31" w:rsidRPr="00B51DEF" w:rsidRDefault="00022D31" w:rsidP="009467BF">
            <w:pPr>
              <w:pStyle w:val="Tabletext"/>
              <w:jc w:val="center"/>
            </w:pPr>
            <w:r w:rsidRPr="00B51DEF">
              <w:t>37/198 (18.7)</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0.52 (0.31, 0.87)</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0.47 (0.26, 0.85)</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-0.09 (-0.16, -0.02)</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Infection</w:t>
            </w:r>
          </w:p>
        </w:tc>
        <w:tc>
          <w:tcPr>
            <w:tcW w:w="1514" w:type="dxa"/>
            <w:shd w:val="clear" w:color="auto" w:fill="auto"/>
            <w:vAlign w:val="center"/>
          </w:tcPr>
          <w:p w:rsidR="00022D31" w:rsidRPr="00B51DEF" w:rsidRDefault="00022D31" w:rsidP="009467BF">
            <w:pPr>
              <w:pStyle w:val="Tabletext"/>
              <w:jc w:val="center"/>
            </w:pPr>
            <w:r w:rsidRPr="00B51DEF">
              <w:t>78/196 (39.8)</w:t>
            </w:r>
          </w:p>
        </w:tc>
        <w:tc>
          <w:tcPr>
            <w:tcW w:w="1514" w:type="dxa"/>
            <w:shd w:val="clear" w:color="auto" w:fill="auto"/>
            <w:vAlign w:val="center"/>
          </w:tcPr>
          <w:p w:rsidR="00022D31" w:rsidRPr="00B51DEF" w:rsidRDefault="00022D31" w:rsidP="009467BF">
            <w:pPr>
              <w:pStyle w:val="Tabletext"/>
              <w:jc w:val="center"/>
            </w:pPr>
            <w:r w:rsidRPr="00B51DEF">
              <w:t>48/198 (24.2)</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1.64 (1.22, 2.22)</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2.07 (1.34, 3.18)</w:t>
            </w:r>
          </w:p>
        </w:tc>
        <w:tc>
          <w:tcPr>
            <w:tcW w:w="1514" w:type="dxa"/>
            <w:shd w:val="clear" w:color="auto" w:fill="auto"/>
            <w:vAlign w:val="center"/>
          </w:tcPr>
          <w:p w:rsidR="00022D31" w:rsidRPr="00B51DEF" w:rsidRDefault="00022D31" w:rsidP="009467BF">
            <w:pPr>
              <w:pStyle w:val="Tabletext"/>
              <w:jc w:val="center"/>
              <w:rPr>
                <w:b/>
                <w:bCs/>
              </w:rPr>
            </w:pPr>
            <w:r w:rsidRPr="00B51DEF">
              <w:rPr>
                <w:b/>
                <w:bCs/>
              </w:rPr>
              <w:t>0.16 (0.06, 0.25)</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pPr>
            <w:r w:rsidRPr="00B51DEF">
              <w:t>Serious Infection</w:t>
            </w:r>
          </w:p>
        </w:tc>
        <w:tc>
          <w:tcPr>
            <w:tcW w:w="1514" w:type="dxa"/>
            <w:shd w:val="clear" w:color="auto" w:fill="auto"/>
            <w:vAlign w:val="center"/>
          </w:tcPr>
          <w:p w:rsidR="00022D31" w:rsidRPr="00B51DEF" w:rsidRDefault="00022D31" w:rsidP="009467BF">
            <w:pPr>
              <w:pStyle w:val="Tabletext"/>
              <w:jc w:val="center"/>
            </w:pPr>
            <w:r w:rsidRPr="00B51DEF">
              <w:t>1/196 (0.5)</w:t>
            </w:r>
          </w:p>
        </w:tc>
        <w:tc>
          <w:tcPr>
            <w:tcW w:w="1514" w:type="dxa"/>
            <w:shd w:val="clear" w:color="auto" w:fill="auto"/>
            <w:vAlign w:val="center"/>
          </w:tcPr>
          <w:p w:rsidR="00022D31" w:rsidRPr="00B51DEF" w:rsidRDefault="00022D31" w:rsidP="009467BF">
            <w:pPr>
              <w:pStyle w:val="Tabletext"/>
              <w:jc w:val="center"/>
            </w:pPr>
            <w:r w:rsidRPr="00B51DEF">
              <w:t>2/198 (1.0)</w:t>
            </w:r>
          </w:p>
        </w:tc>
        <w:tc>
          <w:tcPr>
            <w:tcW w:w="1514" w:type="dxa"/>
            <w:shd w:val="clear" w:color="auto" w:fill="auto"/>
            <w:vAlign w:val="center"/>
          </w:tcPr>
          <w:p w:rsidR="00022D31" w:rsidRPr="00B51DEF" w:rsidRDefault="00022D31" w:rsidP="009467BF">
            <w:pPr>
              <w:pStyle w:val="Tabletext"/>
              <w:jc w:val="center"/>
            </w:pPr>
            <w:r w:rsidRPr="00B51DEF">
              <w:t>0.51 (0.05, 5.53)</w:t>
            </w:r>
          </w:p>
        </w:tc>
        <w:tc>
          <w:tcPr>
            <w:tcW w:w="1514" w:type="dxa"/>
            <w:shd w:val="clear" w:color="auto" w:fill="auto"/>
            <w:vAlign w:val="center"/>
          </w:tcPr>
          <w:p w:rsidR="00022D31" w:rsidRPr="00B51DEF" w:rsidRDefault="00022D31" w:rsidP="009467BF">
            <w:pPr>
              <w:pStyle w:val="Tabletext"/>
              <w:jc w:val="center"/>
            </w:pPr>
            <w:r w:rsidRPr="00B51DEF">
              <w:t>0.50 (0.05, 5.59)</w:t>
            </w:r>
          </w:p>
        </w:tc>
        <w:tc>
          <w:tcPr>
            <w:tcW w:w="1514" w:type="dxa"/>
            <w:shd w:val="clear" w:color="auto" w:fill="auto"/>
            <w:vAlign w:val="center"/>
          </w:tcPr>
          <w:p w:rsidR="00022D31" w:rsidRPr="00B51DEF" w:rsidRDefault="00022D31" w:rsidP="009467BF">
            <w:pPr>
              <w:pStyle w:val="Tabletext"/>
              <w:jc w:val="center"/>
            </w:pPr>
            <w:r w:rsidRPr="00B51DEF">
              <w:t>-0.00 (-0.02, 0.01)</w:t>
            </w:r>
          </w:p>
        </w:tc>
      </w:tr>
      <w:tr w:rsidR="00022D31" w:rsidRPr="00B51DEF" w:rsidTr="006D40D3">
        <w:trPr>
          <w:trHeight w:val="20"/>
        </w:trPr>
        <w:tc>
          <w:tcPr>
            <w:tcW w:w="1666" w:type="dxa"/>
            <w:shd w:val="clear" w:color="auto" w:fill="auto"/>
            <w:vAlign w:val="center"/>
          </w:tcPr>
          <w:p w:rsidR="00022D31" w:rsidRPr="00B51DEF" w:rsidRDefault="00022D31" w:rsidP="009467BF">
            <w:pPr>
              <w:pStyle w:val="Tabletext"/>
              <w:rPr>
                <w:i/>
                <w:iCs/>
              </w:rPr>
            </w:pPr>
            <w:r w:rsidRPr="00B51DEF">
              <w:rPr>
                <w:i/>
                <w:iCs/>
              </w:rPr>
              <w:t>Herpes Zoster</w:t>
            </w:r>
          </w:p>
        </w:tc>
        <w:tc>
          <w:tcPr>
            <w:tcW w:w="1514" w:type="dxa"/>
            <w:shd w:val="clear" w:color="auto" w:fill="auto"/>
            <w:vAlign w:val="center"/>
          </w:tcPr>
          <w:p w:rsidR="00022D31" w:rsidRPr="00B51DEF" w:rsidRDefault="00022D31" w:rsidP="009467BF">
            <w:pPr>
              <w:pStyle w:val="Tabletext"/>
              <w:jc w:val="center"/>
              <w:rPr>
                <w:i/>
                <w:iCs/>
              </w:rPr>
            </w:pPr>
            <w:r w:rsidRPr="00B51DEF">
              <w:rPr>
                <w:i/>
                <w:iCs/>
              </w:rPr>
              <w:t>10/196 (5.1)</w:t>
            </w:r>
          </w:p>
        </w:tc>
        <w:tc>
          <w:tcPr>
            <w:tcW w:w="1514" w:type="dxa"/>
            <w:shd w:val="clear" w:color="auto" w:fill="auto"/>
            <w:vAlign w:val="center"/>
          </w:tcPr>
          <w:p w:rsidR="00022D31" w:rsidRPr="00B51DEF" w:rsidRDefault="00022D31" w:rsidP="009467BF">
            <w:pPr>
              <w:pStyle w:val="Tabletext"/>
              <w:jc w:val="center"/>
              <w:rPr>
                <w:i/>
                <w:iCs/>
              </w:rPr>
            </w:pPr>
            <w:r w:rsidRPr="00B51DEF">
              <w:rPr>
                <w:i/>
                <w:iCs/>
              </w:rPr>
              <w:t>1/198 (0.5)</w:t>
            </w:r>
          </w:p>
        </w:tc>
        <w:tc>
          <w:tcPr>
            <w:tcW w:w="1514" w:type="dxa"/>
            <w:shd w:val="clear" w:color="auto" w:fill="auto"/>
            <w:vAlign w:val="center"/>
          </w:tcPr>
          <w:p w:rsidR="00022D31" w:rsidRPr="00B51DEF" w:rsidRDefault="00022D31" w:rsidP="009467BF">
            <w:pPr>
              <w:pStyle w:val="Tabletext"/>
              <w:jc w:val="center"/>
              <w:rPr>
                <w:b/>
                <w:bCs/>
                <w:i/>
                <w:iCs/>
              </w:rPr>
            </w:pPr>
            <w:r w:rsidRPr="00B51DEF">
              <w:rPr>
                <w:b/>
                <w:bCs/>
                <w:i/>
                <w:iCs/>
              </w:rPr>
              <w:t>10.10 (1.31, 78.17)</w:t>
            </w:r>
          </w:p>
        </w:tc>
        <w:tc>
          <w:tcPr>
            <w:tcW w:w="1514" w:type="dxa"/>
            <w:shd w:val="clear" w:color="auto" w:fill="auto"/>
            <w:vAlign w:val="center"/>
          </w:tcPr>
          <w:p w:rsidR="00022D31" w:rsidRPr="00B51DEF" w:rsidRDefault="00022D31" w:rsidP="009467BF">
            <w:pPr>
              <w:pStyle w:val="Tabletext"/>
              <w:jc w:val="center"/>
              <w:rPr>
                <w:b/>
                <w:bCs/>
                <w:i/>
                <w:iCs/>
              </w:rPr>
            </w:pPr>
            <w:r w:rsidRPr="00B51DEF">
              <w:rPr>
                <w:b/>
                <w:bCs/>
                <w:i/>
                <w:iCs/>
              </w:rPr>
              <w:t>10.59 (1.34, 83.55]</w:t>
            </w:r>
          </w:p>
        </w:tc>
        <w:tc>
          <w:tcPr>
            <w:tcW w:w="1514" w:type="dxa"/>
            <w:shd w:val="clear" w:color="auto" w:fill="auto"/>
            <w:vAlign w:val="center"/>
          </w:tcPr>
          <w:p w:rsidR="00022D31" w:rsidRPr="00B51DEF" w:rsidRDefault="00022D31" w:rsidP="009467BF">
            <w:pPr>
              <w:pStyle w:val="Tabletext"/>
              <w:jc w:val="center"/>
              <w:rPr>
                <w:b/>
                <w:bCs/>
                <w:i/>
                <w:iCs/>
              </w:rPr>
            </w:pPr>
            <w:r w:rsidRPr="00B51DEF">
              <w:rPr>
                <w:b/>
                <w:bCs/>
                <w:i/>
                <w:iCs/>
              </w:rPr>
              <w:t>0.05 [0.01, 0.08]</w:t>
            </w:r>
          </w:p>
        </w:tc>
      </w:tr>
      <w:tr w:rsidR="00022D31" w:rsidRPr="00B51DEF" w:rsidTr="006D40D3">
        <w:trPr>
          <w:trHeight w:val="20"/>
        </w:trPr>
        <w:tc>
          <w:tcPr>
            <w:tcW w:w="9017" w:type="dxa"/>
            <w:gridSpan w:val="6"/>
            <w:shd w:val="clear" w:color="auto" w:fill="auto"/>
            <w:vAlign w:val="center"/>
          </w:tcPr>
          <w:p w:rsidR="00022D31" w:rsidRPr="00B51DEF" w:rsidRDefault="00022D31" w:rsidP="009467BF">
            <w:pPr>
              <w:pStyle w:val="Tabletext"/>
              <w:rPr>
                <w:b/>
                <w:bCs/>
                <w:i/>
                <w:iCs/>
              </w:rPr>
            </w:pPr>
            <w:r w:rsidRPr="00B51DEF">
              <w:rPr>
                <w:b/>
                <w:bCs/>
                <w:i/>
                <w:iCs/>
              </w:rPr>
              <w:t>Indirect comparison TOF 10mg vs. TOF 5mg</w:t>
            </w:r>
          </w:p>
        </w:tc>
      </w:tr>
      <w:tr w:rsidR="00022D31" w:rsidRPr="00B51DEF" w:rsidTr="006D40D3">
        <w:trPr>
          <w:trHeight w:val="20"/>
        </w:trPr>
        <w:tc>
          <w:tcPr>
            <w:tcW w:w="4603" w:type="dxa"/>
            <w:gridSpan w:val="3"/>
            <w:shd w:val="clear" w:color="auto" w:fill="auto"/>
            <w:vAlign w:val="bottom"/>
          </w:tcPr>
          <w:p w:rsidR="00022D31" w:rsidRPr="00B51DEF" w:rsidRDefault="00022D31" w:rsidP="009467BF">
            <w:pPr>
              <w:pStyle w:val="Tabletext"/>
              <w:jc w:val="right"/>
              <w:rPr>
                <w:i/>
                <w:iCs/>
              </w:rPr>
            </w:pPr>
            <w:r w:rsidRPr="00B51DEF">
              <w:rPr>
                <w:i/>
                <w:iCs/>
              </w:rPr>
              <w:t>Infections</w:t>
            </w:r>
          </w:p>
        </w:tc>
        <w:tc>
          <w:tcPr>
            <w:tcW w:w="1472" w:type="dxa"/>
            <w:shd w:val="clear" w:color="auto" w:fill="auto"/>
            <w:vAlign w:val="center"/>
          </w:tcPr>
          <w:p w:rsidR="00022D31" w:rsidRPr="00B51DEF" w:rsidRDefault="00022D31" w:rsidP="009467BF">
            <w:pPr>
              <w:pStyle w:val="Tabletext"/>
              <w:jc w:val="center"/>
              <w:rPr>
                <w:i/>
                <w:iCs/>
              </w:rPr>
            </w:pPr>
            <w:r w:rsidRPr="00B51DEF">
              <w:rPr>
                <w:i/>
                <w:iCs/>
              </w:rPr>
              <w:t>1.11 (0.72, 1.70)</w:t>
            </w:r>
          </w:p>
        </w:tc>
        <w:tc>
          <w:tcPr>
            <w:tcW w:w="1472" w:type="dxa"/>
            <w:shd w:val="clear" w:color="auto" w:fill="auto"/>
            <w:vAlign w:val="center"/>
          </w:tcPr>
          <w:p w:rsidR="00022D31" w:rsidRPr="00B51DEF" w:rsidRDefault="00022D31" w:rsidP="009467BF">
            <w:pPr>
              <w:pStyle w:val="Tabletext"/>
              <w:jc w:val="center"/>
              <w:rPr>
                <w:b/>
                <w:bCs/>
                <w:i/>
                <w:iCs/>
              </w:rPr>
            </w:pPr>
            <w:r w:rsidRPr="00B51DEF">
              <w:rPr>
                <w:b/>
                <w:bCs/>
                <w:i/>
                <w:iCs/>
              </w:rPr>
              <w:t>-</w:t>
            </w:r>
          </w:p>
        </w:tc>
        <w:tc>
          <w:tcPr>
            <w:tcW w:w="1470" w:type="dxa"/>
            <w:shd w:val="clear" w:color="auto" w:fill="auto"/>
            <w:vAlign w:val="center"/>
          </w:tcPr>
          <w:p w:rsidR="00022D31" w:rsidRPr="00B51DEF" w:rsidRDefault="00022D31" w:rsidP="009467BF">
            <w:pPr>
              <w:pStyle w:val="Tabletext"/>
              <w:jc w:val="center"/>
              <w:rPr>
                <w:i/>
                <w:iCs/>
              </w:rPr>
            </w:pPr>
            <w:r w:rsidRPr="00B51DEF">
              <w:rPr>
                <w:i/>
                <w:iCs/>
              </w:rPr>
              <w:t>0.04 (-0.09, 0.17)</w:t>
            </w:r>
          </w:p>
        </w:tc>
      </w:tr>
      <w:tr w:rsidR="00022D31" w:rsidRPr="00B51DEF" w:rsidTr="006D40D3">
        <w:trPr>
          <w:trHeight w:val="20"/>
        </w:trPr>
        <w:tc>
          <w:tcPr>
            <w:tcW w:w="4603" w:type="dxa"/>
            <w:gridSpan w:val="3"/>
            <w:shd w:val="clear" w:color="auto" w:fill="auto"/>
            <w:vAlign w:val="bottom"/>
          </w:tcPr>
          <w:p w:rsidR="00022D31" w:rsidRPr="00B51DEF" w:rsidRDefault="00022D31" w:rsidP="009467BF">
            <w:pPr>
              <w:pStyle w:val="Tabletext"/>
              <w:jc w:val="right"/>
              <w:rPr>
                <w:i/>
                <w:iCs/>
              </w:rPr>
            </w:pPr>
            <w:r w:rsidRPr="00B51DEF">
              <w:rPr>
                <w:i/>
                <w:iCs/>
              </w:rPr>
              <w:t>Herpes Zoster</w:t>
            </w:r>
          </w:p>
        </w:tc>
        <w:tc>
          <w:tcPr>
            <w:tcW w:w="1472" w:type="dxa"/>
            <w:shd w:val="clear" w:color="auto" w:fill="auto"/>
            <w:vAlign w:val="center"/>
          </w:tcPr>
          <w:p w:rsidR="00022D31" w:rsidRPr="00B51DEF" w:rsidRDefault="00022D31" w:rsidP="009467BF">
            <w:pPr>
              <w:pStyle w:val="Tabletext"/>
              <w:jc w:val="center"/>
              <w:rPr>
                <w:i/>
                <w:iCs/>
              </w:rPr>
            </w:pPr>
            <w:r w:rsidRPr="00B51DEF">
              <w:rPr>
                <w:i/>
                <w:iCs/>
              </w:rPr>
              <w:t>3.37 (0.16, 71.02)</w:t>
            </w:r>
          </w:p>
        </w:tc>
        <w:tc>
          <w:tcPr>
            <w:tcW w:w="1472" w:type="dxa"/>
            <w:shd w:val="clear" w:color="auto" w:fill="auto"/>
            <w:vAlign w:val="center"/>
          </w:tcPr>
          <w:p w:rsidR="00022D31" w:rsidRPr="00B51DEF" w:rsidRDefault="00022D31" w:rsidP="009467BF">
            <w:pPr>
              <w:pStyle w:val="Tabletext"/>
              <w:jc w:val="center"/>
              <w:rPr>
                <w:b/>
                <w:bCs/>
                <w:i/>
                <w:iCs/>
              </w:rPr>
            </w:pPr>
            <w:r w:rsidRPr="00B51DEF">
              <w:rPr>
                <w:b/>
                <w:bCs/>
                <w:i/>
                <w:iCs/>
              </w:rPr>
              <w:t>-</w:t>
            </w:r>
          </w:p>
        </w:tc>
        <w:tc>
          <w:tcPr>
            <w:tcW w:w="1470" w:type="dxa"/>
            <w:shd w:val="clear" w:color="auto" w:fill="auto"/>
            <w:vAlign w:val="center"/>
          </w:tcPr>
          <w:p w:rsidR="00022D31" w:rsidRPr="00B51DEF" w:rsidRDefault="00022D31" w:rsidP="009467BF">
            <w:pPr>
              <w:pStyle w:val="Tabletext"/>
              <w:jc w:val="center"/>
              <w:rPr>
                <w:b/>
                <w:bCs/>
                <w:i/>
                <w:iCs/>
              </w:rPr>
            </w:pPr>
            <w:r w:rsidRPr="00B51DEF">
              <w:rPr>
                <w:b/>
                <w:bCs/>
                <w:i/>
                <w:iCs/>
              </w:rPr>
              <w:t>0.04 (0.00, 0.08)</w:t>
            </w:r>
          </w:p>
        </w:tc>
      </w:tr>
    </w:tbl>
    <w:p w:rsidR="00022D31" w:rsidRPr="00B51DEF" w:rsidRDefault="00022D31" w:rsidP="009467BF">
      <w:pPr>
        <w:pStyle w:val="TableFooter"/>
        <w:widowControl/>
      </w:pPr>
      <w:r w:rsidRPr="00B51DEF">
        <w:t>Source: Table 2.5.19, p101 of the submission</w:t>
      </w:r>
    </w:p>
    <w:p w:rsidR="00022D31" w:rsidRPr="00B51DEF" w:rsidRDefault="00022D31" w:rsidP="009467BF">
      <w:pPr>
        <w:pStyle w:val="TableFooter"/>
        <w:widowControl/>
      </w:pPr>
      <w:r w:rsidRPr="00B51DEF">
        <w:t>Abbreviations: CI=confidence interval; n=number of participants with event; N=total participants in group, OR=odds ratio, RD=risk difference, RR=risk ratio, TOF=</w:t>
      </w:r>
      <w:proofErr w:type="spellStart"/>
      <w:r w:rsidRPr="00B51DEF">
        <w:t>tofacitinib</w:t>
      </w:r>
      <w:proofErr w:type="spellEnd"/>
    </w:p>
    <w:p w:rsidR="00022D31" w:rsidRPr="00B51DEF" w:rsidRDefault="00022D31" w:rsidP="009467BF">
      <w:pPr>
        <w:pStyle w:val="TableFooter"/>
        <w:widowControl/>
      </w:pPr>
      <w:r w:rsidRPr="00B51DEF">
        <w:t>Bold text=statistically significant</w:t>
      </w:r>
    </w:p>
    <w:p w:rsidR="003A0842" w:rsidRPr="00B51DEF" w:rsidRDefault="00022D31" w:rsidP="007C5A5B">
      <w:pPr>
        <w:pStyle w:val="ListParagraph"/>
        <w:widowControl/>
        <w:numPr>
          <w:ilvl w:val="1"/>
          <w:numId w:val="3"/>
        </w:numPr>
        <w:spacing w:before="120" w:after="120"/>
        <w:rPr>
          <w:iCs/>
          <w:color w:val="000000" w:themeColor="text1"/>
        </w:rPr>
      </w:pPr>
      <w:r w:rsidRPr="00B51DEF">
        <w:rPr>
          <w:iCs/>
          <w:color w:val="000000" w:themeColor="text1"/>
        </w:rPr>
        <w:t xml:space="preserve">Overall, the results of the OCTAVE trials indicated that treatment with TOF was associated with more infections (including Herpes Zoster, </w:t>
      </w:r>
      <w:proofErr w:type="spellStart"/>
      <w:r w:rsidRPr="00B51DEF">
        <w:rPr>
          <w:iCs/>
          <w:color w:val="000000" w:themeColor="text1"/>
        </w:rPr>
        <w:t>nasopharyngitis</w:t>
      </w:r>
      <w:proofErr w:type="spellEnd"/>
      <w:r w:rsidRPr="00B51DEF">
        <w:rPr>
          <w:iCs/>
          <w:color w:val="000000" w:themeColor="text1"/>
        </w:rPr>
        <w:t>) compared to placebo. The TGA delegate raised the concern of a dose-dependent increase in herpes zoster infection following treatment with TOF; an indirect comparison between TOF 10</w:t>
      </w:r>
      <w:r w:rsidR="00F721A4" w:rsidRPr="00B51DEF">
        <w:rPr>
          <w:iCs/>
          <w:color w:val="000000" w:themeColor="text1"/>
        </w:rPr>
        <w:t xml:space="preserve"> </w:t>
      </w:r>
      <w:r w:rsidRPr="00B51DEF">
        <w:rPr>
          <w:iCs/>
          <w:color w:val="000000" w:themeColor="text1"/>
        </w:rPr>
        <w:t>mg and TOF 5</w:t>
      </w:r>
      <w:r w:rsidR="00F721A4" w:rsidRPr="00B51DEF">
        <w:rPr>
          <w:iCs/>
          <w:color w:val="000000" w:themeColor="text1"/>
        </w:rPr>
        <w:t xml:space="preserve"> </w:t>
      </w:r>
      <w:r w:rsidRPr="00B51DEF">
        <w:rPr>
          <w:iCs/>
          <w:color w:val="000000" w:themeColor="text1"/>
        </w:rPr>
        <w:t>mg conducted during the evaluation indicated a trend towards a greater risk of infection with TOF 10</w:t>
      </w:r>
      <w:r w:rsidR="00F721A4" w:rsidRPr="00B51DEF">
        <w:rPr>
          <w:iCs/>
          <w:color w:val="000000" w:themeColor="text1"/>
        </w:rPr>
        <w:t xml:space="preserve"> </w:t>
      </w:r>
      <w:r w:rsidRPr="00B51DEF">
        <w:rPr>
          <w:iCs/>
          <w:color w:val="000000" w:themeColor="text1"/>
        </w:rPr>
        <w:t xml:space="preserve">mg than TOF 5 mg. </w:t>
      </w:r>
      <w:r w:rsidR="002A3FCE" w:rsidRPr="00B51DEF">
        <w:rPr>
          <w:iCs/>
          <w:color w:val="000000" w:themeColor="text1"/>
        </w:rPr>
        <w:t>In the open-label study, d</w:t>
      </w:r>
      <w:r w:rsidRPr="00B51DEF">
        <w:rPr>
          <w:iCs/>
          <w:color w:val="000000" w:themeColor="text1"/>
        </w:rPr>
        <w:t>iscontinuations due to AEs were also significantly higher in the TOF 10</w:t>
      </w:r>
      <w:r w:rsidR="00F721A4" w:rsidRPr="00B51DEF">
        <w:rPr>
          <w:iCs/>
          <w:color w:val="000000" w:themeColor="text1"/>
        </w:rPr>
        <w:t xml:space="preserve"> </w:t>
      </w:r>
      <w:r w:rsidRPr="00B51DEF">
        <w:rPr>
          <w:iCs/>
          <w:color w:val="000000" w:themeColor="text1"/>
        </w:rPr>
        <w:t xml:space="preserve">mg group. The </w:t>
      </w:r>
      <w:r w:rsidR="00C85B3A" w:rsidRPr="00B51DEF">
        <w:rPr>
          <w:iCs/>
          <w:color w:val="000000" w:themeColor="text1"/>
        </w:rPr>
        <w:t>s</w:t>
      </w:r>
      <w:r w:rsidRPr="00B51DEF">
        <w:rPr>
          <w:iCs/>
          <w:color w:val="000000" w:themeColor="text1"/>
        </w:rPr>
        <w:t>ubmission reported five patients on TOF 10</w:t>
      </w:r>
      <w:r w:rsidR="00F721A4" w:rsidRPr="00B51DEF">
        <w:rPr>
          <w:iCs/>
          <w:color w:val="000000" w:themeColor="text1"/>
        </w:rPr>
        <w:t xml:space="preserve"> </w:t>
      </w:r>
      <w:r w:rsidRPr="00B51DEF">
        <w:rPr>
          <w:iCs/>
          <w:color w:val="000000" w:themeColor="text1"/>
        </w:rPr>
        <w:t>mg had hepatic injury and three died.</w:t>
      </w:r>
      <w:r w:rsidR="00735DC6" w:rsidRPr="00B51DEF">
        <w:rPr>
          <w:iCs/>
          <w:color w:val="000000" w:themeColor="text1"/>
        </w:rPr>
        <w:t xml:space="preserve"> </w:t>
      </w:r>
    </w:p>
    <w:p w:rsidR="00022D31" w:rsidRPr="00B51DEF" w:rsidRDefault="00022D31" w:rsidP="007C5A5B">
      <w:pPr>
        <w:pStyle w:val="ListParagraph"/>
        <w:widowControl/>
        <w:numPr>
          <w:ilvl w:val="1"/>
          <w:numId w:val="3"/>
        </w:numPr>
        <w:spacing w:before="120" w:after="120"/>
        <w:rPr>
          <w:iCs/>
          <w:color w:val="000000" w:themeColor="text1"/>
        </w:rPr>
      </w:pPr>
      <w:r w:rsidRPr="00B51DEF">
        <w:rPr>
          <w:iCs/>
          <w:color w:val="000000" w:themeColor="text1"/>
        </w:rPr>
        <w:t>Results from an open-label study (A3921139) indicated TOF 10</w:t>
      </w:r>
      <w:r w:rsidR="00F721A4" w:rsidRPr="00B51DEF">
        <w:rPr>
          <w:iCs/>
          <w:color w:val="000000" w:themeColor="text1"/>
        </w:rPr>
        <w:t xml:space="preserve"> </w:t>
      </w:r>
      <w:r w:rsidRPr="00B51DEF">
        <w:rPr>
          <w:iCs/>
          <w:color w:val="000000" w:themeColor="text1"/>
        </w:rPr>
        <w:t>mg was associated with more adverse events than TOF 5</w:t>
      </w:r>
      <w:r w:rsidR="00F721A4" w:rsidRPr="00B51DEF">
        <w:rPr>
          <w:iCs/>
          <w:color w:val="000000" w:themeColor="text1"/>
        </w:rPr>
        <w:t xml:space="preserve"> </w:t>
      </w:r>
      <w:r w:rsidRPr="00B51DEF">
        <w:rPr>
          <w:iCs/>
          <w:color w:val="000000" w:themeColor="text1"/>
        </w:rPr>
        <w:t xml:space="preserve">mg, although the </w:t>
      </w:r>
      <w:r w:rsidR="00EF1F4A" w:rsidRPr="00B51DEF">
        <w:rPr>
          <w:iCs/>
          <w:color w:val="000000" w:themeColor="text1"/>
        </w:rPr>
        <w:t>s</w:t>
      </w:r>
      <w:r w:rsidRPr="00B51DEF">
        <w:rPr>
          <w:iCs/>
          <w:color w:val="000000" w:themeColor="text1"/>
        </w:rPr>
        <w:t>ubmission presented limited detail.</w:t>
      </w:r>
      <w:r w:rsidR="00EC6F7F" w:rsidRPr="00B51DEF">
        <w:rPr>
          <w:iCs/>
          <w:color w:val="000000" w:themeColor="text1"/>
        </w:rPr>
        <w:t xml:space="preserve"> </w:t>
      </w:r>
      <w:r w:rsidR="00B77A89" w:rsidRPr="00B51DEF">
        <w:rPr>
          <w:iCs/>
          <w:color w:val="000000" w:themeColor="text1"/>
        </w:rPr>
        <w:t>T</w:t>
      </w:r>
      <w:r w:rsidRPr="00B51DEF">
        <w:rPr>
          <w:iCs/>
          <w:color w:val="000000" w:themeColor="text1"/>
        </w:rPr>
        <w:t>he TGA delegate noted that TOF 10</w:t>
      </w:r>
      <w:r w:rsidR="00F721A4" w:rsidRPr="00B51DEF">
        <w:rPr>
          <w:iCs/>
          <w:color w:val="000000" w:themeColor="text1"/>
        </w:rPr>
        <w:t xml:space="preserve"> </w:t>
      </w:r>
      <w:r w:rsidRPr="00B51DEF">
        <w:rPr>
          <w:iCs/>
          <w:color w:val="000000" w:themeColor="text1"/>
        </w:rPr>
        <w:t>mg was associated with increased risk of infections, malignancies, gastrointestinal perforations and dyslipidaemia compared with the TOF 5</w:t>
      </w:r>
      <w:r w:rsidR="00F721A4" w:rsidRPr="00B51DEF">
        <w:rPr>
          <w:iCs/>
          <w:color w:val="000000" w:themeColor="text1"/>
        </w:rPr>
        <w:t xml:space="preserve"> </w:t>
      </w:r>
      <w:r w:rsidRPr="00B51DEF">
        <w:rPr>
          <w:iCs/>
          <w:color w:val="000000" w:themeColor="text1"/>
        </w:rPr>
        <w:t>mg in studies of rheumatoid arthritis.</w:t>
      </w:r>
    </w:p>
    <w:p w:rsidR="003A0842" w:rsidRPr="00B51DEF" w:rsidRDefault="00C7435F" w:rsidP="007C5A5B">
      <w:pPr>
        <w:pStyle w:val="ListParagraph"/>
        <w:widowControl/>
        <w:numPr>
          <w:ilvl w:val="1"/>
          <w:numId w:val="3"/>
        </w:numPr>
        <w:spacing w:before="120" w:after="120"/>
        <w:rPr>
          <w:iCs/>
          <w:color w:val="000000" w:themeColor="text1"/>
        </w:rPr>
      </w:pPr>
      <w:r w:rsidRPr="00B51DEF">
        <w:rPr>
          <w:iCs/>
          <w:color w:val="000000" w:themeColor="text1"/>
        </w:rPr>
        <w:t xml:space="preserve">The ESC noted that no data was provided on whether adverse drug withdrawal effects were experienced in the clinical trials. </w:t>
      </w:r>
      <w:r w:rsidR="00871661" w:rsidRPr="00B51DEF">
        <w:rPr>
          <w:iCs/>
          <w:color w:val="000000" w:themeColor="text1"/>
        </w:rPr>
        <w:t xml:space="preserve">The ESC considered </w:t>
      </w:r>
      <w:r w:rsidR="00A36702" w:rsidRPr="00B51DEF">
        <w:rPr>
          <w:iCs/>
          <w:color w:val="000000" w:themeColor="text1"/>
        </w:rPr>
        <w:t xml:space="preserve">information regarding </w:t>
      </w:r>
      <w:r w:rsidR="00871661" w:rsidRPr="00B51DEF">
        <w:rPr>
          <w:iCs/>
          <w:color w:val="000000" w:themeColor="text1"/>
        </w:rPr>
        <w:t xml:space="preserve">the occurrence of rebound inflammation on drug withdrawal or dose reduction may </w:t>
      </w:r>
      <w:r w:rsidR="00C85B3A" w:rsidRPr="00B51DEF">
        <w:rPr>
          <w:iCs/>
          <w:color w:val="000000" w:themeColor="text1"/>
        </w:rPr>
        <w:t xml:space="preserve">have </w:t>
      </w:r>
      <w:r w:rsidR="00871661" w:rsidRPr="00B51DEF">
        <w:rPr>
          <w:iCs/>
          <w:color w:val="000000" w:themeColor="text1"/>
        </w:rPr>
        <w:t>help</w:t>
      </w:r>
      <w:r w:rsidR="00C85B3A" w:rsidRPr="00B51DEF">
        <w:rPr>
          <w:iCs/>
          <w:color w:val="000000" w:themeColor="text1"/>
        </w:rPr>
        <w:t>ed</w:t>
      </w:r>
      <w:r w:rsidR="00871661" w:rsidRPr="00B51DEF">
        <w:rPr>
          <w:iCs/>
          <w:color w:val="000000" w:themeColor="text1"/>
        </w:rPr>
        <w:t xml:space="preserve"> inform the likely duration of treatment. </w:t>
      </w:r>
    </w:p>
    <w:p w:rsidR="003A0842" w:rsidRPr="00B51DEF" w:rsidRDefault="003A0842" w:rsidP="007C5A5B">
      <w:pPr>
        <w:pStyle w:val="ListParagraph"/>
        <w:widowControl/>
        <w:numPr>
          <w:ilvl w:val="1"/>
          <w:numId w:val="3"/>
        </w:numPr>
        <w:spacing w:before="120" w:after="120"/>
        <w:rPr>
          <w:iCs/>
          <w:color w:val="000000" w:themeColor="text1"/>
        </w:rPr>
      </w:pPr>
      <w:r w:rsidRPr="00B51DEF">
        <w:rPr>
          <w:iCs/>
          <w:color w:val="000000" w:themeColor="text1"/>
        </w:rPr>
        <w:t>The submission did not present a formal comparison between TOF and any of the relevant comparators for safety outcomes.</w:t>
      </w:r>
      <w:r w:rsidRPr="00B51DEF" w:rsidDel="003A0842">
        <w:rPr>
          <w:iCs/>
          <w:color w:val="000000" w:themeColor="text1"/>
        </w:rPr>
        <w:t xml:space="preserve"> The Pre-PBAC Response </w:t>
      </w:r>
      <w:r w:rsidR="00C93AF0" w:rsidRPr="00B51DEF">
        <w:rPr>
          <w:iCs/>
          <w:color w:val="000000" w:themeColor="text1"/>
        </w:rPr>
        <w:t xml:space="preserve">provided a comparison of safety outcomes for TOF, GOL, IFX and ADA (based on data presented in the GOL November 2017 PSD) to support the claim that </w:t>
      </w:r>
      <w:r w:rsidRPr="00B51DEF" w:rsidDel="003A0842">
        <w:rPr>
          <w:iCs/>
          <w:color w:val="000000" w:themeColor="text1"/>
        </w:rPr>
        <w:t>TOF appeared to be no worse with regards to comparative safety.</w:t>
      </w:r>
    </w:p>
    <w:p w:rsidR="00C7435F" w:rsidRPr="00B51DEF" w:rsidRDefault="00C7435F" w:rsidP="007C5A5B">
      <w:pPr>
        <w:widowControl/>
        <w:spacing w:before="120" w:after="120"/>
        <w:rPr>
          <w:iCs/>
          <w:color w:val="000000" w:themeColor="text1"/>
        </w:rPr>
      </w:pPr>
    </w:p>
    <w:p w:rsidR="00022D31" w:rsidRPr="00B51DEF" w:rsidRDefault="00022D31" w:rsidP="007C5A5B">
      <w:pPr>
        <w:pStyle w:val="Heading2"/>
        <w:widowControl/>
        <w:spacing w:before="120" w:after="120"/>
      </w:pPr>
      <w:bookmarkStart w:id="14" w:name="_Toc535929148"/>
      <w:r w:rsidRPr="00B51DEF">
        <w:lastRenderedPageBreak/>
        <w:t>Clinical claim</w:t>
      </w:r>
      <w:bookmarkEnd w:id="14"/>
    </w:p>
    <w:p w:rsidR="00022D31" w:rsidRPr="00B51DEF" w:rsidRDefault="00022D31" w:rsidP="007C5A5B">
      <w:pPr>
        <w:pStyle w:val="ListParagraph"/>
        <w:widowControl/>
        <w:numPr>
          <w:ilvl w:val="1"/>
          <w:numId w:val="3"/>
        </w:numPr>
        <w:spacing w:before="120" w:after="120"/>
        <w:rPr>
          <w:color w:val="000000" w:themeColor="text1"/>
        </w:rPr>
      </w:pPr>
      <w:r w:rsidRPr="00B51DEF">
        <w:rPr>
          <w:color w:val="000000" w:themeColor="text1"/>
        </w:rPr>
        <w:t>For induction therapy, the submission described TOF 10 mg as non-inferior in terms of efficacy and safety when compared with</w:t>
      </w:r>
      <w:r w:rsidR="00180FD4" w:rsidRPr="00B51DEF">
        <w:rPr>
          <w:color w:val="000000" w:themeColor="text1"/>
        </w:rPr>
        <w:t xml:space="preserve"> IFX</w:t>
      </w:r>
      <w:r w:rsidRPr="00B51DEF">
        <w:rPr>
          <w:color w:val="000000" w:themeColor="text1"/>
        </w:rPr>
        <w:t xml:space="preserve"> 5 mg/kg. For maintenance therapy, the submission described TOF 5 mg and 10 mg as non-inferior in terms of efficacy and safety when compared with IFX 5 mg/kg.</w:t>
      </w:r>
    </w:p>
    <w:p w:rsidR="00022D31" w:rsidRPr="00B51DEF" w:rsidRDefault="00022D31" w:rsidP="007C5A5B">
      <w:pPr>
        <w:pStyle w:val="ListParagraph"/>
        <w:widowControl/>
        <w:numPr>
          <w:ilvl w:val="1"/>
          <w:numId w:val="3"/>
        </w:numPr>
        <w:spacing w:before="120" w:after="120"/>
        <w:rPr>
          <w:iCs/>
          <w:color w:val="000000" w:themeColor="text1"/>
        </w:rPr>
      </w:pPr>
      <w:r w:rsidRPr="00B51DEF">
        <w:rPr>
          <w:iCs/>
          <w:color w:val="000000" w:themeColor="text1"/>
        </w:rPr>
        <w:t>The submission did not make any clinical claim between TOF and the other relevant comparators (GOL, ADA and VDZ). Based on the evidence presented, TOF appeared to be no worse in terms of effectiveness than GOL or VDZ for induction and maintenance therapy. TOF appeared to be marginally more effective than ADA for induction,</w:t>
      </w:r>
      <w:r w:rsidR="00F721A4" w:rsidRPr="00B51DEF">
        <w:rPr>
          <w:iCs/>
          <w:color w:val="000000" w:themeColor="text1"/>
        </w:rPr>
        <w:t xml:space="preserve"> although</w:t>
      </w:r>
      <w:r w:rsidRPr="00B51DEF">
        <w:rPr>
          <w:iCs/>
          <w:color w:val="000000" w:themeColor="text1"/>
        </w:rPr>
        <w:t xml:space="preserve"> this finding should be interpreted with caution due to differences in outcome measurement between the trials, which may favour TOF. </w:t>
      </w:r>
    </w:p>
    <w:p w:rsidR="00B111E4" w:rsidRPr="00B51DEF" w:rsidRDefault="00B111E4" w:rsidP="007C5A5B">
      <w:pPr>
        <w:pStyle w:val="ListParagraph"/>
        <w:widowControl/>
        <w:numPr>
          <w:ilvl w:val="1"/>
          <w:numId w:val="3"/>
        </w:numPr>
        <w:spacing w:before="120" w:after="120"/>
        <w:rPr>
          <w:iCs/>
          <w:color w:val="000000" w:themeColor="text1"/>
        </w:rPr>
      </w:pPr>
      <w:r w:rsidRPr="00B51DEF">
        <w:rPr>
          <w:iCs/>
          <w:color w:val="000000" w:themeColor="text1"/>
        </w:rPr>
        <w:t xml:space="preserve">The pre-PBAC response </w:t>
      </w:r>
      <w:r w:rsidR="00EA0C51" w:rsidRPr="00B51DEF">
        <w:rPr>
          <w:iCs/>
          <w:color w:val="000000" w:themeColor="text1"/>
        </w:rPr>
        <w:t xml:space="preserve">noted a number of key differences between the </w:t>
      </w:r>
      <w:r w:rsidR="002114F1" w:rsidRPr="00B51DEF">
        <w:rPr>
          <w:iCs/>
          <w:color w:val="000000" w:themeColor="text1"/>
        </w:rPr>
        <w:t xml:space="preserve">TOF </w:t>
      </w:r>
      <w:r w:rsidR="00EA0C51" w:rsidRPr="00B51DEF">
        <w:rPr>
          <w:iCs/>
          <w:color w:val="000000" w:themeColor="text1"/>
        </w:rPr>
        <w:t xml:space="preserve">studies and </w:t>
      </w:r>
      <w:r w:rsidR="002114F1" w:rsidRPr="00B51DEF">
        <w:rPr>
          <w:iCs/>
          <w:color w:val="000000" w:themeColor="text1"/>
        </w:rPr>
        <w:t xml:space="preserve">IFX </w:t>
      </w:r>
      <w:r w:rsidR="00EA0C51" w:rsidRPr="00B51DEF">
        <w:rPr>
          <w:iCs/>
          <w:color w:val="000000" w:themeColor="text1"/>
        </w:rPr>
        <w:t xml:space="preserve">studies and considered </w:t>
      </w:r>
      <w:r w:rsidR="000747F1" w:rsidRPr="00B51DEF">
        <w:rPr>
          <w:iCs/>
          <w:color w:val="000000" w:themeColor="text1"/>
        </w:rPr>
        <w:t xml:space="preserve">that </w:t>
      </w:r>
      <w:r w:rsidR="00EA0C51" w:rsidRPr="00B51DEF">
        <w:rPr>
          <w:iCs/>
          <w:color w:val="000000" w:themeColor="text1"/>
        </w:rPr>
        <w:t>the</w:t>
      </w:r>
      <w:r w:rsidR="000747F1" w:rsidRPr="00B51DEF">
        <w:rPr>
          <w:iCs/>
          <w:color w:val="000000" w:themeColor="text1"/>
        </w:rPr>
        <w:t>se</w:t>
      </w:r>
      <w:r w:rsidR="00EA0C51" w:rsidRPr="00B51DEF">
        <w:rPr>
          <w:iCs/>
          <w:color w:val="000000" w:themeColor="text1"/>
        </w:rPr>
        <w:t xml:space="preserve"> differences in </w:t>
      </w:r>
      <w:r w:rsidR="00EA0C51" w:rsidRPr="00B51DEF">
        <w:t xml:space="preserve">study design contributed to a bias against </w:t>
      </w:r>
      <w:r w:rsidR="002114F1" w:rsidRPr="00B51DEF">
        <w:t xml:space="preserve">TOF </w:t>
      </w:r>
      <w:r w:rsidR="00EA0C51" w:rsidRPr="00B51DEF">
        <w:t xml:space="preserve">and </w:t>
      </w:r>
      <w:r w:rsidR="000747F1" w:rsidRPr="00B51DEF">
        <w:t xml:space="preserve">therefore </w:t>
      </w:r>
      <w:r w:rsidR="00EA0C51" w:rsidRPr="00B51DEF">
        <w:t xml:space="preserve">the </w:t>
      </w:r>
      <w:r w:rsidR="000747F1" w:rsidRPr="00B51DEF">
        <w:t>indirect comparison provided</w:t>
      </w:r>
      <w:r w:rsidR="00EA0C51" w:rsidRPr="00B51DEF">
        <w:t xml:space="preserve"> a conservative estimate of</w:t>
      </w:r>
      <w:r w:rsidR="002114F1" w:rsidRPr="00B51DEF">
        <w:t xml:space="preserve"> TOF</w:t>
      </w:r>
      <w:r w:rsidR="00EA0C51" w:rsidRPr="00B51DEF">
        <w:t>’s clinical benefit when compared with</w:t>
      </w:r>
      <w:r w:rsidR="002114F1" w:rsidRPr="00B51DEF">
        <w:t xml:space="preserve"> IFX</w:t>
      </w:r>
      <w:r w:rsidR="00EA0C51" w:rsidRPr="00B51DEF">
        <w:t xml:space="preserve">. </w:t>
      </w:r>
    </w:p>
    <w:p w:rsidR="00F41857" w:rsidRPr="00B51DEF" w:rsidRDefault="00EB66A5" w:rsidP="007C5A5B">
      <w:pPr>
        <w:pStyle w:val="ListParagraph"/>
        <w:widowControl/>
        <w:numPr>
          <w:ilvl w:val="1"/>
          <w:numId w:val="3"/>
        </w:numPr>
        <w:spacing w:before="120" w:after="120"/>
        <w:ind w:left="810" w:hanging="810"/>
        <w:rPr>
          <w:rFonts w:asciiTheme="minorHAnsi" w:hAnsiTheme="minorHAnsi"/>
          <w:szCs w:val="20"/>
        </w:rPr>
      </w:pPr>
      <w:r w:rsidRPr="00B51DEF">
        <w:rPr>
          <w:rFonts w:asciiTheme="minorHAnsi" w:hAnsiTheme="minorHAnsi"/>
          <w:szCs w:val="20"/>
        </w:rPr>
        <w:t xml:space="preserve">The PBAC considered </w:t>
      </w:r>
      <w:r w:rsidR="00F41857" w:rsidRPr="00B51DEF">
        <w:rPr>
          <w:rFonts w:asciiTheme="minorHAnsi" w:hAnsiTheme="minorHAnsi"/>
          <w:szCs w:val="20"/>
        </w:rPr>
        <w:t xml:space="preserve">the claim of non-inferior comparative effectiveness to IFX in the induction phase </w:t>
      </w:r>
      <w:r w:rsidR="00B044C3" w:rsidRPr="00B51DEF">
        <w:rPr>
          <w:rFonts w:asciiTheme="minorHAnsi" w:hAnsiTheme="minorHAnsi"/>
          <w:szCs w:val="20"/>
        </w:rPr>
        <w:t xml:space="preserve">may be reasonable. While there was a trend to TOF being inferior to IFX, there were </w:t>
      </w:r>
      <w:r w:rsidR="00F41857" w:rsidRPr="00B51DEF">
        <w:rPr>
          <w:rFonts w:asciiTheme="minorHAnsi" w:hAnsiTheme="minorHAnsi"/>
          <w:szCs w:val="20"/>
        </w:rPr>
        <w:t xml:space="preserve">differences in trial design </w:t>
      </w:r>
      <w:r w:rsidR="00B044C3" w:rsidRPr="00B51DEF">
        <w:rPr>
          <w:rFonts w:asciiTheme="minorHAnsi" w:hAnsiTheme="minorHAnsi"/>
          <w:szCs w:val="20"/>
        </w:rPr>
        <w:t xml:space="preserve">that may bias against TOF </w:t>
      </w:r>
      <w:r w:rsidR="00F41857" w:rsidRPr="00B51DEF">
        <w:rPr>
          <w:rFonts w:asciiTheme="minorHAnsi" w:hAnsiTheme="minorHAnsi"/>
          <w:szCs w:val="20"/>
        </w:rPr>
        <w:t xml:space="preserve">and most of the outcomes were not significantly different. The PBAC considered the claim of non-inferior comparative effectiveness to IFX in the maintenance phase was uncertain given the differences in trial design. However, </w:t>
      </w:r>
      <w:r w:rsidR="00E97178" w:rsidRPr="00B51DEF">
        <w:rPr>
          <w:rFonts w:asciiTheme="minorHAnsi" w:hAnsiTheme="minorHAnsi"/>
          <w:szCs w:val="20"/>
        </w:rPr>
        <w:t xml:space="preserve">the PBAC </w:t>
      </w:r>
      <w:r w:rsidR="004267EF" w:rsidRPr="00B51DEF">
        <w:rPr>
          <w:rFonts w:asciiTheme="minorHAnsi" w:hAnsiTheme="minorHAnsi"/>
          <w:szCs w:val="20"/>
        </w:rPr>
        <w:t>recalled GOL and VDZ have previously been accepted as non-inferior to IFX in the maintenance phase</w:t>
      </w:r>
      <w:r w:rsidR="00E97178" w:rsidRPr="00B51DEF">
        <w:rPr>
          <w:rFonts w:asciiTheme="minorHAnsi" w:hAnsiTheme="minorHAnsi"/>
          <w:szCs w:val="20"/>
        </w:rPr>
        <w:t>, and noted that there was no significant difference in efficacy for TOF compared with GOL and VDZ in the maintenance phase</w:t>
      </w:r>
      <w:r w:rsidR="004267EF" w:rsidRPr="00B51DEF">
        <w:rPr>
          <w:rFonts w:asciiTheme="minorHAnsi" w:hAnsiTheme="minorHAnsi"/>
          <w:szCs w:val="20"/>
        </w:rPr>
        <w:t xml:space="preserve">. </w:t>
      </w:r>
    </w:p>
    <w:p w:rsidR="00EB66A5" w:rsidRPr="001510DE" w:rsidRDefault="00EB66A5" w:rsidP="007C5A5B">
      <w:pPr>
        <w:pStyle w:val="ListParagraph"/>
        <w:widowControl/>
        <w:numPr>
          <w:ilvl w:val="1"/>
          <w:numId w:val="3"/>
        </w:numPr>
        <w:spacing w:before="120" w:after="120"/>
        <w:ind w:left="810" w:hanging="810"/>
        <w:rPr>
          <w:rFonts w:asciiTheme="minorHAnsi" w:hAnsiTheme="minorHAnsi"/>
          <w:szCs w:val="20"/>
        </w:rPr>
      </w:pPr>
      <w:r w:rsidRPr="00B51DEF">
        <w:rPr>
          <w:rFonts w:asciiTheme="minorHAnsi" w:hAnsiTheme="minorHAnsi"/>
          <w:szCs w:val="20"/>
        </w:rPr>
        <w:t>The PBAC considered that</w:t>
      </w:r>
      <w:r w:rsidR="003A6C45" w:rsidRPr="00B51DEF">
        <w:rPr>
          <w:rFonts w:asciiTheme="minorHAnsi" w:hAnsiTheme="minorHAnsi"/>
          <w:szCs w:val="20"/>
        </w:rPr>
        <w:t xml:space="preserve"> it was difficult to assess</w:t>
      </w:r>
      <w:r w:rsidRPr="00B51DEF">
        <w:rPr>
          <w:rFonts w:asciiTheme="minorHAnsi" w:hAnsiTheme="minorHAnsi"/>
          <w:szCs w:val="20"/>
        </w:rPr>
        <w:t xml:space="preserve"> the claim of non-inferior comparative safety</w:t>
      </w:r>
      <w:r w:rsidR="00F32019" w:rsidRPr="00B51DEF">
        <w:rPr>
          <w:rFonts w:asciiTheme="minorHAnsi" w:hAnsiTheme="minorHAnsi"/>
          <w:szCs w:val="20"/>
        </w:rPr>
        <w:t xml:space="preserve"> compared to IFX and the other biologic therapies</w:t>
      </w:r>
      <w:r w:rsidR="00622B2B" w:rsidRPr="00B51DEF">
        <w:rPr>
          <w:rFonts w:asciiTheme="minorHAnsi" w:hAnsiTheme="minorHAnsi"/>
          <w:szCs w:val="20"/>
        </w:rPr>
        <w:t xml:space="preserve"> but </w:t>
      </w:r>
      <w:r w:rsidR="00E97178" w:rsidRPr="00B51DEF">
        <w:rPr>
          <w:rFonts w:asciiTheme="minorHAnsi" w:hAnsiTheme="minorHAnsi"/>
          <w:szCs w:val="20"/>
        </w:rPr>
        <w:t xml:space="preserve">overall </w:t>
      </w:r>
      <w:r w:rsidR="00622B2B" w:rsidRPr="00B51DEF">
        <w:rPr>
          <w:rFonts w:asciiTheme="minorHAnsi" w:hAnsiTheme="minorHAnsi"/>
          <w:szCs w:val="20"/>
        </w:rPr>
        <w:t>considered it may be reasonable</w:t>
      </w:r>
      <w:r w:rsidR="00F32019" w:rsidRPr="00B51DEF">
        <w:rPr>
          <w:rFonts w:asciiTheme="minorHAnsi" w:hAnsiTheme="minorHAnsi"/>
          <w:szCs w:val="20"/>
        </w:rPr>
        <w:t xml:space="preserve">. The PBAC </w:t>
      </w:r>
      <w:r w:rsidR="007B5339" w:rsidRPr="00B51DEF">
        <w:rPr>
          <w:rFonts w:asciiTheme="minorHAnsi" w:hAnsiTheme="minorHAnsi"/>
          <w:szCs w:val="20"/>
        </w:rPr>
        <w:t xml:space="preserve">noted </w:t>
      </w:r>
      <w:r w:rsidR="003A6C45" w:rsidRPr="00B51DEF">
        <w:rPr>
          <w:rFonts w:asciiTheme="minorHAnsi" w:hAnsiTheme="minorHAnsi"/>
          <w:szCs w:val="20"/>
        </w:rPr>
        <w:t>the 10</w:t>
      </w:r>
      <w:r w:rsidR="00E97178" w:rsidRPr="00B51DEF">
        <w:rPr>
          <w:rFonts w:asciiTheme="minorHAnsi" w:hAnsiTheme="minorHAnsi"/>
          <w:szCs w:val="20"/>
        </w:rPr>
        <w:t xml:space="preserve"> </w:t>
      </w:r>
      <w:r w:rsidR="003A6C45" w:rsidRPr="00B51DEF">
        <w:rPr>
          <w:rFonts w:asciiTheme="minorHAnsi" w:hAnsiTheme="minorHAnsi"/>
          <w:szCs w:val="20"/>
        </w:rPr>
        <w:t xml:space="preserve">mg strength </w:t>
      </w:r>
      <w:r w:rsidR="007B5339" w:rsidRPr="00B51DEF">
        <w:rPr>
          <w:rFonts w:asciiTheme="minorHAnsi" w:hAnsiTheme="minorHAnsi"/>
          <w:szCs w:val="20"/>
        </w:rPr>
        <w:t xml:space="preserve">of TOF </w:t>
      </w:r>
      <w:r w:rsidR="003A6C45" w:rsidRPr="00B51DEF">
        <w:rPr>
          <w:rFonts w:asciiTheme="minorHAnsi" w:hAnsiTheme="minorHAnsi"/>
          <w:szCs w:val="20"/>
        </w:rPr>
        <w:t>w</w:t>
      </w:r>
      <w:r w:rsidR="00B62527" w:rsidRPr="00B51DEF">
        <w:rPr>
          <w:rFonts w:asciiTheme="minorHAnsi" w:hAnsiTheme="minorHAnsi"/>
          <w:szCs w:val="20"/>
        </w:rPr>
        <w:t>as associated with more infections</w:t>
      </w:r>
      <w:r w:rsidR="00C93AF0" w:rsidRPr="00B51DEF">
        <w:rPr>
          <w:rFonts w:asciiTheme="minorHAnsi" w:hAnsiTheme="minorHAnsi"/>
          <w:szCs w:val="20"/>
        </w:rPr>
        <w:t xml:space="preserve"> that 5mg strength</w:t>
      </w:r>
      <w:r w:rsidR="007B5339" w:rsidRPr="00B51DEF">
        <w:rPr>
          <w:rFonts w:asciiTheme="minorHAnsi" w:hAnsiTheme="minorHAnsi"/>
          <w:szCs w:val="20"/>
        </w:rPr>
        <w:t xml:space="preserve"> of TOF</w:t>
      </w:r>
    </w:p>
    <w:p w:rsidR="00022D31" w:rsidRPr="00B51DEF" w:rsidRDefault="00022D31" w:rsidP="007C5A5B">
      <w:pPr>
        <w:pStyle w:val="Heading2"/>
        <w:widowControl/>
        <w:spacing w:before="120" w:after="120"/>
      </w:pPr>
      <w:bookmarkStart w:id="15" w:name="_Toc535929149"/>
      <w:r w:rsidRPr="00B51DEF">
        <w:t>Economic analysis</w:t>
      </w:r>
      <w:bookmarkEnd w:id="15"/>
      <w:r w:rsidRPr="00B51DEF">
        <w:t xml:space="preserve"> </w:t>
      </w:r>
    </w:p>
    <w:p w:rsidR="00BE7D7E" w:rsidRPr="001510DE" w:rsidRDefault="00022D31" w:rsidP="007C5A5B">
      <w:pPr>
        <w:pStyle w:val="ListParagraph"/>
        <w:widowControl/>
        <w:numPr>
          <w:ilvl w:val="1"/>
          <w:numId w:val="3"/>
        </w:numPr>
        <w:spacing w:before="120" w:after="120"/>
        <w:rPr>
          <w:color w:val="000000" w:themeColor="text1"/>
        </w:rPr>
      </w:pPr>
      <w:r w:rsidRPr="00B51DEF">
        <w:rPr>
          <w:rFonts w:cs="Calibri"/>
          <w:snapToGrid/>
          <w:color w:val="000000" w:themeColor="text1"/>
          <w:szCs w:val="24"/>
          <w:lang w:eastAsia="en-AU"/>
        </w:rPr>
        <w:t xml:space="preserve">The submission presented a cost-minimisation analysis between TOF with IFX. </w:t>
      </w:r>
      <w:r w:rsidRPr="00B51DEF">
        <w:t xml:space="preserve">The </w:t>
      </w:r>
      <w:r w:rsidR="00E97178" w:rsidRPr="00B51DEF">
        <w:t xml:space="preserve">proposed </w:t>
      </w:r>
      <w:proofErr w:type="spellStart"/>
      <w:r w:rsidRPr="00B51DEF">
        <w:t>equi</w:t>
      </w:r>
      <w:proofErr w:type="spellEnd"/>
      <w:r w:rsidRPr="00B51DEF">
        <w:t xml:space="preserve">-effective doses were based on the recommended doses: for induction </w:t>
      </w:r>
      <w:r w:rsidRPr="00B51DEF">
        <w:rPr>
          <w:rFonts w:cs="Calibri"/>
          <w:snapToGrid/>
          <w:color w:val="000000" w:themeColor="text1"/>
          <w:szCs w:val="24"/>
          <w:lang w:eastAsia="en-AU"/>
        </w:rPr>
        <w:t>TOF 10 mg BD orally = IFX 5 mg/kg IV Weeks 0, 2 and 6; for maintenance TOF 5</w:t>
      </w:r>
      <w:r w:rsidR="00E97178" w:rsidRPr="00B51DEF">
        <w:rPr>
          <w:rFonts w:cs="Calibri"/>
          <w:snapToGrid/>
          <w:color w:val="000000" w:themeColor="text1"/>
          <w:szCs w:val="24"/>
          <w:lang w:eastAsia="en-AU"/>
        </w:rPr>
        <w:t xml:space="preserve"> </w:t>
      </w:r>
      <w:r w:rsidRPr="00B51DEF">
        <w:rPr>
          <w:rFonts w:cs="Calibri"/>
          <w:snapToGrid/>
          <w:color w:val="000000" w:themeColor="text1"/>
          <w:szCs w:val="24"/>
          <w:lang w:eastAsia="en-AU"/>
        </w:rPr>
        <w:t>mg or 10</w:t>
      </w:r>
      <w:r w:rsidR="00E97178" w:rsidRPr="00B51DEF">
        <w:rPr>
          <w:rFonts w:cs="Calibri"/>
          <w:snapToGrid/>
          <w:color w:val="000000" w:themeColor="text1"/>
          <w:szCs w:val="24"/>
          <w:lang w:eastAsia="en-AU"/>
        </w:rPr>
        <w:t xml:space="preserve"> </w:t>
      </w:r>
      <w:r w:rsidRPr="00B51DEF">
        <w:rPr>
          <w:rFonts w:cs="Calibri"/>
          <w:snapToGrid/>
          <w:color w:val="000000" w:themeColor="text1"/>
          <w:szCs w:val="24"/>
          <w:lang w:eastAsia="en-AU"/>
        </w:rPr>
        <w:t xml:space="preserve">mg BD orally = IFX 5 mg/kg IV every 8 weeks from week 14. </w:t>
      </w:r>
    </w:p>
    <w:p w:rsidR="00BE7D7E" w:rsidRPr="00B51DEF" w:rsidRDefault="00BE7D7E" w:rsidP="007C5A5B">
      <w:pPr>
        <w:pStyle w:val="ListParagraph"/>
        <w:widowControl/>
        <w:numPr>
          <w:ilvl w:val="1"/>
          <w:numId w:val="3"/>
        </w:numPr>
        <w:spacing w:before="120" w:after="120"/>
        <w:rPr>
          <w:iCs/>
          <w:color w:val="000000" w:themeColor="text1"/>
        </w:rPr>
      </w:pPr>
      <w:r w:rsidRPr="00B51DEF">
        <w:rPr>
          <w:iCs/>
          <w:color w:val="000000" w:themeColor="text1"/>
        </w:rPr>
        <w:t xml:space="preserve">The PBAC could only recommend listing of TOF at a higher cost if it was satisfied that TOF provides, for some patients, a significant improvement in efficacy or reduction of toxicity over the alternative therapy or therapies (National Health Act 1953, Section 101(3B)). Given no evidence has been provided to support TOF having a higher </w:t>
      </w:r>
      <w:r w:rsidR="00A53F21" w:rsidRPr="00B51DEF">
        <w:rPr>
          <w:iCs/>
          <w:color w:val="000000" w:themeColor="text1"/>
        </w:rPr>
        <w:t xml:space="preserve">cost </w:t>
      </w:r>
      <w:r w:rsidRPr="00B51DEF">
        <w:rPr>
          <w:iCs/>
          <w:color w:val="000000" w:themeColor="text1"/>
        </w:rPr>
        <w:t xml:space="preserve">than alternative </w:t>
      </w:r>
      <w:r w:rsidR="002B40F3" w:rsidRPr="00B51DEF">
        <w:rPr>
          <w:iCs/>
          <w:color w:val="000000" w:themeColor="text1"/>
        </w:rPr>
        <w:t>biological therapies</w:t>
      </w:r>
      <w:r w:rsidRPr="00B51DEF">
        <w:rPr>
          <w:iCs/>
          <w:color w:val="000000" w:themeColor="text1"/>
        </w:rPr>
        <w:t>, the</w:t>
      </w:r>
      <w:r w:rsidR="00C50E5B" w:rsidRPr="00B51DEF">
        <w:rPr>
          <w:iCs/>
          <w:color w:val="000000" w:themeColor="text1"/>
        </w:rPr>
        <w:t xml:space="preserve"> </w:t>
      </w:r>
      <w:r w:rsidR="00A53F21" w:rsidRPr="00B51DEF">
        <w:rPr>
          <w:iCs/>
          <w:color w:val="000000" w:themeColor="text1"/>
        </w:rPr>
        <w:t xml:space="preserve">ESC  </w:t>
      </w:r>
      <w:r w:rsidR="00CB5ED5" w:rsidRPr="00B51DEF">
        <w:rPr>
          <w:iCs/>
          <w:color w:val="000000" w:themeColor="text1"/>
        </w:rPr>
        <w:t xml:space="preserve">and PBAC </w:t>
      </w:r>
      <w:r w:rsidRPr="00B51DEF">
        <w:rPr>
          <w:iCs/>
          <w:color w:val="000000" w:themeColor="text1"/>
        </w:rPr>
        <w:t>consider</w:t>
      </w:r>
      <w:r w:rsidR="00A53F21" w:rsidRPr="00B51DEF">
        <w:rPr>
          <w:iCs/>
          <w:color w:val="000000" w:themeColor="text1"/>
        </w:rPr>
        <w:t>ed</w:t>
      </w:r>
      <w:r w:rsidRPr="00B51DEF">
        <w:rPr>
          <w:iCs/>
          <w:color w:val="000000" w:themeColor="text1"/>
        </w:rPr>
        <w:t xml:space="preserve"> TOF should be listed on the basis of a cost-minimisation analysis against the least expensive </w:t>
      </w:r>
      <w:r w:rsidR="002B40F3" w:rsidRPr="00B51DEF">
        <w:rPr>
          <w:iCs/>
          <w:color w:val="000000" w:themeColor="text1"/>
        </w:rPr>
        <w:t>biological therapy</w:t>
      </w:r>
      <w:r w:rsidRPr="00B51DEF">
        <w:rPr>
          <w:iCs/>
          <w:color w:val="000000" w:themeColor="text1"/>
        </w:rPr>
        <w:t>.</w:t>
      </w:r>
      <w:r w:rsidR="00A53F21" w:rsidRPr="00B51DEF">
        <w:rPr>
          <w:iCs/>
          <w:color w:val="000000" w:themeColor="text1"/>
        </w:rPr>
        <w:t xml:space="preserve"> </w:t>
      </w:r>
    </w:p>
    <w:p w:rsidR="00022D31" w:rsidRPr="00B51DEF" w:rsidRDefault="00022D31" w:rsidP="007C5A5B">
      <w:pPr>
        <w:pStyle w:val="ListParagraph"/>
        <w:widowControl/>
        <w:numPr>
          <w:ilvl w:val="1"/>
          <w:numId w:val="3"/>
        </w:numPr>
        <w:spacing w:before="120" w:after="120"/>
      </w:pPr>
      <w:r w:rsidRPr="00B51DEF">
        <w:rPr>
          <w:rFonts w:cs="Calibri"/>
          <w:snapToGrid/>
          <w:color w:val="000000" w:themeColor="text1"/>
          <w:szCs w:val="24"/>
          <w:lang w:eastAsia="en-AU"/>
        </w:rPr>
        <w:lastRenderedPageBreak/>
        <w:t>The cost-minimisation analysis assumed:</w:t>
      </w:r>
    </w:p>
    <w:p w:rsidR="00022D31" w:rsidRPr="00B51DEF" w:rsidRDefault="00022D31" w:rsidP="007C5A5B">
      <w:pPr>
        <w:pStyle w:val="ListParagraph"/>
        <w:widowControl/>
        <w:numPr>
          <w:ilvl w:val="0"/>
          <w:numId w:val="27"/>
        </w:numPr>
        <w:spacing w:before="120" w:after="120"/>
        <w:ind w:left="1134"/>
        <w:rPr>
          <w:rFonts w:cs="Calibri"/>
          <w:snapToGrid/>
          <w:color w:val="000000" w:themeColor="text1"/>
          <w:szCs w:val="24"/>
          <w:lang w:eastAsia="en-AU"/>
        </w:rPr>
      </w:pPr>
      <w:r w:rsidRPr="00B51DEF">
        <w:rPr>
          <w:rFonts w:cs="Calibri"/>
          <w:snapToGrid/>
          <w:color w:val="000000" w:themeColor="text1"/>
          <w:szCs w:val="24"/>
          <w:lang w:eastAsia="en-AU"/>
        </w:rPr>
        <w:t>Equivalent total costs for TOF and IFX over the first two years (i.e. 104 weeks).</w:t>
      </w:r>
    </w:p>
    <w:p w:rsidR="00022D31" w:rsidRPr="00B51DEF" w:rsidRDefault="00022D31" w:rsidP="007C5A5B">
      <w:pPr>
        <w:pStyle w:val="ListParagraph"/>
        <w:widowControl/>
        <w:numPr>
          <w:ilvl w:val="0"/>
          <w:numId w:val="27"/>
        </w:numPr>
        <w:spacing w:before="120" w:after="120"/>
        <w:ind w:left="1134"/>
      </w:pPr>
      <w:r w:rsidRPr="00B51DEF">
        <w:t xml:space="preserve">Drug costs for IFX 5mg/kg based on the assumption of four vials per infusion (average patient weight of 80kg) and costed using the published DPMQ for public (4*$448.61) and private hospitals (4*$448.61 + $40.00 + $7.29), weighted by proportional use of each item. </w:t>
      </w:r>
      <w:r w:rsidR="008866A0" w:rsidRPr="00B51DEF">
        <w:t xml:space="preserve">The </w:t>
      </w:r>
      <w:r w:rsidR="000E3582" w:rsidRPr="00B51DEF">
        <w:t xml:space="preserve">PBAC noted the </w:t>
      </w:r>
      <w:r w:rsidR="008866A0" w:rsidRPr="00B51DEF">
        <w:rPr>
          <w:iCs/>
        </w:rPr>
        <w:t>c</w:t>
      </w:r>
      <w:r w:rsidRPr="00B51DEF">
        <w:rPr>
          <w:iCs/>
        </w:rPr>
        <w:t xml:space="preserve">ost minimisation </w:t>
      </w:r>
      <w:r w:rsidR="008866A0" w:rsidRPr="00B51DEF">
        <w:rPr>
          <w:iCs/>
        </w:rPr>
        <w:t>analysis s</w:t>
      </w:r>
      <w:r w:rsidRPr="00B51DEF">
        <w:rPr>
          <w:iCs/>
        </w:rPr>
        <w:t xml:space="preserve">hould use </w:t>
      </w:r>
      <w:r w:rsidR="000E3582" w:rsidRPr="00B51DEF">
        <w:rPr>
          <w:iCs/>
        </w:rPr>
        <w:t xml:space="preserve">effective </w:t>
      </w:r>
      <w:r w:rsidRPr="00B51DEF">
        <w:rPr>
          <w:iCs/>
        </w:rPr>
        <w:t xml:space="preserve">AEMP rather than </w:t>
      </w:r>
      <w:r w:rsidR="000E3582" w:rsidRPr="00B51DEF">
        <w:rPr>
          <w:iCs/>
        </w:rPr>
        <w:t xml:space="preserve">published </w:t>
      </w:r>
      <w:r w:rsidRPr="00B51DEF">
        <w:rPr>
          <w:iCs/>
        </w:rPr>
        <w:t>DPMQ.</w:t>
      </w:r>
    </w:p>
    <w:p w:rsidR="00022D31" w:rsidRPr="00B51DEF" w:rsidRDefault="00022D31" w:rsidP="007C5A5B">
      <w:pPr>
        <w:pStyle w:val="ListParagraph"/>
        <w:widowControl/>
        <w:numPr>
          <w:ilvl w:val="0"/>
          <w:numId w:val="27"/>
        </w:numPr>
        <w:spacing w:before="120" w:after="120"/>
        <w:ind w:left="1134"/>
      </w:pPr>
      <w:r w:rsidRPr="00B51DEF">
        <w:t>The total cost for IFX over the first two years included the cost of administration, costed using MBS item</w:t>
      </w:r>
      <w:r w:rsidR="00FA399F" w:rsidRPr="00B51DEF">
        <w:t xml:space="preserve"> </w:t>
      </w:r>
      <w:r w:rsidRPr="00B51DEF">
        <w:t xml:space="preserve">14245 ($97.95) per IV infusion. </w:t>
      </w:r>
    </w:p>
    <w:p w:rsidR="00022D31" w:rsidRPr="00B51DEF" w:rsidRDefault="00022D31" w:rsidP="007C5A5B">
      <w:pPr>
        <w:pStyle w:val="ListParagraph"/>
        <w:widowControl/>
        <w:numPr>
          <w:ilvl w:val="0"/>
          <w:numId w:val="27"/>
        </w:numPr>
        <w:spacing w:before="120" w:after="120"/>
        <w:ind w:left="1134"/>
        <w:rPr>
          <w:i/>
        </w:rPr>
      </w:pPr>
      <w:r w:rsidRPr="00B51DEF">
        <w:rPr>
          <w:rFonts w:cs="Calibri"/>
          <w:snapToGrid/>
          <w:color w:val="000000" w:themeColor="text1"/>
          <w:szCs w:val="24"/>
          <w:lang w:eastAsia="en-AU"/>
        </w:rPr>
        <w:t>Patients</w:t>
      </w:r>
      <w:r w:rsidRPr="00B51DEF">
        <w:t xml:space="preserve"> receive TOF 10 mg for 8 weeks and then TOF 5 mg for 96 weeks over the first two years (</w:t>
      </w:r>
      <w:r w:rsidR="00922EF4">
        <w:rPr>
          <w:noProof/>
          <w:color w:val="000000"/>
          <w:highlight w:val="black"/>
        </w:rPr>
        <w:t>'''''</w:t>
      </w:r>
      <w:r w:rsidRPr="00B51DEF">
        <w:t>%); or remain on TOF 10</w:t>
      </w:r>
      <w:r w:rsidR="00227F2C" w:rsidRPr="00B51DEF">
        <w:t xml:space="preserve"> </w:t>
      </w:r>
      <w:r w:rsidRPr="00B51DEF">
        <w:t>mg for induction and maintenance (</w:t>
      </w:r>
      <w:r w:rsidR="00922EF4">
        <w:rPr>
          <w:noProof/>
          <w:color w:val="000000"/>
          <w:highlight w:val="black"/>
        </w:rPr>
        <w:t>''</w:t>
      </w:r>
      <w:r w:rsidRPr="00B51DEF">
        <w:t xml:space="preserve">%). </w:t>
      </w:r>
      <w:r w:rsidRPr="00B51DEF">
        <w:rPr>
          <w:iCs/>
        </w:rPr>
        <w:t xml:space="preserve">The proportional use of TOF 10 mg and TOF 5 mg scripts per patient (on average) corresponds to </w:t>
      </w:r>
      <w:r w:rsidR="00922EF4">
        <w:rPr>
          <w:iCs/>
          <w:noProof/>
          <w:color w:val="000000"/>
          <w:highlight w:val="black"/>
        </w:rPr>
        <w:t>''''''''''</w:t>
      </w:r>
      <w:r w:rsidRPr="00B51DEF">
        <w:rPr>
          <w:iCs/>
        </w:rPr>
        <w:t xml:space="preserve">% and </w:t>
      </w:r>
      <w:r w:rsidR="00922EF4">
        <w:rPr>
          <w:iCs/>
          <w:noProof/>
          <w:color w:val="000000"/>
          <w:highlight w:val="black"/>
        </w:rPr>
        <w:t>''''''''''</w:t>
      </w:r>
      <w:r w:rsidRPr="00B51DEF">
        <w:rPr>
          <w:iCs/>
        </w:rPr>
        <w:t xml:space="preserve">% over the first two years. </w:t>
      </w:r>
      <w:r w:rsidR="003E2003" w:rsidRPr="00B51DEF">
        <w:rPr>
          <w:iCs/>
        </w:rPr>
        <w:t>T</w:t>
      </w:r>
      <w:r w:rsidRPr="00B51DEF">
        <w:rPr>
          <w:iCs/>
        </w:rPr>
        <w:t xml:space="preserve">his </w:t>
      </w:r>
      <w:r w:rsidR="000E3582" w:rsidRPr="00B51DEF">
        <w:rPr>
          <w:iCs/>
        </w:rPr>
        <w:t xml:space="preserve">proportional use </w:t>
      </w:r>
      <w:r w:rsidRPr="00B51DEF">
        <w:rPr>
          <w:iCs/>
        </w:rPr>
        <w:t>informs the relative differential pricing of the two formulations</w:t>
      </w:r>
      <w:r w:rsidR="000E3582" w:rsidRPr="00B51DEF">
        <w:rPr>
          <w:iCs/>
        </w:rPr>
        <w:t xml:space="preserve"> and the ESC considered it may not be reasonable</w:t>
      </w:r>
      <w:r w:rsidRPr="00B51DEF">
        <w:rPr>
          <w:iCs/>
        </w:rPr>
        <w:t xml:space="preserve">. </w:t>
      </w:r>
      <w:r w:rsidR="00CA7D3D" w:rsidRPr="00B51DEF">
        <w:rPr>
          <w:iCs/>
        </w:rPr>
        <w:t>Furthermore, the requested restriction recommends induction therapy with TOF 10</w:t>
      </w:r>
      <w:r w:rsidR="00227F2C" w:rsidRPr="00B51DEF">
        <w:rPr>
          <w:iCs/>
        </w:rPr>
        <w:t xml:space="preserve"> </w:t>
      </w:r>
      <w:r w:rsidR="00CA7D3D" w:rsidRPr="00B51DEF">
        <w:rPr>
          <w:iCs/>
        </w:rPr>
        <w:t>mg for 8 to 16 weeks, whereas the submission has only accounted for 8-week induction treatment with TOF 10</w:t>
      </w:r>
      <w:r w:rsidR="00227F2C" w:rsidRPr="00B51DEF">
        <w:rPr>
          <w:iCs/>
        </w:rPr>
        <w:t xml:space="preserve"> </w:t>
      </w:r>
      <w:r w:rsidR="00CA7D3D" w:rsidRPr="00B51DEF">
        <w:rPr>
          <w:iCs/>
        </w:rPr>
        <w:t xml:space="preserve">mg in the cost-minimisation analysis. </w:t>
      </w:r>
      <w:r w:rsidR="008F2F30" w:rsidRPr="00B51DEF">
        <w:rPr>
          <w:iCs/>
        </w:rPr>
        <w:t xml:space="preserve">The ESC considered it was reasonable to assume a majority of patients would receive </w:t>
      </w:r>
      <w:r w:rsidR="00F17722" w:rsidRPr="00B51DEF">
        <w:rPr>
          <w:iCs/>
        </w:rPr>
        <w:t xml:space="preserve">16 </w:t>
      </w:r>
      <w:r w:rsidR="008F2F30" w:rsidRPr="00B51DEF">
        <w:rPr>
          <w:iCs/>
        </w:rPr>
        <w:t xml:space="preserve">weeks </w:t>
      </w:r>
      <w:r w:rsidR="00F17722" w:rsidRPr="00B51DEF">
        <w:rPr>
          <w:iCs/>
        </w:rPr>
        <w:t>of induction therapy with TOF 10</w:t>
      </w:r>
      <w:r w:rsidR="00227F2C" w:rsidRPr="00B51DEF">
        <w:rPr>
          <w:iCs/>
        </w:rPr>
        <w:t xml:space="preserve"> </w:t>
      </w:r>
      <w:r w:rsidR="00F17722" w:rsidRPr="00B51DEF">
        <w:rPr>
          <w:iCs/>
        </w:rPr>
        <w:t>mg. The ESC considered the proportion of use of TOF 10</w:t>
      </w:r>
      <w:r w:rsidR="00227F2C" w:rsidRPr="00B51DEF">
        <w:rPr>
          <w:iCs/>
        </w:rPr>
        <w:t xml:space="preserve"> </w:t>
      </w:r>
      <w:r w:rsidR="00F17722" w:rsidRPr="00B51DEF">
        <w:rPr>
          <w:iCs/>
        </w:rPr>
        <w:t>mg and 5</w:t>
      </w:r>
      <w:r w:rsidR="00227F2C" w:rsidRPr="00B51DEF">
        <w:rPr>
          <w:iCs/>
        </w:rPr>
        <w:t xml:space="preserve"> </w:t>
      </w:r>
      <w:r w:rsidR="00F17722" w:rsidRPr="00B51DEF">
        <w:rPr>
          <w:iCs/>
        </w:rPr>
        <w:t>mg in the maintenance setting to be uncertain but noted ~50% of patients treated with TOF 5</w:t>
      </w:r>
      <w:r w:rsidR="00227F2C" w:rsidRPr="00B51DEF">
        <w:rPr>
          <w:iCs/>
        </w:rPr>
        <w:t xml:space="preserve"> </w:t>
      </w:r>
      <w:r w:rsidR="00F17722" w:rsidRPr="00B51DEF">
        <w:rPr>
          <w:iCs/>
        </w:rPr>
        <w:t xml:space="preserve">mg did not achieve </w:t>
      </w:r>
      <w:r w:rsidR="00844494" w:rsidRPr="00B51DEF">
        <w:rPr>
          <w:iCs/>
        </w:rPr>
        <w:t xml:space="preserve">a </w:t>
      </w:r>
      <w:r w:rsidR="00F17722" w:rsidRPr="00B51DEF">
        <w:rPr>
          <w:iCs/>
        </w:rPr>
        <w:t>sustained clinical response in the SUSTAIN study (Table 8).</w:t>
      </w:r>
    </w:p>
    <w:p w:rsidR="00BB42DA" w:rsidRPr="00B51DEF" w:rsidRDefault="00BB42DA" w:rsidP="007C5A5B">
      <w:pPr>
        <w:pStyle w:val="ListParagraph"/>
        <w:widowControl/>
        <w:numPr>
          <w:ilvl w:val="0"/>
          <w:numId w:val="27"/>
        </w:numPr>
        <w:spacing w:before="120" w:after="120"/>
        <w:ind w:left="1134"/>
        <w:rPr>
          <w:i/>
        </w:rPr>
      </w:pPr>
      <w:r w:rsidRPr="00B51DEF">
        <w:rPr>
          <w:rFonts w:cs="Calibri"/>
          <w:snapToGrid/>
          <w:color w:val="000000" w:themeColor="text1"/>
          <w:szCs w:val="24"/>
          <w:lang w:eastAsia="en-AU"/>
        </w:rPr>
        <w:t xml:space="preserve"> The Pre-PBAC Response acknowledged the proportional split used in the CMA may not have been reasonable due to an erroneous calculation, and provided an updated estimated split of </w:t>
      </w:r>
      <w:r w:rsidR="00922EF4">
        <w:rPr>
          <w:rFonts w:cs="Calibri"/>
          <w:noProof/>
          <w:snapToGrid/>
          <w:color w:val="000000"/>
          <w:szCs w:val="24"/>
          <w:highlight w:val="black"/>
          <w:lang w:eastAsia="en-AU"/>
        </w:rPr>
        <w:t>''''''</w:t>
      </w:r>
      <w:r w:rsidRPr="00B51DEF">
        <w:rPr>
          <w:rFonts w:cs="Calibri"/>
          <w:snapToGrid/>
          <w:color w:val="000000" w:themeColor="text1"/>
          <w:szCs w:val="24"/>
          <w:lang w:eastAsia="en-AU"/>
        </w:rPr>
        <w:t>% TOF 5</w:t>
      </w:r>
      <w:r w:rsidR="00227F2C" w:rsidRPr="00B51DEF">
        <w:rPr>
          <w:rFonts w:cs="Calibri"/>
          <w:snapToGrid/>
          <w:color w:val="000000" w:themeColor="text1"/>
          <w:szCs w:val="24"/>
          <w:lang w:eastAsia="en-AU"/>
        </w:rPr>
        <w:t xml:space="preserve"> </w:t>
      </w:r>
      <w:r w:rsidRPr="00B51DEF">
        <w:rPr>
          <w:rFonts w:cs="Calibri"/>
          <w:snapToGrid/>
          <w:color w:val="000000" w:themeColor="text1"/>
          <w:szCs w:val="24"/>
          <w:lang w:eastAsia="en-AU"/>
        </w:rPr>
        <w:t xml:space="preserve">mg and </w:t>
      </w:r>
      <w:r w:rsidR="00922EF4">
        <w:rPr>
          <w:rFonts w:cs="Calibri"/>
          <w:noProof/>
          <w:snapToGrid/>
          <w:color w:val="000000"/>
          <w:szCs w:val="24"/>
          <w:highlight w:val="black"/>
          <w:lang w:eastAsia="en-AU"/>
        </w:rPr>
        <w:t>'''''</w:t>
      </w:r>
      <w:r w:rsidRPr="00B51DEF">
        <w:rPr>
          <w:rFonts w:cs="Calibri"/>
          <w:snapToGrid/>
          <w:color w:val="000000" w:themeColor="text1"/>
          <w:szCs w:val="24"/>
          <w:lang w:eastAsia="en-AU"/>
        </w:rPr>
        <w:t>% TOF 10</w:t>
      </w:r>
      <w:r w:rsidR="00227F2C" w:rsidRPr="00B51DEF">
        <w:rPr>
          <w:rFonts w:cs="Calibri"/>
          <w:snapToGrid/>
          <w:color w:val="000000" w:themeColor="text1"/>
          <w:szCs w:val="24"/>
          <w:lang w:eastAsia="en-AU"/>
        </w:rPr>
        <w:t xml:space="preserve"> </w:t>
      </w:r>
      <w:r w:rsidRPr="00B51DEF">
        <w:rPr>
          <w:rFonts w:cs="Calibri"/>
          <w:snapToGrid/>
          <w:color w:val="000000" w:themeColor="text1"/>
          <w:szCs w:val="24"/>
          <w:lang w:eastAsia="en-AU"/>
        </w:rPr>
        <w:t xml:space="preserve">mg. </w:t>
      </w:r>
    </w:p>
    <w:p w:rsidR="00022D31" w:rsidRPr="00B51DEF" w:rsidRDefault="00022D31" w:rsidP="007C5A5B">
      <w:pPr>
        <w:pStyle w:val="ListParagraph"/>
        <w:widowControl/>
        <w:numPr>
          <w:ilvl w:val="1"/>
          <w:numId w:val="3"/>
        </w:numPr>
        <w:spacing w:before="120" w:after="120"/>
      </w:pPr>
      <w:r w:rsidRPr="00B51DEF">
        <w:t xml:space="preserve">The cost-minimisation analysis did not include additional costs for monitoring or management of adverse events. </w:t>
      </w:r>
      <w:r w:rsidR="00C67BC7" w:rsidRPr="00B51DEF">
        <w:t xml:space="preserve">The dosage section of the PI </w:t>
      </w:r>
      <w:r w:rsidRPr="00B51DEF">
        <w:t>emphasise</w:t>
      </w:r>
      <w:r w:rsidR="00C67BC7" w:rsidRPr="00B51DEF">
        <w:t xml:space="preserve">s </w:t>
      </w:r>
      <w:r w:rsidRPr="00B51DEF">
        <w:t xml:space="preserve">that </w:t>
      </w:r>
      <w:r w:rsidR="00C67BC7" w:rsidRPr="00B51DEF">
        <w:t xml:space="preserve">patients </w:t>
      </w:r>
      <w:r w:rsidRPr="00B51DEF">
        <w:t xml:space="preserve">should </w:t>
      </w:r>
      <w:r w:rsidR="00C67BC7" w:rsidRPr="00B51DEF">
        <w:t xml:space="preserve">be treated with </w:t>
      </w:r>
      <w:r w:rsidRPr="00B51DEF">
        <w:t xml:space="preserve">the “lowest effective dose to maintain response” in maintenance. </w:t>
      </w:r>
      <w:r w:rsidR="00D3570B" w:rsidRPr="00B51DEF">
        <w:t>Given the difference in safety profile between the two strengths, t</w:t>
      </w:r>
      <w:r w:rsidR="00EF1F4A" w:rsidRPr="00B51DEF">
        <w:t>he PBAC consider</w:t>
      </w:r>
      <w:r w:rsidR="00D3570B" w:rsidRPr="00B51DEF">
        <w:t>e</w:t>
      </w:r>
      <w:r w:rsidR="00EF1F4A" w:rsidRPr="00B51DEF">
        <w:t xml:space="preserve">d </w:t>
      </w:r>
      <w:r w:rsidRPr="00B51DEF">
        <w:t xml:space="preserve">TOF 10 </w:t>
      </w:r>
      <w:r w:rsidR="00D3570B" w:rsidRPr="00B51DEF">
        <w:t xml:space="preserve">mg </w:t>
      </w:r>
      <w:r w:rsidRPr="00B51DEF">
        <w:t>may be associated with additional costs due to increased monitoring of adverse events and increased medical visits to assess response for potential dose reduction.</w:t>
      </w:r>
    </w:p>
    <w:p w:rsidR="00F736B5" w:rsidRPr="00B51DEF" w:rsidRDefault="00022D31" w:rsidP="007C5A5B">
      <w:pPr>
        <w:pStyle w:val="ListParagraph"/>
        <w:widowControl/>
        <w:numPr>
          <w:ilvl w:val="1"/>
          <w:numId w:val="3"/>
        </w:numPr>
        <w:spacing w:before="120" w:after="120"/>
      </w:pPr>
      <w:r w:rsidRPr="00B51DEF">
        <w:t>The Sponsor requested differential pricing for TOF 5 mg (</w:t>
      </w:r>
      <w:r w:rsidR="007B5339" w:rsidRPr="00B51DEF">
        <w:t xml:space="preserve">DPMQ of </w:t>
      </w:r>
      <w:r w:rsidRPr="00B51DEF">
        <w:t>$</w:t>
      </w:r>
      <w:r w:rsidR="00922EF4">
        <w:rPr>
          <w:noProof/>
          <w:color w:val="000000"/>
          <w:highlight w:val="black"/>
        </w:rPr>
        <w:t>''''''''''''''''''</w:t>
      </w:r>
      <w:r w:rsidRPr="00B51DEF">
        <w:t>) and 10</w:t>
      </w:r>
      <w:r w:rsidR="00227F2C" w:rsidRPr="00B51DEF">
        <w:t xml:space="preserve"> </w:t>
      </w:r>
      <w:r w:rsidRPr="00B51DEF">
        <w:t>mg (</w:t>
      </w:r>
      <w:r w:rsidR="007B5339" w:rsidRPr="00B51DEF">
        <w:t xml:space="preserve">DPMQ of </w:t>
      </w:r>
      <w:r w:rsidRPr="00B51DEF">
        <w:t>$</w:t>
      </w:r>
      <w:r w:rsidR="00922EF4">
        <w:rPr>
          <w:noProof/>
          <w:color w:val="000000"/>
          <w:highlight w:val="black"/>
        </w:rPr>
        <w:t>'''''''''''''''''</w:t>
      </w:r>
      <w:r w:rsidRPr="00B51DEF">
        <w:t>) tablets</w:t>
      </w:r>
      <w:r w:rsidR="00927992" w:rsidRPr="00B51DEF">
        <w:rPr>
          <w:rStyle w:val="FootnoteReference"/>
        </w:rPr>
        <w:footnoteReference w:id="1"/>
      </w:r>
      <w:r w:rsidR="006723AB">
        <w:t>.</w:t>
      </w:r>
      <w:r w:rsidRPr="00B51DEF">
        <w:t xml:space="preserve"> </w:t>
      </w:r>
      <w:r w:rsidRPr="00B51DEF">
        <w:rPr>
          <w:iCs/>
        </w:rPr>
        <w:t>The</w:t>
      </w:r>
      <w:r w:rsidR="00FA399F" w:rsidRPr="00B51DEF">
        <w:rPr>
          <w:iCs/>
        </w:rPr>
        <w:t xml:space="preserve">re is uncertainty </w:t>
      </w:r>
      <w:r w:rsidR="00E31833" w:rsidRPr="00B51DEF">
        <w:rPr>
          <w:iCs/>
        </w:rPr>
        <w:t>associated with the proportional use of TOF 10</w:t>
      </w:r>
      <w:r w:rsidR="00227F2C" w:rsidRPr="00B51DEF">
        <w:rPr>
          <w:iCs/>
        </w:rPr>
        <w:t xml:space="preserve"> </w:t>
      </w:r>
      <w:r w:rsidR="00E31833" w:rsidRPr="00B51DEF">
        <w:rPr>
          <w:iCs/>
        </w:rPr>
        <w:t>mg and TOF 5</w:t>
      </w:r>
      <w:r w:rsidR="00227F2C" w:rsidRPr="00B51DEF">
        <w:rPr>
          <w:iCs/>
        </w:rPr>
        <w:t xml:space="preserve"> </w:t>
      </w:r>
      <w:r w:rsidR="00E31833" w:rsidRPr="00B51DEF">
        <w:rPr>
          <w:iCs/>
        </w:rPr>
        <w:t>mg for maintenance therapy</w:t>
      </w:r>
      <w:r w:rsidR="00FA399F" w:rsidRPr="00B51DEF">
        <w:rPr>
          <w:iCs/>
        </w:rPr>
        <w:t xml:space="preserve"> which is</w:t>
      </w:r>
      <w:r w:rsidR="00E31833" w:rsidRPr="00B51DEF">
        <w:rPr>
          <w:iCs/>
        </w:rPr>
        <w:t xml:space="preserve"> relevant for the cost-minimisation analysis and budget impact to the PBS</w:t>
      </w:r>
      <w:r w:rsidR="00B51DEF">
        <w:rPr>
          <w:iCs/>
        </w:rPr>
        <w:t xml:space="preserve">. </w:t>
      </w:r>
    </w:p>
    <w:p w:rsidR="00022D31" w:rsidRPr="00B51DEF" w:rsidRDefault="00022D31" w:rsidP="007C5A5B">
      <w:pPr>
        <w:pStyle w:val="Heading2"/>
        <w:widowControl/>
        <w:spacing w:before="120" w:after="120"/>
      </w:pPr>
      <w:bookmarkStart w:id="16" w:name="_Toc535929150"/>
      <w:r w:rsidRPr="00B51DEF">
        <w:lastRenderedPageBreak/>
        <w:t>Drug cost/patient/year:</w:t>
      </w:r>
      <w:bookmarkEnd w:id="16"/>
    </w:p>
    <w:p w:rsidR="000C47E6" w:rsidRPr="00B51DEF" w:rsidRDefault="00022D31" w:rsidP="007C5A5B">
      <w:pPr>
        <w:pStyle w:val="ListParagraph"/>
        <w:widowControl/>
        <w:numPr>
          <w:ilvl w:val="1"/>
          <w:numId w:val="3"/>
        </w:numPr>
        <w:spacing w:before="120" w:after="120"/>
      </w:pPr>
      <w:r w:rsidRPr="00B51DEF">
        <w:rPr>
          <w:snapToGrid/>
          <w:lang w:eastAsia="en-AU"/>
        </w:rPr>
        <w:t>$</w:t>
      </w:r>
      <w:r w:rsidR="00922EF4">
        <w:rPr>
          <w:noProof/>
          <w:snapToGrid/>
          <w:color w:val="000000"/>
          <w:highlight w:val="black"/>
          <w:lang w:eastAsia="en-AU"/>
        </w:rPr>
        <w:t>''''''''''''''</w:t>
      </w:r>
      <w:r w:rsidRPr="00B51DEF">
        <w:rPr>
          <w:snapToGrid/>
          <w:lang w:eastAsia="en-AU"/>
        </w:rPr>
        <w:t>, assuming 8 weeks on TOF 10</w:t>
      </w:r>
      <w:r w:rsidR="00227F2C" w:rsidRPr="00B51DEF">
        <w:rPr>
          <w:snapToGrid/>
          <w:lang w:eastAsia="en-AU"/>
        </w:rPr>
        <w:t xml:space="preserve"> </w:t>
      </w:r>
      <w:r w:rsidRPr="00B51DEF">
        <w:rPr>
          <w:snapToGrid/>
          <w:lang w:eastAsia="en-AU"/>
        </w:rPr>
        <w:t>mg and 44 weeks on TOF 5</w:t>
      </w:r>
      <w:r w:rsidR="00227F2C" w:rsidRPr="00B51DEF">
        <w:rPr>
          <w:snapToGrid/>
          <w:lang w:eastAsia="en-AU"/>
        </w:rPr>
        <w:t xml:space="preserve"> </w:t>
      </w:r>
      <w:r w:rsidRPr="00B51DEF">
        <w:rPr>
          <w:snapToGrid/>
          <w:lang w:eastAsia="en-AU"/>
        </w:rPr>
        <w:t>mg; or $</w:t>
      </w:r>
      <w:r w:rsidR="00922EF4">
        <w:rPr>
          <w:noProof/>
          <w:snapToGrid/>
          <w:color w:val="000000"/>
          <w:highlight w:val="black"/>
          <w:lang w:eastAsia="en-AU"/>
        </w:rPr>
        <w:t>''''''''''''</w:t>
      </w:r>
      <w:r w:rsidRPr="00B51DEF">
        <w:rPr>
          <w:snapToGrid/>
          <w:lang w:eastAsia="en-AU"/>
        </w:rPr>
        <w:t>, assuming 52 weeks on TOF 10</w:t>
      </w:r>
      <w:r w:rsidR="00227F2C" w:rsidRPr="00B51DEF">
        <w:rPr>
          <w:snapToGrid/>
          <w:lang w:eastAsia="en-AU"/>
        </w:rPr>
        <w:t xml:space="preserve"> </w:t>
      </w:r>
      <w:r w:rsidRPr="00B51DEF">
        <w:rPr>
          <w:snapToGrid/>
          <w:lang w:eastAsia="en-AU"/>
        </w:rPr>
        <w:t>mg.</w:t>
      </w:r>
    </w:p>
    <w:p w:rsidR="00B95243" w:rsidRPr="00B51DEF" w:rsidRDefault="00022D31" w:rsidP="007C5A5B">
      <w:pPr>
        <w:pStyle w:val="Heading2"/>
        <w:widowControl/>
        <w:spacing w:before="120" w:after="120"/>
      </w:pPr>
      <w:bookmarkStart w:id="17" w:name="_Toc535929151"/>
      <w:r w:rsidRPr="00B51DEF">
        <w:t>Estimated PBS usage &amp; financial implications</w:t>
      </w:r>
      <w:bookmarkEnd w:id="17"/>
    </w:p>
    <w:p w:rsidR="00022D31" w:rsidRPr="00B51DEF" w:rsidRDefault="00B33FB5" w:rsidP="007C5A5B">
      <w:pPr>
        <w:pStyle w:val="ListParagraph"/>
        <w:widowControl/>
        <w:numPr>
          <w:ilvl w:val="1"/>
          <w:numId w:val="3"/>
        </w:numPr>
        <w:spacing w:before="120" w:after="120"/>
      </w:pPr>
      <w:r w:rsidRPr="00B51DEF">
        <w:t xml:space="preserve">This submission was </w:t>
      </w:r>
      <w:r w:rsidR="00DA7944" w:rsidRPr="00B51DEF">
        <w:t xml:space="preserve">not </w:t>
      </w:r>
      <w:r w:rsidR="00022D31" w:rsidRPr="00B51DEF">
        <w:t xml:space="preserve">considered by DUSC. The budget impact analysis used a market share approach to estimate the financial implications of the proposed listing to the PBS/RPBS, summarised in </w:t>
      </w:r>
      <w:r w:rsidR="00765FAE" w:rsidRPr="00B51DEF">
        <w:t>Table 1</w:t>
      </w:r>
      <w:r w:rsidR="006723AB">
        <w:t>1</w:t>
      </w:r>
      <w:r w:rsidR="00022D31" w:rsidRPr="00B51DEF">
        <w:t xml:space="preserve">. The analysis used PBS claims data to estimate the growth of the </w:t>
      </w:r>
      <w:r w:rsidR="002B40F3" w:rsidRPr="00B51DEF">
        <w:t xml:space="preserve">biologic </w:t>
      </w:r>
      <w:r w:rsidR="00022D31" w:rsidRPr="00B51DEF">
        <w:t xml:space="preserve">market and proportional use of treatment for initial and maintenance therapy. The analysis assumed that the listing of TOF will not affect current market growth and that TOF will substitute for all listed </w:t>
      </w:r>
      <w:r w:rsidR="002B40F3" w:rsidRPr="00B51DEF">
        <w:t xml:space="preserve">biological therapies </w:t>
      </w:r>
      <w:r w:rsidR="00022D31" w:rsidRPr="00B51DEF">
        <w:t xml:space="preserve">(except GOL, which the analysis excluded due to limited claims data). </w:t>
      </w:r>
      <w:r w:rsidR="00022D31" w:rsidRPr="00B51DEF">
        <w:rPr>
          <w:iCs/>
        </w:rPr>
        <w:t>The results presented below account for errors corrected during the evaluation</w:t>
      </w:r>
      <w:r w:rsidR="00885B88" w:rsidRPr="00B51DEF">
        <w:rPr>
          <w:iCs/>
        </w:rPr>
        <w:t>.</w:t>
      </w:r>
      <w:r w:rsidR="00022D31" w:rsidRPr="00B51DEF">
        <w:rPr>
          <w:iCs/>
        </w:rPr>
        <w:t xml:space="preserve"> </w:t>
      </w:r>
    </w:p>
    <w:p w:rsidR="00022D31" w:rsidRPr="00B51DEF" w:rsidRDefault="00022D31" w:rsidP="009467BF">
      <w:pPr>
        <w:pStyle w:val="TableHeading"/>
        <w:rPr>
          <w:rStyle w:val="CommentReference"/>
        </w:rPr>
      </w:pPr>
      <w:bookmarkStart w:id="18" w:name="_Ref1375949"/>
      <w:r w:rsidRPr="00B51DEF">
        <w:t xml:space="preserve">Table </w:t>
      </w:r>
      <w:r w:rsidR="004D1D00" w:rsidRPr="00B51DEF">
        <w:t>1</w:t>
      </w:r>
      <w:bookmarkEnd w:id="18"/>
      <w:r w:rsidR="006723AB">
        <w:t>1</w:t>
      </w:r>
      <w:r w:rsidRPr="00B51DEF">
        <w:rPr>
          <w:rStyle w:val="CommentReference"/>
        </w:rPr>
        <w:t xml:space="preserve">:  </w:t>
      </w:r>
      <w:r w:rsidRPr="00B51DEF">
        <w:rPr>
          <w:rStyle w:val="CommentReference"/>
          <w:b/>
          <w:bCs w:val="0"/>
        </w:rPr>
        <w:t>Estimated net cost of TOF to the PBS/RPBS</w:t>
      </w:r>
      <w:r w:rsidRPr="00B51DEF">
        <w:rPr>
          <w:rStyle w:val="CommentReference"/>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net cost of TOF to the PBS/RPBS "/>
      </w:tblPr>
      <w:tblGrid>
        <w:gridCol w:w="3256"/>
        <w:gridCol w:w="968"/>
        <w:gridCol w:w="969"/>
        <w:gridCol w:w="968"/>
        <w:gridCol w:w="969"/>
        <w:gridCol w:w="968"/>
        <w:gridCol w:w="969"/>
      </w:tblGrid>
      <w:tr w:rsidR="00022D31" w:rsidRPr="006B6856" w:rsidTr="006D40D3">
        <w:trPr>
          <w:tblHeader/>
        </w:trPr>
        <w:tc>
          <w:tcPr>
            <w:tcW w:w="3256" w:type="dxa"/>
            <w:tcBorders>
              <w:bottom w:val="single" w:sz="4" w:space="0" w:color="auto"/>
            </w:tcBorders>
            <w:shd w:val="clear" w:color="auto" w:fill="auto"/>
            <w:vAlign w:val="center"/>
          </w:tcPr>
          <w:p w:rsidR="00022D31" w:rsidRPr="006B6856" w:rsidRDefault="00022D31" w:rsidP="009467BF">
            <w:pPr>
              <w:pStyle w:val="Tabletext"/>
              <w:keepNext/>
              <w:rPr>
                <w:b/>
                <w:bCs/>
                <w:sz w:val="20"/>
                <w:szCs w:val="20"/>
              </w:rPr>
            </w:pPr>
          </w:p>
        </w:tc>
        <w:tc>
          <w:tcPr>
            <w:tcW w:w="968" w:type="dxa"/>
            <w:shd w:val="clear" w:color="auto" w:fill="auto"/>
            <w:vAlign w:val="center"/>
          </w:tcPr>
          <w:p w:rsidR="00022D31" w:rsidRPr="006B6856" w:rsidRDefault="00022D31" w:rsidP="009467BF">
            <w:pPr>
              <w:pStyle w:val="Tabletext"/>
              <w:keepNext/>
              <w:jc w:val="center"/>
              <w:rPr>
                <w:b/>
                <w:bCs/>
                <w:sz w:val="20"/>
                <w:szCs w:val="20"/>
              </w:rPr>
            </w:pPr>
            <w:r w:rsidRPr="006B6856">
              <w:rPr>
                <w:b/>
                <w:bCs/>
                <w:sz w:val="20"/>
                <w:szCs w:val="20"/>
              </w:rPr>
              <w:t>Year 1</w:t>
            </w:r>
          </w:p>
        </w:tc>
        <w:tc>
          <w:tcPr>
            <w:tcW w:w="969" w:type="dxa"/>
            <w:shd w:val="clear" w:color="auto" w:fill="auto"/>
            <w:vAlign w:val="center"/>
          </w:tcPr>
          <w:p w:rsidR="00022D31" w:rsidRPr="006B6856" w:rsidRDefault="00022D31" w:rsidP="009467BF">
            <w:pPr>
              <w:pStyle w:val="Tabletext"/>
              <w:keepNext/>
              <w:jc w:val="center"/>
              <w:rPr>
                <w:b/>
                <w:bCs/>
                <w:sz w:val="20"/>
                <w:szCs w:val="20"/>
              </w:rPr>
            </w:pPr>
            <w:r w:rsidRPr="006B6856">
              <w:rPr>
                <w:b/>
                <w:bCs/>
                <w:sz w:val="20"/>
                <w:szCs w:val="20"/>
              </w:rPr>
              <w:t>Year 2</w:t>
            </w:r>
          </w:p>
        </w:tc>
        <w:tc>
          <w:tcPr>
            <w:tcW w:w="968" w:type="dxa"/>
            <w:shd w:val="clear" w:color="auto" w:fill="auto"/>
            <w:vAlign w:val="center"/>
          </w:tcPr>
          <w:p w:rsidR="00022D31" w:rsidRPr="006B6856" w:rsidRDefault="00022D31" w:rsidP="009467BF">
            <w:pPr>
              <w:pStyle w:val="Tabletext"/>
              <w:keepNext/>
              <w:jc w:val="center"/>
              <w:rPr>
                <w:b/>
                <w:bCs/>
                <w:sz w:val="20"/>
                <w:szCs w:val="20"/>
              </w:rPr>
            </w:pPr>
            <w:r w:rsidRPr="006B6856">
              <w:rPr>
                <w:b/>
                <w:bCs/>
                <w:sz w:val="20"/>
                <w:szCs w:val="20"/>
              </w:rPr>
              <w:t>Year 3</w:t>
            </w:r>
          </w:p>
        </w:tc>
        <w:tc>
          <w:tcPr>
            <w:tcW w:w="969" w:type="dxa"/>
            <w:shd w:val="clear" w:color="auto" w:fill="auto"/>
            <w:vAlign w:val="center"/>
          </w:tcPr>
          <w:p w:rsidR="00022D31" w:rsidRPr="006B6856" w:rsidRDefault="00022D31" w:rsidP="009467BF">
            <w:pPr>
              <w:pStyle w:val="Tabletext"/>
              <w:keepNext/>
              <w:jc w:val="center"/>
              <w:rPr>
                <w:b/>
                <w:bCs/>
                <w:sz w:val="20"/>
                <w:szCs w:val="20"/>
              </w:rPr>
            </w:pPr>
            <w:r w:rsidRPr="006B6856">
              <w:rPr>
                <w:b/>
                <w:bCs/>
                <w:sz w:val="20"/>
                <w:szCs w:val="20"/>
              </w:rPr>
              <w:t>Year 4</w:t>
            </w:r>
          </w:p>
        </w:tc>
        <w:tc>
          <w:tcPr>
            <w:tcW w:w="968" w:type="dxa"/>
            <w:shd w:val="clear" w:color="auto" w:fill="auto"/>
            <w:vAlign w:val="center"/>
          </w:tcPr>
          <w:p w:rsidR="00022D31" w:rsidRPr="006B6856" w:rsidRDefault="00022D31" w:rsidP="009467BF">
            <w:pPr>
              <w:pStyle w:val="Tabletext"/>
              <w:keepNext/>
              <w:jc w:val="center"/>
              <w:rPr>
                <w:b/>
                <w:bCs/>
                <w:sz w:val="20"/>
                <w:szCs w:val="20"/>
              </w:rPr>
            </w:pPr>
            <w:r w:rsidRPr="006B6856">
              <w:rPr>
                <w:b/>
                <w:bCs/>
                <w:sz w:val="20"/>
                <w:szCs w:val="20"/>
              </w:rPr>
              <w:t>Year 5</w:t>
            </w:r>
          </w:p>
        </w:tc>
        <w:tc>
          <w:tcPr>
            <w:tcW w:w="969" w:type="dxa"/>
            <w:shd w:val="clear" w:color="auto" w:fill="auto"/>
            <w:vAlign w:val="center"/>
          </w:tcPr>
          <w:p w:rsidR="00022D31" w:rsidRPr="006B6856" w:rsidRDefault="00022D31" w:rsidP="009467BF">
            <w:pPr>
              <w:pStyle w:val="Tabletext"/>
              <w:keepNext/>
              <w:jc w:val="center"/>
              <w:rPr>
                <w:b/>
                <w:bCs/>
                <w:sz w:val="20"/>
                <w:szCs w:val="20"/>
              </w:rPr>
            </w:pPr>
            <w:r w:rsidRPr="006B6856">
              <w:rPr>
                <w:b/>
                <w:bCs/>
                <w:sz w:val="20"/>
                <w:szCs w:val="20"/>
              </w:rPr>
              <w:t>Year 6</w:t>
            </w:r>
          </w:p>
        </w:tc>
      </w:tr>
      <w:tr w:rsidR="00022D31" w:rsidRPr="006B6856" w:rsidTr="006D40D3">
        <w:tc>
          <w:tcPr>
            <w:tcW w:w="9067" w:type="dxa"/>
            <w:gridSpan w:val="7"/>
            <w:tcBorders>
              <w:top w:val="single" w:sz="4" w:space="0" w:color="auto"/>
              <w:left w:val="single" w:sz="4" w:space="0" w:color="auto"/>
              <w:bottom w:val="single" w:sz="4" w:space="0" w:color="auto"/>
            </w:tcBorders>
            <w:shd w:val="clear" w:color="auto" w:fill="auto"/>
            <w:vAlign w:val="center"/>
          </w:tcPr>
          <w:p w:rsidR="00022D31" w:rsidRPr="006B6856" w:rsidRDefault="00022D31" w:rsidP="009467BF">
            <w:pPr>
              <w:pStyle w:val="Tabletext"/>
              <w:keepNext/>
              <w:rPr>
                <w:b/>
                <w:bCs/>
                <w:color w:val="000000"/>
                <w:sz w:val="20"/>
                <w:szCs w:val="20"/>
              </w:rPr>
            </w:pPr>
            <w:r w:rsidRPr="006B6856">
              <w:rPr>
                <w:b/>
                <w:bCs/>
                <w:color w:val="000000"/>
                <w:sz w:val="20"/>
                <w:szCs w:val="20"/>
              </w:rPr>
              <w:t xml:space="preserve">4.2 Estimation of use and financial impact of the proposed medicine </w:t>
            </w:r>
          </w:p>
        </w:tc>
      </w:tr>
      <w:tr w:rsidR="00022D31" w:rsidRPr="006B6856" w:rsidTr="006D40D3">
        <w:trPr>
          <w:trHeight w:val="70"/>
        </w:trPr>
        <w:tc>
          <w:tcPr>
            <w:tcW w:w="3256" w:type="dxa"/>
            <w:tcBorders>
              <w:top w:val="single" w:sz="4" w:space="0" w:color="auto"/>
              <w:left w:val="single" w:sz="4" w:space="0" w:color="auto"/>
              <w:bottom w:val="nil"/>
              <w:right w:val="single" w:sz="4" w:space="0" w:color="auto"/>
            </w:tcBorders>
            <w:shd w:val="clear" w:color="auto" w:fill="auto"/>
            <w:vAlign w:val="center"/>
          </w:tcPr>
          <w:p w:rsidR="00022D31" w:rsidRPr="006B6856" w:rsidRDefault="00022D31" w:rsidP="009467BF">
            <w:pPr>
              <w:pStyle w:val="Tabletext"/>
              <w:keepNext/>
              <w:rPr>
                <w:sz w:val="20"/>
                <w:szCs w:val="20"/>
              </w:rPr>
            </w:pPr>
            <w:r w:rsidRPr="006B6856">
              <w:rPr>
                <w:color w:val="000000"/>
                <w:sz w:val="20"/>
                <w:szCs w:val="20"/>
              </w:rPr>
              <w:t>Total scripts PBS/RPBS</w:t>
            </w:r>
          </w:p>
        </w:tc>
        <w:tc>
          <w:tcPr>
            <w:tcW w:w="968" w:type="dxa"/>
            <w:tcBorders>
              <w:left w:val="single" w:sz="4" w:space="0" w:color="auto"/>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9"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8"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9"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8"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9"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r>
      <w:tr w:rsidR="00022D31" w:rsidRPr="006B6856" w:rsidTr="006D40D3">
        <w:trPr>
          <w:trHeight w:val="70"/>
        </w:trPr>
        <w:tc>
          <w:tcPr>
            <w:tcW w:w="3256" w:type="dxa"/>
            <w:tcBorders>
              <w:top w:val="nil"/>
              <w:left w:val="single" w:sz="4" w:space="0" w:color="auto"/>
              <w:bottom w:val="nil"/>
              <w:right w:val="single" w:sz="4" w:space="0" w:color="auto"/>
            </w:tcBorders>
            <w:shd w:val="clear" w:color="auto" w:fill="auto"/>
            <w:vAlign w:val="center"/>
          </w:tcPr>
          <w:p w:rsidR="00022D31" w:rsidRPr="006B6856" w:rsidRDefault="00022D31" w:rsidP="009467BF">
            <w:pPr>
              <w:pStyle w:val="Tabletext"/>
              <w:keepNext/>
              <w:ind w:left="112"/>
              <w:rPr>
                <w:color w:val="000000"/>
                <w:sz w:val="20"/>
                <w:szCs w:val="20"/>
              </w:rPr>
            </w:pPr>
            <w:r w:rsidRPr="006B6856">
              <w:rPr>
                <w:color w:val="000000"/>
                <w:sz w:val="20"/>
                <w:szCs w:val="20"/>
              </w:rPr>
              <w:t>TOF 10mg</w:t>
            </w:r>
          </w:p>
        </w:tc>
        <w:tc>
          <w:tcPr>
            <w:tcW w:w="968" w:type="dxa"/>
            <w:tcBorders>
              <w:top w:val="nil"/>
              <w:left w:val="single" w:sz="4" w:space="0" w:color="auto"/>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r>
      <w:tr w:rsidR="00022D31" w:rsidRPr="006B6856" w:rsidTr="006D40D3">
        <w:tc>
          <w:tcPr>
            <w:tcW w:w="3256" w:type="dxa"/>
            <w:tcBorders>
              <w:top w:val="nil"/>
              <w:left w:val="single" w:sz="4" w:space="0" w:color="auto"/>
              <w:bottom w:val="single" w:sz="4" w:space="0" w:color="auto"/>
              <w:right w:val="single" w:sz="4" w:space="0" w:color="auto"/>
            </w:tcBorders>
            <w:shd w:val="clear" w:color="auto" w:fill="auto"/>
            <w:vAlign w:val="center"/>
          </w:tcPr>
          <w:p w:rsidR="00022D31" w:rsidRPr="006B6856" w:rsidRDefault="00022D31" w:rsidP="009467BF">
            <w:pPr>
              <w:pStyle w:val="Tabletext"/>
              <w:keepNext/>
              <w:ind w:left="112"/>
              <w:rPr>
                <w:sz w:val="20"/>
                <w:szCs w:val="20"/>
              </w:rPr>
            </w:pPr>
            <w:r w:rsidRPr="006B6856">
              <w:rPr>
                <w:color w:val="000000"/>
                <w:sz w:val="20"/>
                <w:szCs w:val="20"/>
              </w:rPr>
              <w:t>TOF 5 mg</w:t>
            </w:r>
          </w:p>
        </w:tc>
        <w:tc>
          <w:tcPr>
            <w:tcW w:w="968" w:type="dxa"/>
            <w:tcBorders>
              <w:top w:val="nil"/>
              <w:left w:val="single" w:sz="4" w:space="0" w:color="auto"/>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9" w:type="dxa"/>
            <w:tcBorders>
              <w:top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8" w:type="dxa"/>
            <w:tcBorders>
              <w:top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9" w:type="dxa"/>
            <w:tcBorders>
              <w:top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8" w:type="dxa"/>
            <w:tcBorders>
              <w:top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c>
          <w:tcPr>
            <w:tcW w:w="969" w:type="dxa"/>
            <w:tcBorders>
              <w:top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r>
      <w:tr w:rsidR="00022D31" w:rsidRPr="006B6856" w:rsidTr="006D40D3">
        <w:tc>
          <w:tcPr>
            <w:tcW w:w="3256" w:type="dxa"/>
            <w:shd w:val="clear" w:color="auto" w:fill="auto"/>
            <w:vAlign w:val="center"/>
          </w:tcPr>
          <w:p w:rsidR="00022D31" w:rsidRPr="006B6856" w:rsidRDefault="00022D31" w:rsidP="009467BF">
            <w:pPr>
              <w:pStyle w:val="Tabletext"/>
              <w:keepNext/>
              <w:rPr>
                <w:sz w:val="20"/>
                <w:szCs w:val="20"/>
              </w:rPr>
            </w:pPr>
            <w:r w:rsidRPr="006B6856">
              <w:rPr>
                <w:sz w:val="20"/>
                <w:szCs w:val="20"/>
              </w:rPr>
              <w:t>Net Cost PBS/RPBS (less co-pay), TOF</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r w:rsidR="00022D31" w:rsidRPr="006B6856" w:rsidTr="006D40D3">
        <w:tc>
          <w:tcPr>
            <w:tcW w:w="9067" w:type="dxa"/>
            <w:gridSpan w:val="7"/>
            <w:tcBorders>
              <w:bottom w:val="single" w:sz="4" w:space="0" w:color="auto"/>
            </w:tcBorders>
            <w:shd w:val="clear" w:color="auto" w:fill="auto"/>
            <w:vAlign w:val="center"/>
          </w:tcPr>
          <w:p w:rsidR="00022D31" w:rsidRPr="006B6856" w:rsidRDefault="00022D31" w:rsidP="002B40F3">
            <w:pPr>
              <w:pStyle w:val="Tabletext"/>
              <w:keepNext/>
              <w:rPr>
                <w:b/>
                <w:bCs/>
                <w:sz w:val="20"/>
                <w:szCs w:val="20"/>
              </w:rPr>
            </w:pPr>
            <w:r w:rsidRPr="006B6856">
              <w:rPr>
                <w:b/>
                <w:bCs/>
                <w:sz w:val="20"/>
                <w:szCs w:val="20"/>
              </w:rPr>
              <w:t xml:space="preserve">4.3 Estimation of changes in use and financial impact of other </w:t>
            </w:r>
            <w:r w:rsidR="002B40F3" w:rsidRPr="006B6856">
              <w:rPr>
                <w:b/>
                <w:bCs/>
                <w:sz w:val="20"/>
                <w:szCs w:val="20"/>
              </w:rPr>
              <w:t>biologic</w:t>
            </w:r>
            <w:r w:rsidR="00885B88" w:rsidRPr="006B6856">
              <w:rPr>
                <w:b/>
                <w:bCs/>
                <w:sz w:val="20"/>
                <w:szCs w:val="20"/>
              </w:rPr>
              <w:t xml:space="preserve"> therapies</w:t>
            </w:r>
          </w:p>
        </w:tc>
      </w:tr>
      <w:tr w:rsidR="00022D31" w:rsidRPr="006B6856" w:rsidTr="006D40D3">
        <w:tc>
          <w:tcPr>
            <w:tcW w:w="3256" w:type="dxa"/>
            <w:tcBorders>
              <w:bottom w:val="nil"/>
            </w:tcBorders>
            <w:shd w:val="clear" w:color="auto" w:fill="auto"/>
            <w:vAlign w:val="center"/>
          </w:tcPr>
          <w:p w:rsidR="00022D31" w:rsidRPr="006B6856" w:rsidRDefault="00022D31" w:rsidP="002B40F3">
            <w:pPr>
              <w:pStyle w:val="Tabletext"/>
              <w:keepNext/>
              <w:rPr>
                <w:sz w:val="20"/>
                <w:szCs w:val="20"/>
              </w:rPr>
            </w:pPr>
            <w:r w:rsidRPr="006B6856">
              <w:rPr>
                <w:sz w:val="20"/>
                <w:szCs w:val="20"/>
              </w:rPr>
              <w:t xml:space="preserve">Other </w:t>
            </w:r>
            <w:r w:rsidR="002B40F3" w:rsidRPr="006B6856">
              <w:rPr>
                <w:sz w:val="20"/>
                <w:szCs w:val="20"/>
              </w:rPr>
              <w:t xml:space="preserve">biologic therapy </w:t>
            </w:r>
            <w:r w:rsidRPr="006B6856">
              <w:rPr>
                <w:sz w:val="20"/>
                <w:szCs w:val="20"/>
              </w:rPr>
              <w:t xml:space="preserve">scripts </w:t>
            </w:r>
          </w:p>
        </w:tc>
        <w:tc>
          <w:tcPr>
            <w:tcW w:w="968"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 xml:space="preserve">'''''''''''''''' </w:t>
            </w:r>
          </w:p>
        </w:tc>
      </w:tr>
      <w:tr w:rsidR="00022D31" w:rsidRPr="006B6856" w:rsidTr="006D40D3">
        <w:tc>
          <w:tcPr>
            <w:tcW w:w="3256" w:type="dxa"/>
            <w:tcBorders>
              <w:top w:val="nil"/>
              <w:bottom w:val="nil"/>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ADA</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r>
      <w:tr w:rsidR="00022D31" w:rsidRPr="006B6856" w:rsidTr="006D40D3">
        <w:tc>
          <w:tcPr>
            <w:tcW w:w="3256" w:type="dxa"/>
            <w:tcBorders>
              <w:top w:val="nil"/>
              <w:bottom w:val="nil"/>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IFX (public)</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r>
      <w:tr w:rsidR="00022D31" w:rsidRPr="006B6856" w:rsidTr="006D40D3">
        <w:tc>
          <w:tcPr>
            <w:tcW w:w="3256" w:type="dxa"/>
            <w:tcBorders>
              <w:top w:val="nil"/>
              <w:bottom w:val="nil"/>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IFX (private)</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r w:rsidR="00022D31" w:rsidRPr="006B6856" w:rsidTr="006D40D3">
        <w:tc>
          <w:tcPr>
            <w:tcW w:w="3256" w:type="dxa"/>
            <w:tcBorders>
              <w:top w:val="nil"/>
              <w:bottom w:val="nil"/>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VDZ (public)</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bottom"/>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r>
      <w:tr w:rsidR="00022D31" w:rsidRPr="006B6856" w:rsidTr="006D40D3">
        <w:tc>
          <w:tcPr>
            <w:tcW w:w="3256" w:type="dxa"/>
            <w:tcBorders>
              <w:top w:val="nil"/>
              <w:bottom w:val="single" w:sz="4" w:space="0" w:color="auto"/>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VDZ (private)</w:t>
            </w:r>
          </w:p>
        </w:tc>
        <w:tc>
          <w:tcPr>
            <w:tcW w:w="968" w:type="dxa"/>
            <w:tcBorders>
              <w:top w:val="nil"/>
              <w:bottom w:val="single" w:sz="4" w:space="0" w:color="auto"/>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bottom w:val="single" w:sz="4" w:space="0" w:color="auto"/>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top w:val="nil"/>
              <w:bottom w:val="single" w:sz="4" w:space="0" w:color="auto"/>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bottom w:val="single" w:sz="4" w:space="0" w:color="auto"/>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top w:val="nil"/>
              <w:bottom w:val="single" w:sz="4" w:space="0" w:color="auto"/>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bottom w:val="single" w:sz="4" w:space="0" w:color="auto"/>
            </w:tcBorders>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r w:rsidR="00022D31" w:rsidRPr="006B6856" w:rsidTr="006D40D3">
        <w:tc>
          <w:tcPr>
            <w:tcW w:w="3256" w:type="dxa"/>
            <w:tcBorders>
              <w:bottom w:val="nil"/>
            </w:tcBorders>
            <w:shd w:val="clear" w:color="auto" w:fill="auto"/>
            <w:vAlign w:val="center"/>
          </w:tcPr>
          <w:p w:rsidR="00022D31" w:rsidRPr="006B6856" w:rsidRDefault="00022D31" w:rsidP="002B40F3">
            <w:pPr>
              <w:pStyle w:val="Tabletext"/>
              <w:keepNext/>
              <w:rPr>
                <w:sz w:val="20"/>
                <w:szCs w:val="20"/>
              </w:rPr>
            </w:pPr>
            <w:r w:rsidRPr="006B6856">
              <w:rPr>
                <w:sz w:val="20"/>
                <w:szCs w:val="20"/>
              </w:rPr>
              <w:t xml:space="preserve">Net cost PBS/RPBS (less co-pay), </w:t>
            </w:r>
            <w:r w:rsidR="002B40F3" w:rsidRPr="006B6856">
              <w:rPr>
                <w:sz w:val="20"/>
                <w:szCs w:val="20"/>
              </w:rPr>
              <w:t>biological therapies</w:t>
            </w:r>
          </w:p>
        </w:tc>
        <w:tc>
          <w:tcPr>
            <w:tcW w:w="968" w:type="dxa"/>
            <w:tcBorders>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r w:rsidR="00022D31" w:rsidRPr="006B6856" w:rsidTr="006D40D3">
        <w:tc>
          <w:tcPr>
            <w:tcW w:w="3256" w:type="dxa"/>
            <w:tcBorders>
              <w:top w:val="nil"/>
              <w:bottom w:val="nil"/>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ADA</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r>
      <w:tr w:rsidR="00022D31" w:rsidRPr="006B6856" w:rsidTr="006D40D3">
        <w:tc>
          <w:tcPr>
            <w:tcW w:w="3256" w:type="dxa"/>
            <w:tcBorders>
              <w:top w:val="nil"/>
              <w:bottom w:val="nil"/>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IFX (public)</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r>
      <w:tr w:rsidR="00022D31" w:rsidRPr="006B6856" w:rsidTr="006D40D3">
        <w:tc>
          <w:tcPr>
            <w:tcW w:w="3256" w:type="dxa"/>
            <w:tcBorders>
              <w:top w:val="nil"/>
              <w:bottom w:val="nil"/>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IFX (private)</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r w:rsidR="00022D31" w:rsidRPr="006B6856" w:rsidTr="006D40D3">
        <w:tc>
          <w:tcPr>
            <w:tcW w:w="3256" w:type="dxa"/>
            <w:tcBorders>
              <w:top w:val="nil"/>
              <w:bottom w:val="nil"/>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VDZ (public)</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8"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c>
          <w:tcPr>
            <w:tcW w:w="969" w:type="dxa"/>
            <w:tcBorders>
              <w:top w:val="nil"/>
              <w:bottom w:val="nil"/>
            </w:tcBorders>
            <w:shd w:val="clear" w:color="auto" w:fill="auto"/>
            <w:vAlign w:val="center"/>
          </w:tcPr>
          <w:p w:rsidR="00022D31" w:rsidRPr="00922EF4" w:rsidRDefault="00922EF4" w:rsidP="009467BF">
            <w:pPr>
              <w:pStyle w:val="Tabletext"/>
              <w:keepNext/>
              <w:jc w:val="center"/>
              <w:rPr>
                <w:sz w:val="20"/>
                <w:szCs w:val="20"/>
                <w:highlight w:val="black"/>
              </w:rPr>
            </w:pPr>
            <w:r>
              <w:rPr>
                <w:noProof/>
                <w:color w:val="000000"/>
                <w:sz w:val="20"/>
                <w:szCs w:val="20"/>
                <w:highlight w:val="black"/>
              </w:rPr>
              <w:t>'''''''''''''''''''''''''''</w:t>
            </w:r>
          </w:p>
        </w:tc>
      </w:tr>
      <w:tr w:rsidR="00022D31" w:rsidRPr="006B6856" w:rsidTr="006D40D3">
        <w:tc>
          <w:tcPr>
            <w:tcW w:w="3256" w:type="dxa"/>
            <w:tcBorders>
              <w:top w:val="nil"/>
            </w:tcBorders>
            <w:shd w:val="clear" w:color="auto" w:fill="auto"/>
            <w:vAlign w:val="center"/>
          </w:tcPr>
          <w:p w:rsidR="00022D31" w:rsidRPr="006B6856" w:rsidRDefault="00022D31" w:rsidP="009467BF">
            <w:pPr>
              <w:pStyle w:val="Tabletext"/>
              <w:keepNext/>
              <w:ind w:left="112"/>
              <w:rPr>
                <w:sz w:val="20"/>
                <w:szCs w:val="20"/>
              </w:rPr>
            </w:pPr>
            <w:r w:rsidRPr="006B6856">
              <w:rPr>
                <w:sz w:val="20"/>
                <w:szCs w:val="20"/>
              </w:rPr>
              <w:t>VDZ (private)</w:t>
            </w:r>
          </w:p>
        </w:tc>
        <w:tc>
          <w:tcPr>
            <w:tcW w:w="968" w:type="dxa"/>
            <w:tcBorders>
              <w:top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top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tcBorders>
              <w:top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tcBorders>
              <w:top w:val="nil"/>
            </w:tcBorders>
            <w:shd w:val="clear" w:color="auto" w:fill="auto"/>
            <w:vAlign w:val="center"/>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r w:rsidR="00022D31" w:rsidRPr="006B6856" w:rsidTr="006D40D3">
        <w:tc>
          <w:tcPr>
            <w:tcW w:w="9067" w:type="dxa"/>
            <w:gridSpan w:val="7"/>
            <w:shd w:val="clear" w:color="auto" w:fill="auto"/>
            <w:vAlign w:val="center"/>
          </w:tcPr>
          <w:p w:rsidR="00022D31" w:rsidRPr="006B6856" w:rsidRDefault="00022D31" w:rsidP="009467BF">
            <w:pPr>
              <w:pStyle w:val="Tabletext"/>
              <w:keepNext/>
              <w:rPr>
                <w:b/>
                <w:bCs/>
                <w:sz w:val="20"/>
                <w:szCs w:val="20"/>
              </w:rPr>
            </w:pPr>
            <w:r w:rsidRPr="006B6856">
              <w:rPr>
                <w:b/>
                <w:bCs/>
                <w:sz w:val="20"/>
                <w:szCs w:val="20"/>
              </w:rPr>
              <w:t>4.4 Estimated financial implications for the PBS/RPBS</w:t>
            </w:r>
          </w:p>
        </w:tc>
      </w:tr>
      <w:tr w:rsidR="00022D31" w:rsidRPr="006B6856" w:rsidTr="006D40D3">
        <w:trPr>
          <w:trHeight w:val="70"/>
        </w:trPr>
        <w:tc>
          <w:tcPr>
            <w:tcW w:w="3256" w:type="dxa"/>
            <w:shd w:val="clear" w:color="auto" w:fill="auto"/>
            <w:vAlign w:val="center"/>
          </w:tcPr>
          <w:p w:rsidR="00022D31" w:rsidRPr="006B6856" w:rsidRDefault="00022D31" w:rsidP="009467BF">
            <w:pPr>
              <w:pStyle w:val="Tabletext"/>
              <w:keepNext/>
              <w:rPr>
                <w:sz w:val="20"/>
                <w:szCs w:val="20"/>
              </w:rPr>
            </w:pPr>
            <w:r w:rsidRPr="006B6856">
              <w:rPr>
                <w:sz w:val="20"/>
                <w:szCs w:val="20"/>
              </w:rPr>
              <w:t>Net Cost PBS/RPBS (less co-payment)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r w:rsidR="00022D31" w:rsidRPr="006B6856" w:rsidTr="006D40D3">
        <w:tc>
          <w:tcPr>
            <w:tcW w:w="9067" w:type="dxa"/>
            <w:gridSpan w:val="7"/>
            <w:shd w:val="clear" w:color="auto" w:fill="auto"/>
            <w:vAlign w:val="center"/>
          </w:tcPr>
          <w:p w:rsidR="00022D31" w:rsidRPr="006B6856" w:rsidRDefault="00022D31" w:rsidP="009467BF">
            <w:pPr>
              <w:pStyle w:val="Tabletext"/>
              <w:keepNext/>
              <w:rPr>
                <w:b/>
                <w:bCs/>
                <w:sz w:val="20"/>
                <w:szCs w:val="20"/>
              </w:rPr>
            </w:pPr>
            <w:r w:rsidRPr="006B6856">
              <w:rPr>
                <w:b/>
                <w:bCs/>
                <w:sz w:val="20"/>
                <w:szCs w:val="20"/>
              </w:rPr>
              <w:t>4.5 Estimated financial implications for the health budget</w:t>
            </w:r>
          </w:p>
        </w:tc>
      </w:tr>
      <w:tr w:rsidR="00022D31" w:rsidRPr="006B6856" w:rsidTr="006D40D3">
        <w:tc>
          <w:tcPr>
            <w:tcW w:w="3256" w:type="dxa"/>
            <w:shd w:val="clear" w:color="auto" w:fill="auto"/>
            <w:vAlign w:val="center"/>
          </w:tcPr>
          <w:p w:rsidR="00022D31" w:rsidRPr="006B6856" w:rsidRDefault="00022D31" w:rsidP="009467BF">
            <w:pPr>
              <w:pStyle w:val="Tabletext"/>
              <w:keepNext/>
              <w:rPr>
                <w:sz w:val="20"/>
                <w:szCs w:val="20"/>
              </w:rPr>
            </w:pPr>
            <w:r w:rsidRPr="006B6856">
              <w:rPr>
                <w:sz w:val="20"/>
                <w:szCs w:val="20"/>
              </w:rPr>
              <w:t>VDZ infusions</w:t>
            </w:r>
          </w:p>
        </w:tc>
        <w:tc>
          <w:tcPr>
            <w:tcW w:w="968" w:type="dxa"/>
            <w:shd w:val="clear" w:color="auto" w:fill="auto"/>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r w:rsidR="00022D31" w:rsidRPr="006B6856" w:rsidTr="006D40D3">
        <w:tc>
          <w:tcPr>
            <w:tcW w:w="3256" w:type="dxa"/>
            <w:shd w:val="clear" w:color="auto" w:fill="auto"/>
            <w:vAlign w:val="center"/>
          </w:tcPr>
          <w:p w:rsidR="00022D31" w:rsidRPr="006B6856" w:rsidRDefault="00022D31" w:rsidP="009467BF">
            <w:pPr>
              <w:pStyle w:val="Tabletext"/>
              <w:keepNext/>
              <w:rPr>
                <w:sz w:val="20"/>
                <w:szCs w:val="20"/>
              </w:rPr>
            </w:pPr>
            <w:r w:rsidRPr="006B6856">
              <w:rPr>
                <w:sz w:val="20"/>
                <w:szCs w:val="20"/>
              </w:rPr>
              <w:t>Net cost MBS</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r w:rsidR="00022D31" w:rsidRPr="006B6856" w:rsidTr="006D40D3">
        <w:tc>
          <w:tcPr>
            <w:tcW w:w="3256" w:type="dxa"/>
            <w:shd w:val="clear" w:color="auto" w:fill="auto"/>
            <w:vAlign w:val="center"/>
          </w:tcPr>
          <w:p w:rsidR="00022D31" w:rsidRPr="006B6856" w:rsidRDefault="00022D31" w:rsidP="009467BF">
            <w:pPr>
              <w:pStyle w:val="Tabletext"/>
              <w:keepNext/>
              <w:rPr>
                <w:sz w:val="20"/>
                <w:szCs w:val="20"/>
              </w:rPr>
            </w:pPr>
            <w:r w:rsidRPr="006B6856">
              <w:rPr>
                <w:sz w:val="20"/>
                <w:szCs w:val="20"/>
              </w:rPr>
              <w:t>Net cost to health budget (less co-payment)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8"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c>
          <w:tcPr>
            <w:tcW w:w="969" w:type="dxa"/>
            <w:shd w:val="clear" w:color="auto" w:fill="auto"/>
            <w:vAlign w:val="bottom"/>
          </w:tcPr>
          <w:p w:rsidR="00022D31" w:rsidRPr="00922EF4" w:rsidRDefault="00922EF4" w:rsidP="009467BF">
            <w:pPr>
              <w:pStyle w:val="Tabletext"/>
              <w:keepNext/>
              <w:jc w:val="center"/>
              <w:rPr>
                <w:iCs/>
                <w:sz w:val="20"/>
                <w:szCs w:val="20"/>
                <w:highlight w:val="black"/>
              </w:rPr>
            </w:pPr>
            <w:r>
              <w:rPr>
                <w:iCs/>
                <w:noProof/>
                <w:color w:val="000000"/>
                <w:sz w:val="20"/>
                <w:szCs w:val="20"/>
                <w:highlight w:val="black"/>
              </w:rPr>
              <w:t>'''''''''''''''''''''''''</w:t>
            </w:r>
          </w:p>
        </w:tc>
      </w:tr>
    </w:tbl>
    <w:p w:rsidR="00022D31" w:rsidRPr="00B51DEF" w:rsidRDefault="00022D31" w:rsidP="009467BF">
      <w:pPr>
        <w:pStyle w:val="TableFooter"/>
        <w:keepNext/>
        <w:widowControl/>
      </w:pPr>
      <w:r w:rsidRPr="00B51DEF">
        <w:t>Source: Compiled during the evaluation from Section 4 workbook “Utilisation and cost-model”</w:t>
      </w:r>
    </w:p>
    <w:p w:rsidR="00022D31" w:rsidRPr="00B51DEF" w:rsidRDefault="00022D31" w:rsidP="009467BF">
      <w:pPr>
        <w:pStyle w:val="TableFooter"/>
        <w:widowControl/>
      </w:pPr>
      <w:r w:rsidRPr="00B51DEF">
        <w:t>Abbreviations</w:t>
      </w:r>
      <w:proofErr w:type="gramStart"/>
      <w:r w:rsidRPr="00B51DEF">
        <w:t>:,</w:t>
      </w:r>
      <w:proofErr w:type="gramEnd"/>
      <w:r w:rsidRPr="00B51DEF">
        <w:t xml:space="preserve"> TOF=</w:t>
      </w:r>
      <w:proofErr w:type="spellStart"/>
      <w:r w:rsidRPr="00B51DEF">
        <w:t>tofacitinib</w:t>
      </w:r>
      <w:proofErr w:type="spellEnd"/>
      <w:r w:rsidRPr="00B51DEF">
        <w:t>, VDZ=</w:t>
      </w:r>
      <w:proofErr w:type="spellStart"/>
      <w:r w:rsidRPr="00B51DEF">
        <w:t>vedolizumab</w:t>
      </w:r>
      <w:proofErr w:type="spellEnd"/>
      <w:r w:rsidRPr="00B51DEF">
        <w:t>. IFX=infliximab</w:t>
      </w:r>
    </w:p>
    <w:p w:rsidR="00E410A5" w:rsidRPr="001510DE" w:rsidRDefault="00E410A5" w:rsidP="007C5A5B">
      <w:pPr>
        <w:widowControl/>
        <w:spacing w:before="120" w:after="120"/>
        <w:rPr>
          <w:rStyle w:val="CommentReference"/>
          <w:rFonts w:asciiTheme="minorHAnsi" w:hAnsiTheme="minorHAnsi" w:cstheme="minorHAnsi"/>
          <w:b w:val="0"/>
          <w:sz w:val="24"/>
          <w:szCs w:val="24"/>
        </w:rPr>
      </w:pPr>
      <w:r w:rsidRPr="001510DE">
        <w:rPr>
          <w:rStyle w:val="CommentReference"/>
          <w:rFonts w:asciiTheme="minorHAnsi" w:hAnsiTheme="minorHAnsi" w:cstheme="minorHAnsi"/>
          <w:b w:val="0"/>
          <w:sz w:val="24"/>
          <w:szCs w:val="24"/>
        </w:rPr>
        <w:t>The redacted table shows that at year 6, the estimated number of total scripts is less than 10,000, and the net cost to the health budget would be a saving of less than $10 million.</w:t>
      </w:r>
    </w:p>
    <w:p w:rsidR="00E410A5" w:rsidRPr="00E410A5" w:rsidRDefault="00E410A5" w:rsidP="007C5A5B">
      <w:pPr>
        <w:widowControl/>
        <w:spacing w:before="120" w:after="120"/>
        <w:rPr>
          <w:rStyle w:val="CommentReference"/>
          <w:u w:val="words"/>
        </w:rPr>
      </w:pPr>
    </w:p>
    <w:p w:rsidR="00022D31" w:rsidRPr="00B51DEF" w:rsidRDefault="00022D31" w:rsidP="007C5A5B">
      <w:pPr>
        <w:pStyle w:val="ListParagraph"/>
        <w:widowControl/>
        <w:numPr>
          <w:ilvl w:val="1"/>
          <w:numId w:val="3"/>
        </w:numPr>
        <w:spacing w:before="120" w:after="120"/>
        <w:rPr>
          <w:iCs/>
        </w:rPr>
      </w:pPr>
      <w:r w:rsidRPr="00B51DEF">
        <w:rPr>
          <w:iCs/>
        </w:rPr>
        <w:lastRenderedPageBreak/>
        <w:t xml:space="preserve">The predicted use and financial impacts of the proposed listing </w:t>
      </w:r>
      <w:r w:rsidR="00764569" w:rsidRPr="00B51DEF">
        <w:rPr>
          <w:iCs/>
        </w:rPr>
        <w:t xml:space="preserve">were </w:t>
      </w:r>
      <w:r w:rsidRPr="00B51DEF">
        <w:rPr>
          <w:iCs/>
        </w:rPr>
        <w:t xml:space="preserve">not reliable for the following reasons: </w:t>
      </w:r>
    </w:p>
    <w:p w:rsidR="00022D31" w:rsidRPr="00B51DEF" w:rsidRDefault="00022D31" w:rsidP="007C5A5B">
      <w:pPr>
        <w:pStyle w:val="ListParagraph"/>
        <w:widowControl/>
        <w:numPr>
          <w:ilvl w:val="0"/>
          <w:numId w:val="27"/>
        </w:numPr>
        <w:spacing w:before="120" w:after="120"/>
        <w:ind w:left="1134"/>
        <w:rPr>
          <w:rFonts w:cs="Calibri"/>
          <w:iCs/>
          <w:snapToGrid/>
          <w:color w:val="000000" w:themeColor="text1"/>
          <w:szCs w:val="24"/>
          <w:lang w:eastAsia="en-AU"/>
        </w:rPr>
      </w:pPr>
      <w:r w:rsidRPr="00B51DEF">
        <w:rPr>
          <w:rFonts w:cs="Calibri"/>
          <w:iCs/>
          <w:snapToGrid/>
          <w:color w:val="000000" w:themeColor="text1"/>
          <w:szCs w:val="24"/>
          <w:lang w:eastAsia="en-AU"/>
        </w:rPr>
        <w:t>The proportional use of TOF 5 mg and 10 mg was uncertain</w:t>
      </w:r>
      <w:r w:rsidR="00016090" w:rsidRPr="00B51DEF">
        <w:rPr>
          <w:rFonts w:cs="Calibri"/>
          <w:iCs/>
          <w:snapToGrid/>
          <w:color w:val="000000" w:themeColor="text1"/>
          <w:szCs w:val="24"/>
          <w:lang w:eastAsia="en-AU"/>
        </w:rPr>
        <w:t>.</w:t>
      </w:r>
      <w:r w:rsidRPr="00B51DEF">
        <w:rPr>
          <w:rFonts w:cs="Calibri"/>
          <w:iCs/>
          <w:snapToGrid/>
          <w:color w:val="000000" w:themeColor="text1"/>
          <w:szCs w:val="24"/>
          <w:lang w:eastAsia="en-AU"/>
        </w:rPr>
        <w:t xml:space="preserve"> </w:t>
      </w:r>
    </w:p>
    <w:p w:rsidR="00022D31" w:rsidRPr="00B51DEF" w:rsidRDefault="00022D31" w:rsidP="007C5A5B">
      <w:pPr>
        <w:pStyle w:val="ListParagraph"/>
        <w:widowControl/>
        <w:numPr>
          <w:ilvl w:val="0"/>
          <w:numId w:val="27"/>
        </w:numPr>
        <w:spacing w:before="120" w:after="120"/>
        <w:ind w:left="1134"/>
        <w:rPr>
          <w:rFonts w:cs="Calibri"/>
          <w:iCs/>
          <w:snapToGrid/>
          <w:color w:val="000000" w:themeColor="text1"/>
          <w:szCs w:val="24"/>
          <w:lang w:eastAsia="en-AU"/>
        </w:rPr>
      </w:pPr>
      <w:r w:rsidRPr="00B51DEF">
        <w:rPr>
          <w:rFonts w:cs="Calibri"/>
          <w:iCs/>
          <w:snapToGrid/>
          <w:color w:val="000000" w:themeColor="text1"/>
          <w:szCs w:val="24"/>
          <w:lang w:eastAsia="en-AU"/>
        </w:rPr>
        <w:t>The proportional fixed rates of substitution across comparators were poorly justified and uncertain; the submission assumed the highest substitution would be for ADA because it is administered SC, which contradicted the rationale for the nomination of IFX as the comparator.</w:t>
      </w:r>
    </w:p>
    <w:p w:rsidR="00022D31" w:rsidRPr="00B51DEF" w:rsidRDefault="00022D31" w:rsidP="007C5A5B">
      <w:pPr>
        <w:pStyle w:val="ListParagraph"/>
        <w:widowControl/>
        <w:numPr>
          <w:ilvl w:val="0"/>
          <w:numId w:val="27"/>
        </w:numPr>
        <w:spacing w:before="120" w:after="120"/>
        <w:ind w:left="1134"/>
        <w:rPr>
          <w:rFonts w:cs="Calibri"/>
          <w:iCs/>
          <w:snapToGrid/>
          <w:color w:val="000000" w:themeColor="text1"/>
          <w:szCs w:val="24"/>
          <w:lang w:eastAsia="en-AU"/>
        </w:rPr>
      </w:pPr>
      <w:r w:rsidRPr="00B51DEF">
        <w:rPr>
          <w:rFonts w:cs="Calibri"/>
          <w:iCs/>
          <w:snapToGrid/>
          <w:color w:val="000000" w:themeColor="text1"/>
          <w:szCs w:val="24"/>
          <w:lang w:eastAsia="en-AU"/>
        </w:rPr>
        <w:t xml:space="preserve">The submission estimated the reduction in scripts for IFX, ADA and VDZ based on assumed fixed proportional use across induction and maintenance treatment for IFX and VDZ, and estimated script relativities versus TOF based on 8-week induction periods (rather than </w:t>
      </w:r>
      <w:r w:rsidR="009B2187" w:rsidRPr="00B51DEF">
        <w:rPr>
          <w:rFonts w:cs="Calibri"/>
          <w:iCs/>
          <w:snapToGrid/>
          <w:color w:val="000000" w:themeColor="text1"/>
          <w:szCs w:val="24"/>
          <w:lang w:eastAsia="en-AU"/>
        </w:rPr>
        <w:t xml:space="preserve">the full initial treatment period </w:t>
      </w:r>
      <w:r w:rsidR="0034212D" w:rsidRPr="00B51DEF">
        <w:rPr>
          <w:rFonts w:cs="Calibri"/>
          <w:iCs/>
          <w:snapToGrid/>
          <w:color w:val="000000" w:themeColor="text1"/>
          <w:szCs w:val="24"/>
          <w:lang w:eastAsia="en-AU"/>
        </w:rPr>
        <w:t>of 16 weeks</w:t>
      </w:r>
      <w:r w:rsidR="007237C8" w:rsidRPr="00B51DEF">
        <w:rPr>
          <w:rFonts w:cs="Calibri"/>
          <w:iCs/>
          <w:snapToGrid/>
          <w:color w:val="000000" w:themeColor="text1"/>
          <w:szCs w:val="24"/>
          <w:lang w:eastAsia="en-AU"/>
        </w:rPr>
        <w:t>)</w:t>
      </w:r>
      <w:r w:rsidRPr="00B51DEF">
        <w:rPr>
          <w:rFonts w:cs="Calibri"/>
          <w:iCs/>
          <w:snapToGrid/>
          <w:color w:val="000000" w:themeColor="text1"/>
          <w:szCs w:val="24"/>
          <w:lang w:eastAsia="en-AU"/>
        </w:rPr>
        <w:t>.</w:t>
      </w:r>
    </w:p>
    <w:p w:rsidR="00022D31" w:rsidRPr="00B51DEF" w:rsidRDefault="00022D31" w:rsidP="007C5A5B">
      <w:pPr>
        <w:pStyle w:val="ListParagraph"/>
        <w:widowControl/>
        <w:numPr>
          <w:ilvl w:val="0"/>
          <w:numId w:val="27"/>
        </w:numPr>
        <w:spacing w:before="120" w:after="120"/>
        <w:ind w:left="1134"/>
        <w:rPr>
          <w:rFonts w:cs="Calibri"/>
          <w:iCs/>
          <w:snapToGrid/>
          <w:color w:val="000000" w:themeColor="text1"/>
          <w:szCs w:val="24"/>
          <w:lang w:eastAsia="en-AU"/>
        </w:rPr>
      </w:pPr>
      <w:r w:rsidRPr="00B51DEF">
        <w:rPr>
          <w:rFonts w:cs="Calibri"/>
          <w:iCs/>
          <w:snapToGrid/>
          <w:color w:val="000000" w:themeColor="text1"/>
          <w:szCs w:val="24"/>
          <w:lang w:eastAsia="en-AU"/>
        </w:rPr>
        <w:t>The submission estimated the costs associated with TOF based on the requested effective price but the reduction in costs to the PBS for IFX, ADA and VDZ based on the published DPMQs (rather than effective indication-specific prices). This is the main driver in the estimated net savings to the PBS/RPBS.</w:t>
      </w:r>
    </w:p>
    <w:p w:rsidR="006B6856" w:rsidRDefault="00022D31" w:rsidP="007C5A5B">
      <w:pPr>
        <w:pStyle w:val="ListParagraph"/>
        <w:widowControl/>
        <w:numPr>
          <w:ilvl w:val="0"/>
          <w:numId w:val="27"/>
        </w:numPr>
        <w:spacing w:before="120" w:after="120"/>
        <w:ind w:left="1134" w:hanging="357"/>
        <w:rPr>
          <w:rFonts w:cs="Calibri"/>
          <w:iCs/>
          <w:snapToGrid/>
          <w:color w:val="000000" w:themeColor="text1"/>
          <w:szCs w:val="24"/>
          <w:lang w:eastAsia="en-AU"/>
        </w:rPr>
      </w:pPr>
      <w:r w:rsidRPr="00B51DEF">
        <w:rPr>
          <w:rFonts w:cs="Calibri"/>
          <w:iCs/>
          <w:snapToGrid/>
          <w:color w:val="000000" w:themeColor="text1"/>
          <w:szCs w:val="24"/>
          <w:lang w:eastAsia="en-AU"/>
        </w:rPr>
        <w:t>The submission estimated the reduction in costs to the MBS for IV administration associated with VDZ, but not IFX.</w:t>
      </w:r>
    </w:p>
    <w:p w:rsidR="00022D31" w:rsidRPr="00B51DEF" w:rsidRDefault="00022D31" w:rsidP="007C5A5B">
      <w:pPr>
        <w:pStyle w:val="Heading2"/>
        <w:widowControl/>
        <w:spacing w:before="120" w:after="120"/>
      </w:pPr>
      <w:bookmarkStart w:id="19" w:name="_Toc535929152"/>
      <w:r w:rsidRPr="00B51DEF">
        <w:t>Quality Use of Medicines</w:t>
      </w:r>
      <w:bookmarkEnd w:id="19"/>
    </w:p>
    <w:p w:rsidR="00CC39A3" w:rsidRPr="00B51DEF" w:rsidRDefault="00022D31" w:rsidP="007C5A5B">
      <w:pPr>
        <w:pStyle w:val="ListParagraph"/>
        <w:widowControl/>
        <w:numPr>
          <w:ilvl w:val="1"/>
          <w:numId w:val="3"/>
        </w:numPr>
        <w:spacing w:before="120" w:after="120"/>
      </w:pPr>
      <w:r w:rsidRPr="00B51DEF">
        <w:t xml:space="preserve">The submission </w:t>
      </w:r>
      <w:r w:rsidR="00B51DEF" w:rsidRPr="00B51DEF">
        <w:t>identified a</w:t>
      </w:r>
      <w:r w:rsidR="00B955D7" w:rsidRPr="00B51DEF">
        <w:t xml:space="preserve"> number of</w:t>
      </w:r>
      <w:r w:rsidRPr="00B51DEF">
        <w:t xml:space="preserve"> potential barriers to the </w:t>
      </w:r>
      <w:r w:rsidR="00B955D7" w:rsidRPr="00B51DEF">
        <w:t xml:space="preserve">appropriate, effective and safe </w:t>
      </w:r>
      <w:r w:rsidRPr="00B51DEF">
        <w:t xml:space="preserve">use of </w:t>
      </w:r>
      <w:r w:rsidR="00B955D7" w:rsidRPr="00B51DEF">
        <w:t xml:space="preserve">TOF </w:t>
      </w:r>
      <w:r w:rsidR="00B51DEF" w:rsidRPr="00B51DEF">
        <w:t>and proposed</w:t>
      </w:r>
      <w:r w:rsidR="00B955D7" w:rsidRPr="00B51DEF">
        <w:t xml:space="preserve"> a range of </w:t>
      </w:r>
      <w:r w:rsidRPr="00B51DEF">
        <w:t>strategies to manage</w:t>
      </w:r>
      <w:r w:rsidR="00B955D7" w:rsidRPr="00B51DEF">
        <w:t xml:space="preserve"> them.</w:t>
      </w:r>
    </w:p>
    <w:p w:rsidR="00F736B5" w:rsidRPr="00B51DEF" w:rsidRDefault="003B39A4" w:rsidP="007C5A5B">
      <w:pPr>
        <w:pStyle w:val="ListParagraph"/>
        <w:widowControl/>
        <w:numPr>
          <w:ilvl w:val="1"/>
          <w:numId w:val="3"/>
        </w:numPr>
        <w:spacing w:before="120" w:after="120"/>
      </w:pPr>
      <w:r w:rsidRPr="00B51DEF">
        <w:t xml:space="preserve">The ESC noted that, unlike other medicines for MSUC, TOF requires dosage adjustment in patients taking concomitant CYP3A4/ CYP2C19 inhibitors, those with renal impairment, hepatic impairment or </w:t>
      </w:r>
      <w:proofErr w:type="spellStart"/>
      <w:r w:rsidRPr="00B51DEF">
        <w:t>cytopaenias</w:t>
      </w:r>
      <w:proofErr w:type="spellEnd"/>
      <w:r w:rsidRPr="00B51DEF">
        <w:t xml:space="preserve">. </w:t>
      </w:r>
      <w:r w:rsidR="0056532E" w:rsidRPr="00B51DEF">
        <w:t>The ESC considered this will require education and training for prescribers</w:t>
      </w:r>
      <w:r w:rsidR="00554711" w:rsidRPr="00B51DEF">
        <w:t xml:space="preserve"> and could impact on the relative safety of TOF</w:t>
      </w:r>
      <w:r w:rsidR="0056532E" w:rsidRPr="00B51DEF">
        <w:t xml:space="preserve">. </w:t>
      </w:r>
    </w:p>
    <w:p w:rsidR="00022D31" w:rsidRPr="00B51DEF" w:rsidRDefault="00F736B5" w:rsidP="007C5A5B">
      <w:pPr>
        <w:pStyle w:val="ListParagraph"/>
        <w:spacing w:before="120" w:after="120"/>
        <w:ind w:left="709"/>
      </w:pPr>
      <w:r w:rsidRPr="00B51DEF">
        <w:rPr>
          <w:rFonts w:asciiTheme="minorHAnsi" w:hAnsiTheme="minorHAnsi"/>
          <w:i/>
        </w:rPr>
        <w:t>For more detail on PBAC’s view, see section 7 PBAC outcome.</w:t>
      </w:r>
    </w:p>
    <w:p w:rsidR="00F736B5" w:rsidRPr="00B51DEF" w:rsidRDefault="00F736B5" w:rsidP="007C5A5B">
      <w:pPr>
        <w:numPr>
          <w:ilvl w:val="0"/>
          <w:numId w:val="3"/>
        </w:numPr>
        <w:spacing w:before="120" w:after="120"/>
        <w:outlineLvl w:val="0"/>
        <w:rPr>
          <w:rFonts w:asciiTheme="minorHAnsi" w:hAnsiTheme="minorHAnsi"/>
          <w:b/>
          <w:bCs/>
          <w:sz w:val="32"/>
        </w:rPr>
      </w:pPr>
      <w:r w:rsidRPr="00B51DEF">
        <w:rPr>
          <w:rFonts w:asciiTheme="minorHAnsi" w:hAnsiTheme="minorHAnsi"/>
          <w:b/>
          <w:bCs/>
          <w:sz w:val="32"/>
        </w:rPr>
        <w:t>PBAC Outcome</w:t>
      </w:r>
    </w:p>
    <w:p w:rsidR="00F736B5" w:rsidRPr="00B51DEF" w:rsidRDefault="00B01A45" w:rsidP="007C5A5B">
      <w:pPr>
        <w:numPr>
          <w:ilvl w:val="1"/>
          <w:numId w:val="3"/>
        </w:numPr>
        <w:spacing w:before="120" w:after="120"/>
        <w:rPr>
          <w:rFonts w:asciiTheme="minorHAnsi" w:hAnsiTheme="minorHAnsi"/>
          <w:bCs/>
        </w:rPr>
      </w:pPr>
      <w:r w:rsidRPr="00B51DEF">
        <w:rPr>
          <w:rFonts w:asciiTheme="minorHAnsi" w:hAnsiTheme="minorHAnsi"/>
          <w:bCs/>
        </w:rPr>
        <w:t xml:space="preserve">The PBAC recommended the Authority </w:t>
      </w:r>
      <w:proofErr w:type="gramStart"/>
      <w:r w:rsidRPr="00B51DEF">
        <w:rPr>
          <w:rFonts w:asciiTheme="minorHAnsi" w:hAnsiTheme="minorHAnsi"/>
          <w:bCs/>
        </w:rPr>
        <w:t>Required</w:t>
      </w:r>
      <w:proofErr w:type="gramEnd"/>
      <w:r w:rsidRPr="00B51DEF">
        <w:rPr>
          <w:rFonts w:asciiTheme="minorHAnsi" w:hAnsiTheme="minorHAnsi"/>
          <w:bCs/>
        </w:rPr>
        <w:t xml:space="preserve"> listing of </w:t>
      </w:r>
      <w:proofErr w:type="spellStart"/>
      <w:r w:rsidRPr="00B51DEF">
        <w:rPr>
          <w:rFonts w:asciiTheme="minorHAnsi" w:hAnsiTheme="minorHAnsi"/>
          <w:bCs/>
        </w:rPr>
        <w:t>tofacitinib</w:t>
      </w:r>
      <w:proofErr w:type="spellEnd"/>
      <w:r w:rsidRPr="00B51DEF">
        <w:rPr>
          <w:rFonts w:asciiTheme="minorHAnsi" w:hAnsiTheme="minorHAnsi"/>
          <w:bCs/>
        </w:rPr>
        <w:t xml:space="preserve"> (TOF) for moderate to severe ulcerative colitis (MSUC) on a cost minimisation basis with the least costly biologic therapy currently PBS listed</w:t>
      </w:r>
      <w:r w:rsidR="0029287C" w:rsidRPr="00B51DEF">
        <w:rPr>
          <w:rFonts w:asciiTheme="minorHAnsi" w:hAnsiTheme="minorHAnsi"/>
          <w:bCs/>
        </w:rPr>
        <w:t xml:space="preserve"> for MSUC</w:t>
      </w:r>
      <w:r w:rsidRPr="00B51DEF">
        <w:rPr>
          <w:rFonts w:asciiTheme="minorHAnsi" w:hAnsiTheme="minorHAnsi"/>
          <w:bCs/>
        </w:rPr>
        <w:t>. In making this recommendation, the PBAC accepted any of the current PBS listed biologic</w:t>
      </w:r>
      <w:r w:rsidR="0029287C" w:rsidRPr="00B51DEF">
        <w:rPr>
          <w:rFonts w:asciiTheme="minorHAnsi" w:hAnsiTheme="minorHAnsi"/>
          <w:bCs/>
        </w:rPr>
        <w:t xml:space="preserve"> </w:t>
      </w:r>
      <w:r w:rsidR="00764569" w:rsidRPr="00B51DEF">
        <w:rPr>
          <w:rFonts w:asciiTheme="minorHAnsi" w:hAnsiTheme="minorHAnsi"/>
          <w:bCs/>
        </w:rPr>
        <w:t>therapies for</w:t>
      </w:r>
      <w:r w:rsidRPr="00B51DEF">
        <w:rPr>
          <w:rFonts w:asciiTheme="minorHAnsi" w:hAnsiTheme="minorHAnsi"/>
          <w:bCs/>
        </w:rPr>
        <w:t xml:space="preserve"> MSUC could be an alternative therapy to</w:t>
      </w:r>
      <w:r w:rsidR="00764569" w:rsidRPr="00B51DEF">
        <w:rPr>
          <w:rFonts w:asciiTheme="minorHAnsi" w:hAnsiTheme="minorHAnsi"/>
          <w:bCs/>
        </w:rPr>
        <w:t xml:space="preserve"> TOF</w:t>
      </w:r>
      <w:r w:rsidRPr="00B51DEF">
        <w:rPr>
          <w:rFonts w:asciiTheme="minorHAnsi" w:hAnsiTheme="minorHAnsi"/>
          <w:bCs/>
        </w:rPr>
        <w:t>.</w:t>
      </w:r>
    </w:p>
    <w:p w:rsidR="00F96226" w:rsidRPr="00B51DEF" w:rsidRDefault="00F736B5" w:rsidP="007C5A5B">
      <w:pPr>
        <w:numPr>
          <w:ilvl w:val="1"/>
          <w:numId w:val="3"/>
        </w:numPr>
        <w:spacing w:before="120" w:after="120"/>
        <w:rPr>
          <w:rFonts w:asciiTheme="minorHAnsi" w:hAnsiTheme="minorHAnsi"/>
          <w:bCs/>
        </w:rPr>
      </w:pPr>
      <w:r w:rsidRPr="00B51DEF">
        <w:rPr>
          <w:rFonts w:asciiTheme="minorHAnsi" w:hAnsiTheme="minorHAnsi"/>
          <w:bCs/>
        </w:rPr>
        <w:t xml:space="preserve">The PBAC </w:t>
      </w:r>
      <w:r w:rsidR="00B01A45" w:rsidRPr="00B51DEF">
        <w:rPr>
          <w:rFonts w:asciiTheme="minorHAnsi" w:hAnsiTheme="minorHAnsi"/>
          <w:bCs/>
        </w:rPr>
        <w:t xml:space="preserve">considered the </w:t>
      </w:r>
      <w:proofErr w:type="spellStart"/>
      <w:r w:rsidR="00B01A45" w:rsidRPr="00B51DEF">
        <w:rPr>
          <w:rFonts w:asciiTheme="minorHAnsi" w:hAnsiTheme="minorHAnsi"/>
          <w:bCs/>
        </w:rPr>
        <w:t>equi</w:t>
      </w:r>
      <w:proofErr w:type="spellEnd"/>
      <w:r w:rsidR="00B01A45" w:rsidRPr="00B51DEF">
        <w:rPr>
          <w:rFonts w:asciiTheme="minorHAnsi" w:hAnsiTheme="minorHAnsi"/>
          <w:bCs/>
        </w:rPr>
        <w:t>-effective doses of</w:t>
      </w:r>
      <w:r w:rsidR="00864BF1" w:rsidRPr="00B51DEF">
        <w:rPr>
          <w:rFonts w:asciiTheme="minorHAnsi" w:hAnsiTheme="minorHAnsi"/>
          <w:bCs/>
        </w:rPr>
        <w:t xml:space="preserve"> TOF</w:t>
      </w:r>
      <w:r w:rsidR="00B01A45" w:rsidRPr="00B51DEF">
        <w:rPr>
          <w:rFonts w:asciiTheme="minorHAnsi" w:hAnsiTheme="minorHAnsi"/>
          <w:bCs/>
        </w:rPr>
        <w:t xml:space="preserve"> and alternative b</w:t>
      </w:r>
      <w:r w:rsidR="00735DC6" w:rsidRPr="00B51DEF">
        <w:rPr>
          <w:rFonts w:asciiTheme="minorHAnsi" w:hAnsiTheme="minorHAnsi"/>
          <w:bCs/>
        </w:rPr>
        <w:t>iologic</w:t>
      </w:r>
      <w:r w:rsidR="003F0796" w:rsidRPr="00B51DEF">
        <w:rPr>
          <w:rFonts w:asciiTheme="minorHAnsi" w:hAnsiTheme="minorHAnsi"/>
          <w:bCs/>
        </w:rPr>
        <w:t xml:space="preserve"> therapies </w:t>
      </w:r>
      <w:r w:rsidR="00B01A45" w:rsidRPr="00B51DEF">
        <w:rPr>
          <w:rFonts w:asciiTheme="minorHAnsi" w:hAnsiTheme="minorHAnsi"/>
          <w:bCs/>
        </w:rPr>
        <w:t>could be derived</w:t>
      </w:r>
      <w:r w:rsidR="00516845" w:rsidRPr="00B51DEF">
        <w:rPr>
          <w:rFonts w:asciiTheme="minorHAnsi" w:hAnsiTheme="minorHAnsi"/>
          <w:bCs/>
        </w:rPr>
        <w:t xml:space="preserve"> </w:t>
      </w:r>
      <w:r w:rsidR="00B01A45" w:rsidRPr="00B51DEF">
        <w:rPr>
          <w:rFonts w:asciiTheme="minorHAnsi" w:hAnsiTheme="minorHAnsi"/>
          <w:bCs/>
        </w:rPr>
        <w:t xml:space="preserve">with reference to the </w:t>
      </w:r>
      <w:r w:rsidR="00B955D7" w:rsidRPr="00B51DEF">
        <w:rPr>
          <w:rFonts w:asciiTheme="minorHAnsi" w:hAnsiTheme="minorHAnsi"/>
          <w:bCs/>
        </w:rPr>
        <w:t xml:space="preserve">Product Information and the </w:t>
      </w:r>
      <w:r w:rsidR="00B01A45" w:rsidRPr="00B51DEF">
        <w:rPr>
          <w:rFonts w:asciiTheme="minorHAnsi" w:hAnsiTheme="minorHAnsi"/>
          <w:bCs/>
        </w:rPr>
        <w:t xml:space="preserve">previously recommended </w:t>
      </w:r>
      <w:proofErr w:type="spellStart"/>
      <w:r w:rsidR="00B01A45" w:rsidRPr="00B51DEF">
        <w:rPr>
          <w:rFonts w:asciiTheme="minorHAnsi" w:hAnsiTheme="minorHAnsi"/>
          <w:bCs/>
        </w:rPr>
        <w:t>equi</w:t>
      </w:r>
      <w:proofErr w:type="spellEnd"/>
      <w:r w:rsidR="00B01A45" w:rsidRPr="00B51DEF">
        <w:rPr>
          <w:rFonts w:asciiTheme="minorHAnsi" w:hAnsiTheme="minorHAnsi"/>
          <w:bCs/>
        </w:rPr>
        <w:t>-effective doses collated in the PBS Therapeutic Relativity Sheets</w:t>
      </w:r>
      <w:r w:rsidR="00516845" w:rsidRPr="00B51DEF">
        <w:rPr>
          <w:rFonts w:asciiTheme="minorHAnsi" w:hAnsiTheme="minorHAnsi"/>
          <w:bCs/>
        </w:rPr>
        <w:t>.</w:t>
      </w:r>
      <w:r w:rsidR="00F96226" w:rsidRPr="00B51DEF">
        <w:rPr>
          <w:rFonts w:asciiTheme="minorHAnsi" w:hAnsiTheme="minorHAnsi"/>
          <w:bCs/>
        </w:rPr>
        <w:t xml:space="preserve"> </w:t>
      </w:r>
      <w:r w:rsidR="00DC3D0B">
        <w:rPr>
          <w:rFonts w:asciiTheme="minorHAnsi" w:hAnsiTheme="minorHAnsi"/>
          <w:bCs/>
        </w:rPr>
        <w:t xml:space="preserve">For the purpose of achieving an </w:t>
      </w:r>
      <w:proofErr w:type="spellStart"/>
      <w:r w:rsidR="00DC3D0B">
        <w:rPr>
          <w:rFonts w:asciiTheme="minorHAnsi" w:hAnsiTheme="minorHAnsi"/>
          <w:bCs/>
        </w:rPr>
        <w:t>equi</w:t>
      </w:r>
      <w:proofErr w:type="spellEnd"/>
      <w:r w:rsidR="00DC3D0B">
        <w:rPr>
          <w:rFonts w:asciiTheme="minorHAnsi" w:hAnsiTheme="minorHAnsi"/>
          <w:bCs/>
        </w:rPr>
        <w:t>-effective cost, t</w:t>
      </w:r>
      <w:r w:rsidR="00DC3D0B" w:rsidRPr="00B51DEF">
        <w:rPr>
          <w:rFonts w:asciiTheme="minorHAnsi" w:hAnsiTheme="minorHAnsi"/>
          <w:bCs/>
        </w:rPr>
        <w:t xml:space="preserve">he </w:t>
      </w:r>
      <w:r w:rsidR="00DF7EB5" w:rsidRPr="00B51DEF">
        <w:rPr>
          <w:rFonts w:asciiTheme="minorHAnsi" w:hAnsiTheme="minorHAnsi"/>
          <w:bCs/>
        </w:rPr>
        <w:t>PBAC considered that patients would</w:t>
      </w:r>
      <w:r w:rsidR="00E46484">
        <w:rPr>
          <w:rFonts w:asciiTheme="minorHAnsi" w:hAnsiTheme="minorHAnsi"/>
          <w:bCs/>
        </w:rPr>
        <w:t xml:space="preserve"> likely</w:t>
      </w:r>
      <w:r w:rsidR="00DF7EB5" w:rsidRPr="00B51DEF">
        <w:rPr>
          <w:rFonts w:asciiTheme="minorHAnsi" w:hAnsiTheme="minorHAnsi"/>
          <w:bCs/>
        </w:rPr>
        <w:t xml:space="preserve"> receive 16 weeks of TOF 10</w:t>
      </w:r>
      <w:r w:rsidR="001562C8" w:rsidRPr="00B51DEF">
        <w:rPr>
          <w:rFonts w:asciiTheme="minorHAnsi" w:hAnsiTheme="minorHAnsi"/>
          <w:bCs/>
        </w:rPr>
        <w:t xml:space="preserve"> </w:t>
      </w:r>
      <w:r w:rsidR="00DF7EB5" w:rsidRPr="00B51DEF">
        <w:rPr>
          <w:rFonts w:asciiTheme="minorHAnsi" w:hAnsiTheme="minorHAnsi"/>
          <w:bCs/>
        </w:rPr>
        <w:t>mg in the induction phase</w:t>
      </w:r>
      <w:r w:rsidR="00E46484">
        <w:rPr>
          <w:rFonts w:asciiTheme="minorHAnsi" w:hAnsiTheme="minorHAnsi"/>
          <w:bCs/>
        </w:rPr>
        <w:t>,</w:t>
      </w:r>
      <w:r w:rsidR="00DF7EB5" w:rsidRPr="00B51DEF">
        <w:rPr>
          <w:rFonts w:asciiTheme="minorHAnsi" w:hAnsiTheme="minorHAnsi"/>
          <w:bCs/>
        </w:rPr>
        <w:t xml:space="preserve"> and that</w:t>
      </w:r>
      <w:r w:rsidR="00E46484">
        <w:rPr>
          <w:rFonts w:asciiTheme="minorHAnsi" w:hAnsiTheme="minorHAnsi"/>
          <w:bCs/>
        </w:rPr>
        <w:t xml:space="preserve"> in the maintenance phase</w:t>
      </w:r>
      <w:r w:rsidR="00DF7EB5" w:rsidRPr="00B51DEF">
        <w:rPr>
          <w:rFonts w:asciiTheme="minorHAnsi" w:hAnsiTheme="minorHAnsi"/>
          <w:bCs/>
        </w:rPr>
        <w:t xml:space="preserve"> </w:t>
      </w:r>
      <w:r w:rsidR="00B955D7" w:rsidRPr="00B51DEF">
        <w:rPr>
          <w:rFonts w:asciiTheme="minorHAnsi" w:hAnsiTheme="minorHAnsi"/>
          <w:bCs/>
        </w:rPr>
        <w:t xml:space="preserve">a split of </w:t>
      </w:r>
      <w:r w:rsidR="00922EF4">
        <w:rPr>
          <w:rFonts w:asciiTheme="minorHAnsi" w:hAnsiTheme="minorHAnsi"/>
          <w:bCs/>
          <w:noProof/>
          <w:color w:val="000000"/>
          <w:highlight w:val="black"/>
        </w:rPr>
        <w:t>''''''</w:t>
      </w:r>
      <w:r w:rsidR="00DF7EB5" w:rsidRPr="00B51DEF">
        <w:rPr>
          <w:rFonts w:asciiTheme="minorHAnsi" w:hAnsiTheme="minorHAnsi"/>
          <w:bCs/>
        </w:rPr>
        <w:t xml:space="preserve">% TOF 5 mg and </w:t>
      </w:r>
      <w:r w:rsidR="00922EF4">
        <w:rPr>
          <w:rFonts w:asciiTheme="minorHAnsi" w:hAnsiTheme="minorHAnsi"/>
          <w:bCs/>
          <w:noProof/>
          <w:color w:val="000000"/>
          <w:highlight w:val="black"/>
        </w:rPr>
        <w:t>'''''</w:t>
      </w:r>
      <w:r w:rsidR="00DF7EB5" w:rsidRPr="00B51DEF">
        <w:rPr>
          <w:rFonts w:asciiTheme="minorHAnsi" w:hAnsiTheme="minorHAnsi"/>
          <w:bCs/>
        </w:rPr>
        <w:t>% TOF 10</w:t>
      </w:r>
      <w:r w:rsidR="00D174AE" w:rsidRPr="00B51DEF">
        <w:rPr>
          <w:rFonts w:asciiTheme="minorHAnsi" w:hAnsiTheme="minorHAnsi"/>
          <w:bCs/>
        </w:rPr>
        <w:t> </w:t>
      </w:r>
      <w:r w:rsidR="00DF7EB5" w:rsidRPr="00B51DEF">
        <w:rPr>
          <w:rFonts w:asciiTheme="minorHAnsi" w:hAnsiTheme="minorHAnsi"/>
          <w:bCs/>
        </w:rPr>
        <w:t xml:space="preserve">mg use </w:t>
      </w:r>
      <w:r w:rsidR="00E46484">
        <w:rPr>
          <w:rFonts w:asciiTheme="minorHAnsi" w:hAnsiTheme="minorHAnsi"/>
          <w:bCs/>
        </w:rPr>
        <w:t>should apply</w:t>
      </w:r>
      <w:r w:rsidR="00DF7EB5" w:rsidRPr="00B51DEF">
        <w:rPr>
          <w:rFonts w:asciiTheme="minorHAnsi" w:hAnsiTheme="minorHAnsi"/>
          <w:bCs/>
        </w:rPr>
        <w:t>. The PBAC noted this was consistent with the proportion of use between the two strengths proposed in the pre-PBAC r</w:t>
      </w:r>
      <w:r w:rsidR="001562C8" w:rsidRPr="00B51DEF">
        <w:rPr>
          <w:rFonts w:asciiTheme="minorHAnsi" w:hAnsiTheme="minorHAnsi"/>
          <w:bCs/>
        </w:rPr>
        <w:t>esponse</w:t>
      </w:r>
      <w:r w:rsidR="00DF7EB5" w:rsidRPr="00B51DEF">
        <w:rPr>
          <w:rFonts w:asciiTheme="minorHAnsi" w:hAnsiTheme="minorHAnsi"/>
          <w:bCs/>
        </w:rPr>
        <w:t xml:space="preserve">. </w:t>
      </w:r>
    </w:p>
    <w:p w:rsidR="00434061" w:rsidRPr="00B51DEF" w:rsidRDefault="00434061" w:rsidP="007C5A5B">
      <w:pPr>
        <w:numPr>
          <w:ilvl w:val="1"/>
          <w:numId w:val="3"/>
        </w:numPr>
        <w:spacing w:before="120" w:after="120"/>
        <w:rPr>
          <w:rFonts w:asciiTheme="minorHAnsi" w:hAnsiTheme="minorHAnsi"/>
          <w:bCs/>
        </w:rPr>
      </w:pPr>
      <w:r w:rsidRPr="00B51DEF">
        <w:rPr>
          <w:rFonts w:asciiTheme="minorHAnsi" w:hAnsiTheme="minorHAnsi"/>
          <w:bCs/>
        </w:rPr>
        <w:lastRenderedPageBreak/>
        <w:t>The PBAC noted that any increase in efficacy for TOF 10 mg compared to TOF 5</w:t>
      </w:r>
      <w:r w:rsidR="00D174AE" w:rsidRPr="00B51DEF">
        <w:rPr>
          <w:rFonts w:asciiTheme="minorHAnsi" w:hAnsiTheme="minorHAnsi"/>
          <w:bCs/>
        </w:rPr>
        <w:t> </w:t>
      </w:r>
      <w:r w:rsidRPr="00B51DEF">
        <w:rPr>
          <w:rFonts w:asciiTheme="minorHAnsi" w:hAnsiTheme="minorHAnsi"/>
          <w:bCs/>
        </w:rPr>
        <w:t>mg in the maintenance setting was at the expense of a higher rate of AEs</w:t>
      </w:r>
      <w:r w:rsidR="00B51DEF">
        <w:rPr>
          <w:rFonts w:asciiTheme="minorHAnsi" w:hAnsiTheme="minorHAnsi"/>
          <w:bCs/>
        </w:rPr>
        <w:t xml:space="preserve">. </w:t>
      </w:r>
    </w:p>
    <w:p w:rsidR="00F736B5" w:rsidRPr="00B51DEF" w:rsidRDefault="001F4E84" w:rsidP="007C5A5B">
      <w:pPr>
        <w:numPr>
          <w:ilvl w:val="1"/>
          <w:numId w:val="3"/>
        </w:numPr>
        <w:spacing w:before="120" w:after="120"/>
        <w:rPr>
          <w:rFonts w:asciiTheme="minorHAnsi" w:hAnsiTheme="minorHAnsi"/>
          <w:bCs/>
        </w:rPr>
      </w:pPr>
      <w:r w:rsidRPr="00B51DEF">
        <w:rPr>
          <w:rFonts w:asciiTheme="minorHAnsi" w:hAnsiTheme="minorHAnsi"/>
          <w:bCs/>
        </w:rPr>
        <w:t xml:space="preserve">The PBAC noted that </w:t>
      </w:r>
      <w:r w:rsidR="00772FAA" w:rsidRPr="00B51DEF">
        <w:rPr>
          <w:rFonts w:asciiTheme="minorHAnsi" w:hAnsiTheme="minorHAnsi"/>
          <w:bCs/>
        </w:rPr>
        <w:t xml:space="preserve">there are </w:t>
      </w:r>
      <w:r w:rsidRPr="00B51DEF">
        <w:rPr>
          <w:rFonts w:asciiTheme="minorHAnsi" w:hAnsiTheme="minorHAnsi"/>
          <w:bCs/>
        </w:rPr>
        <w:t>four alternative biologic</w:t>
      </w:r>
      <w:r w:rsidR="005A15AB" w:rsidRPr="00B51DEF">
        <w:rPr>
          <w:rFonts w:asciiTheme="minorHAnsi" w:hAnsiTheme="minorHAnsi"/>
          <w:bCs/>
        </w:rPr>
        <w:t xml:space="preserve"> </w:t>
      </w:r>
      <w:r w:rsidR="00016090" w:rsidRPr="00B51DEF">
        <w:rPr>
          <w:rFonts w:asciiTheme="minorHAnsi" w:hAnsiTheme="minorHAnsi"/>
          <w:bCs/>
        </w:rPr>
        <w:t xml:space="preserve">therapies </w:t>
      </w:r>
      <w:r w:rsidRPr="00B51DEF">
        <w:rPr>
          <w:rFonts w:asciiTheme="minorHAnsi" w:hAnsiTheme="minorHAnsi"/>
          <w:bCs/>
        </w:rPr>
        <w:t xml:space="preserve">listed on the PBS for the treatment of MSUC. The PBAC </w:t>
      </w:r>
      <w:r w:rsidR="00782F44" w:rsidRPr="00B51DEF">
        <w:rPr>
          <w:rFonts w:asciiTheme="minorHAnsi" w:hAnsiTheme="minorHAnsi"/>
          <w:bCs/>
        </w:rPr>
        <w:t xml:space="preserve">noted </w:t>
      </w:r>
      <w:r w:rsidRPr="00B51DEF">
        <w:rPr>
          <w:rFonts w:asciiTheme="minorHAnsi" w:hAnsiTheme="minorHAnsi"/>
          <w:bCs/>
        </w:rPr>
        <w:t xml:space="preserve">that </w:t>
      </w:r>
      <w:r w:rsidR="00782F44" w:rsidRPr="00B51DEF">
        <w:rPr>
          <w:rFonts w:asciiTheme="minorHAnsi" w:hAnsiTheme="minorHAnsi"/>
          <w:bCs/>
        </w:rPr>
        <w:t>TOF had a different</w:t>
      </w:r>
      <w:r w:rsidRPr="00B51DEF">
        <w:rPr>
          <w:rFonts w:asciiTheme="minorHAnsi" w:hAnsiTheme="minorHAnsi"/>
          <w:bCs/>
        </w:rPr>
        <w:t xml:space="preserve"> mechanism of action and </w:t>
      </w:r>
      <w:r w:rsidR="00782F44" w:rsidRPr="00B51DEF">
        <w:rPr>
          <w:rFonts w:asciiTheme="minorHAnsi" w:hAnsiTheme="minorHAnsi"/>
          <w:bCs/>
        </w:rPr>
        <w:t>mode</w:t>
      </w:r>
      <w:r w:rsidRPr="00B51DEF">
        <w:rPr>
          <w:rFonts w:asciiTheme="minorHAnsi" w:hAnsiTheme="minorHAnsi"/>
          <w:bCs/>
        </w:rPr>
        <w:t xml:space="preserve"> of administration</w:t>
      </w:r>
      <w:r w:rsidR="00782F44" w:rsidRPr="00B51DEF">
        <w:rPr>
          <w:rFonts w:asciiTheme="minorHAnsi" w:hAnsiTheme="minorHAnsi"/>
          <w:bCs/>
        </w:rPr>
        <w:t xml:space="preserve"> (oral)</w:t>
      </w:r>
      <w:r w:rsidRPr="00B51DEF">
        <w:rPr>
          <w:rFonts w:asciiTheme="minorHAnsi" w:hAnsiTheme="minorHAnsi"/>
          <w:bCs/>
        </w:rPr>
        <w:t xml:space="preserve"> </w:t>
      </w:r>
      <w:r w:rsidR="00782F44" w:rsidRPr="00B51DEF">
        <w:rPr>
          <w:rFonts w:asciiTheme="minorHAnsi" w:hAnsiTheme="minorHAnsi"/>
          <w:bCs/>
        </w:rPr>
        <w:t>compared with the alternative therapies</w:t>
      </w:r>
      <w:r w:rsidRPr="00B51DEF">
        <w:rPr>
          <w:rFonts w:asciiTheme="minorHAnsi" w:hAnsiTheme="minorHAnsi"/>
          <w:bCs/>
        </w:rPr>
        <w:t xml:space="preserve">. The PBAC </w:t>
      </w:r>
      <w:r w:rsidR="00782F44" w:rsidRPr="00B51DEF">
        <w:rPr>
          <w:rFonts w:asciiTheme="minorHAnsi" w:hAnsiTheme="minorHAnsi"/>
          <w:bCs/>
        </w:rPr>
        <w:t>considered</w:t>
      </w:r>
      <w:r w:rsidRPr="00B51DEF">
        <w:rPr>
          <w:rFonts w:asciiTheme="minorHAnsi" w:hAnsiTheme="minorHAnsi"/>
          <w:bCs/>
        </w:rPr>
        <w:t xml:space="preserve"> an oral therapy would </w:t>
      </w:r>
      <w:r w:rsidR="00E46484">
        <w:rPr>
          <w:rFonts w:asciiTheme="minorHAnsi" w:hAnsiTheme="minorHAnsi"/>
          <w:bCs/>
        </w:rPr>
        <w:t>provide a new treatment option for some</w:t>
      </w:r>
      <w:r w:rsidRPr="00B51DEF">
        <w:rPr>
          <w:rFonts w:asciiTheme="minorHAnsi" w:hAnsiTheme="minorHAnsi"/>
          <w:bCs/>
        </w:rPr>
        <w:t xml:space="preserve"> </w:t>
      </w:r>
      <w:r w:rsidR="00BF136B" w:rsidRPr="00B51DEF">
        <w:rPr>
          <w:rFonts w:asciiTheme="minorHAnsi" w:hAnsiTheme="minorHAnsi"/>
          <w:bCs/>
        </w:rPr>
        <w:t>patients</w:t>
      </w:r>
      <w:r w:rsidR="00686084" w:rsidRPr="00B51DEF">
        <w:rPr>
          <w:rFonts w:asciiTheme="minorHAnsi" w:hAnsiTheme="minorHAnsi"/>
          <w:bCs/>
        </w:rPr>
        <w:t>, particularly those</w:t>
      </w:r>
      <w:r w:rsidR="00BF136B" w:rsidRPr="00B51DEF">
        <w:rPr>
          <w:rFonts w:asciiTheme="minorHAnsi" w:hAnsiTheme="minorHAnsi"/>
          <w:bCs/>
        </w:rPr>
        <w:t xml:space="preserve"> </w:t>
      </w:r>
      <w:r w:rsidR="005A15AB" w:rsidRPr="00B51DEF">
        <w:rPr>
          <w:rFonts w:asciiTheme="minorHAnsi" w:hAnsiTheme="minorHAnsi"/>
          <w:bCs/>
        </w:rPr>
        <w:t xml:space="preserve">in </w:t>
      </w:r>
      <w:r w:rsidR="00BF136B" w:rsidRPr="00B51DEF">
        <w:rPr>
          <w:rFonts w:asciiTheme="minorHAnsi" w:hAnsiTheme="minorHAnsi"/>
          <w:bCs/>
        </w:rPr>
        <w:t>rural or remote areas.</w:t>
      </w:r>
    </w:p>
    <w:p w:rsidR="00F736B5" w:rsidRPr="00B51DEF" w:rsidRDefault="00BF136B" w:rsidP="007C5A5B">
      <w:pPr>
        <w:numPr>
          <w:ilvl w:val="1"/>
          <w:numId w:val="3"/>
        </w:numPr>
        <w:spacing w:before="120" w:after="120"/>
        <w:rPr>
          <w:rFonts w:asciiTheme="minorHAnsi" w:hAnsiTheme="minorHAnsi"/>
          <w:bCs/>
        </w:rPr>
      </w:pPr>
      <w:r w:rsidRPr="00B51DEF">
        <w:rPr>
          <w:rFonts w:asciiTheme="minorHAnsi" w:hAnsiTheme="minorHAnsi"/>
          <w:bCs/>
        </w:rPr>
        <w:t xml:space="preserve">The </w:t>
      </w:r>
      <w:r w:rsidR="00764569" w:rsidRPr="00B51DEF">
        <w:rPr>
          <w:rFonts w:asciiTheme="minorHAnsi" w:hAnsiTheme="minorHAnsi"/>
          <w:bCs/>
        </w:rPr>
        <w:t xml:space="preserve">PBAC considered </w:t>
      </w:r>
      <w:r w:rsidRPr="00B51DEF">
        <w:rPr>
          <w:rFonts w:asciiTheme="minorHAnsi" w:hAnsiTheme="minorHAnsi"/>
          <w:bCs/>
        </w:rPr>
        <w:t>infliximab</w:t>
      </w:r>
      <w:r w:rsidR="008A4642" w:rsidRPr="00B51DEF">
        <w:rPr>
          <w:rFonts w:asciiTheme="minorHAnsi" w:hAnsiTheme="minorHAnsi"/>
          <w:bCs/>
        </w:rPr>
        <w:t xml:space="preserve"> (IFX)</w:t>
      </w:r>
      <w:r w:rsidRPr="00B51DEF">
        <w:rPr>
          <w:rFonts w:asciiTheme="minorHAnsi" w:hAnsiTheme="minorHAnsi"/>
          <w:bCs/>
        </w:rPr>
        <w:t xml:space="preserve"> </w:t>
      </w:r>
      <w:r w:rsidR="00764569" w:rsidRPr="00B51DEF">
        <w:rPr>
          <w:rFonts w:asciiTheme="minorHAnsi" w:hAnsiTheme="minorHAnsi"/>
          <w:bCs/>
        </w:rPr>
        <w:t>w</w:t>
      </w:r>
      <w:r w:rsidRPr="00B51DEF">
        <w:rPr>
          <w:rFonts w:asciiTheme="minorHAnsi" w:hAnsiTheme="minorHAnsi"/>
          <w:bCs/>
        </w:rPr>
        <w:t xml:space="preserve">as </w:t>
      </w:r>
      <w:r w:rsidR="00764569" w:rsidRPr="00B51DEF">
        <w:rPr>
          <w:rFonts w:asciiTheme="minorHAnsi" w:hAnsiTheme="minorHAnsi"/>
          <w:bCs/>
        </w:rPr>
        <w:t xml:space="preserve">an appropriate </w:t>
      </w:r>
      <w:r w:rsidRPr="00B51DEF">
        <w:rPr>
          <w:rFonts w:asciiTheme="minorHAnsi" w:hAnsiTheme="minorHAnsi"/>
          <w:bCs/>
        </w:rPr>
        <w:t>comparator</w:t>
      </w:r>
      <w:r w:rsidR="00764569" w:rsidRPr="00B51DEF">
        <w:rPr>
          <w:rFonts w:asciiTheme="minorHAnsi" w:hAnsiTheme="minorHAnsi"/>
          <w:bCs/>
        </w:rPr>
        <w:t xml:space="preserve"> but </w:t>
      </w:r>
      <w:r w:rsidR="00BC670B" w:rsidRPr="00B51DEF">
        <w:rPr>
          <w:rFonts w:asciiTheme="minorHAnsi" w:hAnsiTheme="minorHAnsi"/>
          <w:bCs/>
        </w:rPr>
        <w:t xml:space="preserve">noted </w:t>
      </w:r>
      <w:r w:rsidR="00864BF1" w:rsidRPr="00B51DEF">
        <w:rPr>
          <w:rFonts w:asciiTheme="minorHAnsi" w:hAnsiTheme="minorHAnsi"/>
          <w:bCs/>
        </w:rPr>
        <w:t>that as an intravenous therapy with a rapid response</w:t>
      </w:r>
      <w:r w:rsidR="00782F44" w:rsidRPr="00B51DEF">
        <w:rPr>
          <w:rFonts w:asciiTheme="minorHAnsi" w:hAnsiTheme="minorHAnsi"/>
          <w:bCs/>
        </w:rPr>
        <w:t>,</w:t>
      </w:r>
      <w:r w:rsidR="00864BF1" w:rsidRPr="00B51DEF">
        <w:rPr>
          <w:rFonts w:asciiTheme="minorHAnsi" w:hAnsiTheme="minorHAnsi"/>
          <w:bCs/>
        </w:rPr>
        <w:t xml:space="preserve"> </w:t>
      </w:r>
      <w:r w:rsidR="00BC670B" w:rsidRPr="00B51DEF">
        <w:rPr>
          <w:rFonts w:asciiTheme="minorHAnsi" w:hAnsiTheme="minorHAnsi"/>
          <w:bCs/>
        </w:rPr>
        <w:t>IFX has a specific place in practice for the treatment of MSUC</w:t>
      </w:r>
      <w:r w:rsidR="00864BF1" w:rsidRPr="00B51DEF">
        <w:rPr>
          <w:rFonts w:asciiTheme="minorHAnsi" w:hAnsiTheme="minorHAnsi"/>
          <w:bCs/>
        </w:rPr>
        <w:t>, particularly in the induction setting.</w:t>
      </w:r>
      <w:r w:rsidRPr="00B51DEF">
        <w:rPr>
          <w:rFonts w:asciiTheme="minorHAnsi" w:hAnsiTheme="minorHAnsi"/>
          <w:bCs/>
        </w:rPr>
        <w:t xml:space="preserve"> The PBAC considered any of the currently listed biologics for MSUC (infliximab, </w:t>
      </w:r>
      <w:proofErr w:type="spellStart"/>
      <w:r w:rsidRPr="00B51DEF">
        <w:rPr>
          <w:rFonts w:asciiTheme="minorHAnsi" w:hAnsiTheme="minorHAnsi"/>
          <w:bCs/>
        </w:rPr>
        <w:t>vedolizumab</w:t>
      </w:r>
      <w:proofErr w:type="spellEnd"/>
      <w:r w:rsidRPr="00B51DEF">
        <w:rPr>
          <w:rFonts w:asciiTheme="minorHAnsi" w:hAnsiTheme="minorHAnsi"/>
          <w:bCs/>
        </w:rPr>
        <w:t xml:space="preserve">, </w:t>
      </w:r>
      <w:proofErr w:type="spellStart"/>
      <w:r w:rsidRPr="00B51DEF">
        <w:rPr>
          <w:rFonts w:asciiTheme="minorHAnsi" w:hAnsiTheme="minorHAnsi"/>
          <w:bCs/>
        </w:rPr>
        <w:t>adalimumab</w:t>
      </w:r>
      <w:proofErr w:type="spellEnd"/>
      <w:r w:rsidRPr="00B51DEF">
        <w:rPr>
          <w:rFonts w:asciiTheme="minorHAnsi" w:hAnsiTheme="minorHAnsi"/>
          <w:bCs/>
        </w:rPr>
        <w:t xml:space="preserve"> and </w:t>
      </w:r>
      <w:proofErr w:type="spellStart"/>
      <w:r w:rsidRPr="00B51DEF">
        <w:rPr>
          <w:rFonts w:asciiTheme="minorHAnsi" w:hAnsiTheme="minorHAnsi"/>
          <w:bCs/>
        </w:rPr>
        <w:t>golimumab</w:t>
      </w:r>
      <w:proofErr w:type="spellEnd"/>
      <w:r w:rsidRPr="00B51DEF">
        <w:rPr>
          <w:rFonts w:asciiTheme="minorHAnsi" w:hAnsiTheme="minorHAnsi"/>
          <w:bCs/>
        </w:rPr>
        <w:t xml:space="preserve">) could be considered an alternative therapy to </w:t>
      </w:r>
      <w:r w:rsidR="00782F44" w:rsidRPr="00B51DEF">
        <w:rPr>
          <w:rFonts w:asciiTheme="minorHAnsi" w:hAnsiTheme="minorHAnsi"/>
          <w:bCs/>
        </w:rPr>
        <w:t xml:space="preserve">TOF </w:t>
      </w:r>
      <w:r w:rsidR="004E55AE" w:rsidRPr="00B51DEF">
        <w:rPr>
          <w:rFonts w:asciiTheme="minorHAnsi" w:hAnsiTheme="minorHAnsi"/>
          <w:bCs/>
        </w:rPr>
        <w:t xml:space="preserve">for the treatment of MSUC. As described in </w:t>
      </w:r>
      <w:r w:rsidR="001562C8" w:rsidRPr="00B51DEF">
        <w:rPr>
          <w:rFonts w:asciiTheme="minorHAnsi" w:hAnsiTheme="minorHAnsi"/>
          <w:bCs/>
        </w:rPr>
        <w:t xml:space="preserve">paragraph </w:t>
      </w:r>
      <w:r w:rsidR="004E55AE" w:rsidRPr="00B51DEF">
        <w:rPr>
          <w:rFonts w:asciiTheme="minorHAnsi" w:hAnsiTheme="minorHAnsi"/>
          <w:bCs/>
        </w:rPr>
        <w:t xml:space="preserve">5.2 above, </w:t>
      </w:r>
      <w:proofErr w:type="spellStart"/>
      <w:r w:rsidR="004E55AE" w:rsidRPr="00B51DEF">
        <w:rPr>
          <w:rFonts w:asciiTheme="minorHAnsi" w:hAnsiTheme="minorHAnsi"/>
          <w:bCs/>
        </w:rPr>
        <w:t>tofacitinib</w:t>
      </w:r>
      <w:proofErr w:type="spellEnd"/>
      <w:r w:rsidR="004E55AE" w:rsidRPr="00B51DEF">
        <w:rPr>
          <w:rFonts w:asciiTheme="minorHAnsi" w:hAnsiTheme="minorHAnsi"/>
          <w:bCs/>
        </w:rPr>
        <w:t xml:space="preserve"> could only be recommended for listing with a higher price than alternative therapies if the PBAC is satisfied that it provides, for some patients, a significant improvement in efficacy or reduction in toxicity. </w:t>
      </w:r>
    </w:p>
    <w:p w:rsidR="006C091A" w:rsidRPr="00B51DEF" w:rsidRDefault="006C091A" w:rsidP="007C5A5B">
      <w:pPr>
        <w:numPr>
          <w:ilvl w:val="1"/>
          <w:numId w:val="3"/>
        </w:numPr>
        <w:spacing w:before="120" w:after="120"/>
        <w:rPr>
          <w:rFonts w:asciiTheme="minorHAnsi" w:hAnsiTheme="minorHAnsi"/>
          <w:bCs/>
        </w:rPr>
      </w:pPr>
      <w:r w:rsidRPr="00B51DEF">
        <w:rPr>
          <w:rFonts w:asciiTheme="minorHAnsi" w:hAnsiTheme="minorHAnsi"/>
          <w:bCs/>
        </w:rPr>
        <w:t>The PBAC considered the claim of non-inferior comparative effectiveness to IFX in the</w:t>
      </w:r>
      <w:r w:rsidRPr="00B51DEF">
        <w:rPr>
          <w:rFonts w:asciiTheme="minorHAnsi" w:hAnsiTheme="minorHAnsi"/>
          <w:szCs w:val="20"/>
        </w:rPr>
        <w:t xml:space="preserve"> induction and maintenance phase</w:t>
      </w:r>
      <w:r w:rsidR="00782F44" w:rsidRPr="00B51DEF">
        <w:rPr>
          <w:rFonts w:asciiTheme="minorHAnsi" w:hAnsiTheme="minorHAnsi"/>
          <w:szCs w:val="20"/>
        </w:rPr>
        <w:t>s</w:t>
      </w:r>
      <w:r w:rsidRPr="00B51DEF">
        <w:rPr>
          <w:rFonts w:asciiTheme="minorHAnsi" w:hAnsiTheme="minorHAnsi"/>
          <w:szCs w:val="20"/>
        </w:rPr>
        <w:t xml:space="preserve"> </w:t>
      </w:r>
      <w:r w:rsidR="00275981" w:rsidRPr="00B51DEF">
        <w:rPr>
          <w:rFonts w:asciiTheme="minorHAnsi" w:hAnsiTheme="minorHAnsi"/>
          <w:szCs w:val="20"/>
        </w:rPr>
        <w:t xml:space="preserve">may be </w:t>
      </w:r>
      <w:r w:rsidR="00566FBB" w:rsidRPr="00B51DEF">
        <w:rPr>
          <w:rFonts w:asciiTheme="minorHAnsi" w:hAnsiTheme="minorHAnsi"/>
          <w:szCs w:val="20"/>
        </w:rPr>
        <w:t>reasonable</w:t>
      </w:r>
      <w:r w:rsidRPr="00B51DEF">
        <w:rPr>
          <w:rFonts w:asciiTheme="minorHAnsi" w:hAnsiTheme="minorHAnsi"/>
          <w:szCs w:val="20"/>
        </w:rPr>
        <w:t>.</w:t>
      </w:r>
      <w:r w:rsidR="00566FBB" w:rsidRPr="00B51DEF">
        <w:rPr>
          <w:rFonts w:asciiTheme="minorHAnsi" w:hAnsiTheme="minorHAnsi"/>
          <w:szCs w:val="20"/>
        </w:rPr>
        <w:t xml:space="preserve"> </w:t>
      </w:r>
      <w:r w:rsidR="00015EBD" w:rsidRPr="00B51DEF">
        <w:rPr>
          <w:rFonts w:asciiTheme="minorHAnsi" w:hAnsiTheme="minorHAnsi"/>
          <w:szCs w:val="20"/>
        </w:rPr>
        <w:t xml:space="preserve">The PBAC considered the claim of non-inferior comparative effectiveness to IFX in the maintenance phase was uncertain given the differences in trial design. However, the PBAC recalled GOL and VDZ have previously been accepted as non-inferior to IFX in the maintenance phase, and noted that there was no significant difference in efficacy for TOF compared with GOL and VDZ in the maintenance phase. </w:t>
      </w:r>
      <w:r w:rsidR="00566FBB" w:rsidRPr="00B51DEF">
        <w:rPr>
          <w:rFonts w:asciiTheme="minorHAnsi" w:hAnsiTheme="minorHAnsi"/>
          <w:szCs w:val="20"/>
        </w:rPr>
        <w:t xml:space="preserve">The PBAC considered the claim of non-inferior comparative safety to IFX was </w:t>
      </w:r>
      <w:r w:rsidR="00E3565E" w:rsidRPr="00B51DEF">
        <w:rPr>
          <w:rFonts w:asciiTheme="minorHAnsi" w:hAnsiTheme="minorHAnsi"/>
          <w:szCs w:val="20"/>
        </w:rPr>
        <w:t>uncertain</w:t>
      </w:r>
      <w:r w:rsidR="00622B2B" w:rsidRPr="00B51DEF">
        <w:rPr>
          <w:rFonts w:asciiTheme="minorHAnsi" w:hAnsiTheme="minorHAnsi"/>
          <w:szCs w:val="20"/>
        </w:rPr>
        <w:t xml:space="preserve"> but may be reasonable</w:t>
      </w:r>
      <w:r w:rsidR="00E3565E" w:rsidRPr="00B51DEF">
        <w:rPr>
          <w:rFonts w:asciiTheme="minorHAnsi" w:hAnsiTheme="minorHAnsi"/>
          <w:szCs w:val="20"/>
        </w:rPr>
        <w:t xml:space="preserve">. </w:t>
      </w:r>
      <w:r w:rsidRPr="00B51DEF">
        <w:rPr>
          <w:rFonts w:asciiTheme="minorHAnsi" w:hAnsiTheme="minorHAnsi"/>
          <w:bCs/>
        </w:rPr>
        <w:t xml:space="preserve">The PBAC considered the evidence presented in the submission did not support a conclusion </w:t>
      </w:r>
      <w:r w:rsidR="00015EBD" w:rsidRPr="00B51DEF">
        <w:rPr>
          <w:rFonts w:asciiTheme="minorHAnsi" w:hAnsiTheme="minorHAnsi"/>
          <w:bCs/>
        </w:rPr>
        <w:t xml:space="preserve">that TOF </w:t>
      </w:r>
      <w:r w:rsidRPr="00B51DEF">
        <w:rPr>
          <w:rFonts w:asciiTheme="minorHAnsi" w:hAnsiTheme="minorHAnsi"/>
          <w:bCs/>
        </w:rPr>
        <w:t>provided a significant improvement in efficacy or reduction in toxicity compared to any of the currently listed biologics for MSUC</w:t>
      </w:r>
      <w:r w:rsidR="00782F44" w:rsidRPr="00B51DEF">
        <w:rPr>
          <w:rFonts w:asciiTheme="minorHAnsi" w:hAnsiTheme="minorHAnsi"/>
          <w:bCs/>
        </w:rPr>
        <w:t>.</w:t>
      </w:r>
    </w:p>
    <w:p w:rsidR="00552DF5" w:rsidRPr="00B51DEF" w:rsidRDefault="003C458D" w:rsidP="007C5A5B">
      <w:pPr>
        <w:numPr>
          <w:ilvl w:val="1"/>
          <w:numId w:val="3"/>
        </w:numPr>
        <w:spacing w:before="120" w:after="120"/>
        <w:rPr>
          <w:rFonts w:asciiTheme="minorHAnsi" w:hAnsiTheme="minorHAnsi"/>
          <w:bCs/>
        </w:rPr>
      </w:pPr>
      <w:r w:rsidRPr="00B51DEF">
        <w:rPr>
          <w:rFonts w:asciiTheme="minorHAnsi" w:hAnsiTheme="minorHAnsi"/>
          <w:bCs/>
        </w:rPr>
        <w:t xml:space="preserve">The PBAC </w:t>
      </w:r>
      <w:r w:rsidR="00E465EF" w:rsidRPr="00B51DEF">
        <w:rPr>
          <w:rFonts w:asciiTheme="minorHAnsi" w:hAnsiTheme="minorHAnsi"/>
          <w:bCs/>
        </w:rPr>
        <w:t xml:space="preserve">noted </w:t>
      </w:r>
      <w:r w:rsidRPr="00B51DEF">
        <w:rPr>
          <w:rFonts w:asciiTheme="minorHAnsi" w:hAnsiTheme="minorHAnsi"/>
          <w:bCs/>
        </w:rPr>
        <w:t>the</w:t>
      </w:r>
      <w:r w:rsidR="00E465EF" w:rsidRPr="00B51DEF">
        <w:rPr>
          <w:rFonts w:asciiTheme="minorHAnsi" w:hAnsiTheme="minorHAnsi"/>
          <w:bCs/>
        </w:rPr>
        <w:t xml:space="preserve"> financial estimates provided in the submission were highly uncertain but </w:t>
      </w:r>
      <w:r w:rsidR="005016FB" w:rsidRPr="00B51DEF">
        <w:rPr>
          <w:rFonts w:asciiTheme="minorHAnsi" w:hAnsiTheme="minorHAnsi"/>
          <w:bCs/>
        </w:rPr>
        <w:t>considered</w:t>
      </w:r>
      <w:r w:rsidR="00BC670B" w:rsidRPr="00B51DEF">
        <w:rPr>
          <w:rFonts w:asciiTheme="minorHAnsi" w:hAnsiTheme="minorHAnsi"/>
          <w:bCs/>
        </w:rPr>
        <w:t xml:space="preserve"> that</w:t>
      </w:r>
      <w:r w:rsidR="00CD7672" w:rsidRPr="00B51DEF">
        <w:rPr>
          <w:rFonts w:asciiTheme="minorHAnsi" w:hAnsiTheme="minorHAnsi"/>
          <w:bCs/>
        </w:rPr>
        <w:t xml:space="preserve"> </w:t>
      </w:r>
      <w:r w:rsidR="005016FB" w:rsidRPr="00B51DEF">
        <w:rPr>
          <w:rFonts w:asciiTheme="minorHAnsi" w:hAnsiTheme="minorHAnsi"/>
          <w:bCs/>
        </w:rPr>
        <w:t xml:space="preserve">based </w:t>
      </w:r>
      <w:r w:rsidR="00BC670B" w:rsidRPr="00B51DEF">
        <w:rPr>
          <w:rFonts w:asciiTheme="minorHAnsi" w:hAnsiTheme="minorHAnsi"/>
          <w:bCs/>
        </w:rPr>
        <w:t xml:space="preserve">on a cost minimisation basis with the least costly </w:t>
      </w:r>
      <w:r w:rsidR="000B40A5" w:rsidRPr="00B51DEF">
        <w:rPr>
          <w:rFonts w:asciiTheme="minorHAnsi" w:hAnsiTheme="minorHAnsi"/>
          <w:bCs/>
        </w:rPr>
        <w:t>biologic therapy</w:t>
      </w:r>
      <w:r w:rsidR="00E465EF" w:rsidRPr="00B51DEF">
        <w:rPr>
          <w:rFonts w:asciiTheme="minorHAnsi" w:hAnsiTheme="minorHAnsi"/>
          <w:bCs/>
        </w:rPr>
        <w:t xml:space="preserve"> the</w:t>
      </w:r>
      <w:r w:rsidR="00CD7672" w:rsidRPr="00B51DEF">
        <w:rPr>
          <w:rFonts w:asciiTheme="minorHAnsi" w:hAnsiTheme="minorHAnsi"/>
          <w:bCs/>
        </w:rPr>
        <w:t xml:space="preserve"> listing TOF for MSUC</w:t>
      </w:r>
      <w:r w:rsidR="005016FB" w:rsidRPr="00B51DEF">
        <w:rPr>
          <w:rFonts w:asciiTheme="minorHAnsi" w:hAnsiTheme="minorHAnsi"/>
          <w:bCs/>
        </w:rPr>
        <w:t xml:space="preserve"> </w:t>
      </w:r>
      <w:r w:rsidR="00BC670B" w:rsidRPr="00B51DEF">
        <w:rPr>
          <w:rFonts w:asciiTheme="minorHAnsi" w:hAnsiTheme="minorHAnsi"/>
          <w:bCs/>
        </w:rPr>
        <w:t>should be cost-neutral to the PBS.</w:t>
      </w:r>
      <w:r w:rsidR="00552DF5" w:rsidRPr="00B51DEF">
        <w:rPr>
          <w:rFonts w:asciiTheme="minorHAnsi" w:hAnsiTheme="minorHAnsi"/>
          <w:bCs/>
        </w:rPr>
        <w:t xml:space="preserve"> </w:t>
      </w:r>
    </w:p>
    <w:p w:rsidR="00275981" w:rsidRPr="00B51DEF" w:rsidRDefault="00552DF5" w:rsidP="007C5A5B">
      <w:pPr>
        <w:numPr>
          <w:ilvl w:val="1"/>
          <w:numId w:val="3"/>
        </w:numPr>
        <w:spacing w:before="120" w:after="120"/>
        <w:rPr>
          <w:rFonts w:asciiTheme="minorHAnsi" w:hAnsiTheme="minorHAnsi"/>
          <w:bCs/>
        </w:rPr>
      </w:pPr>
      <w:r w:rsidRPr="00B51DEF">
        <w:rPr>
          <w:rFonts w:asciiTheme="minorHAnsi" w:hAnsiTheme="minorHAnsi"/>
          <w:bCs/>
        </w:rPr>
        <w:t>The PBAC considered it would be appropriate to align the listing of TOF with the other written authority biologic therapies for MSUC, including the requested grandfather restriction and that flow-on changes to notes in the other listings to include TOF in the list of therapies would be required to facilitate the listing. The PBAC advised that grandfathered patients will be required to meet the PBS eligibility criteria and noted the grandfather restriction will be removed from the listing after 12 months (unless otherwise negotiated with the Department), in line with standard procedure.</w:t>
      </w:r>
    </w:p>
    <w:p w:rsidR="00F736B5" w:rsidRPr="00B51DEF" w:rsidRDefault="00206B74" w:rsidP="007C5A5B">
      <w:pPr>
        <w:numPr>
          <w:ilvl w:val="1"/>
          <w:numId w:val="3"/>
        </w:numPr>
        <w:spacing w:before="120" w:after="120"/>
        <w:rPr>
          <w:rFonts w:asciiTheme="minorHAnsi" w:hAnsiTheme="minorHAnsi"/>
          <w:bCs/>
        </w:rPr>
      </w:pPr>
      <w:r w:rsidRPr="00B51DEF">
        <w:rPr>
          <w:rFonts w:asciiTheme="minorHAnsi" w:hAnsiTheme="minorHAnsi"/>
          <w:bCs/>
        </w:rPr>
        <w:t>The PBAC noted the sponsor requested consideration of a special pricing arrangement and agreed that, under criterion 2 of the Special Pricing Arrangement (SPA) criteria</w:t>
      </w:r>
      <w:r w:rsidR="005756C4" w:rsidRPr="00B51DEF">
        <w:rPr>
          <w:rFonts w:asciiTheme="minorHAnsi" w:hAnsiTheme="minorHAnsi"/>
          <w:bCs/>
        </w:rPr>
        <w:t>,</w:t>
      </w:r>
      <w:r w:rsidRPr="00B51DEF">
        <w:rPr>
          <w:rFonts w:asciiTheme="minorHAnsi" w:hAnsiTheme="minorHAnsi"/>
          <w:bCs/>
        </w:rPr>
        <w:t xml:space="preserve"> </w:t>
      </w:r>
      <w:proofErr w:type="spellStart"/>
      <w:r w:rsidRPr="00B51DEF">
        <w:rPr>
          <w:rFonts w:asciiTheme="minorHAnsi" w:hAnsiTheme="minorHAnsi"/>
          <w:bCs/>
        </w:rPr>
        <w:t>tofacitinib</w:t>
      </w:r>
      <w:proofErr w:type="spellEnd"/>
      <w:r w:rsidRPr="00B51DEF">
        <w:rPr>
          <w:rFonts w:asciiTheme="minorHAnsi" w:hAnsiTheme="minorHAnsi"/>
          <w:bCs/>
        </w:rPr>
        <w:t xml:space="preserve"> has unique characteristics compared to other available therapies for the treatment of MSUC as the only oral agent.</w:t>
      </w:r>
    </w:p>
    <w:p w:rsidR="00F736B5" w:rsidRPr="00B51DEF" w:rsidRDefault="00206B74" w:rsidP="007C5A5B">
      <w:pPr>
        <w:numPr>
          <w:ilvl w:val="1"/>
          <w:numId w:val="3"/>
        </w:numPr>
        <w:spacing w:before="120" w:after="120"/>
        <w:rPr>
          <w:rFonts w:asciiTheme="minorHAnsi" w:hAnsiTheme="minorHAnsi"/>
          <w:bCs/>
        </w:rPr>
      </w:pPr>
      <w:r w:rsidRPr="00B51DEF">
        <w:rPr>
          <w:rFonts w:asciiTheme="minorHAnsi" w:hAnsiTheme="minorHAnsi"/>
          <w:bCs/>
        </w:rPr>
        <w:lastRenderedPageBreak/>
        <w:t xml:space="preserve">The PBAC advised that under Section 101(3BA) of the </w:t>
      </w:r>
      <w:r w:rsidRPr="00B51DEF">
        <w:rPr>
          <w:rFonts w:asciiTheme="minorHAnsi" w:hAnsiTheme="minorHAnsi"/>
          <w:bCs/>
          <w:i/>
        </w:rPr>
        <w:t>National Health Act 1953</w:t>
      </w:r>
      <w:r w:rsidRPr="00B51DEF">
        <w:rPr>
          <w:rFonts w:asciiTheme="minorHAnsi" w:hAnsiTheme="minorHAnsi"/>
          <w:bCs/>
        </w:rPr>
        <w:t xml:space="preserve"> that </w:t>
      </w:r>
      <w:proofErr w:type="spellStart"/>
      <w:r w:rsidRPr="00B51DEF">
        <w:rPr>
          <w:rFonts w:asciiTheme="minorHAnsi" w:hAnsiTheme="minorHAnsi"/>
          <w:bCs/>
        </w:rPr>
        <w:t>tofacitinib</w:t>
      </w:r>
      <w:proofErr w:type="spellEnd"/>
      <w:r w:rsidRPr="00B51DEF">
        <w:rPr>
          <w:rFonts w:asciiTheme="minorHAnsi" w:hAnsiTheme="minorHAnsi"/>
          <w:bCs/>
        </w:rPr>
        <w:t xml:space="preserve"> may be treated as interchangeable on an individual patient basis with infliximab, </w:t>
      </w:r>
      <w:proofErr w:type="spellStart"/>
      <w:r w:rsidRPr="00B51DEF">
        <w:rPr>
          <w:rFonts w:asciiTheme="minorHAnsi" w:hAnsiTheme="minorHAnsi"/>
          <w:bCs/>
        </w:rPr>
        <w:t>adalimumab</w:t>
      </w:r>
      <w:proofErr w:type="spellEnd"/>
      <w:r w:rsidRPr="00B51DEF">
        <w:rPr>
          <w:rFonts w:asciiTheme="minorHAnsi" w:hAnsiTheme="minorHAnsi"/>
          <w:bCs/>
        </w:rPr>
        <w:t xml:space="preserve">, </w:t>
      </w:r>
      <w:proofErr w:type="spellStart"/>
      <w:r w:rsidRPr="00B51DEF">
        <w:rPr>
          <w:rFonts w:asciiTheme="minorHAnsi" w:hAnsiTheme="minorHAnsi"/>
          <w:bCs/>
        </w:rPr>
        <w:t>vedolizumab</w:t>
      </w:r>
      <w:proofErr w:type="spellEnd"/>
      <w:r w:rsidRPr="00B51DEF">
        <w:rPr>
          <w:rFonts w:asciiTheme="minorHAnsi" w:hAnsiTheme="minorHAnsi"/>
          <w:bCs/>
        </w:rPr>
        <w:t xml:space="preserve"> and </w:t>
      </w:r>
      <w:proofErr w:type="spellStart"/>
      <w:r w:rsidRPr="00B51DEF">
        <w:rPr>
          <w:rFonts w:asciiTheme="minorHAnsi" w:hAnsiTheme="minorHAnsi"/>
          <w:bCs/>
        </w:rPr>
        <w:t>golimumab</w:t>
      </w:r>
      <w:proofErr w:type="spellEnd"/>
      <w:r w:rsidRPr="00B51DEF">
        <w:rPr>
          <w:rFonts w:asciiTheme="minorHAnsi" w:hAnsiTheme="minorHAnsi"/>
          <w:bCs/>
        </w:rPr>
        <w:t xml:space="preserve"> for MSUC.</w:t>
      </w:r>
    </w:p>
    <w:p w:rsidR="00206B74" w:rsidRDefault="00206B74" w:rsidP="007C5A5B">
      <w:pPr>
        <w:numPr>
          <w:ilvl w:val="1"/>
          <w:numId w:val="3"/>
        </w:numPr>
        <w:spacing w:before="120" w:after="120"/>
        <w:rPr>
          <w:rFonts w:asciiTheme="minorHAnsi" w:hAnsiTheme="minorHAnsi"/>
          <w:bCs/>
        </w:rPr>
      </w:pPr>
      <w:r w:rsidRPr="00B51DEF">
        <w:rPr>
          <w:rFonts w:asciiTheme="minorHAnsi" w:hAnsiTheme="minorHAnsi"/>
          <w:bCs/>
        </w:rPr>
        <w:t xml:space="preserve">The PBAC advised that it remained of the view that </w:t>
      </w:r>
      <w:proofErr w:type="spellStart"/>
      <w:r w:rsidRPr="00B51DEF">
        <w:rPr>
          <w:rFonts w:asciiTheme="minorHAnsi" w:hAnsiTheme="minorHAnsi"/>
          <w:bCs/>
        </w:rPr>
        <w:t>tofacitinib</w:t>
      </w:r>
      <w:proofErr w:type="spellEnd"/>
      <w:r w:rsidRPr="00B51DEF">
        <w:rPr>
          <w:rFonts w:asciiTheme="minorHAnsi" w:hAnsiTheme="minorHAnsi"/>
          <w:bCs/>
        </w:rPr>
        <w:t xml:space="preserve"> is not suitable for prescribing by nurse practitioners</w:t>
      </w:r>
      <w:r w:rsidR="00B51DEF">
        <w:rPr>
          <w:rFonts w:asciiTheme="minorHAnsi" w:hAnsiTheme="minorHAnsi"/>
          <w:bCs/>
        </w:rPr>
        <w:t xml:space="preserve">. </w:t>
      </w:r>
    </w:p>
    <w:p w:rsidR="002B76AD" w:rsidRPr="002B76AD" w:rsidRDefault="002B76AD" w:rsidP="007C5A5B">
      <w:pPr>
        <w:widowControl/>
        <w:numPr>
          <w:ilvl w:val="1"/>
          <w:numId w:val="3"/>
        </w:numPr>
        <w:spacing w:before="120" w:after="120"/>
        <w:rPr>
          <w:rFonts w:asciiTheme="minorHAnsi" w:hAnsiTheme="minorHAnsi"/>
          <w:bCs/>
          <w:szCs w:val="24"/>
        </w:rPr>
      </w:pPr>
      <w:r w:rsidRPr="008F73DB">
        <w:rPr>
          <w:rFonts w:asciiTheme="minorHAnsi" w:hAnsiTheme="minorHAnsi"/>
          <w:bCs/>
          <w:szCs w:val="24"/>
        </w:rPr>
        <w:t xml:space="preserve">The PBAC recommended that the </w:t>
      </w:r>
      <w:r>
        <w:rPr>
          <w:rFonts w:asciiTheme="minorHAnsi" w:hAnsiTheme="minorHAnsi"/>
          <w:bCs/>
          <w:szCs w:val="24"/>
        </w:rPr>
        <w:t>Early Supply Rule should apply.</w:t>
      </w:r>
    </w:p>
    <w:p w:rsidR="00206B74" w:rsidRPr="00B51DEF" w:rsidRDefault="00206B74" w:rsidP="007C5A5B">
      <w:pPr>
        <w:numPr>
          <w:ilvl w:val="1"/>
          <w:numId w:val="3"/>
        </w:numPr>
        <w:spacing w:before="120" w:after="120"/>
        <w:rPr>
          <w:rFonts w:asciiTheme="minorHAnsi" w:hAnsiTheme="minorHAnsi"/>
          <w:bCs/>
        </w:rPr>
      </w:pPr>
      <w:r w:rsidRPr="00B51DEF">
        <w:rPr>
          <w:rFonts w:asciiTheme="minorHAnsi" w:hAnsiTheme="minorHAnsi"/>
          <w:bCs/>
        </w:rPr>
        <w:t xml:space="preserve">The PBAC noted the flow-on restriction changes to the other </w:t>
      </w:r>
      <w:r w:rsidR="002B40F3" w:rsidRPr="00B51DEF">
        <w:rPr>
          <w:rFonts w:asciiTheme="minorHAnsi" w:hAnsiTheme="minorHAnsi"/>
          <w:bCs/>
        </w:rPr>
        <w:t xml:space="preserve">biological therapies </w:t>
      </w:r>
      <w:r w:rsidRPr="00B51DEF">
        <w:rPr>
          <w:rFonts w:asciiTheme="minorHAnsi" w:hAnsiTheme="minorHAnsi"/>
          <w:bCs/>
        </w:rPr>
        <w:t xml:space="preserve">PBS listed for MSUC (noted in Section 8 below). </w:t>
      </w:r>
    </w:p>
    <w:p w:rsidR="00206B74" w:rsidRPr="00B51DEF" w:rsidRDefault="00206B74" w:rsidP="007C5A5B">
      <w:pPr>
        <w:numPr>
          <w:ilvl w:val="1"/>
          <w:numId w:val="3"/>
        </w:numPr>
        <w:spacing w:before="120" w:after="120"/>
        <w:rPr>
          <w:rFonts w:asciiTheme="minorHAnsi" w:hAnsiTheme="minorHAnsi"/>
          <w:bCs/>
        </w:rPr>
      </w:pPr>
      <w:r w:rsidRPr="00B51DEF">
        <w:rPr>
          <w:rFonts w:asciiTheme="minorHAnsi" w:hAnsiTheme="minorHAnsi"/>
          <w:bCs/>
        </w:rPr>
        <w:t>The PBAC noted that this submission is not eligible for an Independent Review as it received a positive recommendation.</w:t>
      </w:r>
    </w:p>
    <w:p w:rsidR="00F736B5" w:rsidRPr="00B51DEF" w:rsidRDefault="00F736B5" w:rsidP="007C5A5B">
      <w:pPr>
        <w:spacing w:before="120" w:after="120"/>
        <w:rPr>
          <w:rFonts w:asciiTheme="minorHAnsi" w:hAnsiTheme="minorHAnsi"/>
          <w:b/>
          <w:bCs/>
        </w:rPr>
      </w:pPr>
      <w:r w:rsidRPr="00B51DEF">
        <w:rPr>
          <w:rFonts w:asciiTheme="minorHAnsi" w:hAnsiTheme="minorHAnsi"/>
          <w:b/>
          <w:bCs/>
        </w:rPr>
        <w:t>Outcome</w:t>
      </w:r>
      <w:proofErr w:type="gramStart"/>
      <w:r w:rsidRPr="00B51DEF">
        <w:rPr>
          <w:rFonts w:asciiTheme="minorHAnsi" w:hAnsiTheme="minorHAnsi"/>
          <w:b/>
          <w:bCs/>
        </w:rPr>
        <w:t>:</w:t>
      </w:r>
      <w:proofErr w:type="gramEnd"/>
      <w:r w:rsidR="00D94063" w:rsidRPr="00B51DEF">
        <w:rPr>
          <w:rFonts w:asciiTheme="minorHAnsi" w:hAnsiTheme="minorHAnsi"/>
          <w:b/>
          <w:bCs/>
        </w:rPr>
        <w:br/>
      </w:r>
      <w:r w:rsidRPr="00B51DEF">
        <w:rPr>
          <w:rFonts w:asciiTheme="minorHAnsi" w:hAnsiTheme="minorHAnsi"/>
          <w:bCs/>
        </w:rPr>
        <w:t xml:space="preserve">Recommended </w:t>
      </w:r>
    </w:p>
    <w:p w:rsidR="00F736B5" w:rsidRPr="00B51DEF" w:rsidRDefault="00F736B5" w:rsidP="007C5A5B">
      <w:pPr>
        <w:numPr>
          <w:ilvl w:val="0"/>
          <w:numId w:val="3"/>
        </w:numPr>
        <w:spacing w:before="120" w:after="120"/>
        <w:outlineLvl w:val="0"/>
        <w:rPr>
          <w:rFonts w:asciiTheme="minorHAnsi" w:hAnsiTheme="minorHAnsi"/>
          <w:b/>
          <w:bCs/>
          <w:i/>
          <w:sz w:val="32"/>
        </w:rPr>
      </w:pPr>
      <w:r w:rsidRPr="00B51DEF">
        <w:rPr>
          <w:rFonts w:asciiTheme="minorHAnsi" w:hAnsiTheme="minorHAnsi"/>
          <w:b/>
          <w:bCs/>
          <w:sz w:val="32"/>
        </w:rPr>
        <w:t>Reco</w:t>
      </w:r>
      <w:bookmarkStart w:id="20" w:name="_GoBack"/>
      <w:bookmarkEnd w:id="20"/>
      <w:r w:rsidRPr="00B51DEF">
        <w:rPr>
          <w:rFonts w:asciiTheme="minorHAnsi" w:hAnsiTheme="minorHAnsi"/>
          <w:b/>
          <w:bCs/>
          <w:sz w:val="32"/>
        </w:rPr>
        <w:t>mmended listing</w:t>
      </w:r>
    </w:p>
    <w:p w:rsidR="00F736B5" w:rsidRPr="00B51DEF" w:rsidRDefault="00F736B5" w:rsidP="007C5A5B">
      <w:pPr>
        <w:numPr>
          <w:ilvl w:val="1"/>
          <w:numId w:val="3"/>
        </w:numPr>
        <w:spacing w:before="120" w:after="120"/>
        <w:rPr>
          <w:rFonts w:asciiTheme="minorHAnsi" w:hAnsiTheme="minorHAnsi"/>
          <w:bCs/>
        </w:rPr>
      </w:pPr>
      <w:r w:rsidRPr="00B51DEF">
        <w:rPr>
          <w:rFonts w:asciiTheme="minorHAnsi" w:hAnsiTheme="minorHAnsi"/>
          <w:bCs/>
        </w:rPr>
        <w:t>Add new item:</w:t>
      </w:r>
    </w:p>
    <w:tbl>
      <w:tblPr>
        <w:tblW w:w="9072" w:type="dxa"/>
        <w:tblInd w:w="108" w:type="dxa"/>
        <w:tblLayout w:type="fixed"/>
        <w:tblLook w:val="0000" w:firstRow="0" w:lastRow="0" w:firstColumn="0" w:lastColumn="0" w:noHBand="0" w:noVBand="0"/>
      </w:tblPr>
      <w:tblGrid>
        <w:gridCol w:w="3261"/>
        <w:gridCol w:w="850"/>
        <w:gridCol w:w="851"/>
        <w:gridCol w:w="992"/>
        <w:gridCol w:w="1026"/>
        <w:gridCol w:w="2092"/>
      </w:tblGrid>
      <w:tr w:rsidR="00DB4453" w:rsidRPr="006B6856" w:rsidTr="00DB4453">
        <w:trPr>
          <w:cantSplit/>
          <w:trHeight w:val="471"/>
        </w:trPr>
        <w:tc>
          <w:tcPr>
            <w:tcW w:w="4111" w:type="dxa"/>
            <w:gridSpan w:val="2"/>
            <w:tcBorders>
              <w:bottom w:val="single" w:sz="4" w:space="0" w:color="auto"/>
            </w:tcBorders>
          </w:tcPr>
          <w:p w:rsidR="00DB4453" w:rsidRPr="006B6856" w:rsidRDefault="00DB4453" w:rsidP="00DB4453">
            <w:pPr>
              <w:keepNext/>
              <w:ind w:left="-108"/>
              <w:rPr>
                <w:rFonts w:ascii="Arial Narrow" w:hAnsi="Arial Narrow" w:cstheme="minorHAnsi"/>
                <w:b/>
                <w:sz w:val="20"/>
                <w:szCs w:val="20"/>
              </w:rPr>
            </w:pPr>
            <w:r w:rsidRPr="006B6856">
              <w:rPr>
                <w:rFonts w:ascii="Arial Narrow" w:hAnsi="Arial Narrow" w:cstheme="minorHAnsi"/>
                <w:b/>
                <w:sz w:val="20"/>
                <w:szCs w:val="20"/>
              </w:rPr>
              <w:t>Name, Restriction,</w:t>
            </w:r>
          </w:p>
          <w:p w:rsidR="00DB4453" w:rsidRPr="006B6856" w:rsidRDefault="00DB4453" w:rsidP="00DB4453">
            <w:pPr>
              <w:keepNext/>
              <w:ind w:left="-108"/>
              <w:rPr>
                <w:rFonts w:ascii="Arial Narrow" w:hAnsi="Arial Narrow" w:cstheme="minorHAnsi"/>
                <w:b/>
                <w:sz w:val="20"/>
                <w:szCs w:val="20"/>
              </w:rPr>
            </w:pPr>
            <w:r w:rsidRPr="006B6856">
              <w:rPr>
                <w:rFonts w:ascii="Arial Narrow" w:hAnsi="Arial Narrow" w:cstheme="minorHAnsi"/>
                <w:b/>
                <w:sz w:val="20"/>
                <w:szCs w:val="20"/>
              </w:rPr>
              <w:t>Manner of administration and form</w:t>
            </w:r>
          </w:p>
        </w:tc>
        <w:tc>
          <w:tcPr>
            <w:tcW w:w="851" w:type="dxa"/>
            <w:tcBorders>
              <w:bottom w:val="single" w:sz="4" w:space="0" w:color="auto"/>
            </w:tcBorders>
          </w:tcPr>
          <w:p w:rsidR="00DB4453" w:rsidRPr="006B6856" w:rsidRDefault="00DB4453" w:rsidP="00DB4453">
            <w:pPr>
              <w:keepNext/>
              <w:ind w:left="-108"/>
              <w:rPr>
                <w:rFonts w:ascii="Arial Narrow" w:hAnsi="Arial Narrow" w:cstheme="minorHAnsi"/>
                <w:b/>
                <w:sz w:val="20"/>
                <w:szCs w:val="20"/>
              </w:rPr>
            </w:pPr>
            <w:r w:rsidRPr="006B6856">
              <w:rPr>
                <w:rFonts w:ascii="Arial Narrow" w:hAnsi="Arial Narrow" w:cstheme="minorHAnsi"/>
                <w:b/>
                <w:sz w:val="20"/>
                <w:szCs w:val="20"/>
              </w:rPr>
              <w:t>Max.</w:t>
            </w:r>
          </w:p>
          <w:p w:rsidR="00DB4453" w:rsidRPr="006B6856" w:rsidRDefault="00DB4453" w:rsidP="00DB4453">
            <w:pPr>
              <w:keepNext/>
              <w:ind w:left="-108"/>
              <w:rPr>
                <w:rFonts w:ascii="Arial Narrow" w:hAnsi="Arial Narrow" w:cstheme="minorHAnsi"/>
                <w:b/>
                <w:sz w:val="20"/>
                <w:szCs w:val="20"/>
              </w:rPr>
            </w:pPr>
            <w:proofErr w:type="spellStart"/>
            <w:r w:rsidRPr="006B6856">
              <w:rPr>
                <w:rFonts w:ascii="Arial Narrow" w:hAnsi="Arial Narrow" w:cstheme="minorHAnsi"/>
                <w:b/>
                <w:sz w:val="20"/>
                <w:szCs w:val="20"/>
              </w:rPr>
              <w:t>Qty</w:t>
            </w:r>
            <w:proofErr w:type="spellEnd"/>
          </w:p>
        </w:tc>
        <w:tc>
          <w:tcPr>
            <w:tcW w:w="992" w:type="dxa"/>
            <w:tcBorders>
              <w:bottom w:val="single" w:sz="4" w:space="0" w:color="auto"/>
            </w:tcBorders>
          </w:tcPr>
          <w:p w:rsidR="00DB4453" w:rsidRPr="006B6856" w:rsidRDefault="00DB4453" w:rsidP="00DB4453">
            <w:pPr>
              <w:keepNext/>
              <w:ind w:left="-108"/>
              <w:rPr>
                <w:rFonts w:ascii="Arial Narrow" w:hAnsi="Arial Narrow" w:cstheme="minorHAnsi"/>
                <w:b/>
                <w:sz w:val="20"/>
                <w:szCs w:val="20"/>
              </w:rPr>
            </w:pPr>
            <w:r w:rsidRPr="006B6856">
              <w:rPr>
                <w:rFonts w:ascii="Arial Narrow" w:hAnsi="Arial Narrow" w:cstheme="minorHAnsi"/>
                <w:b/>
                <w:sz w:val="20"/>
                <w:szCs w:val="20"/>
              </w:rPr>
              <w:t>№.of</w:t>
            </w:r>
          </w:p>
          <w:p w:rsidR="00DB4453" w:rsidRPr="006B6856" w:rsidRDefault="00DB4453" w:rsidP="00DB4453">
            <w:pPr>
              <w:keepNext/>
              <w:ind w:left="-108"/>
              <w:rPr>
                <w:rFonts w:ascii="Arial Narrow" w:hAnsi="Arial Narrow" w:cstheme="minorHAnsi"/>
                <w:b/>
                <w:sz w:val="20"/>
                <w:szCs w:val="20"/>
              </w:rPr>
            </w:pPr>
            <w:proofErr w:type="spellStart"/>
            <w:r w:rsidRPr="006B6856">
              <w:rPr>
                <w:rFonts w:ascii="Arial Narrow" w:hAnsi="Arial Narrow" w:cstheme="minorHAnsi"/>
                <w:b/>
                <w:sz w:val="20"/>
                <w:szCs w:val="20"/>
              </w:rPr>
              <w:t>Rpts</w:t>
            </w:r>
            <w:proofErr w:type="spellEnd"/>
          </w:p>
        </w:tc>
        <w:tc>
          <w:tcPr>
            <w:tcW w:w="3118" w:type="dxa"/>
            <w:gridSpan w:val="2"/>
            <w:tcBorders>
              <w:bottom w:val="single" w:sz="4" w:space="0" w:color="auto"/>
            </w:tcBorders>
          </w:tcPr>
          <w:p w:rsidR="00DB4453" w:rsidRPr="006B6856" w:rsidRDefault="00DB4453" w:rsidP="00DB4453">
            <w:pPr>
              <w:keepNext/>
              <w:rPr>
                <w:rFonts w:ascii="Arial Narrow" w:hAnsi="Arial Narrow" w:cstheme="minorHAnsi"/>
                <w:b/>
                <w:sz w:val="20"/>
                <w:szCs w:val="20"/>
              </w:rPr>
            </w:pPr>
            <w:r w:rsidRPr="006B6856">
              <w:rPr>
                <w:rFonts w:ascii="Arial Narrow" w:hAnsi="Arial Narrow" w:cstheme="minorHAnsi"/>
                <w:b/>
                <w:sz w:val="20"/>
                <w:szCs w:val="20"/>
              </w:rPr>
              <w:t>Proprietary Name and Manufacturer</w:t>
            </w:r>
          </w:p>
        </w:tc>
      </w:tr>
      <w:tr w:rsidR="00DB4453" w:rsidRPr="006B6856" w:rsidTr="00DB4453">
        <w:trPr>
          <w:cantSplit/>
          <w:trHeight w:val="577"/>
        </w:trPr>
        <w:tc>
          <w:tcPr>
            <w:tcW w:w="4111" w:type="dxa"/>
            <w:gridSpan w:val="2"/>
          </w:tcPr>
          <w:p w:rsidR="00DB4453" w:rsidRPr="006B6856" w:rsidRDefault="00DB4453" w:rsidP="00DB4453">
            <w:pPr>
              <w:keepNext/>
              <w:ind w:left="-108"/>
              <w:rPr>
                <w:rFonts w:ascii="Arial Narrow" w:hAnsi="Arial Narrow" w:cstheme="minorHAnsi"/>
                <w:sz w:val="20"/>
                <w:szCs w:val="20"/>
              </w:rPr>
            </w:pPr>
            <w:r w:rsidRPr="006B6856">
              <w:rPr>
                <w:rFonts w:ascii="Arial Narrow" w:hAnsi="Arial Narrow" w:cstheme="minorHAnsi"/>
                <w:smallCaps/>
                <w:sz w:val="20"/>
                <w:szCs w:val="20"/>
              </w:rPr>
              <w:t>TOFACITINIB</w:t>
            </w:r>
          </w:p>
          <w:p w:rsidR="00DB4453" w:rsidRPr="006B6856" w:rsidRDefault="00DB4453" w:rsidP="00DB4453">
            <w:pPr>
              <w:keepNext/>
              <w:ind w:left="-108"/>
              <w:rPr>
                <w:rFonts w:ascii="Arial Narrow" w:hAnsi="Arial Narrow" w:cstheme="minorHAnsi"/>
                <w:sz w:val="20"/>
                <w:szCs w:val="20"/>
              </w:rPr>
            </w:pPr>
            <w:r w:rsidRPr="006B6856">
              <w:rPr>
                <w:rFonts w:ascii="Arial Narrow" w:hAnsi="Arial Narrow" w:cstheme="minorHAnsi"/>
                <w:sz w:val="20"/>
                <w:szCs w:val="20"/>
              </w:rPr>
              <w:t>Tablet 5mg, 56</w:t>
            </w:r>
          </w:p>
          <w:p w:rsidR="00DB4453" w:rsidRPr="006B6856" w:rsidRDefault="00DB4453" w:rsidP="00DB4453">
            <w:pPr>
              <w:keepNext/>
              <w:ind w:left="-108"/>
              <w:rPr>
                <w:rFonts w:ascii="Arial Narrow" w:hAnsi="Arial Narrow" w:cstheme="minorHAnsi"/>
                <w:sz w:val="20"/>
                <w:szCs w:val="20"/>
              </w:rPr>
            </w:pPr>
            <w:r w:rsidRPr="006B6856">
              <w:rPr>
                <w:rFonts w:ascii="Arial Narrow" w:hAnsi="Arial Narrow" w:cstheme="minorHAnsi"/>
                <w:sz w:val="20"/>
                <w:szCs w:val="20"/>
              </w:rPr>
              <w:t>Tablet 10mg, 56</w:t>
            </w:r>
          </w:p>
        </w:tc>
        <w:tc>
          <w:tcPr>
            <w:tcW w:w="851" w:type="dxa"/>
          </w:tcPr>
          <w:p w:rsidR="00DB4453" w:rsidRPr="006B6856" w:rsidRDefault="00DB4453" w:rsidP="00DB4453">
            <w:pPr>
              <w:keepNext/>
              <w:ind w:left="-108"/>
              <w:rPr>
                <w:rFonts w:ascii="Arial Narrow" w:hAnsi="Arial Narrow" w:cstheme="minorHAnsi"/>
                <w:sz w:val="20"/>
                <w:szCs w:val="20"/>
              </w:rPr>
            </w:pPr>
          </w:p>
          <w:p w:rsidR="00DB4453" w:rsidRPr="006B6856" w:rsidRDefault="00DB4453" w:rsidP="00DB4453">
            <w:pPr>
              <w:keepNext/>
              <w:ind w:left="-108"/>
              <w:rPr>
                <w:rFonts w:ascii="Arial Narrow" w:hAnsi="Arial Narrow" w:cstheme="minorHAnsi"/>
                <w:sz w:val="20"/>
                <w:szCs w:val="20"/>
              </w:rPr>
            </w:pPr>
            <w:r w:rsidRPr="006B6856">
              <w:rPr>
                <w:rFonts w:ascii="Arial Narrow" w:hAnsi="Arial Narrow" w:cstheme="minorHAnsi"/>
                <w:sz w:val="20"/>
                <w:szCs w:val="20"/>
              </w:rPr>
              <w:t>1</w:t>
            </w:r>
          </w:p>
          <w:p w:rsidR="00DB4453" w:rsidRPr="006B6856" w:rsidRDefault="00DB4453" w:rsidP="00DB4453">
            <w:pPr>
              <w:keepNext/>
              <w:ind w:left="-108"/>
              <w:rPr>
                <w:rFonts w:ascii="Arial Narrow" w:hAnsi="Arial Narrow" w:cstheme="minorHAnsi"/>
                <w:sz w:val="20"/>
                <w:szCs w:val="20"/>
              </w:rPr>
            </w:pPr>
            <w:r w:rsidRPr="006B6856">
              <w:rPr>
                <w:rFonts w:ascii="Arial Narrow" w:hAnsi="Arial Narrow" w:cstheme="minorHAnsi"/>
                <w:sz w:val="20"/>
                <w:szCs w:val="20"/>
              </w:rPr>
              <w:t>1</w:t>
            </w:r>
          </w:p>
        </w:tc>
        <w:tc>
          <w:tcPr>
            <w:tcW w:w="992" w:type="dxa"/>
          </w:tcPr>
          <w:p w:rsidR="00DB4453" w:rsidRPr="006B6856" w:rsidRDefault="00DB4453" w:rsidP="00DB4453">
            <w:pPr>
              <w:keepNext/>
              <w:ind w:left="-108"/>
              <w:rPr>
                <w:rFonts w:ascii="Arial Narrow" w:hAnsi="Arial Narrow" w:cstheme="minorHAnsi"/>
                <w:sz w:val="20"/>
                <w:szCs w:val="20"/>
              </w:rPr>
            </w:pPr>
          </w:p>
          <w:p w:rsidR="00DB4453" w:rsidRPr="006B6856" w:rsidRDefault="00DB4453" w:rsidP="00DB4453">
            <w:pPr>
              <w:keepNext/>
              <w:ind w:left="-108"/>
              <w:rPr>
                <w:rFonts w:ascii="Arial Narrow" w:hAnsi="Arial Narrow" w:cstheme="minorHAnsi"/>
                <w:sz w:val="20"/>
                <w:szCs w:val="20"/>
              </w:rPr>
            </w:pPr>
            <w:r w:rsidRPr="006B6856">
              <w:rPr>
                <w:rFonts w:ascii="Arial Narrow" w:hAnsi="Arial Narrow" w:cstheme="minorHAnsi"/>
                <w:sz w:val="20"/>
                <w:szCs w:val="20"/>
              </w:rPr>
              <w:t>3</w:t>
            </w:r>
          </w:p>
          <w:p w:rsidR="00DB4453" w:rsidRPr="006B6856" w:rsidRDefault="00DB4453" w:rsidP="00DB4453">
            <w:pPr>
              <w:keepNext/>
              <w:ind w:left="-108"/>
              <w:rPr>
                <w:rFonts w:ascii="Arial Narrow" w:hAnsi="Arial Narrow" w:cstheme="minorHAnsi"/>
                <w:sz w:val="20"/>
                <w:szCs w:val="20"/>
              </w:rPr>
            </w:pPr>
            <w:r w:rsidRPr="006B6856">
              <w:rPr>
                <w:rFonts w:ascii="Arial Narrow" w:hAnsi="Arial Narrow" w:cstheme="minorHAnsi"/>
                <w:sz w:val="20"/>
                <w:szCs w:val="20"/>
              </w:rPr>
              <w:t>3</w:t>
            </w:r>
          </w:p>
        </w:tc>
        <w:tc>
          <w:tcPr>
            <w:tcW w:w="1026" w:type="dxa"/>
          </w:tcPr>
          <w:p w:rsidR="00DB4453" w:rsidRPr="006B6856" w:rsidRDefault="00DB4453" w:rsidP="00DB4453">
            <w:pPr>
              <w:keepNext/>
              <w:rPr>
                <w:rFonts w:ascii="Arial Narrow" w:hAnsi="Arial Narrow" w:cstheme="minorHAnsi"/>
                <w:sz w:val="20"/>
                <w:szCs w:val="20"/>
              </w:rPr>
            </w:pPr>
          </w:p>
          <w:p w:rsidR="00DB4453" w:rsidRPr="006B6856" w:rsidRDefault="00DB4453" w:rsidP="00DB4453">
            <w:pPr>
              <w:keepNext/>
              <w:rPr>
                <w:rFonts w:ascii="Arial Narrow" w:hAnsi="Arial Narrow" w:cstheme="minorHAnsi"/>
                <w:sz w:val="20"/>
                <w:szCs w:val="20"/>
                <w:vertAlign w:val="superscript"/>
              </w:rPr>
            </w:pPr>
            <w:proofErr w:type="spellStart"/>
            <w:r w:rsidRPr="006B6856">
              <w:rPr>
                <w:rFonts w:ascii="Arial Narrow" w:hAnsi="Arial Narrow" w:cstheme="minorHAnsi"/>
                <w:sz w:val="20"/>
                <w:szCs w:val="20"/>
              </w:rPr>
              <w:t>Xeljanz</w:t>
            </w:r>
            <w:proofErr w:type="spellEnd"/>
            <w:r w:rsidRPr="006B6856">
              <w:rPr>
                <w:rFonts w:ascii="Arial Narrow" w:hAnsi="Arial Narrow" w:cstheme="minorHAnsi"/>
                <w:sz w:val="20"/>
                <w:szCs w:val="20"/>
                <w:vertAlign w:val="superscript"/>
              </w:rPr>
              <w:t>®</w:t>
            </w:r>
          </w:p>
        </w:tc>
        <w:tc>
          <w:tcPr>
            <w:tcW w:w="2092" w:type="dxa"/>
          </w:tcPr>
          <w:p w:rsidR="00DB4453" w:rsidRPr="006B6856" w:rsidRDefault="00DB4453" w:rsidP="00DB4453">
            <w:pPr>
              <w:keepNext/>
              <w:rPr>
                <w:rFonts w:ascii="Arial Narrow" w:hAnsi="Arial Narrow" w:cstheme="minorHAnsi"/>
                <w:sz w:val="20"/>
                <w:szCs w:val="20"/>
              </w:rPr>
            </w:pPr>
          </w:p>
          <w:p w:rsidR="00DB4453" w:rsidRPr="006B6856" w:rsidRDefault="00DB4453" w:rsidP="00DB4453">
            <w:pPr>
              <w:keepNext/>
              <w:rPr>
                <w:rFonts w:ascii="Arial Narrow" w:hAnsi="Arial Narrow" w:cstheme="minorHAnsi"/>
                <w:sz w:val="20"/>
                <w:szCs w:val="20"/>
              </w:rPr>
            </w:pPr>
            <w:r w:rsidRPr="006B6856">
              <w:rPr>
                <w:rFonts w:ascii="Arial Narrow" w:hAnsi="Arial Narrow" w:cstheme="minorHAnsi"/>
                <w:sz w:val="20"/>
                <w:szCs w:val="20"/>
              </w:rPr>
              <w:t>Pfizer Australia Pty Ltd</w:t>
            </w:r>
          </w:p>
        </w:tc>
      </w:tr>
      <w:tr w:rsidR="00DB4453" w:rsidRPr="006B6856" w:rsidTr="00DB4453">
        <w:trPr>
          <w:cantSplit/>
          <w:trHeight w:val="360"/>
        </w:trPr>
        <w:tc>
          <w:tcPr>
            <w:tcW w:w="9072" w:type="dxa"/>
            <w:gridSpan w:val="6"/>
            <w:tcBorders>
              <w:bottom w:val="single" w:sz="4" w:space="0" w:color="auto"/>
            </w:tcBorders>
          </w:tcPr>
          <w:p w:rsidR="00DB4453" w:rsidRPr="006B6856" w:rsidRDefault="00DB4453" w:rsidP="00DB4453">
            <w:pPr>
              <w:rPr>
                <w:rFonts w:ascii="Arial Narrow" w:hAnsi="Arial Narrow" w:cstheme="minorHAnsi"/>
                <w:sz w:val="20"/>
                <w:szCs w:val="20"/>
              </w:rPr>
            </w:pP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Program</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Section 85 (General Schedule)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Prescriber Types:</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fldChar w:fldCharType="begin">
                <w:ffData>
                  <w:name w:val="Check5"/>
                  <w:enabled/>
                  <w:calcOnExit w:val="0"/>
                  <w:checkBox>
                    <w:sizeAuto/>
                    <w:default w:val="1"/>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Medical Practitioners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Severity:</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Moderate to severe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Condition:</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Ulcerative colitis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PBS Indication:</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Moderate to severe ulcerative colitis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Treatment phase:</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Initial treatment (new patient or Recommencement of treatment after more than 5 years break in therapy - Initial 1)</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Restriction:</w:t>
            </w:r>
          </w:p>
          <w:p w:rsidR="00DB4453" w:rsidRPr="006B6856" w:rsidRDefault="00DB4453" w:rsidP="00DB4453">
            <w:pPr>
              <w:rPr>
                <w:rFonts w:ascii="Arial Narrow" w:hAnsi="Arial Narrow" w:cstheme="minorHAns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1"/>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Restricted benefit</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
                  <w:enabled/>
                  <w:calcOnExit w:val="0"/>
                  <w:checkBox>
                    <w:sizeAuto/>
                    <w:default w:val="1"/>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In Writing</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3"/>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Telephone</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Emergency</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5"/>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Electronic</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5"/>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Streamlined</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Treatment criteria:</w:t>
            </w:r>
          </w:p>
          <w:p w:rsidR="00DB4453" w:rsidRPr="006B6856" w:rsidRDefault="00DB4453" w:rsidP="00DB4453">
            <w:pPr>
              <w:rPr>
                <w:rFonts w:ascii="Arial Narrow" w:hAnsi="Arial Narrow" w:cstheme="minorHAns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Must be treated by a gastroenterologist (code 87); OR</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Must be treated by a consultant physician [internal medicine specialising in gastroenterology (code 81)]; OR</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Must be treated by a consultant physician [general medicine specialising in gastroenterology (code 82)].</w:t>
            </w:r>
          </w:p>
          <w:p w:rsidR="00DB4453" w:rsidRPr="006B6856" w:rsidRDefault="00DB4453" w:rsidP="00DB4453">
            <w:pPr>
              <w:rPr>
                <w:rFonts w:ascii="Arial Narrow" w:hAnsi="Arial Narrow" w:cstheme="minorHAnsi"/>
                <w:sz w:val="20"/>
                <w:szCs w:val="20"/>
              </w:rPr>
            </w:pP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lastRenderedPageBreak/>
              <w:t>Clinical criteria:</w:t>
            </w:r>
          </w:p>
          <w:p w:rsidR="00DB4453" w:rsidRPr="006B6856" w:rsidRDefault="00DB4453" w:rsidP="00DB4453">
            <w:pPr>
              <w:rPr>
                <w:rFonts w:ascii="Arial Narrow" w:hAnsi="Arial Narrow" w:cstheme="minorHAns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have failed to achieve an adequate response to a 5-aminosalicylate oral preparation in a standard dose for induction of remission for 3 or more consecutive months or have intolerance necessitating permanent treatment withdrawal,</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have failed to achieve an adequate response to azathioprine at a dose of at least 2 mg per kg daily for 3 or more consecutive months or have intolerance necessitating permanent treatment withdrawal; OR</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have failed to achieve an adequate response to 6-mercaptopurine at a dose of at least 1 mg per kg daily for 3 or more consecutive months or have intolerance necessitating permanent treatment withdrawal; OR</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w:t>
            </w:r>
            <w:proofErr w:type="spellStart"/>
            <w:r w:rsidRPr="006B6856">
              <w:rPr>
                <w:rFonts w:ascii="Arial Narrow" w:hAnsi="Arial Narrow" w:cstheme="minorHAnsi"/>
                <w:sz w:val="20"/>
                <w:szCs w:val="20"/>
              </w:rPr>
              <w:t>thiopurine</w:t>
            </w:r>
            <w:proofErr w:type="spellEnd"/>
            <w:r w:rsidRPr="006B6856">
              <w:rPr>
                <w:rFonts w:ascii="Arial Narrow" w:hAnsi="Arial Narrow" w:cstheme="minorHAnsi"/>
                <w:sz w:val="20"/>
                <w:szCs w:val="20"/>
              </w:rPr>
              <w:t xml:space="preserve"> agent,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have a Mayo clinic score greater than or equal to 6; OR</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 must have a partial Mayo clinic score greater than or equal to 6, provided the rectal bleeding and stool frequency </w:t>
            </w:r>
            <w:proofErr w:type="spellStart"/>
            <w:r w:rsidRPr="006B6856">
              <w:rPr>
                <w:rFonts w:ascii="Arial Narrow" w:hAnsi="Arial Narrow" w:cstheme="minorHAnsi"/>
                <w:sz w:val="20"/>
                <w:szCs w:val="20"/>
              </w:rPr>
              <w:t>subscores</w:t>
            </w:r>
            <w:proofErr w:type="spellEnd"/>
            <w:r w:rsidRPr="006B6856">
              <w:rPr>
                <w:rFonts w:ascii="Arial Narrow" w:hAnsi="Arial Narrow" w:cstheme="minorHAnsi"/>
                <w:sz w:val="20"/>
                <w:szCs w:val="20"/>
              </w:rPr>
              <w:t xml:space="preserve"> are both greater than or equal to 2 (endoscopy </w:t>
            </w:r>
            <w:proofErr w:type="spellStart"/>
            <w:r w:rsidRPr="006B6856">
              <w:rPr>
                <w:rFonts w:ascii="Arial Narrow" w:hAnsi="Arial Narrow" w:cstheme="minorHAnsi"/>
                <w:sz w:val="20"/>
                <w:szCs w:val="20"/>
              </w:rPr>
              <w:t>subscore</w:t>
            </w:r>
            <w:proofErr w:type="spellEnd"/>
            <w:r w:rsidRPr="006B6856">
              <w:rPr>
                <w:rFonts w:ascii="Arial Narrow" w:hAnsi="Arial Narrow" w:cstheme="minorHAnsi"/>
                <w:sz w:val="20"/>
                <w:szCs w:val="20"/>
              </w:rPr>
              <w:t xml:space="preserve"> is not required for a partial Mayo clinic score).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Population criteria:</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be aged 18 years or older.</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lastRenderedPageBreak/>
              <w:t>Prescriber Instructions</w:t>
            </w:r>
          </w:p>
          <w:p w:rsidR="00DB4453" w:rsidRPr="006B6856" w:rsidRDefault="00DB4453" w:rsidP="00DB4453">
            <w:pPr>
              <w:rPr>
                <w:rFonts w:ascii="Arial Narrow" w:hAnsi="Arial Narrow" w:cstheme="minorHAns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Application for authorisation of initial treatment must be in writing and must include: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 a completed authority prescription form; 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(b) a completed Ulcerative Colitis PBS Authority Application - Supporting Information Form which includes the following:</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w:t>
            </w:r>
            <w:proofErr w:type="spellStart"/>
            <w:r w:rsidRPr="006B6856">
              <w:rPr>
                <w:rFonts w:ascii="Arial Narrow" w:hAnsi="Arial Narrow" w:cstheme="minorHAnsi"/>
                <w:sz w:val="20"/>
                <w:szCs w:val="20"/>
              </w:rPr>
              <w:t>i</w:t>
            </w:r>
            <w:proofErr w:type="spellEnd"/>
            <w:r w:rsidRPr="006B6856">
              <w:rPr>
                <w:rFonts w:ascii="Arial Narrow" w:hAnsi="Arial Narrow" w:cstheme="minorHAnsi"/>
                <w:sz w:val="20"/>
                <w:szCs w:val="20"/>
              </w:rPr>
              <w:t>) the completed current Mayo clinic or partial Mayo clinic calculation sheet including the date of assessment of the patient's condition; 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(ii) details of prior systemic drug therapy [dosage, date of commencement and duration of therapy]; 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(iii) </w:t>
            </w:r>
            <w:proofErr w:type="gramStart"/>
            <w:r w:rsidRPr="006B6856">
              <w:rPr>
                <w:rFonts w:ascii="Arial Narrow" w:hAnsi="Arial Narrow" w:cstheme="minorHAnsi"/>
                <w:sz w:val="20"/>
                <w:szCs w:val="20"/>
              </w:rPr>
              <w:t>the</w:t>
            </w:r>
            <w:proofErr w:type="gramEnd"/>
            <w:r w:rsidRPr="006B6856">
              <w:rPr>
                <w:rFonts w:ascii="Arial Narrow" w:hAnsi="Arial Narrow" w:cstheme="minorHAnsi"/>
                <w:sz w:val="20"/>
                <w:szCs w:val="20"/>
              </w:rPr>
              <w:t xml:space="preserve"> signed patient acknowledgement.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The most recent Mayo clinic or partial Mayo clinic score must be no more than 1 month old at the time of application.</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Patients who fail to achieve a partial Mayo clinic score less than or equal to 2, with no </w:t>
            </w:r>
            <w:proofErr w:type="spellStart"/>
            <w:r w:rsidRPr="006B6856">
              <w:rPr>
                <w:rFonts w:ascii="Arial Narrow" w:hAnsi="Arial Narrow" w:cstheme="minorHAnsi"/>
                <w:sz w:val="20"/>
                <w:szCs w:val="20"/>
              </w:rPr>
              <w:t>subscore</w:t>
            </w:r>
            <w:proofErr w:type="spellEnd"/>
            <w:r w:rsidRPr="006B6856">
              <w:rPr>
                <w:rFonts w:ascii="Arial Narrow" w:hAnsi="Arial Narrow" w:cstheme="minorHAnsi"/>
                <w:sz w:val="20"/>
                <w:szCs w:val="20"/>
              </w:rPr>
              <w:t xml:space="preserve"> greater than 1 or have failed to maintain a partial Mayo clinic score less than or equal to 2, with no </w:t>
            </w:r>
            <w:proofErr w:type="spellStart"/>
            <w:r w:rsidRPr="006B6856">
              <w:rPr>
                <w:rFonts w:ascii="Arial Narrow" w:hAnsi="Arial Narrow" w:cstheme="minorHAnsi"/>
                <w:sz w:val="20"/>
                <w:szCs w:val="20"/>
              </w:rPr>
              <w:t>subscore</w:t>
            </w:r>
            <w:proofErr w:type="spellEnd"/>
            <w:r w:rsidRPr="006B6856">
              <w:rPr>
                <w:rFonts w:ascii="Arial Narrow" w:hAnsi="Arial Narrow" w:cstheme="minorHAnsi"/>
                <w:sz w:val="20"/>
                <w:szCs w:val="20"/>
              </w:rPr>
              <w:t xml:space="preserve"> greater than 1 with continuing treatment with this drug, will not be eligible to receive further PBS-subsidised treatment with this drug.</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 partial Mayo clinic assessment of the patient's response to this initial course of treatment must be made up to 12 weeks after the first dose for patients administered doses at weeks 0, 2, 6 and 10 so that there is adequate time for a response to be demonstrated.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All tests and assessments should be performed preferably whilst still on treatment, but no longer than 1 month following cessation of the most recent prior conventional treatment.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A maximum of 16 weeks of treatment with this drug will be approved under this criterion. Patients receive 8 weeks therapy of 10mg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twice daily, and either change to 5mg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twice daily for weeks 8-16 or continue on 10mg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twice daily from weeks 8-16.</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Patients must have signed a patient acknowledgement indicating they understand and acknowledge that the PBS-subsidised treatment will cease if they do not meet the predetermined response criterion for ongoing PBS-subsidised treatment, as outlined in the restriction for continuing treatment.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If treatment with any of the above-mentioned drugs is contraindicated according to the relevant TGA-approved Product Information, details must be provided at the time of application.</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If intolerance to treatment develops during the relevant period of use, which is of a severity necessitating permanent treatment withdrawal, details of this toxicity must be provided at the time of application.</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lastRenderedPageBreak/>
              <w:t>Administrative Advice</w:t>
            </w:r>
          </w:p>
          <w:p w:rsidR="00DB4453" w:rsidRPr="006B6856" w:rsidRDefault="00DB4453" w:rsidP="00DB4453">
            <w:pPr>
              <w:rPr>
                <w:rFonts w:ascii="Arial Narrow" w:hAnsi="Arial Narrow" w:cstheme="minorHAnsi"/>
                <w: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Note:</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Details of accepted toxicities including severity can be found on the Department of Human Services website at www.humanservices.gov.au.</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Note:</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Any queries concerning the arrangements to prescribe may be directed to the Department of Human Services on 1800 700 270 (hours of operation 8 a.m. to 5 p.m. EST Monday to Friday).</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Prescribing information (including Authority Application forms and other relevant documentation as applicable) is available on the Department of Human Services website at www.humanservices.gov.au</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Applications for authority to prescribe should be forwarded to:</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Department of Human Services</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Complex Drugs</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Reply Paid 9826</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HOBART TAS 7001</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 increase in the maximum number of repeats may be authorised.</w:t>
            </w:r>
          </w:p>
        </w:tc>
      </w:tr>
    </w:tbl>
    <w:p w:rsidR="00DB4453" w:rsidRPr="00B51DEF" w:rsidRDefault="00DB4453" w:rsidP="00DB4453"/>
    <w:p w:rsidR="00DB4453" w:rsidRPr="00B51DEF" w:rsidRDefault="00DB4453" w:rsidP="00DB4453"/>
    <w:tbl>
      <w:tblPr>
        <w:tblW w:w="9072" w:type="dxa"/>
        <w:tblInd w:w="108" w:type="dxa"/>
        <w:tblLayout w:type="fixed"/>
        <w:tblLook w:val="0000" w:firstRow="0" w:lastRow="0" w:firstColumn="0" w:lastColumn="0" w:noHBand="0" w:noVBand="0"/>
      </w:tblPr>
      <w:tblGrid>
        <w:gridCol w:w="3261"/>
        <w:gridCol w:w="5811"/>
      </w:tblGrid>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Program</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Section 85 (General Schedule)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Prescriber Types:</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szCs w:val="20"/>
              </w:rPr>
              <w:fldChar w:fldCharType="begin">
                <w:ffData>
                  <w:name w:val="Check5"/>
                  <w:enabled/>
                  <w:calcOnExit w:val="0"/>
                  <w:checkBox>
                    <w:sizeAuto/>
                    <w:default w:val="1"/>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Medical Practitioners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Moderate to severe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Ulcerative colitis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Moderate to severe ulcerative colitis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Change or Re-commencement of treatment after a break in therapy of less than 5 years (Initial 2)</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Restriction:</w:t>
            </w:r>
          </w:p>
          <w:p w:rsidR="00DB4453" w:rsidRPr="006B6856" w:rsidRDefault="00DB4453" w:rsidP="00DB4453">
            <w:pPr>
              <w:rPr>
                <w:rFonts w:ascii="Arial Narrow" w:hAnsi="Arial Narrow" w:cstheme="minorHAns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1"/>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Restricted benefit</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
                  <w:enabled/>
                  <w:calcOnExit w:val="0"/>
                  <w:checkBox>
                    <w:sizeAuto/>
                    <w:default w:val="1"/>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In Writing</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3"/>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Telephone</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Emergency</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5"/>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Electronic</w:t>
            </w:r>
          </w:p>
          <w:p w:rsidR="00DB4453" w:rsidRPr="006B6856" w:rsidRDefault="00DB4453" w:rsidP="00DB4453">
            <w:pPr>
              <w:spacing w:line="360" w:lineRule="auto"/>
              <w:rPr>
                <w:rFonts w:ascii="Arial Narrow" w:hAnsi="Arial Narrow" w:cstheme="minorHAnsi"/>
                <w:sz w:val="20"/>
              </w:rPr>
            </w:pPr>
            <w:r w:rsidRPr="006B6856">
              <w:rPr>
                <w:rFonts w:ascii="Arial Narrow" w:hAnsi="Arial Narrow" w:cstheme="minorHAnsi"/>
                <w:sz w:val="20"/>
                <w:szCs w:val="20"/>
              </w:rPr>
              <w:fldChar w:fldCharType="begin">
                <w:ffData>
                  <w:name w:val="Check5"/>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Streamlined</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Treatment criteria:</w:t>
            </w:r>
          </w:p>
          <w:p w:rsidR="00DB4453" w:rsidRPr="006B6856" w:rsidRDefault="00DB4453" w:rsidP="00DB4453">
            <w:pPr>
              <w:rPr>
                <w:rFonts w:ascii="Arial Narrow" w:hAnsi="Arial Narrow" w:cstheme="minorHAns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Must be treated by a gastroenterologist (code 87); OR</w:t>
            </w:r>
          </w:p>
          <w:p w:rsidR="00DB4453" w:rsidRPr="006B6856" w:rsidRDefault="00DB4453" w:rsidP="00DB4453">
            <w:pPr>
              <w:rPr>
                <w:rFonts w:ascii="Arial Narrow" w:hAnsi="Arial Narrow" w:cstheme="minorHAnsi"/>
                <w:sz w:val="20"/>
              </w:rPr>
            </w:pPr>
          </w:p>
          <w:p w:rsidR="00DB4453" w:rsidRPr="006B6856" w:rsidRDefault="00DB4453" w:rsidP="00DB4453">
            <w:pPr>
              <w:rPr>
                <w:rFonts w:ascii="Arial Narrow" w:hAnsi="Arial Narrow" w:cstheme="minorHAnsi"/>
                <w:sz w:val="20"/>
              </w:rPr>
            </w:pPr>
            <w:r w:rsidRPr="006B6856">
              <w:rPr>
                <w:rFonts w:ascii="Arial Narrow" w:hAnsi="Arial Narrow" w:cstheme="minorHAnsi"/>
                <w:sz w:val="20"/>
              </w:rPr>
              <w:t>Must be treated by a consultant physician [internal medicine specialising in gastroenterology (code 81)]; OR</w:t>
            </w:r>
          </w:p>
          <w:p w:rsidR="00DB4453" w:rsidRPr="006B6856" w:rsidRDefault="00DB4453" w:rsidP="00DB4453">
            <w:pPr>
              <w:rPr>
                <w:rFonts w:ascii="Arial Narrow" w:hAnsi="Arial Narrow" w:cstheme="minorHAnsi"/>
                <w:sz w:val="20"/>
              </w:rPr>
            </w:pPr>
          </w:p>
          <w:p w:rsidR="00DB4453" w:rsidRPr="006B6856" w:rsidRDefault="00DB4453" w:rsidP="00DB4453">
            <w:pPr>
              <w:rPr>
                <w:rFonts w:ascii="Arial Narrow" w:hAnsi="Arial Narrow" w:cstheme="minorHAnsi"/>
                <w:sz w:val="20"/>
              </w:rPr>
            </w:pPr>
            <w:r w:rsidRPr="006B6856">
              <w:rPr>
                <w:rFonts w:ascii="Arial Narrow" w:hAnsi="Arial Narrow" w:cstheme="minorHAnsi"/>
                <w:sz w:val="20"/>
              </w:rPr>
              <w:t>Must be treated by a consultant physician [general medicine specialising in gastroenterology (code 82)].</w:t>
            </w:r>
          </w:p>
          <w:p w:rsidR="00DB4453" w:rsidRPr="006B6856" w:rsidRDefault="00DB4453" w:rsidP="00DB4453">
            <w:pPr>
              <w:rPr>
                <w:rFonts w:ascii="Arial Narrow" w:hAnsi="Arial Narrow" w:cstheme="minorHAnsi"/>
                <w:sz w:val="20"/>
                <w:szCs w:val="20"/>
              </w:rPr>
            </w:pP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lastRenderedPageBreak/>
              <w:t>Clinical criteria:</w:t>
            </w:r>
          </w:p>
          <w:p w:rsidR="00DB4453" w:rsidRPr="006B6856" w:rsidRDefault="00DB4453" w:rsidP="00DB4453">
            <w:pPr>
              <w:rPr>
                <w:rFonts w:ascii="Arial Narrow" w:hAnsi="Arial Narrow" w:cstheme="minorHAns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 must have previously received PBS-subsidised treatment with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for this condition in this treatment cycle,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 must not have failed PBS-subsidised therapy with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for this condition in the current treatment cycle.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Population criteria:</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be aged 18 years or older.</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Prescriber Instructions</w:t>
            </w:r>
          </w:p>
          <w:p w:rsidR="00DB4453" w:rsidRPr="006B6856" w:rsidRDefault="00DB4453" w:rsidP="00DB4453">
            <w:pPr>
              <w:rPr>
                <w:rFonts w:ascii="Arial Narrow" w:hAnsi="Arial Narrow" w:cstheme="minorHAns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To demonstrate a response to treatment the application must be accompanied by the results of the most recent course of this drug within the timelines specified in the relevant restriction. If the response assessment to the previous course of this drug is not submitted as detailed in the relevant restriction, the patient will be deemed to have failed therapy with this drug.</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A maximum of 16 weeks of treatment with this drug will be approved under this criterion. Patients receive 8 weeks therapy of 10mg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twice daily, and either change to 5mg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twice daily for weeks 8-16 or continue on 10mg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twice daily from weeks 8-16.</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Application for authorisation of change or recommencement treatment must be in writing and must include: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 a completed authority prescription form; 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(b) a completed Ulcerative Colitis PBS Authority Application - Supporting Information Form which includes the following:</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w:t>
            </w:r>
            <w:proofErr w:type="spellStart"/>
            <w:r w:rsidRPr="006B6856">
              <w:rPr>
                <w:rFonts w:ascii="Arial Narrow" w:hAnsi="Arial Narrow" w:cstheme="minorHAnsi"/>
                <w:sz w:val="20"/>
                <w:szCs w:val="20"/>
              </w:rPr>
              <w:t>i</w:t>
            </w:r>
            <w:proofErr w:type="spellEnd"/>
            <w:r w:rsidRPr="006B6856">
              <w:rPr>
                <w:rFonts w:ascii="Arial Narrow" w:hAnsi="Arial Narrow" w:cstheme="minorHAnsi"/>
                <w:sz w:val="20"/>
                <w:szCs w:val="20"/>
              </w:rPr>
              <w:t>) Mayo clinical assessment (to demonstrate response to prior treatment).</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Administrative Advice</w:t>
            </w:r>
          </w:p>
          <w:p w:rsidR="00DB4453" w:rsidRPr="006B6856" w:rsidRDefault="00DB4453" w:rsidP="00DB4453">
            <w:pPr>
              <w:rPr>
                <w:rFonts w:ascii="Arial Narrow" w:hAnsi="Arial Narrow" w:cstheme="minorHAnsi"/>
                <w: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Note:</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Any queries concerning the arrangements to prescribe may be directed to the Department of Human Services on 1800 700 270 (hours of operation 8 a.m. to 5 p.m. EST Monday to Friday).</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Prescribing information (including Authority Application forms and other relevant documentation as applicable) is available on the Department of Human Services website at www.humanservices.gov.au</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Applications for authority to prescribe should be forwarded to:</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Department of Human Services</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Complex Drugs</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Reply Paid 9826</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HOBART TAS 7001</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 increase in the maximum number of repeats may be authorised.</w:t>
            </w:r>
          </w:p>
        </w:tc>
      </w:tr>
    </w:tbl>
    <w:p w:rsidR="00287C1F" w:rsidRDefault="00287C1F" w:rsidP="00DB4453"/>
    <w:p w:rsidR="00287C1F" w:rsidRDefault="00287C1F">
      <w:pPr>
        <w:widowControl/>
        <w:jc w:val="left"/>
      </w:pPr>
      <w:r>
        <w:br w:type="page"/>
      </w:r>
    </w:p>
    <w:tbl>
      <w:tblPr>
        <w:tblW w:w="9072" w:type="dxa"/>
        <w:tblInd w:w="108" w:type="dxa"/>
        <w:tblLayout w:type="fixed"/>
        <w:tblLook w:val="0000" w:firstRow="0" w:lastRow="0" w:firstColumn="0" w:lastColumn="0" w:noHBand="0" w:noVBand="0"/>
      </w:tblPr>
      <w:tblGrid>
        <w:gridCol w:w="3261"/>
        <w:gridCol w:w="850"/>
        <w:gridCol w:w="851"/>
        <w:gridCol w:w="992"/>
        <w:gridCol w:w="1026"/>
        <w:gridCol w:w="2092"/>
      </w:tblGrid>
      <w:tr w:rsidR="00DB4453" w:rsidRPr="006B6856" w:rsidTr="00DB4453">
        <w:trPr>
          <w:cantSplit/>
          <w:trHeight w:val="471"/>
        </w:trPr>
        <w:tc>
          <w:tcPr>
            <w:tcW w:w="4111" w:type="dxa"/>
            <w:gridSpan w:val="2"/>
            <w:tcBorders>
              <w:bottom w:val="single" w:sz="4" w:space="0" w:color="auto"/>
            </w:tcBorders>
          </w:tcPr>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lastRenderedPageBreak/>
              <w:t>Name, Restriction,</w:t>
            </w:r>
          </w:p>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t>Manner of administration and form</w:t>
            </w:r>
          </w:p>
        </w:tc>
        <w:tc>
          <w:tcPr>
            <w:tcW w:w="851" w:type="dxa"/>
            <w:tcBorders>
              <w:bottom w:val="single" w:sz="4" w:space="0" w:color="auto"/>
            </w:tcBorders>
          </w:tcPr>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t>Max.</w:t>
            </w:r>
          </w:p>
          <w:p w:rsidR="00DB4453" w:rsidRPr="006B6856" w:rsidRDefault="00DB4453" w:rsidP="00DB4453">
            <w:pPr>
              <w:keepNext/>
              <w:ind w:left="-108"/>
              <w:rPr>
                <w:rFonts w:ascii="Arial Narrow" w:hAnsi="Arial Narrow" w:cstheme="minorHAnsi"/>
                <w:sz w:val="20"/>
              </w:rPr>
            </w:pPr>
            <w:proofErr w:type="spellStart"/>
            <w:r w:rsidRPr="006B6856">
              <w:rPr>
                <w:rFonts w:ascii="Arial Narrow" w:hAnsi="Arial Narrow" w:cstheme="minorHAnsi"/>
                <w:sz w:val="20"/>
              </w:rPr>
              <w:t>Qty</w:t>
            </w:r>
            <w:proofErr w:type="spellEnd"/>
          </w:p>
        </w:tc>
        <w:tc>
          <w:tcPr>
            <w:tcW w:w="992" w:type="dxa"/>
            <w:tcBorders>
              <w:bottom w:val="single" w:sz="4" w:space="0" w:color="auto"/>
            </w:tcBorders>
          </w:tcPr>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t>№.of</w:t>
            </w:r>
          </w:p>
          <w:p w:rsidR="00DB4453" w:rsidRPr="006B6856" w:rsidRDefault="00DB4453" w:rsidP="00DB4453">
            <w:pPr>
              <w:keepNext/>
              <w:ind w:left="-108"/>
              <w:rPr>
                <w:rFonts w:ascii="Arial Narrow" w:hAnsi="Arial Narrow" w:cstheme="minorHAnsi"/>
                <w:sz w:val="20"/>
              </w:rPr>
            </w:pPr>
            <w:proofErr w:type="spellStart"/>
            <w:r w:rsidRPr="006B6856">
              <w:rPr>
                <w:rFonts w:ascii="Arial Narrow" w:hAnsi="Arial Narrow" w:cstheme="minorHAnsi"/>
                <w:sz w:val="20"/>
              </w:rPr>
              <w:t>Rpts</w:t>
            </w:r>
            <w:proofErr w:type="spellEnd"/>
          </w:p>
        </w:tc>
        <w:tc>
          <w:tcPr>
            <w:tcW w:w="3118" w:type="dxa"/>
            <w:gridSpan w:val="2"/>
            <w:tcBorders>
              <w:bottom w:val="single" w:sz="4" w:space="0" w:color="auto"/>
            </w:tcBorders>
          </w:tcPr>
          <w:p w:rsidR="00DB4453" w:rsidRPr="006B6856" w:rsidRDefault="00DB4453" w:rsidP="00DB4453">
            <w:pPr>
              <w:keepNext/>
              <w:rPr>
                <w:rFonts w:ascii="Arial Narrow" w:hAnsi="Arial Narrow" w:cstheme="minorHAnsi"/>
                <w:sz w:val="20"/>
              </w:rPr>
            </w:pPr>
            <w:r w:rsidRPr="006B6856">
              <w:rPr>
                <w:rFonts w:ascii="Arial Narrow" w:hAnsi="Arial Narrow" w:cstheme="minorHAnsi"/>
                <w:sz w:val="20"/>
              </w:rPr>
              <w:t>Proprietary Name and Manufacturer</w:t>
            </w:r>
          </w:p>
        </w:tc>
      </w:tr>
      <w:tr w:rsidR="00DB4453" w:rsidRPr="006B6856" w:rsidTr="00DB4453">
        <w:trPr>
          <w:cantSplit/>
          <w:trHeight w:val="577"/>
        </w:trPr>
        <w:tc>
          <w:tcPr>
            <w:tcW w:w="4111" w:type="dxa"/>
            <w:gridSpan w:val="2"/>
          </w:tcPr>
          <w:p w:rsidR="00DB4453" w:rsidRPr="006B6856" w:rsidRDefault="00DB4453" w:rsidP="00DB4453">
            <w:pPr>
              <w:keepNext/>
              <w:ind w:left="-108"/>
              <w:rPr>
                <w:rFonts w:ascii="Arial Narrow" w:hAnsi="Arial Narrow" w:cstheme="minorHAnsi"/>
                <w:sz w:val="20"/>
                <w:szCs w:val="20"/>
              </w:rPr>
            </w:pPr>
            <w:r w:rsidRPr="006B6856">
              <w:rPr>
                <w:rFonts w:ascii="Arial Narrow" w:hAnsi="Arial Narrow" w:cstheme="minorHAnsi"/>
                <w:smallCaps/>
                <w:sz w:val="20"/>
                <w:szCs w:val="20"/>
              </w:rPr>
              <w:t>TOFACITINIB</w:t>
            </w:r>
          </w:p>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t>Tablet 5mg, 56</w:t>
            </w:r>
          </w:p>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t>Tablet 10mg, 56</w:t>
            </w:r>
          </w:p>
        </w:tc>
        <w:tc>
          <w:tcPr>
            <w:tcW w:w="851" w:type="dxa"/>
          </w:tcPr>
          <w:p w:rsidR="00DB4453" w:rsidRPr="006B6856" w:rsidRDefault="00DB4453" w:rsidP="00DB4453">
            <w:pPr>
              <w:keepNext/>
              <w:ind w:left="-108"/>
              <w:rPr>
                <w:rFonts w:ascii="Arial Narrow" w:hAnsi="Arial Narrow" w:cstheme="minorHAnsi"/>
                <w:sz w:val="20"/>
              </w:rPr>
            </w:pPr>
          </w:p>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t>1</w:t>
            </w:r>
          </w:p>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t>1</w:t>
            </w:r>
          </w:p>
        </w:tc>
        <w:tc>
          <w:tcPr>
            <w:tcW w:w="992" w:type="dxa"/>
          </w:tcPr>
          <w:p w:rsidR="00DB4453" w:rsidRPr="006B6856" w:rsidRDefault="00DB4453" w:rsidP="00DB4453">
            <w:pPr>
              <w:keepNext/>
              <w:ind w:left="-108"/>
              <w:rPr>
                <w:rFonts w:ascii="Arial Narrow" w:hAnsi="Arial Narrow" w:cstheme="minorHAnsi"/>
                <w:sz w:val="20"/>
              </w:rPr>
            </w:pPr>
          </w:p>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t>5</w:t>
            </w:r>
          </w:p>
          <w:p w:rsidR="00DB4453" w:rsidRPr="006B6856" w:rsidRDefault="00DB4453" w:rsidP="00DB4453">
            <w:pPr>
              <w:keepNext/>
              <w:ind w:left="-108"/>
              <w:rPr>
                <w:rFonts w:ascii="Arial Narrow" w:hAnsi="Arial Narrow" w:cstheme="minorHAnsi"/>
                <w:sz w:val="20"/>
              </w:rPr>
            </w:pPr>
            <w:r w:rsidRPr="006B6856">
              <w:rPr>
                <w:rFonts w:ascii="Arial Narrow" w:hAnsi="Arial Narrow" w:cstheme="minorHAnsi"/>
                <w:sz w:val="20"/>
              </w:rPr>
              <w:t>5</w:t>
            </w:r>
          </w:p>
        </w:tc>
        <w:tc>
          <w:tcPr>
            <w:tcW w:w="1026" w:type="dxa"/>
          </w:tcPr>
          <w:p w:rsidR="00DB4453" w:rsidRPr="006B6856" w:rsidRDefault="00DB4453" w:rsidP="00DB4453">
            <w:pPr>
              <w:keepNext/>
              <w:rPr>
                <w:rFonts w:ascii="Arial Narrow" w:hAnsi="Arial Narrow" w:cstheme="minorHAnsi"/>
                <w:sz w:val="20"/>
              </w:rPr>
            </w:pPr>
          </w:p>
          <w:p w:rsidR="00DB4453" w:rsidRPr="006B6856" w:rsidRDefault="00DB4453" w:rsidP="00DB4453">
            <w:pPr>
              <w:keepNext/>
              <w:rPr>
                <w:rFonts w:ascii="Arial Narrow" w:hAnsi="Arial Narrow" w:cstheme="minorHAnsi"/>
                <w:sz w:val="20"/>
                <w:vertAlign w:val="superscript"/>
              </w:rPr>
            </w:pPr>
            <w:proofErr w:type="spellStart"/>
            <w:r w:rsidRPr="006B6856">
              <w:rPr>
                <w:rFonts w:ascii="Arial Narrow" w:hAnsi="Arial Narrow" w:cstheme="minorHAnsi"/>
                <w:sz w:val="20"/>
              </w:rPr>
              <w:t>Xeljanz</w:t>
            </w:r>
            <w:proofErr w:type="spellEnd"/>
            <w:r w:rsidRPr="006B6856">
              <w:rPr>
                <w:rFonts w:ascii="Arial Narrow" w:hAnsi="Arial Narrow" w:cstheme="minorHAnsi"/>
                <w:sz w:val="20"/>
                <w:vertAlign w:val="superscript"/>
              </w:rPr>
              <w:t>®</w:t>
            </w:r>
          </w:p>
        </w:tc>
        <w:tc>
          <w:tcPr>
            <w:tcW w:w="2092" w:type="dxa"/>
          </w:tcPr>
          <w:p w:rsidR="00DB4453" w:rsidRPr="006B6856" w:rsidRDefault="00DB4453" w:rsidP="00DB4453">
            <w:pPr>
              <w:keepNext/>
              <w:rPr>
                <w:rFonts w:ascii="Arial Narrow" w:hAnsi="Arial Narrow" w:cstheme="minorHAnsi"/>
                <w:sz w:val="20"/>
              </w:rPr>
            </w:pPr>
          </w:p>
          <w:p w:rsidR="00DB4453" w:rsidRPr="006B6856" w:rsidRDefault="00DB4453" w:rsidP="00DB4453">
            <w:pPr>
              <w:keepNext/>
              <w:rPr>
                <w:rFonts w:ascii="Arial Narrow" w:hAnsi="Arial Narrow" w:cstheme="minorHAnsi"/>
                <w:sz w:val="20"/>
              </w:rPr>
            </w:pPr>
            <w:r w:rsidRPr="006B6856">
              <w:rPr>
                <w:rFonts w:ascii="Arial Narrow" w:hAnsi="Arial Narrow" w:cstheme="minorHAnsi"/>
                <w:sz w:val="20"/>
              </w:rPr>
              <w:t>Pfizer Australia Pty Ltd</w:t>
            </w:r>
          </w:p>
        </w:tc>
      </w:tr>
      <w:tr w:rsidR="00DB4453" w:rsidRPr="006B6856" w:rsidTr="00DB4453">
        <w:trPr>
          <w:cantSplit/>
          <w:trHeight w:val="360"/>
        </w:trPr>
        <w:tc>
          <w:tcPr>
            <w:tcW w:w="9072" w:type="dxa"/>
            <w:gridSpan w:val="6"/>
            <w:tcBorders>
              <w:bottom w:val="single" w:sz="4" w:space="0" w:color="auto"/>
            </w:tcBorders>
          </w:tcPr>
          <w:p w:rsidR="00DB4453" w:rsidRPr="006B6856" w:rsidRDefault="00DB4453" w:rsidP="00DB4453">
            <w:pPr>
              <w:rPr>
                <w:rFonts w:ascii="Arial Narrow" w:hAnsi="Arial Narrow" w:cstheme="minorHAnsi"/>
                <w:sz w:val="20"/>
              </w:rPr>
            </w:pP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Program</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Section 85 (General Schedule)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Prescriber Types:</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szCs w:val="20"/>
              </w:rPr>
              <w:fldChar w:fldCharType="begin">
                <w:ffData>
                  <w:name w:val="Check5"/>
                  <w:enabled/>
                  <w:calcOnExit w:val="0"/>
                  <w:checkBox>
                    <w:sizeAuto/>
                    <w:default w:val="1"/>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Medical Practitioners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Severity:</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Moderate to severe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Condition:</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Ulcerative colitis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PBS Indication:</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Moderate to severe ulcerative colitis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Treatment phase:</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Continuing treatment</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Restriction:</w:t>
            </w:r>
          </w:p>
          <w:p w:rsidR="00DB4453" w:rsidRPr="006B6856" w:rsidRDefault="00DB4453" w:rsidP="00DB4453">
            <w:pPr>
              <w:rPr>
                <w:rFonts w:ascii="Arial Narrow" w:hAnsi="Arial Narrow" w:cstheme="minorHAns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1"/>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Restricted benefit</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
                  <w:enabled/>
                  <w:calcOnExit w:val="0"/>
                  <w:checkBox>
                    <w:sizeAuto/>
                    <w:default w:val="1"/>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In Writing</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3"/>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Telephone</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Emergency</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5"/>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Electronic</w:t>
            </w:r>
          </w:p>
          <w:p w:rsidR="00DB4453" w:rsidRPr="006B6856" w:rsidRDefault="00DB4453" w:rsidP="00DB4453">
            <w:pPr>
              <w:spacing w:line="360" w:lineRule="auto"/>
              <w:rPr>
                <w:rFonts w:ascii="Arial Narrow" w:hAnsi="Arial Narrow" w:cstheme="minorHAnsi"/>
                <w:sz w:val="20"/>
              </w:rPr>
            </w:pPr>
            <w:r w:rsidRPr="006B6856">
              <w:rPr>
                <w:rFonts w:ascii="Arial Narrow" w:hAnsi="Arial Narrow" w:cstheme="minorHAnsi"/>
                <w:sz w:val="20"/>
                <w:szCs w:val="20"/>
              </w:rPr>
              <w:fldChar w:fldCharType="begin">
                <w:ffData>
                  <w:name w:val="Check5"/>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Streamlined</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Treatment criteria:</w:t>
            </w:r>
          </w:p>
          <w:p w:rsidR="00DB4453" w:rsidRPr="006B6856" w:rsidRDefault="00DB4453" w:rsidP="00DB4453">
            <w:pPr>
              <w:rPr>
                <w:rFonts w:ascii="Arial Narrow" w:hAnsi="Arial Narrow" w:cstheme="minorHAns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Must be treated by a gastroenterologist (code 87); OR</w:t>
            </w:r>
          </w:p>
          <w:p w:rsidR="00DB4453" w:rsidRPr="006B6856" w:rsidRDefault="00DB4453" w:rsidP="00DB4453">
            <w:pPr>
              <w:rPr>
                <w:rFonts w:ascii="Arial Narrow" w:hAnsi="Arial Narrow" w:cstheme="minorHAnsi"/>
                <w:sz w:val="20"/>
              </w:rPr>
            </w:pPr>
          </w:p>
          <w:p w:rsidR="00DB4453" w:rsidRPr="006B6856" w:rsidRDefault="00DB4453" w:rsidP="00DB4453">
            <w:pPr>
              <w:rPr>
                <w:rFonts w:ascii="Arial Narrow" w:hAnsi="Arial Narrow" w:cstheme="minorHAnsi"/>
                <w:sz w:val="20"/>
              </w:rPr>
            </w:pPr>
            <w:r w:rsidRPr="006B6856">
              <w:rPr>
                <w:rFonts w:ascii="Arial Narrow" w:hAnsi="Arial Narrow" w:cstheme="minorHAnsi"/>
                <w:sz w:val="20"/>
              </w:rPr>
              <w:t>Must be treated by a consultant physician [internal medicine specialising in gastroenterology (code 81)]; OR</w:t>
            </w:r>
          </w:p>
          <w:p w:rsidR="00DB4453" w:rsidRPr="006B6856" w:rsidRDefault="00DB4453" w:rsidP="00DB4453">
            <w:pPr>
              <w:rPr>
                <w:rFonts w:ascii="Arial Narrow" w:hAnsi="Arial Narrow" w:cstheme="minorHAnsi"/>
                <w:sz w:val="20"/>
              </w:rPr>
            </w:pPr>
          </w:p>
          <w:p w:rsidR="00DB4453" w:rsidRPr="006B6856" w:rsidRDefault="00DB4453" w:rsidP="00DB4453">
            <w:pPr>
              <w:rPr>
                <w:rFonts w:ascii="Arial Narrow" w:hAnsi="Arial Narrow" w:cstheme="minorHAnsi"/>
                <w:sz w:val="20"/>
              </w:rPr>
            </w:pPr>
            <w:r w:rsidRPr="006B6856">
              <w:rPr>
                <w:rFonts w:ascii="Arial Narrow" w:hAnsi="Arial Narrow" w:cstheme="minorHAnsi"/>
                <w:sz w:val="20"/>
              </w:rPr>
              <w:t>Must be treated by a consultant physician [general medicine specialising in gastroenterology (code 82)].</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Clinical criteria:</w:t>
            </w:r>
          </w:p>
          <w:p w:rsidR="00DB4453" w:rsidRPr="006B6856" w:rsidRDefault="00DB4453" w:rsidP="00DB4453">
            <w:pPr>
              <w:rPr>
                <w:rFonts w:ascii="Arial Narrow" w:hAnsi="Arial Narrow" w:cstheme="minorHAns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have previously received PBS-subsidised treatment with this drug for this condition,</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 must have demonstrated or sustained an adequate response to treatment by having a partial Mayo clinic score less than or equal to 2, with no </w:t>
            </w:r>
            <w:proofErr w:type="spellStart"/>
            <w:r w:rsidRPr="006B6856">
              <w:rPr>
                <w:rFonts w:ascii="Arial Narrow" w:hAnsi="Arial Narrow" w:cstheme="minorHAnsi"/>
                <w:sz w:val="20"/>
                <w:szCs w:val="20"/>
              </w:rPr>
              <w:t>subscore</w:t>
            </w:r>
            <w:proofErr w:type="spellEnd"/>
            <w:r w:rsidRPr="006B6856">
              <w:rPr>
                <w:rFonts w:ascii="Arial Narrow" w:hAnsi="Arial Narrow" w:cstheme="minorHAnsi"/>
                <w:sz w:val="20"/>
                <w:szCs w:val="20"/>
              </w:rPr>
              <w:t xml:space="preserve"> greater than 1 while receiving treatment with this drug.</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Population criteria:</w:t>
            </w: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be 18 years or older.</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Prescriber Instructions</w:t>
            </w:r>
          </w:p>
          <w:p w:rsidR="00DB4453" w:rsidRPr="006B6856" w:rsidRDefault="00DB4453" w:rsidP="00DB4453">
            <w:pPr>
              <w:rPr>
                <w:rFonts w:ascii="Arial Narrow" w:hAnsi="Arial Narrow" w:cstheme="minorHAns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Patients who have failed to maintain a partial Mayo clinic score less than or equal to 2, with no </w:t>
            </w:r>
            <w:proofErr w:type="spellStart"/>
            <w:r w:rsidRPr="006B6856">
              <w:rPr>
                <w:rFonts w:ascii="Arial Narrow" w:hAnsi="Arial Narrow" w:cstheme="minorHAnsi"/>
                <w:sz w:val="20"/>
                <w:szCs w:val="20"/>
              </w:rPr>
              <w:t>subscore</w:t>
            </w:r>
            <w:proofErr w:type="spellEnd"/>
            <w:r w:rsidRPr="006B6856">
              <w:rPr>
                <w:rFonts w:ascii="Arial Narrow" w:hAnsi="Arial Narrow" w:cstheme="minorHAnsi"/>
                <w:sz w:val="20"/>
                <w:szCs w:val="20"/>
              </w:rPr>
              <w:t xml:space="preserve"> greater than 1 with continuing treatment with this drug, will not be eligible to receive further PBS-subsidised treatment with this drug.</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Patients are eligible to receive continuing treatment with this drug in courses of up to 24 weeks providing they continue to sustain the response.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At the time of the authority application, medical practitioners should request sufficient quantity for up to 24 weeks of treatment under this restriction.</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lastRenderedPageBreak/>
              <w:t>Administrative Advice</w:t>
            </w:r>
          </w:p>
          <w:p w:rsidR="00DB4453" w:rsidRPr="006B6856" w:rsidRDefault="00DB4453" w:rsidP="00DB4453">
            <w:pPr>
              <w:rPr>
                <w:rFonts w:ascii="Arial Narrow" w:hAnsi="Arial Narrow" w:cstheme="minorHAnsi"/>
                <w:i/>
                <w:sz w:val="20"/>
                <w:szCs w:val="20"/>
              </w:rPr>
            </w:pPr>
          </w:p>
        </w:tc>
        <w:tc>
          <w:tcPr>
            <w:tcW w:w="5811" w:type="dxa"/>
            <w:gridSpan w:val="5"/>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Note:</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Authority approval for sufficient therapy to complete a maximum of 24 weeks of treatment may be requested by telephone by contacting the Department of Human Services on 1800 700 270 (hours of operation 8 a.m. to 5 p.m. EST Monday to Friday).</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 increase in the maximum quantity or number of units may be authorised.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 increase in the maximum number of repeats may be authorised.</w:t>
            </w:r>
          </w:p>
        </w:tc>
      </w:tr>
    </w:tbl>
    <w:p w:rsidR="00DB4453" w:rsidRPr="00B51DEF" w:rsidRDefault="00DB4453" w:rsidP="00DB4453"/>
    <w:tbl>
      <w:tblPr>
        <w:tblW w:w="9072" w:type="dxa"/>
        <w:tblInd w:w="108" w:type="dxa"/>
        <w:tblLayout w:type="fixed"/>
        <w:tblLook w:val="0000" w:firstRow="0" w:lastRow="0" w:firstColumn="0" w:lastColumn="0" w:noHBand="0" w:noVBand="0"/>
      </w:tblPr>
      <w:tblGrid>
        <w:gridCol w:w="3261"/>
        <w:gridCol w:w="5811"/>
      </w:tblGrid>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Program</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Section 85 (General Schedule)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Prescriber Types:</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szCs w:val="20"/>
              </w:rPr>
              <w:fldChar w:fldCharType="begin">
                <w:ffData>
                  <w:name w:val="Check5"/>
                  <w:enabled/>
                  <w:calcOnExit w:val="0"/>
                  <w:checkBox>
                    <w:sizeAuto/>
                    <w:default w:val="1"/>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Medical Practitioners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Severity:</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Moderate to severe</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Condition:</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Ulcerative colitis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Moderate to severe ulcerative colitis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Treatment phase:</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Initial 3 (Grandfathered patients)</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Restriction:</w:t>
            </w:r>
          </w:p>
          <w:p w:rsidR="00DB4453" w:rsidRPr="006B6856" w:rsidRDefault="00DB4453" w:rsidP="00DB4453">
            <w:pPr>
              <w:rPr>
                <w:rFonts w:ascii="Arial Narrow" w:hAnsi="Arial Narrow" w:cstheme="minorHAns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1"/>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Restricted benefit</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
                  <w:enabled/>
                  <w:calcOnExit w:val="0"/>
                  <w:checkBox>
                    <w:sizeAuto/>
                    <w:default w:val="1"/>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In Writing</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3"/>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Telephone</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Emergency</w:t>
            </w:r>
          </w:p>
          <w:p w:rsidR="00DB4453" w:rsidRPr="006B6856" w:rsidRDefault="00DB4453" w:rsidP="00DB4453">
            <w:pPr>
              <w:spacing w:line="360" w:lineRule="auto"/>
              <w:rPr>
                <w:rFonts w:ascii="Arial Narrow" w:hAnsi="Arial Narrow" w:cstheme="minorHAnsi"/>
                <w:sz w:val="20"/>
                <w:szCs w:val="20"/>
              </w:rPr>
            </w:pPr>
            <w:r w:rsidRPr="006B6856">
              <w:rPr>
                <w:rFonts w:ascii="Arial Narrow" w:hAnsi="Arial Narrow" w:cstheme="minorHAnsi"/>
                <w:sz w:val="20"/>
                <w:szCs w:val="20"/>
              </w:rPr>
              <w:fldChar w:fldCharType="begin">
                <w:ffData>
                  <w:name w:val="Check5"/>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Authority Required - Electronic</w:t>
            </w:r>
          </w:p>
          <w:p w:rsidR="00DB4453" w:rsidRPr="006B6856" w:rsidRDefault="00DB4453" w:rsidP="00DB4453">
            <w:pPr>
              <w:spacing w:line="360" w:lineRule="auto"/>
              <w:rPr>
                <w:rFonts w:ascii="Arial Narrow" w:hAnsi="Arial Narrow" w:cstheme="minorHAnsi"/>
                <w:sz w:val="20"/>
              </w:rPr>
            </w:pPr>
            <w:r w:rsidRPr="006B6856">
              <w:rPr>
                <w:rFonts w:ascii="Arial Narrow" w:hAnsi="Arial Narrow" w:cstheme="minorHAnsi"/>
                <w:sz w:val="20"/>
                <w:szCs w:val="20"/>
              </w:rPr>
              <w:fldChar w:fldCharType="begin">
                <w:ffData>
                  <w:name w:val="Check5"/>
                  <w:enabled/>
                  <w:calcOnExit w:val="0"/>
                  <w:checkBox>
                    <w:sizeAuto/>
                    <w:default w:val="0"/>
                  </w:checkBox>
                </w:ffData>
              </w:fldChar>
            </w:r>
            <w:r w:rsidRPr="006B6856">
              <w:rPr>
                <w:rFonts w:ascii="Arial Narrow" w:hAnsi="Arial Narrow" w:cstheme="minorHAnsi"/>
                <w:sz w:val="20"/>
                <w:szCs w:val="20"/>
              </w:rPr>
              <w:instrText xml:space="preserve"> FORMCHECKBOX </w:instrText>
            </w:r>
            <w:r w:rsidR="003C1244">
              <w:rPr>
                <w:rFonts w:ascii="Arial Narrow" w:hAnsi="Arial Narrow" w:cstheme="minorHAnsi"/>
                <w:sz w:val="20"/>
                <w:szCs w:val="20"/>
              </w:rPr>
            </w:r>
            <w:r w:rsidR="003C1244">
              <w:rPr>
                <w:rFonts w:ascii="Arial Narrow" w:hAnsi="Arial Narrow" w:cstheme="minorHAnsi"/>
                <w:sz w:val="20"/>
                <w:szCs w:val="20"/>
              </w:rPr>
              <w:fldChar w:fldCharType="separate"/>
            </w:r>
            <w:r w:rsidRPr="006B6856">
              <w:rPr>
                <w:rFonts w:ascii="Arial Narrow" w:hAnsi="Arial Narrow" w:cstheme="minorHAnsi"/>
                <w:sz w:val="20"/>
                <w:szCs w:val="20"/>
              </w:rPr>
              <w:fldChar w:fldCharType="end"/>
            </w:r>
            <w:r w:rsidRPr="006B6856">
              <w:rPr>
                <w:rFonts w:ascii="Arial Narrow" w:hAnsi="Arial Narrow" w:cstheme="minorHAnsi"/>
                <w:sz w:val="20"/>
                <w:szCs w:val="20"/>
              </w:rPr>
              <w:t>Streamlined</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Treatment criteria:</w:t>
            </w:r>
          </w:p>
          <w:p w:rsidR="00DB4453" w:rsidRPr="006B6856" w:rsidRDefault="00DB4453" w:rsidP="00DB4453">
            <w:pPr>
              <w:rPr>
                <w:rFonts w:ascii="Arial Narrow" w:hAnsi="Arial Narrow" w:cstheme="minorHAns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rPr>
            </w:pPr>
            <w:r w:rsidRPr="006B6856">
              <w:rPr>
                <w:rFonts w:ascii="Arial Narrow" w:hAnsi="Arial Narrow" w:cstheme="minorHAnsi"/>
                <w:sz w:val="20"/>
              </w:rPr>
              <w:t>Must be treated by a gastroenterologist (code 87); OR</w:t>
            </w:r>
          </w:p>
          <w:p w:rsidR="00DB4453" w:rsidRPr="006B6856" w:rsidRDefault="00DB4453" w:rsidP="00DB4453">
            <w:pPr>
              <w:rPr>
                <w:rFonts w:ascii="Arial Narrow" w:hAnsi="Arial Narrow" w:cstheme="minorHAnsi"/>
                <w:sz w:val="20"/>
              </w:rPr>
            </w:pPr>
          </w:p>
          <w:p w:rsidR="00DB4453" w:rsidRPr="006B6856" w:rsidRDefault="00DB4453" w:rsidP="00DB4453">
            <w:pPr>
              <w:rPr>
                <w:rFonts w:ascii="Arial Narrow" w:hAnsi="Arial Narrow" w:cstheme="minorHAnsi"/>
                <w:sz w:val="20"/>
              </w:rPr>
            </w:pPr>
            <w:r w:rsidRPr="006B6856">
              <w:rPr>
                <w:rFonts w:ascii="Arial Narrow" w:hAnsi="Arial Narrow" w:cstheme="minorHAnsi"/>
                <w:sz w:val="20"/>
              </w:rPr>
              <w:t>Must be treated by a consultant physician [internal medicine specialising in gastroenterology (code 81)]; OR</w:t>
            </w:r>
          </w:p>
          <w:p w:rsidR="00DB4453" w:rsidRPr="006B6856" w:rsidRDefault="00DB4453" w:rsidP="00DB4453">
            <w:pPr>
              <w:rPr>
                <w:rFonts w:ascii="Arial Narrow" w:hAnsi="Arial Narrow" w:cstheme="minorHAnsi"/>
                <w:sz w:val="20"/>
              </w:rPr>
            </w:pPr>
          </w:p>
          <w:p w:rsidR="00DB4453" w:rsidRPr="006B6856" w:rsidRDefault="00DB4453" w:rsidP="00DB4453">
            <w:pPr>
              <w:rPr>
                <w:rFonts w:ascii="Arial Narrow" w:hAnsi="Arial Narrow" w:cstheme="minorHAnsi"/>
                <w:sz w:val="20"/>
              </w:rPr>
            </w:pPr>
            <w:r w:rsidRPr="006B6856">
              <w:rPr>
                <w:rFonts w:ascii="Arial Narrow" w:hAnsi="Arial Narrow" w:cstheme="minorHAnsi"/>
                <w:sz w:val="20"/>
              </w:rPr>
              <w:t>Must be treated by a consultant physician [general medicine specialising in gastroenterology (code 82)].</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lastRenderedPageBreak/>
              <w:t>Clinical criteria:</w:t>
            </w:r>
          </w:p>
          <w:p w:rsidR="00DB4453" w:rsidRPr="006B6856" w:rsidRDefault="00DB4453" w:rsidP="00DB4453">
            <w:pPr>
              <w:rPr>
                <w:rFonts w:ascii="Arial Narrow" w:hAnsi="Arial Narrow" w:cstheme="minorHAns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 must have previously received non-PBS-subsidised therapy with this drug for this condition prior to </w:t>
            </w:r>
            <w:r w:rsidRPr="006B6856">
              <w:rPr>
                <w:rFonts w:ascii="Arial Narrow" w:hAnsi="Arial Narrow" w:cstheme="minorHAnsi"/>
                <w:color w:val="FF0000"/>
                <w:sz w:val="20"/>
                <w:szCs w:val="20"/>
              </w:rPr>
              <w:t>&lt;&lt;listing date&gt;&gt;,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have had a Mayo clinic score greater than or equal to 6 prior to commencing treatment with this drug; or</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 must have had a partial Mayo clinic score greater than or equal to 6, provided the rectal bleeding and stool frequency </w:t>
            </w:r>
            <w:proofErr w:type="spellStart"/>
            <w:r w:rsidRPr="006B6856">
              <w:rPr>
                <w:rFonts w:ascii="Arial Narrow" w:hAnsi="Arial Narrow" w:cstheme="minorHAnsi"/>
                <w:sz w:val="20"/>
                <w:szCs w:val="20"/>
              </w:rPr>
              <w:t>subscores</w:t>
            </w:r>
            <w:proofErr w:type="spellEnd"/>
            <w:r w:rsidRPr="006B6856">
              <w:rPr>
                <w:rFonts w:ascii="Arial Narrow" w:hAnsi="Arial Narrow" w:cstheme="minorHAnsi"/>
                <w:sz w:val="20"/>
                <w:szCs w:val="20"/>
              </w:rPr>
              <w:t xml:space="preserve"> were both greater than or equal to 2 (endoscopy </w:t>
            </w:r>
            <w:proofErr w:type="spellStart"/>
            <w:r w:rsidRPr="006B6856">
              <w:rPr>
                <w:rFonts w:ascii="Arial Narrow" w:hAnsi="Arial Narrow" w:cstheme="minorHAnsi"/>
                <w:sz w:val="20"/>
                <w:szCs w:val="20"/>
              </w:rPr>
              <w:t>subscore</w:t>
            </w:r>
            <w:proofErr w:type="spellEnd"/>
            <w:r w:rsidRPr="006B6856">
              <w:rPr>
                <w:rFonts w:ascii="Arial Narrow" w:hAnsi="Arial Narrow" w:cstheme="minorHAnsi"/>
                <w:sz w:val="20"/>
                <w:szCs w:val="20"/>
              </w:rPr>
              <w:t xml:space="preserve"> is not required for a partial Mayo score) prior to commencing treatment with this drug; or</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have a documented history of moderate to severe refractory ulcerative colitis prior to having commenced treatment with this drug where a Mayo clinic, partial Mayo clinic baseline assessment is not available,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AND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 must have demonstrated or sustained an adequate response to treatment by having a partial Mayo clinic score less than or equal to 2, with no </w:t>
            </w:r>
            <w:proofErr w:type="spellStart"/>
            <w:r w:rsidRPr="006B6856">
              <w:rPr>
                <w:rFonts w:ascii="Arial Narrow" w:hAnsi="Arial Narrow" w:cstheme="minorHAnsi"/>
                <w:sz w:val="20"/>
                <w:szCs w:val="20"/>
              </w:rPr>
              <w:t>subscore</w:t>
            </w:r>
            <w:proofErr w:type="spellEnd"/>
            <w:r w:rsidRPr="006B6856">
              <w:rPr>
                <w:rFonts w:ascii="Arial Narrow" w:hAnsi="Arial Narrow" w:cstheme="minorHAnsi"/>
                <w:sz w:val="20"/>
                <w:szCs w:val="20"/>
              </w:rPr>
              <w:t xml:space="preserve"> greater than 1 after 16 weeks treatment with this drug.</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Population criteria:</w:t>
            </w: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 must be 18 years or older.</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Prescriber Instructions</w:t>
            </w:r>
          </w:p>
          <w:p w:rsidR="00DB4453" w:rsidRPr="006B6856" w:rsidRDefault="00DB4453" w:rsidP="00DB4453">
            <w:pPr>
              <w:rPr>
                <w:rFonts w:ascii="Arial Narrow" w:hAnsi="Arial Narrow" w:cstheme="minorHAns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Patients who have failed to maintain a partial Mayo clinic score less than or equal to 2, with no </w:t>
            </w:r>
            <w:proofErr w:type="spellStart"/>
            <w:r w:rsidRPr="006B6856">
              <w:rPr>
                <w:rFonts w:ascii="Arial Narrow" w:hAnsi="Arial Narrow" w:cstheme="minorHAnsi"/>
                <w:sz w:val="20"/>
                <w:szCs w:val="20"/>
              </w:rPr>
              <w:t>subscore</w:t>
            </w:r>
            <w:proofErr w:type="spellEnd"/>
            <w:r w:rsidRPr="006B6856">
              <w:rPr>
                <w:rFonts w:ascii="Arial Narrow" w:hAnsi="Arial Narrow" w:cstheme="minorHAnsi"/>
                <w:sz w:val="20"/>
                <w:szCs w:val="20"/>
              </w:rPr>
              <w:t xml:space="preserve"> greater than 1 with continuing treatment with this drug, will not be eligible to receive further PBS-subsidised treatment with this drug.</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Patients are eligible to receive continuing treatment with this drug in courses of up to 24 weeks providing they continue to sustain the response.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At the time of the authority application, medical practitioners should request sufficient quantity for up to 24 weeks of treatment under this restriction.</w:t>
            </w:r>
          </w:p>
        </w:tc>
      </w:tr>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t>Administrative Advice</w:t>
            </w:r>
          </w:p>
          <w:p w:rsidR="00DB4453" w:rsidRPr="006B6856" w:rsidRDefault="00DB4453" w:rsidP="00DB4453">
            <w:pPr>
              <w:rPr>
                <w:rFonts w:ascii="Arial Narrow" w:hAnsi="Arial Narrow" w:cstheme="minorHAnsi"/>
                <w: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Note:</w:t>
            </w: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Authority approval for sufficient therapy to complete a maximum of 24 weeks of treatment may be requested by telephone by contacting the Department of Human Services on 1800 700 270 (hours of operation 8 a.m. to 5 p.m. EST Monday to Friday).</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 increase in the maximum quantity or number of units may be authorised.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No increase in the maximum number of repeats may be authorised.</w:t>
            </w:r>
          </w:p>
        </w:tc>
      </w:tr>
    </w:tbl>
    <w:p w:rsidR="00DB4453" w:rsidRPr="00B51DEF" w:rsidRDefault="00DB4453" w:rsidP="00DB4453"/>
    <w:p w:rsidR="00DB4453" w:rsidRPr="00B51DEF" w:rsidRDefault="00DB4453" w:rsidP="00DB4453"/>
    <w:p w:rsidR="00DB4453" w:rsidRPr="00B51DEF" w:rsidRDefault="00DB4453" w:rsidP="00DB4453">
      <w:r w:rsidRPr="00B51DEF">
        <w:rPr>
          <w:b/>
        </w:rPr>
        <w:t xml:space="preserve">Administrative advice common to all MSUC listings (with flow-on changes to include </w:t>
      </w:r>
      <w:proofErr w:type="spellStart"/>
      <w:r w:rsidRPr="00B51DEF">
        <w:rPr>
          <w:b/>
        </w:rPr>
        <w:t>tofacitinib</w:t>
      </w:r>
      <w:proofErr w:type="spellEnd"/>
      <w:r w:rsidRPr="00B51DEF">
        <w:rPr>
          <w:b/>
        </w:rPr>
        <w:t xml:space="preserve"> in the list of approved therapies)</w:t>
      </w:r>
    </w:p>
    <w:tbl>
      <w:tblPr>
        <w:tblW w:w="9072" w:type="dxa"/>
        <w:tblInd w:w="108" w:type="dxa"/>
        <w:tblLayout w:type="fixed"/>
        <w:tblLook w:val="0000" w:firstRow="0" w:lastRow="0" w:firstColumn="0" w:lastColumn="0" w:noHBand="0" w:noVBand="0"/>
      </w:tblPr>
      <w:tblGrid>
        <w:gridCol w:w="3261"/>
        <w:gridCol w:w="5811"/>
      </w:tblGrid>
      <w:tr w:rsidR="00DB4453" w:rsidRPr="006B6856" w:rsidTr="00DB4453">
        <w:trPr>
          <w:cantSplit/>
          <w:trHeight w:val="360"/>
        </w:trPr>
        <w:tc>
          <w:tcPr>
            <w:tcW w:w="326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b/>
                <w:sz w:val="20"/>
                <w:szCs w:val="20"/>
              </w:rPr>
            </w:pPr>
            <w:r w:rsidRPr="006B6856">
              <w:rPr>
                <w:rFonts w:ascii="Arial Narrow" w:hAnsi="Arial Narrow" w:cstheme="minorHAnsi"/>
                <w:b/>
                <w:sz w:val="20"/>
                <w:szCs w:val="20"/>
              </w:rPr>
              <w:lastRenderedPageBreak/>
              <w:t>Administrative Advice</w:t>
            </w:r>
          </w:p>
          <w:p w:rsidR="00DB4453" w:rsidRPr="006B6856" w:rsidRDefault="00DB4453" w:rsidP="00DB4453">
            <w:pPr>
              <w:rPr>
                <w:rFonts w:ascii="Arial Narrow" w:hAnsi="Arial Narrow" w:cstheme="minorHAnsi"/>
                <w:i/>
                <w:sz w:val="20"/>
                <w:szCs w:val="20"/>
              </w:rPr>
            </w:pPr>
          </w:p>
        </w:tc>
        <w:tc>
          <w:tcPr>
            <w:tcW w:w="5811" w:type="dxa"/>
            <w:tcBorders>
              <w:top w:val="single" w:sz="4" w:space="0" w:color="auto"/>
              <w:left w:val="single" w:sz="4" w:space="0" w:color="auto"/>
              <w:bottom w:val="single" w:sz="4" w:space="0" w:color="auto"/>
              <w:right w:val="single" w:sz="4" w:space="0" w:color="auto"/>
            </w:tcBorders>
          </w:tcPr>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TREATMENT OF ADULT PATIENTS WITH MODERATE TO SEVERE ULCERATIVE COLITIS</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color w:val="000000" w:themeColor="text1"/>
                <w:sz w:val="20"/>
                <w:szCs w:val="20"/>
              </w:rPr>
            </w:pPr>
            <w:r w:rsidRPr="006B6856">
              <w:rPr>
                <w:rFonts w:ascii="Arial Narrow" w:hAnsi="Arial Narrow" w:cstheme="minorHAnsi"/>
                <w:sz w:val="20"/>
                <w:szCs w:val="20"/>
              </w:rPr>
              <w:t xml:space="preserve">The following information applies to the prescribing under the Pharmaceutical Benefits Scheme (PBS) of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w:t>
            </w:r>
            <w:r w:rsidRPr="006B6856">
              <w:rPr>
                <w:rFonts w:ascii="Arial Narrow" w:hAnsi="Arial Narrow" w:cstheme="minorHAnsi"/>
                <w:color w:val="000000" w:themeColor="text1"/>
                <w:sz w:val="20"/>
                <w:szCs w:val="20"/>
              </w:rPr>
              <w:t xml:space="preserve">infliximab, </w:t>
            </w:r>
            <w:proofErr w:type="spellStart"/>
            <w:r w:rsidRPr="006B6856">
              <w:rPr>
                <w:rFonts w:ascii="Arial Narrow" w:hAnsi="Arial Narrow" w:cstheme="minorHAnsi"/>
                <w:color w:val="000000" w:themeColor="text1"/>
                <w:sz w:val="20"/>
                <w:szCs w:val="20"/>
              </w:rPr>
              <w:t>tofacitinib</w:t>
            </w:r>
            <w:proofErr w:type="spellEnd"/>
            <w:r w:rsidRPr="006B6856">
              <w:rPr>
                <w:rFonts w:ascii="Arial Narrow" w:hAnsi="Arial Narrow" w:cstheme="minorHAnsi"/>
                <w:color w:val="000000" w:themeColor="text1"/>
                <w:sz w:val="20"/>
                <w:szCs w:val="20"/>
              </w:rPr>
              <w:t xml:space="preserve"> and </w:t>
            </w:r>
            <w:proofErr w:type="spellStart"/>
            <w:r w:rsidRPr="006B6856">
              <w:rPr>
                <w:rFonts w:ascii="Arial Narrow" w:hAnsi="Arial Narrow" w:cstheme="minorHAnsi"/>
                <w:color w:val="000000" w:themeColor="text1"/>
                <w:sz w:val="20"/>
                <w:szCs w:val="20"/>
              </w:rPr>
              <w:t>vedolizumab</w:t>
            </w:r>
            <w:proofErr w:type="spellEnd"/>
            <w:r w:rsidRPr="006B6856">
              <w:rPr>
                <w:rFonts w:ascii="Arial Narrow" w:hAnsi="Arial Narrow" w:cstheme="minorHAnsi"/>
                <w:color w:val="000000" w:themeColor="text1"/>
                <w:sz w:val="20"/>
                <w:szCs w:val="20"/>
              </w:rPr>
              <w:t xml:space="preserve"> for adult patients with ulcerative colitis. Patients are eligible for PBS-subsidised treatment with either </w:t>
            </w:r>
            <w:proofErr w:type="spellStart"/>
            <w:r w:rsidRPr="006B6856">
              <w:rPr>
                <w:rFonts w:ascii="Arial Narrow" w:hAnsi="Arial Narrow" w:cstheme="minorHAnsi"/>
                <w:color w:val="000000" w:themeColor="text1"/>
                <w:sz w:val="20"/>
                <w:szCs w:val="20"/>
              </w:rPr>
              <w:t>adalimumab</w:t>
            </w:r>
            <w:proofErr w:type="spellEnd"/>
            <w:r w:rsidRPr="006B6856">
              <w:rPr>
                <w:rFonts w:ascii="Arial Narrow" w:hAnsi="Arial Narrow" w:cstheme="minorHAnsi"/>
                <w:color w:val="000000" w:themeColor="text1"/>
                <w:sz w:val="20"/>
                <w:szCs w:val="20"/>
              </w:rPr>
              <w:t xml:space="preserve">, </w:t>
            </w:r>
            <w:proofErr w:type="spellStart"/>
            <w:r w:rsidRPr="006B6856">
              <w:rPr>
                <w:rFonts w:ascii="Arial Narrow" w:hAnsi="Arial Narrow" w:cstheme="minorHAnsi"/>
                <w:color w:val="000000" w:themeColor="text1"/>
                <w:sz w:val="20"/>
                <w:szCs w:val="20"/>
              </w:rPr>
              <w:t>golimumab</w:t>
            </w:r>
            <w:proofErr w:type="spellEnd"/>
            <w:r w:rsidRPr="006B6856">
              <w:rPr>
                <w:rFonts w:ascii="Arial Narrow" w:hAnsi="Arial Narrow" w:cstheme="minorHAnsi"/>
                <w:color w:val="000000" w:themeColor="text1"/>
                <w:sz w:val="20"/>
                <w:szCs w:val="20"/>
              </w:rPr>
              <w:t xml:space="preserve">, infliximab, </w:t>
            </w:r>
            <w:proofErr w:type="spellStart"/>
            <w:r w:rsidRPr="006B6856">
              <w:rPr>
                <w:rFonts w:ascii="Arial Narrow" w:hAnsi="Arial Narrow" w:cstheme="minorHAnsi"/>
                <w:color w:val="000000" w:themeColor="text1"/>
                <w:sz w:val="20"/>
                <w:szCs w:val="20"/>
              </w:rPr>
              <w:t>tofacitinib</w:t>
            </w:r>
            <w:proofErr w:type="spellEnd"/>
            <w:r w:rsidRPr="006B6856">
              <w:rPr>
                <w:rFonts w:ascii="Arial Narrow" w:hAnsi="Arial Narrow" w:cstheme="minorHAnsi"/>
                <w:color w:val="000000" w:themeColor="text1"/>
                <w:sz w:val="20"/>
                <w:szCs w:val="20"/>
              </w:rPr>
              <w:t xml:space="preserve"> or </w:t>
            </w:r>
            <w:proofErr w:type="spellStart"/>
            <w:r w:rsidRPr="006B6856">
              <w:rPr>
                <w:rFonts w:ascii="Arial Narrow" w:hAnsi="Arial Narrow" w:cstheme="minorHAnsi"/>
                <w:color w:val="000000" w:themeColor="text1"/>
                <w:sz w:val="20"/>
                <w:szCs w:val="20"/>
              </w:rPr>
              <w:t>vedolizumab</w:t>
            </w:r>
            <w:proofErr w:type="spellEnd"/>
            <w:r w:rsidRPr="006B6856">
              <w:rPr>
                <w:rFonts w:ascii="Arial Narrow" w:hAnsi="Arial Narrow" w:cstheme="minorHAnsi"/>
                <w:color w:val="000000" w:themeColor="text1"/>
                <w:sz w:val="20"/>
                <w:szCs w:val="20"/>
              </w:rPr>
              <w:t xml:space="preserve"> at any one time.</w:t>
            </w:r>
          </w:p>
          <w:p w:rsidR="00DB4453" w:rsidRPr="006B6856" w:rsidRDefault="00DB4453" w:rsidP="00DB4453">
            <w:pPr>
              <w:rPr>
                <w:rFonts w:ascii="Arial Narrow" w:hAnsi="Arial Narrow" w:cstheme="minorHAnsi"/>
                <w:color w:val="000000" w:themeColor="text1"/>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color w:val="000000" w:themeColor="text1"/>
                <w:sz w:val="20"/>
                <w:szCs w:val="20"/>
              </w:rPr>
              <w:t xml:space="preserve">Where the term 'biological medicine' appears in notes and restrictions, it refers to </w:t>
            </w:r>
            <w:proofErr w:type="spellStart"/>
            <w:r w:rsidRPr="006B6856">
              <w:rPr>
                <w:rFonts w:ascii="Arial Narrow" w:hAnsi="Arial Narrow" w:cstheme="minorHAnsi"/>
                <w:color w:val="000000" w:themeColor="text1"/>
                <w:sz w:val="20"/>
                <w:szCs w:val="20"/>
              </w:rPr>
              <w:t>adalimumab</w:t>
            </w:r>
            <w:proofErr w:type="spellEnd"/>
            <w:r w:rsidRPr="006B6856">
              <w:rPr>
                <w:rFonts w:ascii="Arial Narrow" w:hAnsi="Arial Narrow" w:cstheme="minorHAnsi"/>
                <w:color w:val="000000" w:themeColor="text1"/>
                <w:sz w:val="20"/>
                <w:szCs w:val="20"/>
              </w:rPr>
              <w:t xml:space="preserve">, </w:t>
            </w:r>
            <w:proofErr w:type="spellStart"/>
            <w:r w:rsidRPr="006B6856">
              <w:rPr>
                <w:rFonts w:ascii="Arial Narrow" w:hAnsi="Arial Narrow" w:cstheme="minorHAnsi"/>
                <w:color w:val="000000" w:themeColor="text1"/>
                <w:sz w:val="20"/>
                <w:szCs w:val="20"/>
              </w:rPr>
              <w:t>golimumab</w:t>
            </w:r>
            <w:proofErr w:type="spellEnd"/>
            <w:r w:rsidRPr="006B6856">
              <w:rPr>
                <w:rFonts w:ascii="Arial Narrow" w:hAnsi="Arial Narrow" w:cstheme="minorHAnsi"/>
                <w:color w:val="000000" w:themeColor="text1"/>
                <w:sz w:val="20"/>
                <w:szCs w:val="20"/>
              </w:rPr>
              <w:t xml:space="preserve">, infliximab, </w:t>
            </w:r>
            <w:proofErr w:type="spellStart"/>
            <w:r w:rsidRPr="006B6856">
              <w:rPr>
                <w:rFonts w:ascii="Arial Narrow" w:hAnsi="Arial Narrow" w:cstheme="minorHAnsi"/>
                <w:color w:val="000000" w:themeColor="text1"/>
                <w:sz w:val="20"/>
                <w:szCs w:val="20"/>
              </w:rPr>
              <w:t>tofacitinib</w:t>
            </w:r>
            <w:proofErr w:type="spellEnd"/>
            <w:r w:rsidRPr="006B6856">
              <w:rPr>
                <w:rFonts w:ascii="Arial Narrow" w:hAnsi="Arial Narrow" w:cstheme="minorHAnsi"/>
                <w:color w:val="000000" w:themeColor="text1"/>
                <w:sz w:val="20"/>
                <w:szCs w:val="20"/>
              </w:rPr>
              <w:t xml:space="preserve"> and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only.</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From 1 June 2018, under the PBS, all adult patients will be able to commence a treatment cycle where they may trial PBS-subsidised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without having to experience a disease flare when swapping to one of the alternate agents. Under these arrangements, within a single treatment cycle, a patient may continue to receive long-term treatment with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while they continue to show a response to therapy.</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A patient who received PBS-subsidised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treatment prior to 1 June 2018 is considered to start their first cycle as of 1 June 2018. Within the same treatment cycle, a patient cannot trial and fail, or cease to respond to, the same PBS-subsidised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more than once. Once a patient has either failed or ceased to respond to treatment 3 times, they are deemed to have completed a treatment cycle and they must have, at a minimum, a 5-year break in PBS-subsidised therapy before they are eligible to commence the next cycle. The 5-year break is measured from the date of the last approval for PBS-subsidised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treatment in the most recent cycle to the date of the first application for initial treatment with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under the new treatment cycle.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A patient who has failed fewer than 3 trials of either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in a treatment cycle and who has a break in therapy of more than 5 years, may commence a new treatment cycle.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(1) How to prescribe PBS-subsidised treatment with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and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after 1 June 2018.</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 Initial treatment. Applications for initial treatment should be made where: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w:t>
            </w:r>
            <w:proofErr w:type="spellStart"/>
            <w:r w:rsidRPr="006B6856">
              <w:rPr>
                <w:rFonts w:ascii="Arial Narrow" w:hAnsi="Arial Narrow" w:cstheme="minorHAnsi"/>
                <w:sz w:val="20"/>
                <w:szCs w:val="20"/>
              </w:rPr>
              <w:t>i</w:t>
            </w:r>
            <w:proofErr w:type="spellEnd"/>
            <w:r w:rsidRPr="006B6856">
              <w:rPr>
                <w:rFonts w:ascii="Arial Narrow" w:hAnsi="Arial Narrow" w:cstheme="minorHAnsi"/>
                <w:sz w:val="20"/>
                <w:szCs w:val="20"/>
              </w:rPr>
              <w:t xml:space="preserve">) an adult patient has received no prior PBS-subsidised treatment with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in this treatment cycle and wishes to commence such therapy (Initial 1 - New patient or recommencement of treatment after more than 5 years break in therapy); or</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(ii) an adult patient has received prior PBS-subsidised (initial or continuing)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therapy and wishes to trial an alternate agent (Initial 2 - Change or Re-commencement of treatment after a break in therapy of less than 5 years) [further details are under 'Swapping therapy' below]; or</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(iii) </w:t>
            </w:r>
            <w:proofErr w:type="gramStart"/>
            <w:r w:rsidRPr="006B6856">
              <w:rPr>
                <w:rFonts w:ascii="Arial Narrow" w:hAnsi="Arial Narrow" w:cstheme="minorHAnsi"/>
                <w:sz w:val="20"/>
                <w:szCs w:val="20"/>
              </w:rPr>
              <w:t>an</w:t>
            </w:r>
            <w:proofErr w:type="gramEnd"/>
            <w:r w:rsidRPr="006B6856">
              <w:rPr>
                <w:rFonts w:ascii="Arial Narrow" w:hAnsi="Arial Narrow" w:cstheme="minorHAnsi"/>
                <w:sz w:val="20"/>
                <w:szCs w:val="20"/>
              </w:rPr>
              <w:t xml:space="preserve"> adult patient wishes to re-commence treatment with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lastRenderedPageBreak/>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following a break in PBS-subsidised therapy with the same agent (Initial 2 - Change or Re-commencement of treatment after a break in therapy of less than 5 years).</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Treatment authorisations under Initial 1 and Initial 2 will be limited to provide for a maximum of 16 weeks of therapy for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14 weeks of therapy for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and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A patient must be assessed for response to a course of initial PBS-subsidised treatment following a minimum of 12 weeks of treatment for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and up to 12 weeks after the first dose (6 weeks following the third dose) for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and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For second and subsequent courses of PBS-subsidised biological medicine treatment, it is recommended that a patient is reviewed in the month prior to completing their current course of treatment.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(b) Continuing treatment.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Following the completion of an initial treatment course with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a patient may qualify to receive up to 24 weeks of continuing treatment with that drug providing they have demonstrated an adequate response to treatment. The patient remains eligible to receive continuing treatment with the same drug in courses of up to 24 weeks providing they continue to sustain the response. It is recommended that a patient be reviewed in the month prior to completing their current course of treatment.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(2) Swapping therapy.</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Once initial treatment with the first PBS-subsidised treatment is approved, a patient may swap if eligible to the alternate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treatment within the same treatment cycle without having to requalify with respect to the indices of disease severity (i.e. Mayo clinic score or partial Mayo clinic score), or the prior corticosteroid therapy and immunosuppressive therapy. A patient may trial an alternate treatment at any time, regardless of whether they are receiving therapy (initial or continuing) with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at the time of the application. However, they cannot swap to a particular therapy if they have failed to respond to prior treatment with that drug once within the same treatment cycle. To ensure a patient receives the maximum treatment opportunities allowed under these arrangements, it is important that they are assessed for response to every course of treatment.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(3) Re-commencement of treatment after a 5-year break in PBS-subsidised therapy.</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A patient who wishes to trial a second or subsequent course of treatment following a break in PBS-subsidised </w:t>
            </w:r>
            <w:proofErr w:type="spellStart"/>
            <w:r w:rsidRPr="006B6856">
              <w:rPr>
                <w:rFonts w:ascii="Arial Narrow" w:hAnsi="Arial Narrow" w:cstheme="minorHAnsi"/>
                <w:sz w:val="20"/>
                <w:szCs w:val="20"/>
              </w:rPr>
              <w:t>adalimumab</w:t>
            </w:r>
            <w:proofErr w:type="spellEnd"/>
            <w:r w:rsidRPr="006B6856">
              <w:rPr>
                <w:rFonts w:ascii="Arial Narrow" w:hAnsi="Arial Narrow" w:cstheme="minorHAnsi"/>
                <w:sz w:val="20"/>
                <w:szCs w:val="20"/>
              </w:rPr>
              <w:t xml:space="preserve">,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infliximab, </w:t>
            </w:r>
            <w:proofErr w:type="spellStart"/>
            <w:r w:rsidRPr="006B6856">
              <w:rPr>
                <w:rFonts w:ascii="Arial Narrow" w:hAnsi="Arial Narrow" w:cstheme="minorHAnsi"/>
                <w:sz w:val="20"/>
                <w:szCs w:val="20"/>
              </w:rPr>
              <w:t>tofacitinib</w:t>
            </w:r>
            <w:proofErr w:type="spellEnd"/>
            <w:r w:rsidRPr="006B6856">
              <w:rPr>
                <w:rFonts w:ascii="Arial Narrow" w:hAnsi="Arial Narrow" w:cstheme="minorHAnsi"/>
                <w:sz w:val="20"/>
                <w:szCs w:val="20"/>
              </w:rPr>
              <w:t xml:space="preserve"> or </w:t>
            </w:r>
            <w:proofErr w:type="spellStart"/>
            <w:r w:rsidRPr="006B6856">
              <w:rPr>
                <w:rFonts w:ascii="Arial Narrow" w:hAnsi="Arial Narrow" w:cstheme="minorHAnsi"/>
                <w:sz w:val="20"/>
                <w:szCs w:val="20"/>
              </w:rPr>
              <w:t>vedolizumab</w:t>
            </w:r>
            <w:proofErr w:type="spellEnd"/>
            <w:r w:rsidRPr="006B6856">
              <w:rPr>
                <w:rFonts w:ascii="Arial Narrow" w:hAnsi="Arial Narrow" w:cstheme="minorHAnsi"/>
                <w:sz w:val="20"/>
                <w:szCs w:val="20"/>
              </w:rPr>
              <w:t xml:space="preserve"> therapy of at least 5 years, must requalify for initial 1 treatment with respect to the scores of disease severity. A patient must have received treatment with a 5-aminosalicylate oral preparation in a standard dose for induction of remission for a minimum of 3 consecutive months, and, either azathioprine or 6-mercaptopurine for a minimum of 3 consecutive months or a tapered course of oral steroids over a 6 week period followed by an appropriately dosed </w:t>
            </w:r>
            <w:proofErr w:type="spellStart"/>
            <w:r w:rsidRPr="006B6856">
              <w:rPr>
                <w:rFonts w:ascii="Arial Narrow" w:hAnsi="Arial Narrow" w:cstheme="minorHAnsi"/>
                <w:sz w:val="20"/>
                <w:szCs w:val="20"/>
              </w:rPr>
              <w:t>thiopurine</w:t>
            </w:r>
            <w:proofErr w:type="spellEnd"/>
            <w:r w:rsidRPr="006B6856">
              <w:rPr>
                <w:rFonts w:ascii="Arial Narrow" w:hAnsi="Arial Narrow" w:cstheme="minorHAnsi"/>
                <w:sz w:val="20"/>
                <w:szCs w:val="20"/>
              </w:rPr>
              <w:t xml:space="preserve"> agent for a minimum of 3 consecutive months (unless intolerance develops necessitating permanent treatment </w:t>
            </w:r>
            <w:r w:rsidRPr="006B6856">
              <w:rPr>
                <w:rFonts w:ascii="Arial Narrow" w:hAnsi="Arial Narrow" w:cstheme="minorHAnsi"/>
                <w:sz w:val="20"/>
                <w:szCs w:val="20"/>
              </w:rPr>
              <w:lastRenderedPageBreak/>
              <w:t>withdrawal to these agents). These above prior treatments must have been received immediately prior to the time the scores of disease severity being used to trial a second or subsequent course are measured.</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(4) Patients 'grandfathered' onto PBS-subsidised treatment with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 xml:space="preserve">A patient who commenced treatment with </w:t>
            </w:r>
            <w:proofErr w:type="spellStart"/>
            <w:r w:rsidRPr="006B6856">
              <w:rPr>
                <w:rFonts w:ascii="Arial Narrow" w:hAnsi="Arial Narrow" w:cstheme="minorHAnsi"/>
                <w:sz w:val="20"/>
                <w:szCs w:val="20"/>
              </w:rPr>
              <w:t>golimumab</w:t>
            </w:r>
            <w:proofErr w:type="spellEnd"/>
            <w:r w:rsidRPr="006B6856">
              <w:rPr>
                <w:rFonts w:ascii="Arial Narrow" w:hAnsi="Arial Narrow" w:cstheme="minorHAnsi"/>
                <w:sz w:val="20"/>
                <w:szCs w:val="20"/>
              </w:rPr>
              <w:t xml:space="preserve"> for moderate to severe ulcerative colitis prior to 1 June 2018 and who continues to receive treatment at the time of application, may qualify for treatment under the initial 3 'grandfather' treatment restriction.</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A patient may only qualify for PBS-subsidised treatment under this criterion once. A maximum of 24 weeks of treatment will be authorised under this criterion. Following completion of the initial PBS-subsidised course, further subsidised treatment must be prescribed under the continuing treatment restriction of the relevant drug. 'Grandfather' arrangements will only apply for the first treatment cycle.</w:t>
            </w:r>
          </w:p>
          <w:p w:rsidR="00DB4453" w:rsidRPr="006B6856" w:rsidRDefault="00DB4453" w:rsidP="00DB4453">
            <w:pPr>
              <w:rPr>
                <w:rFonts w:ascii="Arial Narrow" w:hAnsi="Arial Narrow" w:cstheme="minorHAnsi"/>
                <w:sz w:val="20"/>
                <w:szCs w:val="20"/>
              </w:rPr>
            </w:pPr>
          </w:p>
          <w:p w:rsidR="00DB4453" w:rsidRPr="006B6856" w:rsidRDefault="00DB4453" w:rsidP="00DB4453">
            <w:pPr>
              <w:rPr>
                <w:rFonts w:ascii="Arial Narrow" w:hAnsi="Arial Narrow" w:cstheme="minorHAnsi"/>
                <w:sz w:val="20"/>
                <w:szCs w:val="20"/>
              </w:rPr>
            </w:pPr>
            <w:r w:rsidRPr="006B6856">
              <w:rPr>
                <w:rFonts w:ascii="Arial Narrow" w:hAnsi="Arial Narrow" w:cstheme="minorHAnsi"/>
                <w:sz w:val="20"/>
                <w:szCs w:val="20"/>
              </w:rPr>
              <w:t>For the second and subsequent cycles, a 'grandfather' patient must qualify for continuing treatment under the criteria that apply to a continuing patient.</w:t>
            </w:r>
          </w:p>
          <w:p w:rsidR="00DB4453" w:rsidRPr="006B6856" w:rsidRDefault="00DB4453" w:rsidP="00DB4453">
            <w:pPr>
              <w:rPr>
                <w:rFonts w:ascii="Arial Narrow" w:hAnsi="Arial Narrow" w:cstheme="minorHAnsi"/>
                <w:sz w:val="20"/>
                <w:szCs w:val="20"/>
              </w:rPr>
            </w:pPr>
          </w:p>
        </w:tc>
      </w:tr>
    </w:tbl>
    <w:p w:rsidR="00AC76E2" w:rsidRPr="00AC76E2" w:rsidRDefault="00AC76E2" w:rsidP="00287C1F">
      <w:pPr>
        <w:numPr>
          <w:ilvl w:val="0"/>
          <w:numId w:val="3"/>
        </w:numPr>
        <w:spacing w:before="120" w:after="120"/>
        <w:outlineLvl w:val="0"/>
        <w:rPr>
          <w:rFonts w:asciiTheme="minorHAnsi" w:hAnsiTheme="minorHAnsi"/>
          <w:b/>
          <w:bCs/>
          <w:sz w:val="32"/>
        </w:rPr>
      </w:pPr>
      <w:r w:rsidRPr="00AC76E2">
        <w:rPr>
          <w:rFonts w:asciiTheme="minorHAnsi" w:hAnsiTheme="minorHAnsi"/>
          <w:b/>
          <w:bCs/>
          <w:sz w:val="32"/>
        </w:rPr>
        <w:lastRenderedPageBreak/>
        <w:t>Context for Decision</w:t>
      </w:r>
    </w:p>
    <w:p w:rsidR="00AC76E2" w:rsidRPr="001510DE" w:rsidRDefault="00AC76E2" w:rsidP="00287C1F">
      <w:pPr>
        <w:spacing w:before="120" w:after="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C76E2" w:rsidRPr="00AC76E2" w:rsidRDefault="00AC76E2" w:rsidP="00287C1F">
      <w:pPr>
        <w:numPr>
          <w:ilvl w:val="0"/>
          <w:numId w:val="3"/>
        </w:numPr>
        <w:spacing w:before="120" w:after="120"/>
        <w:outlineLvl w:val="0"/>
        <w:rPr>
          <w:rFonts w:asciiTheme="minorHAnsi" w:hAnsiTheme="minorHAnsi"/>
          <w:b/>
          <w:bCs/>
          <w:sz w:val="32"/>
        </w:rPr>
      </w:pPr>
      <w:r w:rsidRPr="00AC76E2">
        <w:rPr>
          <w:rFonts w:asciiTheme="minorHAnsi" w:hAnsiTheme="minorHAnsi"/>
          <w:b/>
          <w:bCs/>
          <w:sz w:val="32"/>
        </w:rPr>
        <w:t>Sponsor’s Comment</w:t>
      </w:r>
    </w:p>
    <w:p w:rsidR="00AC76E2" w:rsidRPr="00B51DEF" w:rsidRDefault="002155F1" w:rsidP="00287C1F">
      <w:pPr>
        <w:widowControl/>
        <w:spacing w:before="120" w:after="120"/>
        <w:ind w:left="720"/>
      </w:pPr>
      <w:r>
        <w:rPr>
          <w:rFonts w:asciiTheme="minorHAnsi" w:hAnsiTheme="minorHAnsi"/>
          <w:bCs/>
        </w:rPr>
        <w:t xml:space="preserve">Pfizer Australia welcomes the PBAC recommendation to list </w:t>
      </w:r>
      <w:proofErr w:type="spellStart"/>
      <w:r>
        <w:rPr>
          <w:rFonts w:asciiTheme="minorHAnsi" w:hAnsiTheme="minorHAnsi"/>
          <w:bCs/>
        </w:rPr>
        <w:t>tofacitinib</w:t>
      </w:r>
      <w:proofErr w:type="spellEnd"/>
      <w:r>
        <w:rPr>
          <w:rFonts w:asciiTheme="minorHAnsi" w:hAnsiTheme="minorHAnsi"/>
          <w:bCs/>
        </w:rPr>
        <w:t xml:space="preserve"> (</w:t>
      </w:r>
      <w:proofErr w:type="spellStart"/>
      <w:r>
        <w:rPr>
          <w:rFonts w:asciiTheme="minorHAnsi" w:hAnsiTheme="minorHAnsi"/>
          <w:bCs/>
        </w:rPr>
        <w:t>Xeljanz</w:t>
      </w:r>
      <w:proofErr w:type="spellEnd"/>
      <w:r>
        <w:rPr>
          <w:rFonts w:asciiTheme="minorHAnsi" w:hAnsiTheme="minorHAnsi"/>
          <w:bCs/>
        </w:rPr>
        <w:t xml:space="preserve">®) on the PBS as the first oral </w:t>
      </w:r>
      <w:proofErr w:type="spellStart"/>
      <w:r>
        <w:rPr>
          <w:rFonts w:asciiTheme="minorHAnsi" w:hAnsiTheme="minorHAnsi"/>
          <w:bCs/>
        </w:rPr>
        <w:t>bDMARD</w:t>
      </w:r>
      <w:proofErr w:type="spellEnd"/>
      <w:r>
        <w:rPr>
          <w:rFonts w:asciiTheme="minorHAnsi" w:hAnsiTheme="minorHAnsi"/>
          <w:bCs/>
        </w:rPr>
        <w:t xml:space="preserve"> option for the treatment of moderate to severe ulcerative colitis, offering these patients another effective and convenient treatment alternative. </w:t>
      </w:r>
    </w:p>
    <w:sectPr w:rsidR="00AC76E2" w:rsidRPr="00B51DEF" w:rsidSect="00E21358">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797B91" w16cid:durableId="201BA524"/>
  <w16cid:commentId w16cid:paraId="5D42D760" w16cid:durableId="2018F090"/>
  <w16cid:commentId w16cid:paraId="0A32A30B" w16cid:durableId="2018F497"/>
  <w16cid:commentId w16cid:paraId="2E2BE357" w16cid:durableId="2018F091"/>
  <w16cid:commentId w16cid:paraId="42BF6472" w16cid:durableId="2018F59A"/>
  <w16cid:commentId w16cid:paraId="7A850437" w16cid:durableId="201BA7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EF4" w:rsidRDefault="00922EF4" w:rsidP="00124A51">
      <w:r>
        <w:separator/>
      </w:r>
    </w:p>
    <w:p w:rsidR="00922EF4" w:rsidRDefault="00922EF4"/>
  </w:endnote>
  <w:endnote w:type="continuationSeparator" w:id="0">
    <w:p w:rsidR="00922EF4" w:rsidRDefault="00922EF4" w:rsidP="00124A51">
      <w:r>
        <w:continuationSeparator/>
      </w:r>
    </w:p>
    <w:p w:rsidR="00922EF4" w:rsidRDefault="00922E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Lucida Grande">
    <w:charset w:val="00"/>
    <w:family w:val="auto"/>
    <w:pitch w:val="variable"/>
    <w:sig w:usb0="00000000" w:usb1="5000A1FF" w:usb2="00000000" w:usb3="00000000" w:csb0="000001BF"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EF4" w:rsidRDefault="009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D7" w:rsidRPr="006B6856" w:rsidRDefault="005F4ED7" w:rsidP="00F736B5">
    <w:pPr>
      <w:pStyle w:val="Footer"/>
      <w:ind w:left="360"/>
      <w:jc w:val="center"/>
      <w:rPr>
        <w:b/>
        <w:szCs w:val="24"/>
      </w:rPr>
    </w:pPr>
    <w:r w:rsidRPr="006B6856">
      <w:rPr>
        <w:b/>
        <w:szCs w:val="24"/>
      </w:rPr>
      <w:fldChar w:fldCharType="begin"/>
    </w:r>
    <w:r w:rsidRPr="006B6856">
      <w:rPr>
        <w:b/>
        <w:szCs w:val="24"/>
      </w:rPr>
      <w:instrText xml:space="preserve"> PAGE   \* MERGEFORMAT </w:instrText>
    </w:r>
    <w:r w:rsidRPr="006B6856">
      <w:rPr>
        <w:b/>
        <w:szCs w:val="24"/>
      </w:rPr>
      <w:fldChar w:fldCharType="separate"/>
    </w:r>
    <w:r w:rsidR="003C1244">
      <w:rPr>
        <w:b/>
        <w:noProof/>
        <w:szCs w:val="24"/>
      </w:rPr>
      <w:t>35</w:t>
    </w:r>
    <w:r w:rsidRPr="006B6856">
      <w:rPr>
        <w:b/>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EF4" w:rsidRDefault="009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EF4" w:rsidRDefault="00922EF4" w:rsidP="00124A51">
      <w:r>
        <w:separator/>
      </w:r>
    </w:p>
    <w:p w:rsidR="00922EF4" w:rsidRDefault="00922EF4"/>
  </w:footnote>
  <w:footnote w:type="continuationSeparator" w:id="0">
    <w:p w:rsidR="00922EF4" w:rsidRDefault="00922EF4" w:rsidP="00124A51">
      <w:r>
        <w:continuationSeparator/>
      </w:r>
    </w:p>
    <w:p w:rsidR="00922EF4" w:rsidRDefault="00922EF4"/>
  </w:footnote>
  <w:footnote w:id="1">
    <w:p w:rsidR="005F4ED7" w:rsidRDefault="005F4ED7">
      <w:pPr>
        <w:pStyle w:val="FootnoteText"/>
      </w:pPr>
      <w:r>
        <w:rPr>
          <w:rStyle w:val="FootnoteReference"/>
        </w:rPr>
        <w:footnoteRef/>
      </w:r>
      <w:r>
        <w:t xml:space="preserve"> </w:t>
      </w:r>
      <w:r w:rsidRPr="00DC2944">
        <w:t xml:space="preserve">Assuming </w:t>
      </w:r>
      <w:r w:rsidR="00922EF4">
        <w:rPr>
          <w:noProof/>
          <w:color w:val="000000"/>
          <w:highlight w:val="black"/>
        </w:rPr>
        <w:t>''''''</w:t>
      </w:r>
      <w:r w:rsidRPr="00DC2944">
        <w:t xml:space="preserve">% of patients are treated with 8 weeks of TOF 10 mg followed by 96 weeks of TOF 5 mg and </w:t>
      </w:r>
      <w:r w:rsidR="00922EF4">
        <w:rPr>
          <w:noProof/>
          <w:color w:val="000000"/>
          <w:highlight w:val="black"/>
        </w:rPr>
        <w:t>'''</w:t>
      </w:r>
      <w:r w:rsidRPr="00DC2944">
        <w:t>% of patients are treated with 104 weeks of TOF 10 mg.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EF4" w:rsidRDefault="00922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D7" w:rsidRPr="006B6856" w:rsidRDefault="005F4ED7" w:rsidP="00F736B5">
    <w:pPr>
      <w:pStyle w:val="Header"/>
      <w:ind w:left="360"/>
      <w:jc w:val="center"/>
      <w:rPr>
        <w:rFonts w:asciiTheme="minorHAnsi" w:hAnsiTheme="minorHAnsi"/>
        <w:i/>
        <w:color w:val="808080"/>
        <w:szCs w:val="24"/>
      </w:rPr>
    </w:pPr>
    <w:r>
      <w:rPr>
        <w:rFonts w:asciiTheme="minorHAnsi" w:hAnsiTheme="minorHAnsi"/>
        <w:i/>
        <w:color w:val="808080"/>
        <w:szCs w:val="24"/>
      </w:rPr>
      <w:t>Public Summary Document</w:t>
    </w:r>
    <w:r w:rsidRPr="006B6856">
      <w:rPr>
        <w:rFonts w:asciiTheme="minorHAnsi" w:hAnsiTheme="minorHAnsi"/>
        <w:i/>
        <w:color w:val="808080"/>
        <w:szCs w:val="24"/>
      </w:rPr>
      <w:t xml:space="preserve"> – March 2019 PBAC Meeting</w:t>
    </w:r>
  </w:p>
  <w:p w:rsidR="005F4ED7" w:rsidRPr="006B6856" w:rsidRDefault="005F4ED7" w:rsidP="009E7E87">
    <w:pPr>
      <w:tabs>
        <w:tab w:val="left" w:pos="142"/>
        <w:tab w:val="right" w:pos="9027"/>
      </w:tabs>
      <w:jc w:val="right"/>
      <w:rPr>
        <w:b/>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EF4" w:rsidRDefault="00922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DD31D0"/>
    <w:multiLevelType w:val="hybridMultilevel"/>
    <w:tmpl w:val="6994B672"/>
    <w:lvl w:ilvl="0" w:tplc="C5C80ADE">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43B7D"/>
    <w:multiLevelType w:val="hybridMultilevel"/>
    <w:tmpl w:val="3B140150"/>
    <w:lvl w:ilvl="0" w:tplc="C5C80ADE">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37808"/>
    <w:multiLevelType w:val="hybridMultilevel"/>
    <w:tmpl w:val="1F3EF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DB6EC1"/>
    <w:multiLevelType w:val="hybridMultilevel"/>
    <w:tmpl w:val="7B22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DE1EA5"/>
    <w:multiLevelType w:val="hybridMultilevel"/>
    <w:tmpl w:val="CDC8F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4175F"/>
    <w:multiLevelType w:val="hybridMultilevel"/>
    <w:tmpl w:val="AF0018D2"/>
    <w:lvl w:ilvl="0" w:tplc="C7686266">
      <w:start w:val="1"/>
      <w:numFmt w:val="bullet"/>
      <w:lvlText w:val=""/>
      <w:lvlJc w:val="left"/>
      <w:pPr>
        <w:ind w:left="720" w:hanging="360"/>
      </w:pPr>
      <w:rPr>
        <w:rFonts w:ascii="Symbol" w:hAnsi="Symbol" w:hint="default"/>
        <w:sz w:val="24"/>
        <w:szCs w:val="28"/>
      </w:rPr>
    </w:lvl>
    <w:lvl w:ilvl="1" w:tplc="8C10A4BA">
      <w:start w:val="1"/>
      <w:numFmt w:val="bullet"/>
      <w:lvlText w:val="o"/>
      <w:lvlJc w:val="left"/>
      <w:pPr>
        <w:ind w:left="1440" w:hanging="360"/>
      </w:pPr>
      <w:rPr>
        <w:rFonts w:ascii="Symbol" w:hAnsi="Symbol" w:cs="Courier New" w:hint="default"/>
        <w:sz w:val="24"/>
        <w:szCs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3741D4"/>
    <w:multiLevelType w:val="hybridMultilevel"/>
    <w:tmpl w:val="54A008EE"/>
    <w:lvl w:ilvl="0" w:tplc="1E841D06">
      <w:start w:val="1"/>
      <w:numFmt w:val="bullet"/>
      <w:lvlText w:val=""/>
      <w:lvlJc w:val="left"/>
      <w:pPr>
        <w:ind w:left="170"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A745D"/>
    <w:multiLevelType w:val="hybridMultilevel"/>
    <w:tmpl w:val="F55C5DFE"/>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C19EF"/>
    <w:multiLevelType w:val="hybridMultilevel"/>
    <w:tmpl w:val="417A754E"/>
    <w:lvl w:ilvl="0" w:tplc="1D4EC24A">
      <w:start w:val="1"/>
      <w:numFmt w:val="bullet"/>
      <w:lvlText w:val=""/>
      <w:lvlJc w:val="left"/>
      <w:pPr>
        <w:ind w:left="170"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7E11CB"/>
    <w:multiLevelType w:val="hybridMultilevel"/>
    <w:tmpl w:val="91A83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B7D88"/>
    <w:multiLevelType w:val="hybridMultilevel"/>
    <w:tmpl w:val="252C6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91CBB"/>
    <w:multiLevelType w:val="hybridMultilevel"/>
    <w:tmpl w:val="84EE0152"/>
    <w:lvl w:ilvl="0" w:tplc="F99C6D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D067FC"/>
    <w:multiLevelType w:val="hybridMultilevel"/>
    <w:tmpl w:val="807A3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8D080D"/>
    <w:multiLevelType w:val="hybridMultilevel"/>
    <w:tmpl w:val="161C8AA0"/>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3808B0"/>
    <w:multiLevelType w:val="hybridMultilevel"/>
    <w:tmpl w:val="FE686CB8"/>
    <w:lvl w:ilvl="0" w:tplc="4CAE15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524475"/>
    <w:multiLevelType w:val="hybridMultilevel"/>
    <w:tmpl w:val="088E6F1A"/>
    <w:lvl w:ilvl="0" w:tplc="C5C80ADE">
      <w:numFmt w:val="bullet"/>
      <w:lvlText w:val="-"/>
      <w:lvlJc w:val="left"/>
      <w:pPr>
        <w:ind w:left="720" w:hanging="360"/>
      </w:pPr>
      <w:rPr>
        <w:rFonts w:ascii="Calibri" w:eastAsiaTheme="minorEastAsia" w:hAnsi="Calibri" w:cs="Arial" w:hint="default"/>
      </w:rPr>
    </w:lvl>
    <w:lvl w:ilvl="1" w:tplc="C5C80ADE">
      <w:numFmt w:val="bullet"/>
      <w:lvlText w:val="-"/>
      <w:lvlJc w:val="left"/>
      <w:pPr>
        <w:ind w:left="1440" w:hanging="360"/>
      </w:pPr>
      <w:rPr>
        <w:rFonts w:ascii="Calibri" w:eastAsiaTheme="minorEastAsia"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D56E92"/>
    <w:multiLevelType w:val="hybridMultilevel"/>
    <w:tmpl w:val="452C0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457B7A"/>
    <w:multiLevelType w:val="hybridMultilevel"/>
    <w:tmpl w:val="85F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740378"/>
    <w:multiLevelType w:val="hybridMultilevel"/>
    <w:tmpl w:val="A9C0D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7C34E2"/>
    <w:multiLevelType w:val="hybridMultilevel"/>
    <w:tmpl w:val="AF5A8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54425"/>
    <w:multiLevelType w:val="hybridMultilevel"/>
    <w:tmpl w:val="F1EA2A8E"/>
    <w:lvl w:ilvl="0" w:tplc="C5C80ADE">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D1CA1"/>
    <w:multiLevelType w:val="hybridMultilevel"/>
    <w:tmpl w:val="0AEA1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6918FC"/>
    <w:multiLevelType w:val="hybridMultilevel"/>
    <w:tmpl w:val="7F24E468"/>
    <w:lvl w:ilvl="0" w:tplc="F918CEBC">
      <w:start w:val="1"/>
      <w:numFmt w:val="bullet"/>
      <w:lvlText w:val="–"/>
      <w:lvlJc w:val="left"/>
      <w:pPr>
        <w:tabs>
          <w:tab w:val="num" w:pos="720"/>
        </w:tabs>
        <w:ind w:left="720" w:hanging="360"/>
      </w:pPr>
      <w:rPr>
        <w:rFonts w:ascii="Arial" w:hAnsi="Arial" w:hint="default"/>
      </w:rPr>
    </w:lvl>
    <w:lvl w:ilvl="1" w:tplc="A964EF8A">
      <w:start w:val="1"/>
      <w:numFmt w:val="bullet"/>
      <w:lvlText w:val="–"/>
      <w:lvlJc w:val="left"/>
      <w:pPr>
        <w:tabs>
          <w:tab w:val="num" w:pos="1440"/>
        </w:tabs>
        <w:ind w:left="1440" w:hanging="360"/>
      </w:pPr>
      <w:rPr>
        <w:rFonts w:ascii="Arial" w:hAnsi="Arial" w:hint="default"/>
      </w:rPr>
    </w:lvl>
    <w:lvl w:ilvl="2" w:tplc="0898EF7A" w:tentative="1">
      <w:start w:val="1"/>
      <w:numFmt w:val="bullet"/>
      <w:lvlText w:val="–"/>
      <w:lvlJc w:val="left"/>
      <w:pPr>
        <w:tabs>
          <w:tab w:val="num" w:pos="2160"/>
        </w:tabs>
        <w:ind w:left="2160" w:hanging="360"/>
      </w:pPr>
      <w:rPr>
        <w:rFonts w:ascii="Arial" w:hAnsi="Arial" w:hint="default"/>
      </w:rPr>
    </w:lvl>
    <w:lvl w:ilvl="3" w:tplc="A74A7596" w:tentative="1">
      <w:start w:val="1"/>
      <w:numFmt w:val="bullet"/>
      <w:lvlText w:val="–"/>
      <w:lvlJc w:val="left"/>
      <w:pPr>
        <w:tabs>
          <w:tab w:val="num" w:pos="2880"/>
        </w:tabs>
        <w:ind w:left="2880" w:hanging="360"/>
      </w:pPr>
      <w:rPr>
        <w:rFonts w:ascii="Arial" w:hAnsi="Arial" w:hint="default"/>
      </w:rPr>
    </w:lvl>
    <w:lvl w:ilvl="4" w:tplc="6AF6E1D8" w:tentative="1">
      <w:start w:val="1"/>
      <w:numFmt w:val="bullet"/>
      <w:lvlText w:val="–"/>
      <w:lvlJc w:val="left"/>
      <w:pPr>
        <w:tabs>
          <w:tab w:val="num" w:pos="3600"/>
        </w:tabs>
        <w:ind w:left="3600" w:hanging="360"/>
      </w:pPr>
      <w:rPr>
        <w:rFonts w:ascii="Arial" w:hAnsi="Arial" w:hint="default"/>
      </w:rPr>
    </w:lvl>
    <w:lvl w:ilvl="5" w:tplc="A10E054E" w:tentative="1">
      <w:start w:val="1"/>
      <w:numFmt w:val="bullet"/>
      <w:lvlText w:val="–"/>
      <w:lvlJc w:val="left"/>
      <w:pPr>
        <w:tabs>
          <w:tab w:val="num" w:pos="4320"/>
        </w:tabs>
        <w:ind w:left="4320" w:hanging="360"/>
      </w:pPr>
      <w:rPr>
        <w:rFonts w:ascii="Arial" w:hAnsi="Arial" w:hint="default"/>
      </w:rPr>
    </w:lvl>
    <w:lvl w:ilvl="6" w:tplc="FE84A4E0" w:tentative="1">
      <w:start w:val="1"/>
      <w:numFmt w:val="bullet"/>
      <w:lvlText w:val="–"/>
      <w:lvlJc w:val="left"/>
      <w:pPr>
        <w:tabs>
          <w:tab w:val="num" w:pos="5040"/>
        </w:tabs>
        <w:ind w:left="5040" w:hanging="360"/>
      </w:pPr>
      <w:rPr>
        <w:rFonts w:ascii="Arial" w:hAnsi="Arial" w:hint="default"/>
      </w:rPr>
    </w:lvl>
    <w:lvl w:ilvl="7" w:tplc="A4B0A0A0" w:tentative="1">
      <w:start w:val="1"/>
      <w:numFmt w:val="bullet"/>
      <w:lvlText w:val="–"/>
      <w:lvlJc w:val="left"/>
      <w:pPr>
        <w:tabs>
          <w:tab w:val="num" w:pos="5760"/>
        </w:tabs>
        <w:ind w:left="5760" w:hanging="360"/>
      </w:pPr>
      <w:rPr>
        <w:rFonts w:ascii="Arial" w:hAnsi="Arial" w:hint="default"/>
      </w:rPr>
    </w:lvl>
    <w:lvl w:ilvl="8" w:tplc="818EBA3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811B36"/>
    <w:multiLevelType w:val="hybridMultilevel"/>
    <w:tmpl w:val="5E8EFAF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8" w15:restartNumberingAfterBreak="0">
    <w:nsid w:val="51ED36B2"/>
    <w:multiLevelType w:val="hybridMultilevel"/>
    <w:tmpl w:val="371E082C"/>
    <w:lvl w:ilvl="0" w:tplc="C5C80ADE">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136A48"/>
    <w:multiLevelType w:val="hybridMultilevel"/>
    <w:tmpl w:val="05281B5C"/>
    <w:lvl w:ilvl="0" w:tplc="B79EBD7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DA60404"/>
    <w:multiLevelType w:val="hybridMultilevel"/>
    <w:tmpl w:val="9F2ABBF4"/>
    <w:lvl w:ilvl="0" w:tplc="1E841D06">
      <w:start w:val="1"/>
      <w:numFmt w:val="bullet"/>
      <w:lvlText w:val=""/>
      <w:lvlJc w:val="left"/>
      <w:pPr>
        <w:ind w:left="170"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13C1C"/>
    <w:multiLevelType w:val="hybridMultilevel"/>
    <w:tmpl w:val="9CE69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5924C2"/>
    <w:multiLevelType w:val="hybridMultilevel"/>
    <w:tmpl w:val="A5727E26"/>
    <w:lvl w:ilvl="0" w:tplc="C5C80ADE">
      <w:numFmt w:val="bullet"/>
      <w:lvlText w:val="-"/>
      <w:lvlJc w:val="left"/>
      <w:pPr>
        <w:ind w:left="1080" w:hanging="360"/>
      </w:pPr>
      <w:rPr>
        <w:rFonts w:ascii="Calibri" w:eastAsiaTheme="minorEastAsia" w:hAnsi="Calibri"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3B3236C"/>
    <w:multiLevelType w:val="hybridMultilevel"/>
    <w:tmpl w:val="1CD479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46D7423"/>
    <w:multiLevelType w:val="hybridMultilevel"/>
    <w:tmpl w:val="797868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EC0E32"/>
    <w:multiLevelType w:val="hybridMultilevel"/>
    <w:tmpl w:val="A3C898B6"/>
    <w:lvl w:ilvl="0" w:tplc="B79EBD70">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0073DE"/>
    <w:multiLevelType w:val="hybridMultilevel"/>
    <w:tmpl w:val="71AC5D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2A514A"/>
    <w:multiLevelType w:val="hybridMultilevel"/>
    <w:tmpl w:val="91366838"/>
    <w:lvl w:ilvl="0" w:tplc="FFFFFFFF">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423DA"/>
    <w:multiLevelType w:val="hybridMultilevel"/>
    <w:tmpl w:val="819E238C"/>
    <w:lvl w:ilvl="0" w:tplc="92148C72">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4D033C"/>
    <w:multiLevelType w:val="multilevel"/>
    <w:tmpl w:val="9E8029A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bCs/>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4"/>
  </w:num>
  <w:num w:numId="3">
    <w:abstractNumId w:val="42"/>
  </w:num>
  <w:num w:numId="4">
    <w:abstractNumId w:val="23"/>
  </w:num>
  <w:num w:numId="5">
    <w:abstractNumId w:val="37"/>
  </w:num>
  <w:num w:numId="6">
    <w:abstractNumId w:val="27"/>
  </w:num>
  <w:num w:numId="7">
    <w:abstractNumId w:val="20"/>
  </w:num>
  <w:num w:numId="8">
    <w:abstractNumId w:val="10"/>
  </w:num>
  <w:num w:numId="9">
    <w:abstractNumId w:val="33"/>
  </w:num>
  <w:num w:numId="10">
    <w:abstractNumId w:val="8"/>
  </w:num>
  <w:num w:numId="11">
    <w:abstractNumId w:val="2"/>
  </w:num>
  <w:num w:numId="12">
    <w:abstractNumId w:val="24"/>
  </w:num>
  <w:num w:numId="13">
    <w:abstractNumId w:val="25"/>
  </w:num>
  <w:num w:numId="14">
    <w:abstractNumId w:val="16"/>
  </w:num>
  <w:num w:numId="15">
    <w:abstractNumId w:val="36"/>
  </w:num>
  <w:num w:numId="16">
    <w:abstractNumId w:val="21"/>
  </w:num>
  <w:num w:numId="17">
    <w:abstractNumId w:val="34"/>
  </w:num>
  <w:num w:numId="18">
    <w:abstractNumId w:val="7"/>
  </w:num>
  <w:num w:numId="19">
    <w:abstractNumId w:val="9"/>
  </w:num>
  <w:num w:numId="20">
    <w:abstractNumId w:val="31"/>
  </w:num>
  <w:num w:numId="21">
    <w:abstractNumId w:val="15"/>
  </w:num>
  <w:num w:numId="22">
    <w:abstractNumId w:val="40"/>
  </w:num>
  <w:num w:numId="23">
    <w:abstractNumId w:val="19"/>
  </w:num>
  <w:num w:numId="24">
    <w:abstractNumId w:val="13"/>
  </w:num>
  <w:num w:numId="25">
    <w:abstractNumId w:val="12"/>
  </w:num>
  <w:num w:numId="26">
    <w:abstractNumId w:val="18"/>
  </w:num>
  <w:num w:numId="27">
    <w:abstractNumId w:val="38"/>
  </w:num>
  <w:num w:numId="28">
    <w:abstractNumId w:val="35"/>
  </w:num>
  <w:num w:numId="29">
    <w:abstractNumId w:val="23"/>
  </w:num>
  <w:num w:numId="30">
    <w:abstractNumId w:val="23"/>
  </w:num>
  <w:num w:numId="31">
    <w:abstractNumId w:val="23"/>
  </w:num>
  <w:num w:numId="32">
    <w:abstractNumId w:val="23"/>
  </w:num>
  <w:num w:numId="33">
    <w:abstractNumId w:val="23"/>
  </w:num>
  <w:num w:numId="34">
    <w:abstractNumId w:val="3"/>
  </w:num>
  <w:num w:numId="35">
    <w:abstractNumId w:val="41"/>
  </w:num>
  <w:num w:numId="36">
    <w:abstractNumId w:val="39"/>
  </w:num>
  <w:num w:numId="37">
    <w:abstractNumId w:val="28"/>
  </w:num>
  <w:num w:numId="38">
    <w:abstractNumId w:val="1"/>
  </w:num>
  <w:num w:numId="39">
    <w:abstractNumId w:val="6"/>
  </w:num>
  <w:num w:numId="40">
    <w:abstractNumId w:val="17"/>
  </w:num>
  <w:num w:numId="41">
    <w:abstractNumId w:val="14"/>
  </w:num>
  <w:num w:numId="42">
    <w:abstractNumId w:val="30"/>
  </w:num>
  <w:num w:numId="43">
    <w:abstractNumId w:val="5"/>
  </w:num>
  <w:num w:numId="44">
    <w:abstractNumId w:val="0"/>
  </w:num>
  <w:num w:numId="45">
    <w:abstractNumId w:val="11"/>
  </w:num>
  <w:num w:numId="46">
    <w:abstractNumId w:val="26"/>
  </w:num>
  <w:num w:numId="47">
    <w:abstractNumId w:val="29"/>
  </w:num>
  <w:num w:numId="48">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141"/>
    <w:rsid w:val="00000591"/>
    <w:rsid w:val="00000790"/>
    <w:rsid w:val="0000110B"/>
    <w:rsid w:val="000028B6"/>
    <w:rsid w:val="0000306C"/>
    <w:rsid w:val="00003499"/>
    <w:rsid w:val="000039B7"/>
    <w:rsid w:val="00003E52"/>
    <w:rsid w:val="00003F73"/>
    <w:rsid w:val="000074DA"/>
    <w:rsid w:val="000101E0"/>
    <w:rsid w:val="00010338"/>
    <w:rsid w:val="0001135E"/>
    <w:rsid w:val="00011E91"/>
    <w:rsid w:val="00012270"/>
    <w:rsid w:val="000128F8"/>
    <w:rsid w:val="00012F35"/>
    <w:rsid w:val="00013247"/>
    <w:rsid w:val="0001484F"/>
    <w:rsid w:val="0001491A"/>
    <w:rsid w:val="000153A2"/>
    <w:rsid w:val="000156CD"/>
    <w:rsid w:val="00015886"/>
    <w:rsid w:val="00015EBD"/>
    <w:rsid w:val="00016090"/>
    <w:rsid w:val="000162D0"/>
    <w:rsid w:val="000162EF"/>
    <w:rsid w:val="000174F0"/>
    <w:rsid w:val="00017706"/>
    <w:rsid w:val="00021755"/>
    <w:rsid w:val="0002225F"/>
    <w:rsid w:val="000222C4"/>
    <w:rsid w:val="00022D31"/>
    <w:rsid w:val="00023763"/>
    <w:rsid w:val="00023EAE"/>
    <w:rsid w:val="00024971"/>
    <w:rsid w:val="00025D98"/>
    <w:rsid w:val="00027709"/>
    <w:rsid w:val="00027A16"/>
    <w:rsid w:val="0003092A"/>
    <w:rsid w:val="00030A92"/>
    <w:rsid w:val="00031C7A"/>
    <w:rsid w:val="00033863"/>
    <w:rsid w:val="00033890"/>
    <w:rsid w:val="00033A2C"/>
    <w:rsid w:val="00034207"/>
    <w:rsid w:val="00034934"/>
    <w:rsid w:val="00034D82"/>
    <w:rsid w:val="00035DC0"/>
    <w:rsid w:val="00036829"/>
    <w:rsid w:val="00036C59"/>
    <w:rsid w:val="00037040"/>
    <w:rsid w:val="000372DD"/>
    <w:rsid w:val="00037BBE"/>
    <w:rsid w:val="0004043B"/>
    <w:rsid w:val="00040895"/>
    <w:rsid w:val="0004095E"/>
    <w:rsid w:val="00040F12"/>
    <w:rsid w:val="000423A6"/>
    <w:rsid w:val="00042F4A"/>
    <w:rsid w:val="00043591"/>
    <w:rsid w:val="00043C37"/>
    <w:rsid w:val="0004421D"/>
    <w:rsid w:val="00044EDC"/>
    <w:rsid w:val="00045017"/>
    <w:rsid w:val="00045341"/>
    <w:rsid w:val="00045A2B"/>
    <w:rsid w:val="00045D45"/>
    <w:rsid w:val="00045F1E"/>
    <w:rsid w:val="0004698F"/>
    <w:rsid w:val="00050A0A"/>
    <w:rsid w:val="00051572"/>
    <w:rsid w:val="000521C3"/>
    <w:rsid w:val="000539D0"/>
    <w:rsid w:val="00054621"/>
    <w:rsid w:val="00054655"/>
    <w:rsid w:val="000546D7"/>
    <w:rsid w:val="00054ABE"/>
    <w:rsid w:val="00057086"/>
    <w:rsid w:val="00057B32"/>
    <w:rsid w:val="00061E34"/>
    <w:rsid w:val="00061ED7"/>
    <w:rsid w:val="00063E7D"/>
    <w:rsid w:val="0006418D"/>
    <w:rsid w:val="00065CD3"/>
    <w:rsid w:val="00066360"/>
    <w:rsid w:val="000666A3"/>
    <w:rsid w:val="0006779A"/>
    <w:rsid w:val="00067A21"/>
    <w:rsid w:val="00071248"/>
    <w:rsid w:val="00071317"/>
    <w:rsid w:val="000714B8"/>
    <w:rsid w:val="00071512"/>
    <w:rsid w:val="000720B9"/>
    <w:rsid w:val="00072551"/>
    <w:rsid w:val="000728DF"/>
    <w:rsid w:val="000737C0"/>
    <w:rsid w:val="000737F7"/>
    <w:rsid w:val="000747F1"/>
    <w:rsid w:val="000757D1"/>
    <w:rsid w:val="00075A3F"/>
    <w:rsid w:val="00075B85"/>
    <w:rsid w:val="00075E5E"/>
    <w:rsid w:val="0007672F"/>
    <w:rsid w:val="000774F0"/>
    <w:rsid w:val="00077F72"/>
    <w:rsid w:val="00080909"/>
    <w:rsid w:val="00080917"/>
    <w:rsid w:val="000812CA"/>
    <w:rsid w:val="0008156B"/>
    <w:rsid w:val="00081BA6"/>
    <w:rsid w:val="0008258D"/>
    <w:rsid w:val="00083C3A"/>
    <w:rsid w:val="00083E99"/>
    <w:rsid w:val="000840C9"/>
    <w:rsid w:val="00085437"/>
    <w:rsid w:val="000856C5"/>
    <w:rsid w:val="00085E8F"/>
    <w:rsid w:val="00085F4E"/>
    <w:rsid w:val="000872E3"/>
    <w:rsid w:val="00090A0F"/>
    <w:rsid w:val="00090C7E"/>
    <w:rsid w:val="00091426"/>
    <w:rsid w:val="00092600"/>
    <w:rsid w:val="0009262B"/>
    <w:rsid w:val="00092680"/>
    <w:rsid w:val="000928A0"/>
    <w:rsid w:val="0009319E"/>
    <w:rsid w:val="00093310"/>
    <w:rsid w:val="0009445C"/>
    <w:rsid w:val="00095FE5"/>
    <w:rsid w:val="00096284"/>
    <w:rsid w:val="0009702C"/>
    <w:rsid w:val="00097DDF"/>
    <w:rsid w:val="00097ED9"/>
    <w:rsid w:val="000A0867"/>
    <w:rsid w:val="000A087C"/>
    <w:rsid w:val="000A1B27"/>
    <w:rsid w:val="000A27DE"/>
    <w:rsid w:val="000A2DB7"/>
    <w:rsid w:val="000A3F61"/>
    <w:rsid w:val="000A4849"/>
    <w:rsid w:val="000A7241"/>
    <w:rsid w:val="000A7D08"/>
    <w:rsid w:val="000B0420"/>
    <w:rsid w:val="000B0670"/>
    <w:rsid w:val="000B0E75"/>
    <w:rsid w:val="000B2066"/>
    <w:rsid w:val="000B3E23"/>
    <w:rsid w:val="000B40A5"/>
    <w:rsid w:val="000B4823"/>
    <w:rsid w:val="000B53D1"/>
    <w:rsid w:val="000B5725"/>
    <w:rsid w:val="000B664F"/>
    <w:rsid w:val="000B6CAC"/>
    <w:rsid w:val="000B7612"/>
    <w:rsid w:val="000B77F2"/>
    <w:rsid w:val="000C0501"/>
    <w:rsid w:val="000C068A"/>
    <w:rsid w:val="000C15FF"/>
    <w:rsid w:val="000C1731"/>
    <w:rsid w:val="000C1794"/>
    <w:rsid w:val="000C1AA3"/>
    <w:rsid w:val="000C3DF9"/>
    <w:rsid w:val="000C401D"/>
    <w:rsid w:val="000C47E6"/>
    <w:rsid w:val="000C4A71"/>
    <w:rsid w:val="000C64D0"/>
    <w:rsid w:val="000C6615"/>
    <w:rsid w:val="000C6713"/>
    <w:rsid w:val="000C741E"/>
    <w:rsid w:val="000D14BF"/>
    <w:rsid w:val="000D19A0"/>
    <w:rsid w:val="000D1BFC"/>
    <w:rsid w:val="000D26DA"/>
    <w:rsid w:val="000D281A"/>
    <w:rsid w:val="000D2856"/>
    <w:rsid w:val="000D326A"/>
    <w:rsid w:val="000D407E"/>
    <w:rsid w:val="000D51FB"/>
    <w:rsid w:val="000D561E"/>
    <w:rsid w:val="000D5A14"/>
    <w:rsid w:val="000D5B2E"/>
    <w:rsid w:val="000E0334"/>
    <w:rsid w:val="000E0911"/>
    <w:rsid w:val="000E1089"/>
    <w:rsid w:val="000E135D"/>
    <w:rsid w:val="000E22A6"/>
    <w:rsid w:val="000E25FE"/>
    <w:rsid w:val="000E263E"/>
    <w:rsid w:val="000E2E74"/>
    <w:rsid w:val="000E34CD"/>
    <w:rsid w:val="000E3582"/>
    <w:rsid w:val="000E359D"/>
    <w:rsid w:val="000E3A29"/>
    <w:rsid w:val="000E3CF2"/>
    <w:rsid w:val="000E5287"/>
    <w:rsid w:val="000E67EA"/>
    <w:rsid w:val="000E68CE"/>
    <w:rsid w:val="000E7C09"/>
    <w:rsid w:val="000F00BA"/>
    <w:rsid w:val="000F0903"/>
    <w:rsid w:val="000F109C"/>
    <w:rsid w:val="000F110D"/>
    <w:rsid w:val="000F2684"/>
    <w:rsid w:val="000F301D"/>
    <w:rsid w:val="000F316A"/>
    <w:rsid w:val="000F3C74"/>
    <w:rsid w:val="000F3CB2"/>
    <w:rsid w:val="000F4BB8"/>
    <w:rsid w:val="000F50E6"/>
    <w:rsid w:val="000F7127"/>
    <w:rsid w:val="000F781A"/>
    <w:rsid w:val="00100406"/>
    <w:rsid w:val="00100EDD"/>
    <w:rsid w:val="00100F8A"/>
    <w:rsid w:val="00101144"/>
    <w:rsid w:val="00102E5F"/>
    <w:rsid w:val="00103144"/>
    <w:rsid w:val="00103F78"/>
    <w:rsid w:val="00104B2B"/>
    <w:rsid w:val="00105037"/>
    <w:rsid w:val="00105AE2"/>
    <w:rsid w:val="00105AF5"/>
    <w:rsid w:val="00105C63"/>
    <w:rsid w:val="00106B80"/>
    <w:rsid w:val="00106F43"/>
    <w:rsid w:val="00107921"/>
    <w:rsid w:val="0011032E"/>
    <w:rsid w:val="0011061B"/>
    <w:rsid w:val="00111620"/>
    <w:rsid w:val="0011192A"/>
    <w:rsid w:val="00111D08"/>
    <w:rsid w:val="001122FB"/>
    <w:rsid w:val="001128A8"/>
    <w:rsid w:val="0011348B"/>
    <w:rsid w:val="00113BBF"/>
    <w:rsid w:val="00113D6E"/>
    <w:rsid w:val="001142D9"/>
    <w:rsid w:val="001146EC"/>
    <w:rsid w:val="00115982"/>
    <w:rsid w:val="00115B26"/>
    <w:rsid w:val="00115F1F"/>
    <w:rsid w:val="00115FB9"/>
    <w:rsid w:val="00116C53"/>
    <w:rsid w:val="00117F7C"/>
    <w:rsid w:val="00121360"/>
    <w:rsid w:val="00121799"/>
    <w:rsid w:val="00122222"/>
    <w:rsid w:val="001222FC"/>
    <w:rsid w:val="00123078"/>
    <w:rsid w:val="0012342C"/>
    <w:rsid w:val="00124215"/>
    <w:rsid w:val="00124A51"/>
    <w:rsid w:val="001261A9"/>
    <w:rsid w:val="00126621"/>
    <w:rsid w:val="00126925"/>
    <w:rsid w:val="001301E9"/>
    <w:rsid w:val="001317E7"/>
    <w:rsid w:val="00131D82"/>
    <w:rsid w:val="001321AF"/>
    <w:rsid w:val="001323C4"/>
    <w:rsid w:val="0013289C"/>
    <w:rsid w:val="00133D36"/>
    <w:rsid w:val="00133E5A"/>
    <w:rsid w:val="00133FF3"/>
    <w:rsid w:val="001345D2"/>
    <w:rsid w:val="00136EA0"/>
    <w:rsid w:val="00136F76"/>
    <w:rsid w:val="00137645"/>
    <w:rsid w:val="00137E10"/>
    <w:rsid w:val="0014015A"/>
    <w:rsid w:val="00140284"/>
    <w:rsid w:val="00140E99"/>
    <w:rsid w:val="00142828"/>
    <w:rsid w:val="0014383B"/>
    <w:rsid w:val="00144743"/>
    <w:rsid w:val="0014551F"/>
    <w:rsid w:val="00145540"/>
    <w:rsid w:val="001456B0"/>
    <w:rsid w:val="00145E7A"/>
    <w:rsid w:val="001503C3"/>
    <w:rsid w:val="0015072A"/>
    <w:rsid w:val="0015093A"/>
    <w:rsid w:val="001510DE"/>
    <w:rsid w:val="001516EC"/>
    <w:rsid w:val="00153A4E"/>
    <w:rsid w:val="00154A03"/>
    <w:rsid w:val="00154C20"/>
    <w:rsid w:val="00154D14"/>
    <w:rsid w:val="00154F9D"/>
    <w:rsid w:val="00156279"/>
    <w:rsid w:val="001562C8"/>
    <w:rsid w:val="0015651B"/>
    <w:rsid w:val="00157130"/>
    <w:rsid w:val="001576B1"/>
    <w:rsid w:val="00157795"/>
    <w:rsid w:val="00160A4C"/>
    <w:rsid w:val="00160C2F"/>
    <w:rsid w:val="00161056"/>
    <w:rsid w:val="00161E49"/>
    <w:rsid w:val="0016212E"/>
    <w:rsid w:val="00162913"/>
    <w:rsid w:val="00162C39"/>
    <w:rsid w:val="00162D21"/>
    <w:rsid w:val="00162F20"/>
    <w:rsid w:val="00163BB2"/>
    <w:rsid w:val="00163E62"/>
    <w:rsid w:val="00163EFF"/>
    <w:rsid w:val="001647B6"/>
    <w:rsid w:val="0016481D"/>
    <w:rsid w:val="00165C3D"/>
    <w:rsid w:val="001661FB"/>
    <w:rsid w:val="00170156"/>
    <w:rsid w:val="00170813"/>
    <w:rsid w:val="00170F02"/>
    <w:rsid w:val="0017148C"/>
    <w:rsid w:val="00172040"/>
    <w:rsid w:val="00172501"/>
    <w:rsid w:val="00172A08"/>
    <w:rsid w:val="00172D0E"/>
    <w:rsid w:val="00172D12"/>
    <w:rsid w:val="00172E79"/>
    <w:rsid w:val="00172EFB"/>
    <w:rsid w:val="00173037"/>
    <w:rsid w:val="0017335C"/>
    <w:rsid w:val="0017350A"/>
    <w:rsid w:val="00173565"/>
    <w:rsid w:val="001736D5"/>
    <w:rsid w:val="00173A6A"/>
    <w:rsid w:val="00173B07"/>
    <w:rsid w:val="00173ED5"/>
    <w:rsid w:val="0017450F"/>
    <w:rsid w:val="00175909"/>
    <w:rsid w:val="00180B34"/>
    <w:rsid w:val="00180FD4"/>
    <w:rsid w:val="001817D8"/>
    <w:rsid w:val="00181D9C"/>
    <w:rsid w:val="00182C90"/>
    <w:rsid w:val="001834E6"/>
    <w:rsid w:val="001860A7"/>
    <w:rsid w:val="00186C06"/>
    <w:rsid w:val="0018752F"/>
    <w:rsid w:val="00187B47"/>
    <w:rsid w:val="001908B5"/>
    <w:rsid w:val="001919E1"/>
    <w:rsid w:val="00192018"/>
    <w:rsid w:val="001925B9"/>
    <w:rsid w:val="00192834"/>
    <w:rsid w:val="001934CB"/>
    <w:rsid w:val="001942D9"/>
    <w:rsid w:val="00195072"/>
    <w:rsid w:val="00195222"/>
    <w:rsid w:val="00195EEF"/>
    <w:rsid w:val="001975D8"/>
    <w:rsid w:val="001A03DE"/>
    <w:rsid w:val="001A0701"/>
    <w:rsid w:val="001A2C63"/>
    <w:rsid w:val="001A3CEA"/>
    <w:rsid w:val="001A4144"/>
    <w:rsid w:val="001A43FA"/>
    <w:rsid w:val="001A4606"/>
    <w:rsid w:val="001A5089"/>
    <w:rsid w:val="001A5298"/>
    <w:rsid w:val="001A59FB"/>
    <w:rsid w:val="001A5BC5"/>
    <w:rsid w:val="001A6354"/>
    <w:rsid w:val="001A7AE8"/>
    <w:rsid w:val="001A7D54"/>
    <w:rsid w:val="001B13DE"/>
    <w:rsid w:val="001B204E"/>
    <w:rsid w:val="001B21D7"/>
    <w:rsid w:val="001B2966"/>
    <w:rsid w:val="001B3443"/>
    <w:rsid w:val="001B36A3"/>
    <w:rsid w:val="001B4D20"/>
    <w:rsid w:val="001B5BA4"/>
    <w:rsid w:val="001B5E9D"/>
    <w:rsid w:val="001B6479"/>
    <w:rsid w:val="001B7BFB"/>
    <w:rsid w:val="001C02F0"/>
    <w:rsid w:val="001C071A"/>
    <w:rsid w:val="001C1344"/>
    <w:rsid w:val="001C22CE"/>
    <w:rsid w:val="001C26C9"/>
    <w:rsid w:val="001C297B"/>
    <w:rsid w:val="001C2A9B"/>
    <w:rsid w:val="001C342F"/>
    <w:rsid w:val="001C4299"/>
    <w:rsid w:val="001C5F94"/>
    <w:rsid w:val="001C68EE"/>
    <w:rsid w:val="001C6E66"/>
    <w:rsid w:val="001C7482"/>
    <w:rsid w:val="001D0A3E"/>
    <w:rsid w:val="001D1FAA"/>
    <w:rsid w:val="001D2C59"/>
    <w:rsid w:val="001D3609"/>
    <w:rsid w:val="001D3A15"/>
    <w:rsid w:val="001D4477"/>
    <w:rsid w:val="001D5324"/>
    <w:rsid w:val="001D5DF1"/>
    <w:rsid w:val="001D5EC7"/>
    <w:rsid w:val="001D5EEE"/>
    <w:rsid w:val="001D6E26"/>
    <w:rsid w:val="001D7EDC"/>
    <w:rsid w:val="001E02CC"/>
    <w:rsid w:val="001E0867"/>
    <w:rsid w:val="001E17D4"/>
    <w:rsid w:val="001E1867"/>
    <w:rsid w:val="001E238E"/>
    <w:rsid w:val="001E2483"/>
    <w:rsid w:val="001E2B1E"/>
    <w:rsid w:val="001E30D4"/>
    <w:rsid w:val="001E361E"/>
    <w:rsid w:val="001E3C96"/>
    <w:rsid w:val="001E42C9"/>
    <w:rsid w:val="001E52EB"/>
    <w:rsid w:val="001E5618"/>
    <w:rsid w:val="001E61D2"/>
    <w:rsid w:val="001E740C"/>
    <w:rsid w:val="001E79C1"/>
    <w:rsid w:val="001E7E61"/>
    <w:rsid w:val="001F047D"/>
    <w:rsid w:val="001F04A8"/>
    <w:rsid w:val="001F1235"/>
    <w:rsid w:val="001F1CB3"/>
    <w:rsid w:val="001F1CB5"/>
    <w:rsid w:val="001F24CE"/>
    <w:rsid w:val="001F38B5"/>
    <w:rsid w:val="001F3CC6"/>
    <w:rsid w:val="001F3CE2"/>
    <w:rsid w:val="001F4693"/>
    <w:rsid w:val="001F4823"/>
    <w:rsid w:val="001F4E84"/>
    <w:rsid w:val="001F5362"/>
    <w:rsid w:val="001F572B"/>
    <w:rsid w:val="001F58DA"/>
    <w:rsid w:val="001F5A50"/>
    <w:rsid w:val="001F68CD"/>
    <w:rsid w:val="001F7361"/>
    <w:rsid w:val="00200B5C"/>
    <w:rsid w:val="002011B0"/>
    <w:rsid w:val="00202E61"/>
    <w:rsid w:val="00203181"/>
    <w:rsid w:val="002033B9"/>
    <w:rsid w:val="00203783"/>
    <w:rsid w:val="0020385F"/>
    <w:rsid w:val="00204068"/>
    <w:rsid w:val="002046F0"/>
    <w:rsid w:val="00205B4A"/>
    <w:rsid w:val="00206B4B"/>
    <w:rsid w:val="00206B74"/>
    <w:rsid w:val="00207021"/>
    <w:rsid w:val="0020732F"/>
    <w:rsid w:val="00207D00"/>
    <w:rsid w:val="002105C1"/>
    <w:rsid w:val="002107C0"/>
    <w:rsid w:val="00210E89"/>
    <w:rsid w:val="002114F1"/>
    <w:rsid w:val="002120B3"/>
    <w:rsid w:val="0021216B"/>
    <w:rsid w:val="00213E8B"/>
    <w:rsid w:val="00214282"/>
    <w:rsid w:val="002147F4"/>
    <w:rsid w:val="002155F1"/>
    <w:rsid w:val="00215E30"/>
    <w:rsid w:val="00217CDA"/>
    <w:rsid w:val="00220691"/>
    <w:rsid w:val="00223B49"/>
    <w:rsid w:val="002247E8"/>
    <w:rsid w:val="00224DD4"/>
    <w:rsid w:val="00225F41"/>
    <w:rsid w:val="00226903"/>
    <w:rsid w:val="002278AF"/>
    <w:rsid w:val="00227F2C"/>
    <w:rsid w:val="002301FD"/>
    <w:rsid w:val="0023053C"/>
    <w:rsid w:val="002309CC"/>
    <w:rsid w:val="0023187E"/>
    <w:rsid w:val="00231F74"/>
    <w:rsid w:val="0023209F"/>
    <w:rsid w:val="002324D9"/>
    <w:rsid w:val="00233296"/>
    <w:rsid w:val="0023629D"/>
    <w:rsid w:val="00236718"/>
    <w:rsid w:val="00236A14"/>
    <w:rsid w:val="00237255"/>
    <w:rsid w:val="00241DC0"/>
    <w:rsid w:val="002422FA"/>
    <w:rsid w:val="002424AF"/>
    <w:rsid w:val="002439DC"/>
    <w:rsid w:val="00244DC8"/>
    <w:rsid w:val="002458BA"/>
    <w:rsid w:val="0024636C"/>
    <w:rsid w:val="00246D26"/>
    <w:rsid w:val="00246E84"/>
    <w:rsid w:val="00247925"/>
    <w:rsid w:val="00250F35"/>
    <w:rsid w:val="0025158E"/>
    <w:rsid w:val="00251FB1"/>
    <w:rsid w:val="002522E1"/>
    <w:rsid w:val="0025362D"/>
    <w:rsid w:val="00253A8E"/>
    <w:rsid w:val="002544D5"/>
    <w:rsid w:val="00254DCF"/>
    <w:rsid w:val="0025534B"/>
    <w:rsid w:val="00255BB7"/>
    <w:rsid w:val="002569FA"/>
    <w:rsid w:val="00257541"/>
    <w:rsid w:val="002619E1"/>
    <w:rsid w:val="00262087"/>
    <w:rsid w:val="00262162"/>
    <w:rsid w:val="00262A1A"/>
    <w:rsid w:val="00262A87"/>
    <w:rsid w:val="00264D26"/>
    <w:rsid w:val="00266044"/>
    <w:rsid w:val="00267642"/>
    <w:rsid w:val="00267AEA"/>
    <w:rsid w:val="002700E6"/>
    <w:rsid w:val="00271195"/>
    <w:rsid w:val="00271275"/>
    <w:rsid w:val="0027294B"/>
    <w:rsid w:val="00273929"/>
    <w:rsid w:val="00273D77"/>
    <w:rsid w:val="00273DE7"/>
    <w:rsid w:val="002741C4"/>
    <w:rsid w:val="0027459C"/>
    <w:rsid w:val="00274DF5"/>
    <w:rsid w:val="002758E9"/>
    <w:rsid w:val="00275981"/>
    <w:rsid w:val="00275C5A"/>
    <w:rsid w:val="00275D81"/>
    <w:rsid w:val="00275EEF"/>
    <w:rsid w:val="002773C9"/>
    <w:rsid w:val="00277F10"/>
    <w:rsid w:val="00277F5E"/>
    <w:rsid w:val="00281014"/>
    <w:rsid w:val="002811CB"/>
    <w:rsid w:val="00282162"/>
    <w:rsid w:val="00283CF8"/>
    <w:rsid w:val="00284733"/>
    <w:rsid w:val="002855F1"/>
    <w:rsid w:val="00285694"/>
    <w:rsid w:val="00286312"/>
    <w:rsid w:val="00286AEF"/>
    <w:rsid w:val="00287C11"/>
    <w:rsid w:val="00287C1F"/>
    <w:rsid w:val="00290534"/>
    <w:rsid w:val="0029153F"/>
    <w:rsid w:val="002922B5"/>
    <w:rsid w:val="0029287C"/>
    <w:rsid w:val="00294E39"/>
    <w:rsid w:val="002972F0"/>
    <w:rsid w:val="00297668"/>
    <w:rsid w:val="00297ACB"/>
    <w:rsid w:val="00297C2E"/>
    <w:rsid w:val="002A0CCB"/>
    <w:rsid w:val="002A14AB"/>
    <w:rsid w:val="002A2347"/>
    <w:rsid w:val="002A2F50"/>
    <w:rsid w:val="002A304F"/>
    <w:rsid w:val="002A355F"/>
    <w:rsid w:val="002A3FCE"/>
    <w:rsid w:val="002A5172"/>
    <w:rsid w:val="002A626D"/>
    <w:rsid w:val="002A6FFF"/>
    <w:rsid w:val="002A7F66"/>
    <w:rsid w:val="002B0152"/>
    <w:rsid w:val="002B057E"/>
    <w:rsid w:val="002B09A4"/>
    <w:rsid w:val="002B1C1F"/>
    <w:rsid w:val="002B2239"/>
    <w:rsid w:val="002B257A"/>
    <w:rsid w:val="002B2983"/>
    <w:rsid w:val="002B2D32"/>
    <w:rsid w:val="002B40F3"/>
    <w:rsid w:val="002B432F"/>
    <w:rsid w:val="002B5B49"/>
    <w:rsid w:val="002B5EAE"/>
    <w:rsid w:val="002B62B3"/>
    <w:rsid w:val="002B649E"/>
    <w:rsid w:val="002B6754"/>
    <w:rsid w:val="002B6CCE"/>
    <w:rsid w:val="002B76AD"/>
    <w:rsid w:val="002B7CEA"/>
    <w:rsid w:val="002C068B"/>
    <w:rsid w:val="002C10BA"/>
    <w:rsid w:val="002C2510"/>
    <w:rsid w:val="002C2775"/>
    <w:rsid w:val="002C27C1"/>
    <w:rsid w:val="002C436C"/>
    <w:rsid w:val="002C5099"/>
    <w:rsid w:val="002C51EA"/>
    <w:rsid w:val="002C53AB"/>
    <w:rsid w:val="002C5889"/>
    <w:rsid w:val="002C6080"/>
    <w:rsid w:val="002C71CE"/>
    <w:rsid w:val="002C798D"/>
    <w:rsid w:val="002D0A1F"/>
    <w:rsid w:val="002D2273"/>
    <w:rsid w:val="002D2937"/>
    <w:rsid w:val="002D2B77"/>
    <w:rsid w:val="002D342D"/>
    <w:rsid w:val="002D3CD1"/>
    <w:rsid w:val="002D3F71"/>
    <w:rsid w:val="002D45BC"/>
    <w:rsid w:val="002D47D1"/>
    <w:rsid w:val="002D577C"/>
    <w:rsid w:val="002D5851"/>
    <w:rsid w:val="002D6F13"/>
    <w:rsid w:val="002E061F"/>
    <w:rsid w:val="002E15B9"/>
    <w:rsid w:val="002E2158"/>
    <w:rsid w:val="002E2FB3"/>
    <w:rsid w:val="002E33C6"/>
    <w:rsid w:val="002E5057"/>
    <w:rsid w:val="002E5518"/>
    <w:rsid w:val="002E55E3"/>
    <w:rsid w:val="002E606E"/>
    <w:rsid w:val="002E65C7"/>
    <w:rsid w:val="002E6785"/>
    <w:rsid w:val="002E6AC3"/>
    <w:rsid w:val="002E7722"/>
    <w:rsid w:val="002E7A8F"/>
    <w:rsid w:val="002E7BDF"/>
    <w:rsid w:val="002F051B"/>
    <w:rsid w:val="002F07BA"/>
    <w:rsid w:val="002F0DA9"/>
    <w:rsid w:val="002F1704"/>
    <w:rsid w:val="002F17FB"/>
    <w:rsid w:val="002F27B8"/>
    <w:rsid w:val="002F2E42"/>
    <w:rsid w:val="002F5146"/>
    <w:rsid w:val="002F643C"/>
    <w:rsid w:val="002F71C0"/>
    <w:rsid w:val="002F750C"/>
    <w:rsid w:val="0030048E"/>
    <w:rsid w:val="00300B0B"/>
    <w:rsid w:val="00300FB1"/>
    <w:rsid w:val="00301017"/>
    <w:rsid w:val="0030155F"/>
    <w:rsid w:val="00301F7F"/>
    <w:rsid w:val="003021A4"/>
    <w:rsid w:val="00302289"/>
    <w:rsid w:val="0030270E"/>
    <w:rsid w:val="0030587B"/>
    <w:rsid w:val="00305B4D"/>
    <w:rsid w:val="00306424"/>
    <w:rsid w:val="00306D98"/>
    <w:rsid w:val="00307545"/>
    <w:rsid w:val="0030786C"/>
    <w:rsid w:val="00307A72"/>
    <w:rsid w:val="003101A2"/>
    <w:rsid w:val="0031031A"/>
    <w:rsid w:val="00310981"/>
    <w:rsid w:val="00310DC3"/>
    <w:rsid w:val="003112F3"/>
    <w:rsid w:val="00311A9D"/>
    <w:rsid w:val="00311C70"/>
    <w:rsid w:val="00312C01"/>
    <w:rsid w:val="00313474"/>
    <w:rsid w:val="00314981"/>
    <w:rsid w:val="00315498"/>
    <w:rsid w:val="00315CA0"/>
    <w:rsid w:val="00315EB2"/>
    <w:rsid w:val="003171A8"/>
    <w:rsid w:val="003208E7"/>
    <w:rsid w:val="00320973"/>
    <w:rsid w:val="003209E9"/>
    <w:rsid w:val="00320E10"/>
    <w:rsid w:val="003212AC"/>
    <w:rsid w:val="00321A76"/>
    <w:rsid w:val="00322107"/>
    <w:rsid w:val="00322190"/>
    <w:rsid w:val="003225F8"/>
    <w:rsid w:val="00322846"/>
    <w:rsid w:val="00322D02"/>
    <w:rsid w:val="00322D59"/>
    <w:rsid w:val="003238CF"/>
    <w:rsid w:val="00324F99"/>
    <w:rsid w:val="00326403"/>
    <w:rsid w:val="00326DA7"/>
    <w:rsid w:val="003270E4"/>
    <w:rsid w:val="00330684"/>
    <w:rsid w:val="00330D33"/>
    <w:rsid w:val="00330F5C"/>
    <w:rsid w:val="00331782"/>
    <w:rsid w:val="00333561"/>
    <w:rsid w:val="003337A4"/>
    <w:rsid w:val="00333F32"/>
    <w:rsid w:val="00334546"/>
    <w:rsid w:val="00335D30"/>
    <w:rsid w:val="00335FAF"/>
    <w:rsid w:val="003366C9"/>
    <w:rsid w:val="0033690E"/>
    <w:rsid w:val="00336CE2"/>
    <w:rsid w:val="00336CF7"/>
    <w:rsid w:val="003371B0"/>
    <w:rsid w:val="00337CC3"/>
    <w:rsid w:val="00340DF1"/>
    <w:rsid w:val="00341BB4"/>
    <w:rsid w:val="003420E3"/>
    <w:rsid w:val="0034212D"/>
    <w:rsid w:val="00342DA3"/>
    <w:rsid w:val="003436DE"/>
    <w:rsid w:val="00343FFC"/>
    <w:rsid w:val="00344B7D"/>
    <w:rsid w:val="00344CEC"/>
    <w:rsid w:val="00345935"/>
    <w:rsid w:val="00346FD4"/>
    <w:rsid w:val="00347123"/>
    <w:rsid w:val="00347CEF"/>
    <w:rsid w:val="0035052E"/>
    <w:rsid w:val="003517F9"/>
    <w:rsid w:val="00351E61"/>
    <w:rsid w:val="00351EF8"/>
    <w:rsid w:val="003521B2"/>
    <w:rsid w:val="003527E2"/>
    <w:rsid w:val="00352CA6"/>
    <w:rsid w:val="00353152"/>
    <w:rsid w:val="0035425B"/>
    <w:rsid w:val="003548A1"/>
    <w:rsid w:val="0035505E"/>
    <w:rsid w:val="0035517E"/>
    <w:rsid w:val="003558E9"/>
    <w:rsid w:val="00355953"/>
    <w:rsid w:val="00355FC7"/>
    <w:rsid w:val="0035620E"/>
    <w:rsid w:val="0035738F"/>
    <w:rsid w:val="003579AA"/>
    <w:rsid w:val="00360388"/>
    <w:rsid w:val="003605F4"/>
    <w:rsid w:val="00361C30"/>
    <w:rsid w:val="003624C4"/>
    <w:rsid w:val="00362541"/>
    <w:rsid w:val="00363921"/>
    <w:rsid w:val="0036448D"/>
    <w:rsid w:val="003654AC"/>
    <w:rsid w:val="00370C0B"/>
    <w:rsid w:val="003710CF"/>
    <w:rsid w:val="00371C37"/>
    <w:rsid w:val="003729D4"/>
    <w:rsid w:val="003733A3"/>
    <w:rsid w:val="0037358A"/>
    <w:rsid w:val="003744AC"/>
    <w:rsid w:val="00374808"/>
    <w:rsid w:val="003750F6"/>
    <w:rsid w:val="003759F9"/>
    <w:rsid w:val="003760FC"/>
    <w:rsid w:val="00376144"/>
    <w:rsid w:val="003766D4"/>
    <w:rsid w:val="003769CB"/>
    <w:rsid w:val="00377C13"/>
    <w:rsid w:val="00377EEB"/>
    <w:rsid w:val="00382499"/>
    <w:rsid w:val="00383255"/>
    <w:rsid w:val="0038358E"/>
    <w:rsid w:val="003835C1"/>
    <w:rsid w:val="0038365C"/>
    <w:rsid w:val="0038369B"/>
    <w:rsid w:val="00383B78"/>
    <w:rsid w:val="00384E55"/>
    <w:rsid w:val="00385A9D"/>
    <w:rsid w:val="00386380"/>
    <w:rsid w:val="00386F8D"/>
    <w:rsid w:val="00387392"/>
    <w:rsid w:val="0039019F"/>
    <w:rsid w:val="003902B1"/>
    <w:rsid w:val="00390F6C"/>
    <w:rsid w:val="00391A8F"/>
    <w:rsid w:val="00392B19"/>
    <w:rsid w:val="003941AC"/>
    <w:rsid w:val="00396663"/>
    <w:rsid w:val="00396896"/>
    <w:rsid w:val="00396FD0"/>
    <w:rsid w:val="003970FE"/>
    <w:rsid w:val="00397945"/>
    <w:rsid w:val="00397973"/>
    <w:rsid w:val="003A0842"/>
    <w:rsid w:val="003A16A5"/>
    <w:rsid w:val="003A187C"/>
    <w:rsid w:val="003A1A00"/>
    <w:rsid w:val="003A1A7A"/>
    <w:rsid w:val="003A2392"/>
    <w:rsid w:val="003A2831"/>
    <w:rsid w:val="003A2D57"/>
    <w:rsid w:val="003A3AD1"/>
    <w:rsid w:val="003A3ED1"/>
    <w:rsid w:val="003A5683"/>
    <w:rsid w:val="003A580E"/>
    <w:rsid w:val="003A5F8D"/>
    <w:rsid w:val="003A6C45"/>
    <w:rsid w:val="003A7514"/>
    <w:rsid w:val="003A76D8"/>
    <w:rsid w:val="003A77AD"/>
    <w:rsid w:val="003A7F6A"/>
    <w:rsid w:val="003B002C"/>
    <w:rsid w:val="003B16A8"/>
    <w:rsid w:val="003B1D2A"/>
    <w:rsid w:val="003B207B"/>
    <w:rsid w:val="003B39A4"/>
    <w:rsid w:val="003B488A"/>
    <w:rsid w:val="003B53A0"/>
    <w:rsid w:val="003B563E"/>
    <w:rsid w:val="003B5862"/>
    <w:rsid w:val="003B5894"/>
    <w:rsid w:val="003B5B61"/>
    <w:rsid w:val="003B5EE7"/>
    <w:rsid w:val="003B61D0"/>
    <w:rsid w:val="003B7938"/>
    <w:rsid w:val="003B7C7E"/>
    <w:rsid w:val="003C01FC"/>
    <w:rsid w:val="003C0C33"/>
    <w:rsid w:val="003C1244"/>
    <w:rsid w:val="003C1654"/>
    <w:rsid w:val="003C276D"/>
    <w:rsid w:val="003C3C14"/>
    <w:rsid w:val="003C458D"/>
    <w:rsid w:val="003C5C89"/>
    <w:rsid w:val="003C5FC9"/>
    <w:rsid w:val="003C70D9"/>
    <w:rsid w:val="003C7709"/>
    <w:rsid w:val="003C7D19"/>
    <w:rsid w:val="003D0A80"/>
    <w:rsid w:val="003D1828"/>
    <w:rsid w:val="003D1DE4"/>
    <w:rsid w:val="003D2422"/>
    <w:rsid w:val="003D39A1"/>
    <w:rsid w:val="003D3FBF"/>
    <w:rsid w:val="003D4A30"/>
    <w:rsid w:val="003D729F"/>
    <w:rsid w:val="003D73CF"/>
    <w:rsid w:val="003D79BB"/>
    <w:rsid w:val="003D7B22"/>
    <w:rsid w:val="003D7C98"/>
    <w:rsid w:val="003E0543"/>
    <w:rsid w:val="003E2003"/>
    <w:rsid w:val="003E2005"/>
    <w:rsid w:val="003E46D9"/>
    <w:rsid w:val="003E6335"/>
    <w:rsid w:val="003E6B5B"/>
    <w:rsid w:val="003E6DF2"/>
    <w:rsid w:val="003F0262"/>
    <w:rsid w:val="003F0796"/>
    <w:rsid w:val="003F1FB7"/>
    <w:rsid w:val="003F4156"/>
    <w:rsid w:val="003F4349"/>
    <w:rsid w:val="003F43E5"/>
    <w:rsid w:val="003F47D4"/>
    <w:rsid w:val="003F4F78"/>
    <w:rsid w:val="003F582C"/>
    <w:rsid w:val="003F5B87"/>
    <w:rsid w:val="003F6044"/>
    <w:rsid w:val="003F7461"/>
    <w:rsid w:val="003F74CB"/>
    <w:rsid w:val="003F75FA"/>
    <w:rsid w:val="003F7DBC"/>
    <w:rsid w:val="003F7DF7"/>
    <w:rsid w:val="00400AB2"/>
    <w:rsid w:val="00400B29"/>
    <w:rsid w:val="00400B6D"/>
    <w:rsid w:val="00400DEC"/>
    <w:rsid w:val="00401979"/>
    <w:rsid w:val="0040226A"/>
    <w:rsid w:val="004023B5"/>
    <w:rsid w:val="00403A2D"/>
    <w:rsid w:val="004040DA"/>
    <w:rsid w:val="00404D7F"/>
    <w:rsid w:val="0040504B"/>
    <w:rsid w:val="004051AA"/>
    <w:rsid w:val="004051F0"/>
    <w:rsid w:val="00405686"/>
    <w:rsid w:val="004069FE"/>
    <w:rsid w:val="00406E66"/>
    <w:rsid w:val="0041004D"/>
    <w:rsid w:val="00410589"/>
    <w:rsid w:val="00410708"/>
    <w:rsid w:val="0041091B"/>
    <w:rsid w:val="00410EC7"/>
    <w:rsid w:val="004111EE"/>
    <w:rsid w:val="00411657"/>
    <w:rsid w:val="00411B39"/>
    <w:rsid w:val="00411F5B"/>
    <w:rsid w:val="004123D0"/>
    <w:rsid w:val="00413528"/>
    <w:rsid w:val="00413793"/>
    <w:rsid w:val="00413A1E"/>
    <w:rsid w:val="00414476"/>
    <w:rsid w:val="00414C2E"/>
    <w:rsid w:val="004151CF"/>
    <w:rsid w:val="00416364"/>
    <w:rsid w:val="00416C34"/>
    <w:rsid w:val="00420AA6"/>
    <w:rsid w:val="00420B9F"/>
    <w:rsid w:val="00420C4E"/>
    <w:rsid w:val="0042112C"/>
    <w:rsid w:val="00421C37"/>
    <w:rsid w:val="00422260"/>
    <w:rsid w:val="00422807"/>
    <w:rsid w:val="00422858"/>
    <w:rsid w:val="004231A5"/>
    <w:rsid w:val="00423C75"/>
    <w:rsid w:val="00423CA0"/>
    <w:rsid w:val="00423E99"/>
    <w:rsid w:val="0042413F"/>
    <w:rsid w:val="0042428D"/>
    <w:rsid w:val="00424CE7"/>
    <w:rsid w:val="004267EF"/>
    <w:rsid w:val="004318E1"/>
    <w:rsid w:val="004319F8"/>
    <w:rsid w:val="00431E55"/>
    <w:rsid w:val="004321F6"/>
    <w:rsid w:val="0043282F"/>
    <w:rsid w:val="00432BF4"/>
    <w:rsid w:val="00433044"/>
    <w:rsid w:val="004331E5"/>
    <w:rsid w:val="00434061"/>
    <w:rsid w:val="004340E5"/>
    <w:rsid w:val="0043479C"/>
    <w:rsid w:val="00435C34"/>
    <w:rsid w:val="00436015"/>
    <w:rsid w:val="004366FF"/>
    <w:rsid w:val="00436B94"/>
    <w:rsid w:val="00437317"/>
    <w:rsid w:val="004375B9"/>
    <w:rsid w:val="00440C50"/>
    <w:rsid w:val="00440EB0"/>
    <w:rsid w:val="0044247A"/>
    <w:rsid w:val="004428D0"/>
    <w:rsid w:val="004433AF"/>
    <w:rsid w:val="00443422"/>
    <w:rsid w:val="00443FE7"/>
    <w:rsid w:val="004443A7"/>
    <w:rsid w:val="0044442C"/>
    <w:rsid w:val="00444636"/>
    <w:rsid w:val="00444A83"/>
    <w:rsid w:val="00444B50"/>
    <w:rsid w:val="00445941"/>
    <w:rsid w:val="00445D77"/>
    <w:rsid w:val="004464EB"/>
    <w:rsid w:val="004474EA"/>
    <w:rsid w:val="00447D26"/>
    <w:rsid w:val="004522CC"/>
    <w:rsid w:val="00452D8F"/>
    <w:rsid w:val="004533B9"/>
    <w:rsid w:val="00453C44"/>
    <w:rsid w:val="00455D45"/>
    <w:rsid w:val="00457F84"/>
    <w:rsid w:val="004600AD"/>
    <w:rsid w:val="004616F6"/>
    <w:rsid w:val="00462A02"/>
    <w:rsid w:val="00462A75"/>
    <w:rsid w:val="00464595"/>
    <w:rsid w:val="0046497C"/>
    <w:rsid w:val="0046536C"/>
    <w:rsid w:val="00465F7E"/>
    <w:rsid w:val="00467933"/>
    <w:rsid w:val="00467D03"/>
    <w:rsid w:val="00470877"/>
    <w:rsid w:val="00471438"/>
    <w:rsid w:val="00471AE9"/>
    <w:rsid w:val="00471D09"/>
    <w:rsid w:val="004721B3"/>
    <w:rsid w:val="00472A79"/>
    <w:rsid w:val="00473F19"/>
    <w:rsid w:val="00474A1B"/>
    <w:rsid w:val="004757C9"/>
    <w:rsid w:val="00475E22"/>
    <w:rsid w:val="00476495"/>
    <w:rsid w:val="00476645"/>
    <w:rsid w:val="00477DDE"/>
    <w:rsid w:val="0048088E"/>
    <w:rsid w:val="00480F0C"/>
    <w:rsid w:val="004820EC"/>
    <w:rsid w:val="004820F9"/>
    <w:rsid w:val="00482720"/>
    <w:rsid w:val="004835E7"/>
    <w:rsid w:val="00484E97"/>
    <w:rsid w:val="004860E6"/>
    <w:rsid w:val="004867E2"/>
    <w:rsid w:val="00486BF6"/>
    <w:rsid w:val="004902A7"/>
    <w:rsid w:val="0049049D"/>
    <w:rsid w:val="00490D22"/>
    <w:rsid w:val="00490F61"/>
    <w:rsid w:val="00491B3A"/>
    <w:rsid w:val="00491E07"/>
    <w:rsid w:val="00491E33"/>
    <w:rsid w:val="004922CF"/>
    <w:rsid w:val="00492CFD"/>
    <w:rsid w:val="00494DD5"/>
    <w:rsid w:val="0049553F"/>
    <w:rsid w:val="004962D2"/>
    <w:rsid w:val="00496C7C"/>
    <w:rsid w:val="004977D6"/>
    <w:rsid w:val="00497BDF"/>
    <w:rsid w:val="004A0B43"/>
    <w:rsid w:val="004A0DA1"/>
    <w:rsid w:val="004A1911"/>
    <w:rsid w:val="004A2F75"/>
    <w:rsid w:val="004A3833"/>
    <w:rsid w:val="004A3A8F"/>
    <w:rsid w:val="004A403E"/>
    <w:rsid w:val="004A44DF"/>
    <w:rsid w:val="004A52E9"/>
    <w:rsid w:val="004A6597"/>
    <w:rsid w:val="004A6A3A"/>
    <w:rsid w:val="004A7848"/>
    <w:rsid w:val="004B0C35"/>
    <w:rsid w:val="004B10EF"/>
    <w:rsid w:val="004B1CB4"/>
    <w:rsid w:val="004B2F18"/>
    <w:rsid w:val="004B3713"/>
    <w:rsid w:val="004B3C76"/>
    <w:rsid w:val="004B3DDB"/>
    <w:rsid w:val="004B44FD"/>
    <w:rsid w:val="004B5182"/>
    <w:rsid w:val="004B59C1"/>
    <w:rsid w:val="004B5CFC"/>
    <w:rsid w:val="004B774D"/>
    <w:rsid w:val="004B7B64"/>
    <w:rsid w:val="004B7CB8"/>
    <w:rsid w:val="004C16D0"/>
    <w:rsid w:val="004C1B1A"/>
    <w:rsid w:val="004C23F8"/>
    <w:rsid w:val="004C2D5F"/>
    <w:rsid w:val="004C4835"/>
    <w:rsid w:val="004C4AED"/>
    <w:rsid w:val="004C563B"/>
    <w:rsid w:val="004C5800"/>
    <w:rsid w:val="004C5DCF"/>
    <w:rsid w:val="004C7721"/>
    <w:rsid w:val="004D184A"/>
    <w:rsid w:val="004D1C6D"/>
    <w:rsid w:val="004D1D00"/>
    <w:rsid w:val="004D2252"/>
    <w:rsid w:val="004D258C"/>
    <w:rsid w:val="004D2B73"/>
    <w:rsid w:val="004D2C2D"/>
    <w:rsid w:val="004D315E"/>
    <w:rsid w:val="004D32DC"/>
    <w:rsid w:val="004D3581"/>
    <w:rsid w:val="004D375E"/>
    <w:rsid w:val="004D475B"/>
    <w:rsid w:val="004D5F8E"/>
    <w:rsid w:val="004D618B"/>
    <w:rsid w:val="004D647C"/>
    <w:rsid w:val="004D6C8F"/>
    <w:rsid w:val="004D7227"/>
    <w:rsid w:val="004D7F38"/>
    <w:rsid w:val="004E0411"/>
    <w:rsid w:val="004E0DE1"/>
    <w:rsid w:val="004E0E7F"/>
    <w:rsid w:val="004E0EB8"/>
    <w:rsid w:val="004E0EE1"/>
    <w:rsid w:val="004E1709"/>
    <w:rsid w:val="004E19ED"/>
    <w:rsid w:val="004E1CA8"/>
    <w:rsid w:val="004E2ADC"/>
    <w:rsid w:val="004E2CBA"/>
    <w:rsid w:val="004E43B2"/>
    <w:rsid w:val="004E55AE"/>
    <w:rsid w:val="004E59DF"/>
    <w:rsid w:val="004E5B01"/>
    <w:rsid w:val="004E5D5A"/>
    <w:rsid w:val="004E6615"/>
    <w:rsid w:val="004E6E8E"/>
    <w:rsid w:val="004F022E"/>
    <w:rsid w:val="004F06D1"/>
    <w:rsid w:val="004F123A"/>
    <w:rsid w:val="004F1261"/>
    <w:rsid w:val="004F1541"/>
    <w:rsid w:val="004F16A4"/>
    <w:rsid w:val="004F1D02"/>
    <w:rsid w:val="004F20A6"/>
    <w:rsid w:val="004F2679"/>
    <w:rsid w:val="004F2D5C"/>
    <w:rsid w:val="004F2D7B"/>
    <w:rsid w:val="004F2F21"/>
    <w:rsid w:val="004F378F"/>
    <w:rsid w:val="004F3C5C"/>
    <w:rsid w:val="004F57B1"/>
    <w:rsid w:val="004F6913"/>
    <w:rsid w:val="004F6993"/>
    <w:rsid w:val="004F7865"/>
    <w:rsid w:val="004F793C"/>
    <w:rsid w:val="004F79A4"/>
    <w:rsid w:val="004F7C8C"/>
    <w:rsid w:val="004F7DA0"/>
    <w:rsid w:val="00500093"/>
    <w:rsid w:val="00500915"/>
    <w:rsid w:val="00500921"/>
    <w:rsid w:val="00500B5F"/>
    <w:rsid w:val="00500ECF"/>
    <w:rsid w:val="005016FB"/>
    <w:rsid w:val="0050219B"/>
    <w:rsid w:val="00503F17"/>
    <w:rsid w:val="00505797"/>
    <w:rsid w:val="00506760"/>
    <w:rsid w:val="00506928"/>
    <w:rsid w:val="00506E3E"/>
    <w:rsid w:val="00507AAA"/>
    <w:rsid w:val="00507C92"/>
    <w:rsid w:val="00510657"/>
    <w:rsid w:val="005108F8"/>
    <w:rsid w:val="00510EBA"/>
    <w:rsid w:val="00512AA3"/>
    <w:rsid w:val="00512B3D"/>
    <w:rsid w:val="00512D2D"/>
    <w:rsid w:val="00513E19"/>
    <w:rsid w:val="005147C4"/>
    <w:rsid w:val="005152B5"/>
    <w:rsid w:val="00515F16"/>
    <w:rsid w:val="00516845"/>
    <w:rsid w:val="005178FF"/>
    <w:rsid w:val="0052012E"/>
    <w:rsid w:val="00520900"/>
    <w:rsid w:val="00520A5E"/>
    <w:rsid w:val="00521319"/>
    <w:rsid w:val="00522A1F"/>
    <w:rsid w:val="00522BC8"/>
    <w:rsid w:val="0052389C"/>
    <w:rsid w:val="00523C28"/>
    <w:rsid w:val="005250E6"/>
    <w:rsid w:val="00527A06"/>
    <w:rsid w:val="005342E2"/>
    <w:rsid w:val="00535292"/>
    <w:rsid w:val="005362A5"/>
    <w:rsid w:val="00536D18"/>
    <w:rsid w:val="00536F42"/>
    <w:rsid w:val="00537182"/>
    <w:rsid w:val="005408AA"/>
    <w:rsid w:val="00540EB6"/>
    <w:rsid w:val="005414EF"/>
    <w:rsid w:val="00541B2F"/>
    <w:rsid w:val="00542589"/>
    <w:rsid w:val="00542743"/>
    <w:rsid w:val="00542C2D"/>
    <w:rsid w:val="00542EC8"/>
    <w:rsid w:val="00543424"/>
    <w:rsid w:val="00543EBB"/>
    <w:rsid w:val="00546397"/>
    <w:rsid w:val="00546A30"/>
    <w:rsid w:val="0054765A"/>
    <w:rsid w:val="00547E6E"/>
    <w:rsid w:val="00547EC0"/>
    <w:rsid w:val="00551985"/>
    <w:rsid w:val="00552102"/>
    <w:rsid w:val="005523D5"/>
    <w:rsid w:val="00552BD3"/>
    <w:rsid w:val="00552DF5"/>
    <w:rsid w:val="005533D9"/>
    <w:rsid w:val="00554505"/>
    <w:rsid w:val="00554711"/>
    <w:rsid w:val="00555109"/>
    <w:rsid w:val="00555ACF"/>
    <w:rsid w:val="005569B9"/>
    <w:rsid w:val="00557078"/>
    <w:rsid w:val="0056022A"/>
    <w:rsid w:val="00562214"/>
    <w:rsid w:val="005645EE"/>
    <w:rsid w:val="0056532E"/>
    <w:rsid w:val="0056696F"/>
    <w:rsid w:val="00566FBB"/>
    <w:rsid w:val="00570FC5"/>
    <w:rsid w:val="0057183D"/>
    <w:rsid w:val="00571CB9"/>
    <w:rsid w:val="00572269"/>
    <w:rsid w:val="0057244A"/>
    <w:rsid w:val="005727D8"/>
    <w:rsid w:val="005731F4"/>
    <w:rsid w:val="005734C4"/>
    <w:rsid w:val="005756C4"/>
    <w:rsid w:val="00575772"/>
    <w:rsid w:val="005757AB"/>
    <w:rsid w:val="00575D8D"/>
    <w:rsid w:val="0057623C"/>
    <w:rsid w:val="00576972"/>
    <w:rsid w:val="00576A20"/>
    <w:rsid w:val="00577E84"/>
    <w:rsid w:val="0058032F"/>
    <w:rsid w:val="00580833"/>
    <w:rsid w:val="00580866"/>
    <w:rsid w:val="00581308"/>
    <w:rsid w:val="00581F72"/>
    <w:rsid w:val="005820D9"/>
    <w:rsid w:val="00582D09"/>
    <w:rsid w:val="00583527"/>
    <w:rsid w:val="00583699"/>
    <w:rsid w:val="005841DC"/>
    <w:rsid w:val="00584F39"/>
    <w:rsid w:val="00585CDD"/>
    <w:rsid w:val="00587058"/>
    <w:rsid w:val="00590330"/>
    <w:rsid w:val="00590F0D"/>
    <w:rsid w:val="00591957"/>
    <w:rsid w:val="00592AB2"/>
    <w:rsid w:val="00593485"/>
    <w:rsid w:val="00594DA4"/>
    <w:rsid w:val="0059503A"/>
    <w:rsid w:val="005961B7"/>
    <w:rsid w:val="0059652C"/>
    <w:rsid w:val="00597BF9"/>
    <w:rsid w:val="00597C57"/>
    <w:rsid w:val="005A0BF8"/>
    <w:rsid w:val="005A126F"/>
    <w:rsid w:val="005A1490"/>
    <w:rsid w:val="005A15AB"/>
    <w:rsid w:val="005A1CB6"/>
    <w:rsid w:val="005A373D"/>
    <w:rsid w:val="005A3C59"/>
    <w:rsid w:val="005A5404"/>
    <w:rsid w:val="005A6EC8"/>
    <w:rsid w:val="005A7458"/>
    <w:rsid w:val="005A7C40"/>
    <w:rsid w:val="005B0A8D"/>
    <w:rsid w:val="005B2684"/>
    <w:rsid w:val="005B3511"/>
    <w:rsid w:val="005B36AA"/>
    <w:rsid w:val="005B5857"/>
    <w:rsid w:val="005B6E4E"/>
    <w:rsid w:val="005C1B83"/>
    <w:rsid w:val="005C1BD6"/>
    <w:rsid w:val="005C29B7"/>
    <w:rsid w:val="005C2D55"/>
    <w:rsid w:val="005C31AC"/>
    <w:rsid w:val="005C346B"/>
    <w:rsid w:val="005C34E0"/>
    <w:rsid w:val="005C3BA4"/>
    <w:rsid w:val="005C3F36"/>
    <w:rsid w:val="005C47D7"/>
    <w:rsid w:val="005C50B1"/>
    <w:rsid w:val="005C5783"/>
    <w:rsid w:val="005C5B58"/>
    <w:rsid w:val="005C647F"/>
    <w:rsid w:val="005C69A0"/>
    <w:rsid w:val="005C6D55"/>
    <w:rsid w:val="005C7701"/>
    <w:rsid w:val="005C7EC2"/>
    <w:rsid w:val="005D044D"/>
    <w:rsid w:val="005D0ABD"/>
    <w:rsid w:val="005D18AD"/>
    <w:rsid w:val="005D25A3"/>
    <w:rsid w:val="005D26B4"/>
    <w:rsid w:val="005D3A6E"/>
    <w:rsid w:val="005D5277"/>
    <w:rsid w:val="005D535D"/>
    <w:rsid w:val="005D5D71"/>
    <w:rsid w:val="005D6A6D"/>
    <w:rsid w:val="005D79AB"/>
    <w:rsid w:val="005E0655"/>
    <w:rsid w:val="005E09BE"/>
    <w:rsid w:val="005E1187"/>
    <w:rsid w:val="005E286F"/>
    <w:rsid w:val="005E2EAD"/>
    <w:rsid w:val="005E531F"/>
    <w:rsid w:val="005E5AE2"/>
    <w:rsid w:val="005E5B2C"/>
    <w:rsid w:val="005E5C7C"/>
    <w:rsid w:val="005E666E"/>
    <w:rsid w:val="005E6CBC"/>
    <w:rsid w:val="005E6E8F"/>
    <w:rsid w:val="005E73C0"/>
    <w:rsid w:val="005F091C"/>
    <w:rsid w:val="005F1CBA"/>
    <w:rsid w:val="005F2706"/>
    <w:rsid w:val="005F29BF"/>
    <w:rsid w:val="005F43B0"/>
    <w:rsid w:val="005F4568"/>
    <w:rsid w:val="005F4ED7"/>
    <w:rsid w:val="005F5BC9"/>
    <w:rsid w:val="005F6923"/>
    <w:rsid w:val="005F6A8F"/>
    <w:rsid w:val="005F6C6B"/>
    <w:rsid w:val="005F71A1"/>
    <w:rsid w:val="005F7C1F"/>
    <w:rsid w:val="005F7DF8"/>
    <w:rsid w:val="005F7F15"/>
    <w:rsid w:val="00600867"/>
    <w:rsid w:val="006009A7"/>
    <w:rsid w:val="0060231E"/>
    <w:rsid w:val="006028FE"/>
    <w:rsid w:val="00602D1C"/>
    <w:rsid w:val="00602ED0"/>
    <w:rsid w:val="00603DB9"/>
    <w:rsid w:val="00604826"/>
    <w:rsid w:val="00604918"/>
    <w:rsid w:val="00606C11"/>
    <w:rsid w:val="00607669"/>
    <w:rsid w:val="00607AB3"/>
    <w:rsid w:val="00607AFD"/>
    <w:rsid w:val="00610F8A"/>
    <w:rsid w:val="006123BA"/>
    <w:rsid w:val="00612F97"/>
    <w:rsid w:val="0061340A"/>
    <w:rsid w:val="0061345D"/>
    <w:rsid w:val="00613641"/>
    <w:rsid w:val="00614FE8"/>
    <w:rsid w:val="00616802"/>
    <w:rsid w:val="00616CA4"/>
    <w:rsid w:val="00616DE7"/>
    <w:rsid w:val="00617E12"/>
    <w:rsid w:val="00617F75"/>
    <w:rsid w:val="0062017D"/>
    <w:rsid w:val="006201AB"/>
    <w:rsid w:val="00621073"/>
    <w:rsid w:val="00621477"/>
    <w:rsid w:val="006217A6"/>
    <w:rsid w:val="0062210C"/>
    <w:rsid w:val="00622945"/>
    <w:rsid w:val="00622B2B"/>
    <w:rsid w:val="006236AA"/>
    <w:rsid w:val="00623B38"/>
    <w:rsid w:val="0062482E"/>
    <w:rsid w:val="00626AF5"/>
    <w:rsid w:val="00626E55"/>
    <w:rsid w:val="0063158F"/>
    <w:rsid w:val="00631D6B"/>
    <w:rsid w:val="006329E1"/>
    <w:rsid w:val="006330A1"/>
    <w:rsid w:val="006337E6"/>
    <w:rsid w:val="00633B44"/>
    <w:rsid w:val="006343A1"/>
    <w:rsid w:val="0063479F"/>
    <w:rsid w:val="0063487E"/>
    <w:rsid w:val="006353F0"/>
    <w:rsid w:val="006357DD"/>
    <w:rsid w:val="006364A1"/>
    <w:rsid w:val="006374A0"/>
    <w:rsid w:val="00637BFD"/>
    <w:rsid w:val="00640086"/>
    <w:rsid w:val="0064027B"/>
    <w:rsid w:val="00641489"/>
    <w:rsid w:val="00641C4E"/>
    <w:rsid w:val="00641EB5"/>
    <w:rsid w:val="0064244E"/>
    <w:rsid w:val="00642534"/>
    <w:rsid w:val="00642CE9"/>
    <w:rsid w:val="006456FF"/>
    <w:rsid w:val="0064627A"/>
    <w:rsid w:val="006466FC"/>
    <w:rsid w:val="006471CC"/>
    <w:rsid w:val="006476A7"/>
    <w:rsid w:val="00647C7F"/>
    <w:rsid w:val="00647E02"/>
    <w:rsid w:val="00650305"/>
    <w:rsid w:val="0065079F"/>
    <w:rsid w:val="0065089D"/>
    <w:rsid w:val="00650AB4"/>
    <w:rsid w:val="006513C1"/>
    <w:rsid w:val="00651567"/>
    <w:rsid w:val="00652B98"/>
    <w:rsid w:val="0065379F"/>
    <w:rsid w:val="00654307"/>
    <w:rsid w:val="00655186"/>
    <w:rsid w:val="00656381"/>
    <w:rsid w:val="00656F22"/>
    <w:rsid w:val="00660440"/>
    <w:rsid w:val="006619D7"/>
    <w:rsid w:val="00661C6B"/>
    <w:rsid w:val="00663644"/>
    <w:rsid w:val="006642BC"/>
    <w:rsid w:val="006642E5"/>
    <w:rsid w:val="00664B0F"/>
    <w:rsid w:val="0066504C"/>
    <w:rsid w:val="00665285"/>
    <w:rsid w:val="00666DAF"/>
    <w:rsid w:val="006670A2"/>
    <w:rsid w:val="0067077A"/>
    <w:rsid w:val="006723AB"/>
    <w:rsid w:val="006729BA"/>
    <w:rsid w:val="00673738"/>
    <w:rsid w:val="00673D73"/>
    <w:rsid w:val="00674E42"/>
    <w:rsid w:val="006751AC"/>
    <w:rsid w:val="006757B2"/>
    <w:rsid w:val="006759FC"/>
    <w:rsid w:val="00676F56"/>
    <w:rsid w:val="006775C7"/>
    <w:rsid w:val="00677DD2"/>
    <w:rsid w:val="00682112"/>
    <w:rsid w:val="00682418"/>
    <w:rsid w:val="00684864"/>
    <w:rsid w:val="00684FF4"/>
    <w:rsid w:val="00685404"/>
    <w:rsid w:val="00686084"/>
    <w:rsid w:val="00686957"/>
    <w:rsid w:val="00686C99"/>
    <w:rsid w:val="006872BA"/>
    <w:rsid w:val="006873ED"/>
    <w:rsid w:val="006874BF"/>
    <w:rsid w:val="00687709"/>
    <w:rsid w:val="006907D0"/>
    <w:rsid w:val="00691648"/>
    <w:rsid w:val="0069177C"/>
    <w:rsid w:val="006917D7"/>
    <w:rsid w:val="006932EC"/>
    <w:rsid w:val="00693A0F"/>
    <w:rsid w:val="0069414E"/>
    <w:rsid w:val="006944B2"/>
    <w:rsid w:val="0069488E"/>
    <w:rsid w:val="00694F44"/>
    <w:rsid w:val="00695CC2"/>
    <w:rsid w:val="00697D2F"/>
    <w:rsid w:val="00697F2C"/>
    <w:rsid w:val="006A19F9"/>
    <w:rsid w:val="006A1E59"/>
    <w:rsid w:val="006A25DC"/>
    <w:rsid w:val="006A31AB"/>
    <w:rsid w:val="006A568D"/>
    <w:rsid w:val="006A5887"/>
    <w:rsid w:val="006A5B16"/>
    <w:rsid w:val="006A604B"/>
    <w:rsid w:val="006A7944"/>
    <w:rsid w:val="006A79C4"/>
    <w:rsid w:val="006A7E5F"/>
    <w:rsid w:val="006B0EE9"/>
    <w:rsid w:val="006B261B"/>
    <w:rsid w:val="006B2C90"/>
    <w:rsid w:val="006B3DAD"/>
    <w:rsid w:val="006B5915"/>
    <w:rsid w:val="006B6856"/>
    <w:rsid w:val="006B6C4B"/>
    <w:rsid w:val="006B6DD0"/>
    <w:rsid w:val="006B7811"/>
    <w:rsid w:val="006B79D7"/>
    <w:rsid w:val="006C091A"/>
    <w:rsid w:val="006C0AB2"/>
    <w:rsid w:val="006C1A4B"/>
    <w:rsid w:val="006C22A7"/>
    <w:rsid w:val="006C2412"/>
    <w:rsid w:val="006C2A8E"/>
    <w:rsid w:val="006C3878"/>
    <w:rsid w:val="006C404F"/>
    <w:rsid w:val="006C587A"/>
    <w:rsid w:val="006C5949"/>
    <w:rsid w:val="006C5FB7"/>
    <w:rsid w:val="006C6DEF"/>
    <w:rsid w:val="006D04E7"/>
    <w:rsid w:val="006D17F9"/>
    <w:rsid w:val="006D1A5E"/>
    <w:rsid w:val="006D1F0C"/>
    <w:rsid w:val="006D3C7D"/>
    <w:rsid w:val="006D3E2C"/>
    <w:rsid w:val="006D40D3"/>
    <w:rsid w:val="006D4245"/>
    <w:rsid w:val="006D5D5F"/>
    <w:rsid w:val="006E0D92"/>
    <w:rsid w:val="006E3B26"/>
    <w:rsid w:val="006E4123"/>
    <w:rsid w:val="006E4E03"/>
    <w:rsid w:val="006E5B38"/>
    <w:rsid w:val="006E5DAE"/>
    <w:rsid w:val="006E66FA"/>
    <w:rsid w:val="006E727F"/>
    <w:rsid w:val="006F167A"/>
    <w:rsid w:val="006F227D"/>
    <w:rsid w:val="006F2B10"/>
    <w:rsid w:val="006F306C"/>
    <w:rsid w:val="006F372F"/>
    <w:rsid w:val="006F6294"/>
    <w:rsid w:val="006F63A5"/>
    <w:rsid w:val="006F6A98"/>
    <w:rsid w:val="006F6E32"/>
    <w:rsid w:val="006F719A"/>
    <w:rsid w:val="006F7ED1"/>
    <w:rsid w:val="007008A0"/>
    <w:rsid w:val="0070142B"/>
    <w:rsid w:val="007018CD"/>
    <w:rsid w:val="007020B5"/>
    <w:rsid w:val="0070276E"/>
    <w:rsid w:val="00702847"/>
    <w:rsid w:val="00702F8F"/>
    <w:rsid w:val="00703A0E"/>
    <w:rsid w:val="007048F0"/>
    <w:rsid w:val="00705A46"/>
    <w:rsid w:val="00705A8C"/>
    <w:rsid w:val="0070647A"/>
    <w:rsid w:val="0070657B"/>
    <w:rsid w:val="00711A36"/>
    <w:rsid w:val="00711B81"/>
    <w:rsid w:val="00711EE6"/>
    <w:rsid w:val="00712AA3"/>
    <w:rsid w:val="00714043"/>
    <w:rsid w:val="007144E2"/>
    <w:rsid w:val="0071509C"/>
    <w:rsid w:val="0071529C"/>
    <w:rsid w:val="00715986"/>
    <w:rsid w:val="00717007"/>
    <w:rsid w:val="007172AD"/>
    <w:rsid w:val="00717788"/>
    <w:rsid w:val="00720DF2"/>
    <w:rsid w:val="00722B1B"/>
    <w:rsid w:val="007237C8"/>
    <w:rsid w:val="00723DA2"/>
    <w:rsid w:val="00723E3E"/>
    <w:rsid w:val="0072416F"/>
    <w:rsid w:val="007243D1"/>
    <w:rsid w:val="007244C1"/>
    <w:rsid w:val="0072649F"/>
    <w:rsid w:val="007271C3"/>
    <w:rsid w:val="007276BB"/>
    <w:rsid w:val="00727C40"/>
    <w:rsid w:val="00727C94"/>
    <w:rsid w:val="00730AB0"/>
    <w:rsid w:val="00730FC2"/>
    <w:rsid w:val="00731679"/>
    <w:rsid w:val="00731EAE"/>
    <w:rsid w:val="00732A92"/>
    <w:rsid w:val="00733C35"/>
    <w:rsid w:val="00735033"/>
    <w:rsid w:val="00735328"/>
    <w:rsid w:val="0073598E"/>
    <w:rsid w:val="00735DC6"/>
    <w:rsid w:val="00736529"/>
    <w:rsid w:val="0073685B"/>
    <w:rsid w:val="0073685D"/>
    <w:rsid w:val="00737290"/>
    <w:rsid w:val="007372AA"/>
    <w:rsid w:val="00737F80"/>
    <w:rsid w:val="00741AEF"/>
    <w:rsid w:val="007432EB"/>
    <w:rsid w:val="007434F7"/>
    <w:rsid w:val="007442ED"/>
    <w:rsid w:val="0074451A"/>
    <w:rsid w:val="00744C78"/>
    <w:rsid w:val="00746F4F"/>
    <w:rsid w:val="00747E84"/>
    <w:rsid w:val="00750FB0"/>
    <w:rsid w:val="00751378"/>
    <w:rsid w:val="00752142"/>
    <w:rsid w:val="007523F9"/>
    <w:rsid w:val="00754130"/>
    <w:rsid w:val="007544AF"/>
    <w:rsid w:val="007548A0"/>
    <w:rsid w:val="00754AAB"/>
    <w:rsid w:val="00754BF1"/>
    <w:rsid w:val="0075525C"/>
    <w:rsid w:val="00755B24"/>
    <w:rsid w:val="00755FA5"/>
    <w:rsid w:val="00756377"/>
    <w:rsid w:val="007573E8"/>
    <w:rsid w:val="00757B97"/>
    <w:rsid w:val="00760105"/>
    <w:rsid w:val="00760C4E"/>
    <w:rsid w:val="00761ACC"/>
    <w:rsid w:val="00764569"/>
    <w:rsid w:val="00764BB1"/>
    <w:rsid w:val="00765B1A"/>
    <w:rsid w:val="00765FAE"/>
    <w:rsid w:val="00766251"/>
    <w:rsid w:val="00766DD7"/>
    <w:rsid w:val="00772FAA"/>
    <w:rsid w:val="007731A0"/>
    <w:rsid w:val="00773B4E"/>
    <w:rsid w:val="00773E43"/>
    <w:rsid w:val="00774791"/>
    <w:rsid w:val="0077515A"/>
    <w:rsid w:val="00775B08"/>
    <w:rsid w:val="007772FD"/>
    <w:rsid w:val="00777F56"/>
    <w:rsid w:val="00780676"/>
    <w:rsid w:val="00780A34"/>
    <w:rsid w:val="007822D0"/>
    <w:rsid w:val="007824BC"/>
    <w:rsid w:val="00782987"/>
    <w:rsid w:val="00782F44"/>
    <w:rsid w:val="007836F2"/>
    <w:rsid w:val="00783FCB"/>
    <w:rsid w:val="007843F2"/>
    <w:rsid w:val="00784DAC"/>
    <w:rsid w:val="00785A30"/>
    <w:rsid w:val="007864A0"/>
    <w:rsid w:val="00787744"/>
    <w:rsid w:val="00787C13"/>
    <w:rsid w:val="007901E5"/>
    <w:rsid w:val="00790897"/>
    <w:rsid w:val="0079180D"/>
    <w:rsid w:val="0079204E"/>
    <w:rsid w:val="0079223C"/>
    <w:rsid w:val="00792F3D"/>
    <w:rsid w:val="00794012"/>
    <w:rsid w:val="00794C7D"/>
    <w:rsid w:val="0079695C"/>
    <w:rsid w:val="00796A34"/>
    <w:rsid w:val="00796B61"/>
    <w:rsid w:val="007A01C5"/>
    <w:rsid w:val="007A0306"/>
    <w:rsid w:val="007A03A5"/>
    <w:rsid w:val="007A0A12"/>
    <w:rsid w:val="007A132D"/>
    <w:rsid w:val="007A147A"/>
    <w:rsid w:val="007A14FC"/>
    <w:rsid w:val="007A1B6B"/>
    <w:rsid w:val="007A3399"/>
    <w:rsid w:val="007A4982"/>
    <w:rsid w:val="007A64A5"/>
    <w:rsid w:val="007A6DF6"/>
    <w:rsid w:val="007A71C3"/>
    <w:rsid w:val="007B0D68"/>
    <w:rsid w:val="007B1A99"/>
    <w:rsid w:val="007B251D"/>
    <w:rsid w:val="007B2F48"/>
    <w:rsid w:val="007B4F58"/>
    <w:rsid w:val="007B509D"/>
    <w:rsid w:val="007B516A"/>
    <w:rsid w:val="007B528D"/>
    <w:rsid w:val="007B5339"/>
    <w:rsid w:val="007B6C20"/>
    <w:rsid w:val="007B77D1"/>
    <w:rsid w:val="007B7F84"/>
    <w:rsid w:val="007C0C33"/>
    <w:rsid w:val="007C11DE"/>
    <w:rsid w:val="007C1976"/>
    <w:rsid w:val="007C1CD9"/>
    <w:rsid w:val="007C361D"/>
    <w:rsid w:val="007C4B84"/>
    <w:rsid w:val="007C5A5B"/>
    <w:rsid w:val="007C5AB0"/>
    <w:rsid w:val="007C63BC"/>
    <w:rsid w:val="007C7913"/>
    <w:rsid w:val="007C7943"/>
    <w:rsid w:val="007D004F"/>
    <w:rsid w:val="007D0B38"/>
    <w:rsid w:val="007D101E"/>
    <w:rsid w:val="007D1AE4"/>
    <w:rsid w:val="007D23E5"/>
    <w:rsid w:val="007D27DD"/>
    <w:rsid w:val="007D2E5F"/>
    <w:rsid w:val="007D2E80"/>
    <w:rsid w:val="007D5440"/>
    <w:rsid w:val="007D573B"/>
    <w:rsid w:val="007D5D51"/>
    <w:rsid w:val="007D6A53"/>
    <w:rsid w:val="007D6D29"/>
    <w:rsid w:val="007D7EA3"/>
    <w:rsid w:val="007E023B"/>
    <w:rsid w:val="007E0293"/>
    <w:rsid w:val="007E0875"/>
    <w:rsid w:val="007E153B"/>
    <w:rsid w:val="007E21A6"/>
    <w:rsid w:val="007E2841"/>
    <w:rsid w:val="007E2EAC"/>
    <w:rsid w:val="007E328D"/>
    <w:rsid w:val="007E4E97"/>
    <w:rsid w:val="007E7954"/>
    <w:rsid w:val="007E7E03"/>
    <w:rsid w:val="007F0061"/>
    <w:rsid w:val="007F1017"/>
    <w:rsid w:val="007F1E00"/>
    <w:rsid w:val="007F1E6A"/>
    <w:rsid w:val="007F48A8"/>
    <w:rsid w:val="007F4A3F"/>
    <w:rsid w:val="007F4A61"/>
    <w:rsid w:val="007F5FFE"/>
    <w:rsid w:val="007F61C2"/>
    <w:rsid w:val="007F6E42"/>
    <w:rsid w:val="007F702E"/>
    <w:rsid w:val="007F742A"/>
    <w:rsid w:val="00800DA4"/>
    <w:rsid w:val="00801C7C"/>
    <w:rsid w:val="008022BF"/>
    <w:rsid w:val="00804EE3"/>
    <w:rsid w:val="00805142"/>
    <w:rsid w:val="008058CD"/>
    <w:rsid w:val="00805B81"/>
    <w:rsid w:val="00805C6C"/>
    <w:rsid w:val="00806DED"/>
    <w:rsid w:val="008072B8"/>
    <w:rsid w:val="008077C5"/>
    <w:rsid w:val="00807A8B"/>
    <w:rsid w:val="00807C2E"/>
    <w:rsid w:val="00811383"/>
    <w:rsid w:val="008114A7"/>
    <w:rsid w:val="00811F51"/>
    <w:rsid w:val="00812149"/>
    <w:rsid w:val="008129BC"/>
    <w:rsid w:val="00812A0C"/>
    <w:rsid w:val="00812CAC"/>
    <w:rsid w:val="00814254"/>
    <w:rsid w:val="00815652"/>
    <w:rsid w:val="008159F5"/>
    <w:rsid w:val="008166EF"/>
    <w:rsid w:val="00816CB3"/>
    <w:rsid w:val="00820B62"/>
    <w:rsid w:val="008211B2"/>
    <w:rsid w:val="00821490"/>
    <w:rsid w:val="00821A15"/>
    <w:rsid w:val="00821D6F"/>
    <w:rsid w:val="00821DB6"/>
    <w:rsid w:val="00824AA0"/>
    <w:rsid w:val="00824AB4"/>
    <w:rsid w:val="00824CFB"/>
    <w:rsid w:val="00825751"/>
    <w:rsid w:val="008264EB"/>
    <w:rsid w:val="00827164"/>
    <w:rsid w:val="008279BC"/>
    <w:rsid w:val="00831657"/>
    <w:rsid w:val="00832ADD"/>
    <w:rsid w:val="00833B05"/>
    <w:rsid w:val="008343A7"/>
    <w:rsid w:val="008362B4"/>
    <w:rsid w:val="00836B83"/>
    <w:rsid w:val="008371CE"/>
    <w:rsid w:val="008376F5"/>
    <w:rsid w:val="00840140"/>
    <w:rsid w:val="00840CA2"/>
    <w:rsid w:val="0084374F"/>
    <w:rsid w:val="00844494"/>
    <w:rsid w:val="008448DC"/>
    <w:rsid w:val="00845790"/>
    <w:rsid w:val="00845866"/>
    <w:rsid w:val="00845EC1"/>
    <w:rsid w:val="0084777B"/>
    <w:rsid w:val="008479C6"/>
    <w:rsid w:val="00847DF5"/>
    <w:rsid w:val="00851D6E"/>
    <w:rsid w:val="0085309D"/>
    <w:rsid w:val="00853479"/>
    <w:rsid w:val="00853507"/>
    <w:rsid w:val="00853ACF"/>
    <w:rsid w:val="008545A4"/>
    <w:rsid w:val="00856897"/>
    <w:rsid w:val="00856E0B"/>
    <w:rsid w:val="00856E9A"/>
    <w:rsid w:val="00857124"/>
    <w:rsid w:val="0085786A"/>
    <w:rsid w:val="00857B8B"/>
    <w:rsid w:val="00857CE0"/>
    <w:rsid w:val="00860353"/>
    <w:rsid w:val="0086045D"/>
    <w:rsid w:val="0086075D"/>
    <w:rsid w:val="008609D1"/>
    <w:rsid w:val="00860BAD"/>
    <w:rsid w:val="00860F92"/>
    <w:rsid w:val="00861655"/>
    <w:rsid w:val="008624E1"/>
    <w:rsid w:val="00862502"/>
    <w:rsid w:val="0086332D"/>
    <w:rsid w:val="00864BF1"/>
    <w:rsid w:val="00864F83"/>
    <w:rsid w:val="00865FE9"/>
    <w:rsid w:val="008660D4"/>
    <w:rsid w:val="00866453"/>
    <w:rsid w:val="00866762"/>
    <w:rsid w:val="0087001D"/>
    <w:rsid w:val="00870930"/>
    <w:rsid w:val="00871661"/>
    <w:rsid w:val="00871911"/>
    <w:rsid w:val="00871FA9"/>
    <w:rsid w:val="008728E9"/>
    <w:rsid w:val="00875195"/>
    <w:rsid w:val="00876497"/>
    <w:rsid w:val="0088009F"/>
    <w:rsid w:val="008803BD"/>
    <w:rsid w:val="00880490"/>
    <w:rsid w:val="00882874"/>
    <w:rsid w:val="00882D42"/>
    <w:rsid w:val="00883787"/>
    <w:rsid w:val="0088509B"/>
    <w:rsid w:val="00885B88"/>
    <w:rsid w:val="0088616C"/>
    <w:rsid w:val="008866A0"/>
    <w:rsid w:val="00886CD2"/>
    <w:rsid w:val="00887858"/>
    <w:rsid w:val="00891360"/>
    <w:rsid w:val="00891B94"/>
    <w:rsid w:val="00892A36"/>
    <w:rsid w:val="00893239"/>
    <w:rsid w:val="008938D2"/>
    <w:rsid w:val="00893C35"/>
    <w:rsid w:val="00894489"/>
    <w:rsid w:val="008951BC"/>
    <w:rsid w:val="00895FA4"/>
    <w:rsid w:val="008963A5"/>
    <w:rsid w:val="008A03E8"/>
    <w:rsid w:val="008A0400"/>
    <w:rsid w:val="008A24B6"/>
    <w:rsid w:val="008A3363"/>
    <w:rsid w:val="008A3371"/>
    <w:rsid w:val="008A344A"/>
    <w:rsid w:val="008A3C3E"/>
    <w:rsid w:val="008A4099"/>
    <w:rsid w:val="008A4376"/>
    <w:rsid w:val="008A4642"/>
    <w:rsid w:val="008A48B7"/>
    <w:rsid w:val="008A57D5"/>
    <w:rsid w:val="008A5D00"/>
    <w:rsid w:val="008A6949"/>
    <w:rsid w:val="008A79DE"/>
    <w:rsid w:val="008B0423"/>
    <w:rsid w:val="008B084D"/>
    <w:rsid w:val="008B08F5"/>
    <w:rsid w:val="008B156E"/>
    <w:rsid w:val="008B1757"/>
    <w:rsid w:val="008B17A2"/>
    <w:rsid w:val="008B2678"/>
    <w:rsid w:val="008B2F30"/>
    <w:rsid w:val="008B3736"/>
    <w:rsid w:val="008B3F8E"/>
    <w:rsid w:val="008B4F18"/>
    <w:rsid w:val="008B61FD"/>
    <w:rsid w:val="008B6473"/>
    <w:rsid w:val="008B7D7E"/>
    <w:rsid w:val="008B7DEC"/>
    <w:rsid w:val="008C00B6"/>
    <w:rsid w:val="008C0255"/>
    <w:rsid w:val="008C04A5"/>
    <w:rsid w:val="008C065D"/>
    <w:rsid w:val="008C17F7"/>
    <w:rsid w:val="008C20BB"/>
    <w:rsid w:val="008C2CBA"/>
    <w:rsid w:val="008C4D2B"/>
    <w:rsid w:val="008C5152"/>
    <w:rsid w:val="008C67C1"/>
    <w:rsid w:val="008C7E96"/>
    <w:rsid w:val="008C7ECB"/>
    <w:rsid w:val="008D0F6F"/>
    <w:rsid w:val="008D12B9"/>
    <w:rsid w:val="008D17A1"/>
    <w:rsid w:val="008D1ADA"/>
    <w:rsid w:val="008D2660"/>
    <w:rsid w:val="008D2DB6"/>
    <w:rsid w:val="008D306C"/>
    <w:rsid w:val="008D4755"/>
    <w:rsid w:val="008D4C3D"/>
    <w:rsid w:val="008D56B2"/>
    <w:rsid w:val="008D58E5"/>
    <w:rsid w:val="008D6F70"/>
    <w:rsid w:val="008D779E"/>
    <w:rsid w:val="008D7B9B"/>
    <w:rsid w:val="008D7DDF"/>
    <w:rsid w:val="008E07BC"/>
    <w:rsid w:val="008E0D3C"/>
    <w:rsid w:val="008E1B25"/>
    <w:rsid w:val="008E1B9E"/>
    <w:rsid w:val="008E395D"/>
    <w:rsid w:val="008E3AC7"/>
    <w:rsid w:val="008E485E"/>
    <w:rsid w:val="008E536A"/>
    <w:rsid w:val="008E5429"/>
    <w:rsid w:val="008E55AB"/>
    <w:rsid w:val="008E565A"/>
    <w:rsid w:val="008F04A5"/>
    <w:rsid w:val="008F0E18"/>
    <w:rsid w:val="008F120A"/>
    <w:rsid w:val="008F1CED"/>
    <w:rsid w:val="008F1F91"/>
    <w:rsid w:val="008F238B"/>
    <w:rsid w:val="008F25DC"/>
    <w:rsid w:val="008F27E0"/>
    <w:rsid w:val="008F2A92"/>
    <w:rsid w:val="008F2F30"/>
    <w:rsid w:val="008F4227"/>
    <w:rsid w:val="008F48EB"/>
    <w:rsid w:val="008F4977"/>
    <w:rsid w:val="008F49CC"/>
    <w:rsid w:val="008F4C52"/>
    <w:rsid w:val="008F4F0B"/>
    <w:rsid w:val="008F53E7"/>
    <w:rsid w:val="008F61C6"/>
    <w:rsid w:val="008F7117"/>
    <w:rsid w:val="008F7E18"/>
    <w:rsid w:val="00900A95"/>
    <w:rsid w:val="00900AE1"/>
    <w:rsid w:val="00902974"/>
    <w:rsid w:val="00903EB8"/>
    <w:rsid w:val="009046C4"/>
    <w:rsid w:val="00906150"/>
    <w:rsid w:val="009062A5"/>
    <w:rsid w:val="00906AFE"/>
    <w:rsid w:val="00907353"/>
    <w:rsid w:val="00907449"/>
    <w:rsid w:val="00907923"/>
    <w:rsid w:val="00907D8C"/>
    <w:rsid w:val="00910158"/>
    <w:rsid w:val="0091063E"/>
    <w:rsid w:val="009109BF"/>
    <w:rsid w:val="00911272"/>
    <w:rsid w:val="00911331"/>
    <w:rsid w:val="00912DD2"/>
    <w:rsid w:val="009135D6"/>
    <w:rsid w:val="00913BA3"/>
    <w:rsid w:val="00914300"/>
    <w:rsid w:val="00914527"/>
    <w:rsid w:val="009149FF"/>
    <w:rsid w:val="00914C77"/>
    <w:rsid w:val="00916391"/>
    <w:rsid w:val="009166BA"/>
    <w:rsid w:val="00916C02"/>
    <w:rsid w:val="00916E91"/>
    <w:rsid w:val="00922EF4"/>
    <w:rsid w:val="009234B8"/>
    <w:rsid w:val="0092369B"/>
    <w:rsid w:val="009239E5"/>
    <w:rsid w:val="009241A8"/>
    <w:rsid w:val="00924F71"/>
    <w:rsid w:val="00925E26"/>
    <w:rsid w:val="00926329"/>
    <w:rsid w:val="00927992"/>
    <w:rsid w:val="009301A4"/>
    <w:rsid w:val="009308E3"/>
    <w:rsid w:val="00930CFB"/>
    <w:rsid w:val="00930E3F"/>
    <w:rsid w:val="0093195C"/>
    <w:rsid w:val="009319A4"/>
    <w:rsid w:val="00931F41"/>
    <w:rsid w:val="00932B65"/>
    <w:rsid w:val="00934027"/>
    <w:rsid w:val="00934920"/>
    <w:rsid w:val="0093778B"/>
    <w:rsid w:val="0094134A"/>
    <w:rsid w:val="0094160A"/>
    <w:rsid w:val="009425D0"/>
    <w:rsid w:val="00943A0A"/>
    <w:rsid w:val="00943F09"/>
    <w:rsid w:val="0094424B"/>
    <w:rsid w:val="00946323"/>
    <w:rsid w:val="009467BF"/>
    <w:rsid w:val="00946FCB"/>
    <w:rsid w:val="009477BB"/>
    <w:rsid w:val="009479FA"/>
    <w:rsid w:val="00950AEC"/>
    <w:rsid w:val="00950F19"/>
    <w:rsid w:val="009510A2"/>
    <w:rsid w:val="00951C34"/>
    <w:rsid w:val="00953257"/>
    <w:rsid w:val="00956588"/>
    <w:rsid w:val="00956B50"/>
    <w:rsid w:val="00960AE1"/>
    <w:rsid w:val="00961788"/>
    <w:rsid w:val="00961F60"/>
    <w:rsid w:val="00962727"/>
    <w:rsid w:val="00962966"/>
    <w:rsid w:val="00962CB9"/>
    <w:rsid w:val="0096397F"/>
    <w:rsid w:val="00963A87"/>
    <w:rsid w:val="00964312"/>
    <w:rsid w:val="00965B8A"/>
    <w:rsid w:val="009660E4"/>
    <w:rsid w:val="0097100C"/>
    <w:rsid w:val="009717AC"/>
    <w:rsid w:val="00971B25"/>
    <w:rsid w:val="00972316"/>
    <w:rsid w:val="009739C5"/>
    <w:rsid w:val="009740EC"/>
    <w:rsid w:val="00977274"/>
    <w:rsid w:val="009772AF"/>
    <w:rsid w:val="009802A9"/>
    <w:rsid w:val="009835CB"/>
    <w:rsid w:val="00983D8D"/>
    <w:rsid w:val="00983E57"/>
    <w:rsid w:val="009842CD"/>
    <w:rsid w:val="00985777"/>
    <w:rsid w:val="00985D31"/>
    <w:rsid w:val="009862FC"/>
    <w:rsid w:val="0098675D"/>
    <w:rsid w:val="009867A5"/>
    <w:rsid w:val="00986EB6"/>
    <w:rsid w:val="0099023B"/>
    <w:rsid w:val="009905AF"/>
    <w:rsid w:val="00990F11"/>
    <w:rsid w:val="009912A2"/>
    <w:rsid w:val="00991563"/>
    <w:rsid w:val="00995FE9"/>
    <w:rsid w:val="009963EC"/>
    <w:rsid w:val="009966D4"/>
    <w:rsid w:val="00996B1A"/>
    <w:rsid w:val="00996E4C"/>
    <w:rsid w:val="009A16D7"/>
    <w:rsid w:val="009A3168"/>
    <w:rsid w:val="009A39BA"/>
    <w:rsid w:val="009A5337"/>
    <w:rsid w:val="009A57B8"/>
    <w:rsid w:val="009A5BDA"/>
    <w:rsid w:val="009A5EF7"/>
    <w:rsid w:val="009A7F10"/>
    <w:rsid w:val="009B2187"/>
    <w:rsid w:val="009B2C91"/>
    <w:rsid w:val="009B3E26"/>
    <w:rsid w:val="009B415D"/>
    <w:rsid w:val="009B5297"/>
    <w:rsid w:val="009B65E4"/>
    <w:rsid w:val="009B7EDC"/>
    <w:rsid w:val="009C202C"/>
    <w:rsid w:val="009C6CD5"/>
    <w:rsid w:val="009C6CEA"/>
    <w:rsid w:val="009C79CF"/>
    <w:rsid w:val="009C7B85"/>
    <w:rsid w:val="009D06D1"/>
    <w:rsid w:val="009D07C8"/>
    <w:rsid w:val="009D1874"/>
    <w:rsid w:val="009D2B3E"/>
    <w:rsid w:val="009D40FF"/>
    <w:rsid w:val="009D4A3F"/>
    <w:rsid w:val="009D5B91"/>
    <w:rsid w:val="009D694D"/>
    <w:rsid w:val="009D6A63"/>
    <w:rsid w:val="009D792E"/>
    <w:rsid w:val="009E05DA"/>
    <w:rsid w:val="009E0DFE"/>
    <w:rsid w:val="009E103D"/>
    <w:rsid w:val="009E1742"/>
    <w:rsid w:val="009E236D"/>
    <w:rsid w:val="009E2DEC"/>
    <w:rsid w:val="009E2E8C"/>
    <w:rsid w:val="009E2F34"/>
    <w:rsid w:val="009E3CB0"/>
    <w:rsid w:val="009E4118"/>
    <w:rsid w:val="009E4B7E"/>
    <w:rsid w:val="009E4C07"/>
    <w:rsid w:val="009E4DED"/>
    <w:rsid w:val="009E5338"/>
    <w:rsid w:val="009E57CC"/>
    <w:rsid w:val="009E71B7"/>
    <w:rsid w:val="009E7CDB"/>
    <w:rsid w:val="009E7E87"/>
    <w:rsid w:val="009F0108"/>
    <w:rsid w:val="009F2015"/>
    <w:rsid w:val="009F6F75"/>
    <w:rsid w:val="009F749B"/>
    <w:rsid w:val="009F74A4"/>
    <w:rsid w:val="00A00626"/>
    <w:rsid w:val="00A009C7"/>
    <w:rsid w:val="00A00FC5"/>
    <w:rsid w:val="00A01184"/>
    <w:rsid w:val="00A0155A"/>
    <w:rsid w:val="00A02F8B"/>
    <w:rsid w:val="00A033F3"/>
    <w:rsid w:val="00A03D43"/>
    <w:rsid w:val="00A04380"/>
    <w:rsid w:val="00A06FE0"/>
    <w:rsid w:val="00A07EA2"/>
    <w:rsid w:val="00A10319"/>
    <w:rsid w:val="00A1040B"/>
    <w:rsid w:val="00A10A7E"/>
    <w:rsid w:val="00A11CD0"/>
    <w:rsid w:val="00A11EE5"/>
    <w:rsid w:val="00A121CF"/>
    <w:rsid w:val="00A13948"/>
    <w:rsid w:val="00A1459B"/>
    <w:rsid w:val="00A152E8"/>
    <w:rsid w:val="00A1555B"/>
    <w:rsid w:val="00A155C5"/>
    <w:rsid w:val="00A1590B"/>
    <w:rsid w:val="00A16AD8"/>
    <w:rsid w:val="00A175EE"/>
    <w:rsid w:val="00A2013B"/>
    <w:rsid w:val="00A2082C"/>
    <w:rsid w:val="00A20A3C"/>
    <w:rsid w:val="00A20A63"/>
    <w:rsid w:val="00A216CC"/>
    <w:rsid w:val="00A21CF3"/>
    <w:rsid w:val="00A22459"/>
    <w:rsid w:val="00A23474"/>
    <w:rsid w:val="00A23BB6"/>
    <w:rsid w:val="00A23C2A"/>
    <w:rsid w:val="00A2419F"/>
    <w:rsid w:val="00A2485D"/>
    <w:rsid w:val="00A27522"/>
    <w:rsid w:val="00A27AEC"/>
    <w:rsid w:val="00A31090"/>
    <w:rsid w:val="00A31647"/>
    <w:rsid w:val="00A320DB"/>
    <w:rsid w:val="00A339AD"/>
    <w:rsid w:val="00A33B8C"/>
    <w:rsid w:val="00A34656"/>
    <w:rsid w:val="00A358F4"/>
    <w:rsid w:val="00A35AE8"/>
    <w:rsid w:val="00A35D16"/>
    <w:rsid w:val="00A362ED"/>
    <w:rsid w:val="00A364EA"/>
    <w:rsid w:val="00A36702"/>
    <w:rsid w:val="00A368B5"/>
    <w:rsid w:val="00A36ADE"/>
    <w:rsid w:val="00A37AB7"/>
    <w:rsid w:val="00A37BCD"/>
    <w:rsid w:val="00A37D01"/>
    <w:rsid w:val="00A413BB"/>
    <w:rsid w:val="00A41B59"/>
    <w:rsid w:val="00A425BA"/>
    <w:rsid w:val="00A42FB1"/>
    <w:rsid w:val="00A43B1F"/>
    <w:rsid w:val="00A43C59"/>
    <w:rsid w:val="00A44D8D"/>
    <w:rsid w:val="00A450ED"/>
    <w:rsid w:val="00A46457"/>
    <w:rsid w:val="00A46896"/>
    <w:rsid w:val="00A469FE"/>
    <w:rsid w:val="00A472AA"/>
    <w:rsid w:val="00A50ECD"/>
    <w:rsid w:val="00A51278"/>
    <w:rsid w:val="00A5142A"/>
    <w:rsid w:val="00A518F3"/>
    <w:rsid w:val="00A52729"/>
    <w:rsid w:val="00A53675"/>
    <w:rsid w:val="00A539E2"/>
    <w:rsid w:val="00A53F21"/>
    <w:rsid w:val="00A564D7"/>
    <w:rsid w:val="00A56B6A"/>
    <w:rsid w:val="00A578DC"/>
    <w:rsid w:val="00A57C23"/>
    <w:rsid w:val="00A57E04"/>
    <w:rsid w:val="00A605E4"/>
    <w:rsid w:val="00A623A7"/>
    <w:rsid w:val="00A6349F"/>
    <w:rsid w:val="00A64114"/>
    <w:rsid w:val="00A641E7"/>
    <w:rsid w:val="00A642CF"/>
    <w:rsid w:val="00A649BA"/>
    <w:rsid w:val="00A65CB5"/>
    <w:rsid w:val="00A65CEB"/>
    <w:rsid w:val="00A65FAC"/>
    <w:rsid w:val="00A6725B"/>
    <w:rsid w:val="00A67529"/>
    <w:rsid w:val="00A67DE7"/>
    <w:rsid w:val="00A70605"/>
    <w:rsid w:val="00A70A1D"/>
    <w:rsid w:val="00A70E69"/>
    <w:rsid w:val="00A7219F"/>
    <w:rsid w:val="00A7277F"/>
    <w:rsid w:val="00A72BB4"/>
    <w:rsid w:val="00A73134"/>
    <w:rsid w:val="00A7319A"/>
    <w:rsid w:val="00A73BDC"/>
    <w:rsid w:val="00A741EE"/>
    <w:rsid w:val="00A7509D"/>
    <w:rsid w:val="00A777B2"/>
    <w:rsid w:val="00A77EE3"/>
    <w:rsid w:val="00A81B4D"/>
    <w:rsid w:val="00A820AC"/>
    <w:rsid w:val="00A8378B"/>
    <w:rsid w:val="00A84CD5"/>
    <w:rsid w:val="00A85259"/>
    <w:rsid w:val="00A85C91"/>
    <w:rsid w:val="00A86E8B"/>
    <w:rsid w:val="00A87164"/>
    <w:rsid w:val="00A873B9"/>
    <w:rsid w:val="00A8798A"/>
    <w:rsid w:val="00A87AD8"/>
    <w:rsid w:val="00A90F37"/>
    <w:rsid w:val="00A90FFA"/>
    <w:rsid w:val="00A9171C"/>
    <w:rsid w:val="00A918F3"/>
    <w:rsid w:val="00A93041"/>
    <w:rsid w:val="00A93072"/>
    <w:rsid w:val="00A93953"/>
    <w:rsid w:val="00A94C49"/>
    <w:rsid w:val="00A959D8"/>
    <w:rsid w:val="00A95C4E"/>
    <w:rsid w:val="00A96195"/>
    <w:rsid w:val="00A9654D"/>
    <w:rsid w:val="00AA113D"/>
    <w:rsid w:val="00AA1BCE"/>
    <w:rsid w:val="00AA4C3B"/>
    <w:rsid w:val="00AA6C7D"/>
    <w:rsid w:val="00AA724C"/>
    <w:rsid w:val="00AA734D"/>
    <w:rsid w:val="00AA7FD6"/>
    <w:rsid w:val="00AB042A"/>
    <w:rsid w:val="00AB0543"/>
    <w:rsid w:val="00AB1B37"/>
    <w:rsid w:val="00AB1CB2"/>
    <w:rsid w:val="00AB2086"/>
    <w:rsid w:val="00AB2A98"/>
    <w:rsid w:val="00AB2D34"/>
    <w:rsid w:val="00AB3430"/>
    <w:rsid w:val="00AB3437"/>
    <w:rsid w:val="00AB4AD1"/>
    <w:rsid w:val="00AB4E1D"/>
    <w:rsid w:val="00AB509E"/>
    <w:rsid w:val="00AB5E4C"/>
    <w:rsid w:val="00AB68BD"/>
    <w:rsid w:val="00AB6EAA"/>
    <w:rsid w:val="00AB747B"/>
    <w:rsid w:val="00AB7C10"/>
    <w:rsid w:val="00AB7CFA"/>
    <w:rsid w:val="00AC2AF3"/>
    <w:rsid w:val="00AC3229"/>
    <w:rsid w:val="00AC37C4"/>
    <w:rsid w:val="00AC410A"/>
    <w:rsid w:val="00AC5B48"/>
    <w:rsid w:val="00AC6CB2"/>
    <w:rsid w:val="00AC71C9"/>
    <w:rsid w:val="00AC76E2"/>
    <w:rsid w:val="00AD0AA6"/>
    <w:rsid w:val="00AD0CA9"/>
    <w:rsid w:val="00AD2510"/>
    <w:rsid w:val="00AD2579"/>
    <w:rsid w:val="00AD33D2"/>
    <w:rsid w:val="00AD4BA3"/>
    <w:rsid w:val="00AD5E90"/>
    <w:rsid w:val="00AD6502"/>
    <w:rsid w:val="00AD6ABE"/>
    <w:rsid w:val="00AD7621"/>
    <w:rsid w:val="00AE0B65"/>
    <w:rsid w:val="00AE1BC4"/>
    <w:rsid w:val="00AE4334"/>
    <w:rsid w:val="00AE5085"/>
    <w:rsid w:val="00AE5B11"/>
    <w:rsid w:val="00AE6941"/>
    <w:rsid w:val="00AF0910"/>
    <w:rsid w:val="00AF1315"/>
    <w:rsid w:val="00AF19BF"/>
    <w:rsid w:val="00AF2DC3"/>
    <w:rsid w:val="00AF3CBC"/>
    <w:rsid w:val="00AF4277"/>
    <w:rsid w:val="00AF4BBE"/>
    <w:rsid w:val="00AF6FD7"/>
    <w:rsid w:val="00AF79EA"/>
    <w:rsid w:val="00B01A45"/>
    <w:rsid w:val="00B02516"/>
    <w:rsid w:val="00B0254B"/>
    <w:rsid w:val="00B026D2"/>
    <w:rsid w:val="00B033E5"/>
    <w:rsid w:val="00B03A63"/>
    <w:rsid w:val="00B03D7F"/>
    <w:rsid w:val="00B040E0"/>
    <w:rsid w:val="00B044C3"/>
    <w:rsid w:val="00B04DC7"/>
    <w:rsid w:val="00B051D1"/>
    <w:rsid w:val="00B0546D"/>
    <w:rsid w:val="00B05C37"/>
    <w:rsid w:val="00B0604E"/>
    <w:rsid w:val="00B06B19"/>
    <w:rsid w:val="00B06C14"/>
    <w:rsid w:val="00B07712"/>
    <w:rsid w:val="00B0779F"/>
    <w:rsid w:val="00B10967"/>
    <w:rsid w:val="00B111E4"/>
    <w:rsid w:val="00B113BD"/>
    <w:rsid w:val="00B11918"/>
    <w:rsid w:val="00B14E60"/>
    <w:rsid w:val="00B1795C"/>
    <w:rsid w:val="00B201A4"/>
    <w:rsid w:val="00B213A6"/>
    <w:rsid w:val="00B219D6"/>
    <w:rsid w:val="00B22D3E"/>
    <w:rsid w:val="00B2436E"/>
    <w:rsid w:val="00B2467F"/>
    <w:rsid w:val="00B24705"/>
    <w:rsid w:val="00B24DF6"/>
    <w:rsid w:val="00B24DFC"/>
    <w:rsid w:val="00B25FF7"/>
    <w:rsid w:val="00B303C8"/>
    <w:rsid w:val="00B30A94"/>
    <w:rsid w:val="00B31416"/>
    <w:rsid w:val="00B32FA8"/>
    <w:rsid w:val="00B33FB5"/>
    <w:rsid w:val="00B345A1"/>
    <w:rsid w:val="00B34FE2"/>
    <w:rsid w:val="00B357D8"/>
    <w:rsid w:val="00B35801"/>
    <w:rsid w:val="00B36702"/>
    <w:rsid w:val="00B37BFC"/>
    <w:rsid w:val="00B40358"/>
    <w:rsid w:val="00B40403"/>
    <w:rsid w:val="00B404A3"/>
    <w:rsid w:val="00B40CF1"/>
    <w:rsid w:val="00B4157A"/>
    <w:rsid w:val="00B41614"/>
    <w:rsid w:val="00B41712"/>
    <w:rsid w:val="00B41FD7"/>
    <w:rsid w:val="00B42851"/>
    <w:rsid w:val="00B42F80"/>
    <w:rsid w:val="00B435CB"/>
    <w:rsid w:val="00B449EA"/>
    <w:rsid w:val="00B45201"/>
    <w:rsid w:val="00B454DE"/>
    <w:rsid w:val="00B45748"/>
    <w:rsid w:val="00B46168"/>
    <w:rsid w:val="00B46F70"/>
    <w:rsid w:val="00B47A4A"/>
    <w:rsid w:val="00B50C0C"/>
    <w:rsid w:val="00B50DB8"/>
    <w:rsid w:val="00B510F4"/>
    <w:rsid w:val="00B51B19"/>
    <w:rsid w:val="00B51DEF"/>
    <w:rsid w:val="00B53654"/>
    <w:rsid w:val="00B53905"/>
    <w:rsid w:val="00B53C1E"/>
    <w:rsid w:val="00B540B9"/>
    <w:rsid w:val="00B54B5B"/>
    <w:rsid w:val="00B5562E"/>
    <w:rsid w:val="00B57000"/>
    <w:rsid w:val="00B60939"/>
    <w:rsid w:val="00B60A6E"/>
    <w:rsid w:val="00B60AFD"/>
    <w:rsid w:val="00B61348"/>
    <w:rsid w:val="00B62527"/>
    <w:rsid w:val="00B62715"/>
    <w:rsid w:val="00B633E2"/>
    <w:rsid w:val="00B63521"/>
    <w:rsid w:val="00B651A2"/>
    <w:rsid w:val="00B655B2"/>
    <w:rsid w:val="00B65C0A"/>
    <w:rsid w:val="00B67C94"/>
    <w:rsid w:val="00B67D79"/>
    <w:rsid w:val="00B67E63"/>
    <w:rsid w:val="00B67EA8"/>
    <w:rsid w:val="00B7197E"/>
    <w:rsid w:val="00B71A1E"/>
    <w:rsid w:val="00B74E57"/>
    <w:rsid w:val="00B75C8B"/>
    <w:rsid w:val="00B76710"/>
    <w:rsid w:val="00B76AFC"/>
    <w:rsid w:val="00B77503"/>
    <w:rsid w:val="00B77A89"/>
    <w:rsid w:val="00B77FAA"/>
    <w:rsid w:val="00B818A4"/>
    <w:rsid w:val="00B82F7A"/>
    <w:rsid w:val="00B83D70"/>
    <w:rsid w:val="00B84117"/>
    <w:rsid w:val="00B84153"/>
    <w:rsid w:val="00B85512"/>
    <w:rsid w:val="00B85AA2"/>
    <w:rsid w:val="00B8649C"/>
    <w:rsid w:val="00B86866"/>
    <w:rsid w:val="00B87F0A"/>
    <w:rsid w:val="00B91379"/>
    <w:rsid w:val="00B92D0B"/>
    <w:rsid w:val="00B92DCF"/>
    <w:rsid w:val="00B93271"/>
    <w:rsid w:val="00B94945"/>
    <w:rsid w:val="00B95243"/>
    <w:rsid w:val="00B955D7"/>
    <w:rsid w:val="00B961BE"/>
    <w:rsid w:val="00B96961"/>
    <w:rsid w:val="00B977D6"/>
    <w:rsid w:val="00B97CDD"/>
    <w:rsid w:val="00BA0A55"/>
    <w:rsid w:val="00BA15F8"/>
    <w:rsid w:val="00BA19C0"/>
    <w:rsid w:val="00BA322D"/>
    <w:rsid w:val="00BA38EA"/>
    <w:rsid w:val="00BA39AD"/>
    <w:rsid w:val="00BA3DF0"/>
    <w:rsid w:val="00BA417E"/>
    <w:rsid w:val="00BA452C"/>
    <w:rsid w:val="00BA4EB8"/>
    <w:rsid w:val="00BA518E"/>
    <w:rsid w:val="00BA59DF"/>
    <w:rsid w:val="00BA613F"/>
    <w:rsid w:val="00BB00F5"/>
    <w:rsid w:val="00BB00F6"/>
    <w:rsid w:val="00BB052C"/>
    <w:rsid w:val="00BB091B"/>
    <w:rsid w:val="00BB0BDD"/>
    <w:rsid w:val="00BB0D82"/>
    <w:rsid w:val="00BB12BD"/>
    <w:rsid w:val="00BB2749"/>
    <w:rsid w:val="00BB2A73"/>
    <w:rsid w:val="00BB3CE3"/>
    <w:rsid w:val="00BB42DA"/>
    <w:rsid w:val="00BB443F"/>
    <w:rsid w:val="00BB4823"/>
    <w:rsid w:val="00BB4ACC"/>
    <w:rsid w:val="00BB607A"/>
    <w:rsid w:val="00BB6D94"/>
    <w:rsid w:val="00BB703E"/>
    <w:rsid w:val="00BB7405"/>
    <w:rsid w:val="00BC01BF"/>
    <w:rsid w:val="00BC1563"/>
    <w:rsid w:val="00BC1B75"/>
    <w:rsid w:val="00BC26AE"/>
    <w:rsid w:val="00BC2A99"/>
    <w:rsid w:val="00BC2C00"/>
    <w:rsid w:val="00BC3631"/>
    <w:rsid w:val="00BC42D2"/>
    <w:rsid w:val="00BC4A3F"/>
    <w:rsid w:val="00BC4B03"/>
    <w:rsid w:val="00BC5B81"/>
    <w:rsid w:val="00BC64AF"/>
    <w:rsid w:val="00BC66E6"/>
    <w:rsid w:val="00BC670B"/>
    <w:rsid w:val="00BC671C"/>
    <w:rsid w:val="00BC67F9"/>
    <w:rsid w:val="00BC725B"/>
    <w:rsid w:val="00BC79B4"/>
    <w:rsid w:val="00BD0C80"/>
    <w:rsid w:val="00BD0EA1"/>
    <w:rsid w:val="00BD4FCC"/>
    <w:rsid w:val="00BD5E66"/>
    <w:rsid w:val="00BD68A3"/>
    <w:rsid w:val="00BD6938"/>
    <w:rsid w:val="00BD6CF3"/>
    <w:rsid w:val="00BD700B"/>
    <w:rsid w:val="00BD7DBD"/>
    <w:rsid w:val="00BD7EE0"/>
    <w:rsid w:val="00BE1E29"/>
    <w:rsid w:val="00BE2180"/>
    <w:rsid w:val="00BE21F2"/>
    <w:rsid w:val="00BE241E"/>
    <w:rsid w:val="00BE25DF"/>
    <w:rsid w:val="00BE33A3"/>
    <w:rsid w:val="00BE406D"/>
    <w:rsid w:val="00BE4275"/>
    <w:rsid w:val="00BE5002"/>
    <w:rsid w:val="00BE5208"/>
    <w:rsid w:val="00BE7D7E"/>
    <w:rsid w:val="00BE7FAE"/>
    <w:rsid w:val="00BF0F95"/>
    <w:rsid w:val="00BF136B"/>
    <w:rsid w:val="00BF15FE"/>
    <w:rsid w:val="00BF183B"/>
    <w:rsid w:val="00BF2433"/>
    <w:rsid w:val="00BF2548"/>
    <w:rsid w:val="00BF2EF4"/>
    <w:rsid w:val="00BF30B3"/>
    <w:rsid w:val="00BF36AE"/>
    <w:rsid w:val="00BF4955"/>
    <w:rsid w:val="00BF4B7B"/>
    <w:rsid w:val="00BF59C1"/>
    <w:rsid w:val="00BF61BC"/>
    <w:rsid w:val="00BF61C9"/>
    <w:rsid w:val="00BF6212"/>
    <w:rsid w:val="00BF6C78"/>
    <w:rsid w:val="00BF6C94"/>
    <w:rsid w:val="00BF7100"/>
    <w:rsid w:val="00C00424"/>
    <w:rsid w:val="00C04802"/>
    <w:rsid w:val="00C04F2E"/>
    <w:rsid w:val="00C06FC5"/>
    <w:rsid w:val="00C125CB"/>
    <w:rsid w:val="00C12BBB"/>
    <w:rsid w:val="00C12C14"/>
    <w:rsid w:val="00C15563"/>
    <w:rsid w:val="00C15CF2"/>
    <w:rsid w:val="00C160AB"/>
    <w:rsid w:val="00C16C49"/>
    <w:rsid w:val="00C17014"/>
    <w:rsid w:val="00C200AA"/>
    <w:rsid w:val="00C20434"/>
    <w:rsid w:val="00C219AB"/>
    <w:rsid w:val="00C21F5E"/>
    <w:rsid w:val="00C227A0"/>
    <w:rsid w:val="00C23741"/>
    <w:rsid w:val="00C237ED"/>
    <w:rsid w:val="00C242B1"/>
    <w:rsid w:val="00C24632"/>
    <w:rsid w:val="00C24951"/>
    <w:rsid w:val="00C25418"/>
    <w:rsid w:val="00C25D9C"/>
    <w:rsid w:val="00C276D7"/>
    <w:rsid w:val="00C2778B"/>
    <w:rsid w:val="00C303D3"/>
    <w:rsid w:val="00C30691"/>
    <w:rsid w:val="00C31649"/>
    <w:rsid w:val="00C3260F"/>
    <w:rsid w:val="00C3310E"/>
    <w:rsid w:val="00C341A9"/>
    <w:rsid w:val="00C34238"/>
    <w:rsid w:val="00C362EF"/>
    <w:rsid w:val="00C40385"/>
    <w:rsid w:val="00C403BD"/>
    <w:rsid w:val="00C40E3A"/>
    <w:rsid w:val="00C41347"/>
    <w:rsid w:val="00C41A99"/>
    <w:rsid w:val="00C41FD8"/>
    <w:rsid w:val="00C43CFF"/>
    <w:rsid w:val="00C449B4"/>
    <w:rsid w:val="00C44B9C"/>
    <w:rsid w:val="00C44F8B"/>
    <w:rsid w:val="00C4500C"/>
    <w:rsid w:val="00C455FD"/>
    <w:rsid w:val="00C45A01"/>
    <w:rsid w:val="00C462A5"/>
    <w:rsid w:val="00C463CA"/>
    <w:rsid w:val="00C46CDA"/>
    <w:rsid w:val="00C471FE"/>
    <w:rsid w:val="00C475AA"/>
    <w:rsid w:val="00C47AD5"/>
    <w:rsid w:val="00C47DFB"/>
    <w:rsid w:val="00C5060D"/>
    <w:rsid w:val="00C50E5B"/>
    <w:rsid w:val="00C52393"/>
    <w:rsid w:val="00C52870"/>
    <w:rsid w:val="00C52990"/>
    <w:rsid w:val="00C535A0"/>
    <w:rsid w:val="00C56543"/>
    <w:rsid w:val="00C56567"/>
    <w:rsid w:val="00C575FB"/>
    <w:rsid w:val="00C60183"/>
    <w:rsid w:val="00C61AA1"/>
    <w:rsid w:val="00C61EA2"/>
    <w:rsid w:val="00C624B2"/>
    <w:rsid w:val="00C63274"/>
    <w:rsid w:val="00C63408"/>
    <w:rsid w:val="00C63FEE"/>
    <w:rsid w:val="00C643A4"/>
    <w:rsid w:val="00C65576"/>
    <w:rsid w:val="00C65F6F"/>
    <w:rsid w:val="00C66165"/>
    <w:rsid w:val="00C66212"/>
    <w:rsid w:val="00C665D1"/>
    <w:rsid w:val="00C6666E"/>
    <w:rsid w:val="00C668DB"/>
    <w:rsid w:val="00C67BC7"/>
    <w:rsid w:val="00C70B83"/>
    <w:rsid w:val="00C7151A"/>
    <w:rsid w:val="00C716CF"/>
    <w:rsid w:val="00C71F60"/>
    <w:rsid w:val="00C72241"/>
    <w:rsid w:val="00C73973"/>
    <w:rsid w:val="00C7435F"/>
    <w:rsid w:val="00C750C8"/>
    <w:rsid w:val="00C7560F"/>
    <w:rsid w:val="00C75696"/>
    <w:rsid w:val="00C75748"/>
    <w:rsid w:val="00C75BBF"/>
    <w:rsid w:val="00C77431"/>
    <w:rsid w:val="00C77BD6"/>
    <w:rsid w:val="00C77DCC"/>
    <w:rsid w:val="00C80815"/>
    <w:rsid w:val="00C80A0E"/>
    <w:rsid w:val="00C811ED"/>
    <w:rsid w:val="00C81B5F"/>
    <w:rsid w:val="00C81EE8"/>
    <w:rsid w:val="00C8213F"/>
    <w:rsid w:val="00C840C3"/>
    <w:rsid w:val="00C85B3A"/>
    <w:rsid w:val="00C85DA3"/>
    <w:rsid w:val="00C862D9"/>
    <w:rsid w:val="00C867C0"/>
    <w:rsid w:val="00C86838"/>
    <w:rsid w:val="00C872FA"/>
    <w:rsid w:val="00C87392"/>
    <w:rsid w:val="00C8797A"/>
    <w:rsid w:val="00C90007"/>
    <w:rsid w:val="00C900B8"/>
    <w:rsid w:val="00C90701"/>
    <w:rsid w:val="00C908D5"/>
    <w:rsid w:val="00C90C71"/>
    <w:rsid w:val="00C90E20"/>
    <w:rsid w:val="00C91CC9"/>
    <w:rsid w:val="00C91FBD"/>
    <w:rsid w:val="00C929F2"/>
    <w:rsid w:val="00C93114"/>
    <w:rsid w:val="00C931CF"/>
    <w:rsid w:val="00C934A2"/>
    <w:rsid w:val="00C938CF"/>
    <w:rsid w:val="00C93AF0"/>
    <w:rsid w:val="00C9445B"/>
    <w:rsid w:val="00C95D43"/>
    <w:rsid w:val="00C96123"/>
    <w:rsid w:val="00C96139"/>
    <w:rsid w:val="00C9624D"/>
    <w:rsid w:val="00C969DA"/>
    <w:rsid w:val="00CA080D"/>
    <w:rsid w:val="00CA0833"/>
    <w:rsid w:val="00CA09AB"/>
    <w:rsid w:val="00CA0B20"/>
    <w:rsid w:val="00CA1252"/>
    <w:rsid w:val="00CA18B7"/>
    <w:rsid w:val="00CA21E5"/>
    <w:rsid w:val="00CA25BB"/>
    <w:rsid w:val="00CA2887"/>
    <w:rsid w:val="00CA2C77"/>
    <w:rsid w:val="00CA444F"/>
    <w:rsid w:val="00CA4576"/>
    <w:rsid w:val="00CA4646"/>
    <w:rsid w:val="00CA4F7B"/>
    <w:rsid w:val="00CA5245"/>
    <w:rsid w:val="00CA71F4"/>
    <w:rsid w:val="00CA76DD"/>
    <w:rsid w:val="00CA7B09"/>
    <w:rsid w:val="00CA7D3D"/>
    <w:rsid w:val="00CB026D"/>
    <w:rsid w:val="00CB16E2"/>
    <w:rsid w:val="00CB1C60"/>
    <w:rsid w:val="00CB238F"/>
    <w:rsid w:val="00CB292D"/>
    <w:rsid w:val="00CB2F2A"/>
    <w:rsid w:val="00CB3267"/>
    <w:rsid w:val="00CB3A28"/>
    <w:rsid w:val="00CB3CE4"/>
    <w:rsid w:val="00CB3CF8"/>
    <w:rsid w:val="00CB3FD5"/>
    <w:rsid w:val="00CB5359"/>
    <w:rsid w:val="00CB551B"/>
    <w:rsid w:val="00CB5B1A"/>
    <w:rsid w:val="00CB5ED5"/>
    <w:rsid w:val="00CB6A1C"/>
    <w:rsid w:val="00CB6B22"/>
    <w:rsid w:val="00CB6D3C"/>
    <w:rsid w:val="00CB7F5F"/>
    <w:rsid w:val="00CC0594"/>
    <w:rsid w:val="00CC0F74"/>
    <w:rsid w:val="00CC1B39"/>
    <w:rsid w:val="00CC39A3"/>
    <w:rsid w:val="00CC496B"/>
    <w:rsid w:val="00CC7B43"/>
    <w:rsid w:val="00CD06F2"/>
    <w:rsid w:val="00CD1017"/>
    <w:rsid w:val="00CD1A22"/>
    <w:rsid w:val="00CD2036"/>
    <w:rsid w:val="00CD2AB6"/>
    <w:rsid w:val="00CD3591"/>
    <w:rsid w:val="00CD3EEC"/>
    <w:rsid w:val="00CD496A"/>
    <w:rsid w:val="00CD5062"/>
    <w:rsid w:val="00CD5CF9"/>
    <w:rsid w:val="00CD5D05"/>
    <w:rsid w:val="00CD6ADC"/>
    <w:rsid w:val="00CD7672"/>
    <w:rsid w:val="00CD7675"/>
    <w:rsid w:val="00CD7B11"/>
    <w:rsid w:val="00CE1A15"/>
    <w:rsid w:val="00CE3174"/>
    <w:rsid w:val="00CE3F10"/>
    <w:rsid w:val="00CE60EB"/>
    <w:rsid w:val="00CE6274"/>
    <w:rsid w:val="00CF1369"/>
    <w:rsid w:val="00CF15CE"/>
    <w:rsid w:val="00CF2AC7"/>
    <w:rsid w:val="00CF2B5A"/>
    <w:rsid w:val="00CF2B8D"/>
    <w:rsid w:val="00CF2B9B"/>
    <w:rsid w:val="00CF2F6C"/>
    <w:rsid w:val="00CF3122"/>
    <w:rsid w:val="00CF3D1E"/>
    <w:rsid w:val="00CF456B"/>
    <w:rsid w:val="00CF45F9"/>
    <w:rsid w:val="00CF4C96"/>
    <w:rsid w:val="00CF5A22"/>
    <w:rsid w:val="00CF665A"/>
    <w:rsid w:val="00CF674D"/>
    <w:rsid w:val="00D004D2"/>
    <w:rsid w:val="00D006D3"/>
    <w:rsid w:val="00D00ACF"/>
    <w:rsid w:val="00D00DFD"/>
    <w:rsid w:val="00D01789"/>
    <w:rsid w:val="00D0262E"/>
    <w:rsid w:val="00D02C3B"/>
    <w:rsid w:val="00D0340E"/>
    <w:rsid w:val="00D038D4"/>
    <w:rsid w:val="00D03F2F"/>
    <w:rsid w:val="00D04CC5"/>
    <w:rsid w:val="00D04F37"/>
    <w:rsid w:val="00D05A59"/>
    <w:rsid w:val="00D05CB9"/>
    <w:rsid w:val="00D062F5"/>
    <w:rsid w:val="00D06443"/>
    <w:rsid w:val="00D077B2"/>
    <w:rsid w:val="00D110BD"/>
    <w:rsid w:val="00D11356"/>
    <w:rsid w:val="00D11AFE"/>
    <w:rsid w:val="00D123AA"/>
    <w:rsid w:val="00D13675"/>
    <w:rsid w:val="00D141E1"/>
    <w:rsid w:val="00D145B6"/>
    <w:rsid w:val="00D14A6A"/>
    <w:rsid w:val="00D15173"/>
    <w:rsid w:val="00D159C4"/>
    <w:rsid w:val="00D163A5"/>
    <w:rsid w:val="00D16579"/>
    <w:rsid w:val="00D1699F"/>
    <w:rsid w:val="00D16BA1"/>
    <w:rsid w:val="00D1725A"/>
    <w:rsid w:val="00D1742F"/>
    <w:rsid w:val="00D174AE"/>
    <w:rsid w:val="00D17D6C"/>
    <w:rsid w:val="00D20BDA"/>
    <w:rsid w:val="00D20E4D"/>
    <w:rsid w:val="00D22F18"/>
    <w:rsid w:val="00D231B2"/>
    <w:rsid w:val="00D24889"/>
    <w:rsid w:val="00D24B99"/>
    <w:rsid w:val="00D24FB3"/>
    <w:rsid w:val="00D251A3"/>
    <w:rsid w:val="00D26FDA"/>
    <w:rsid w:val="00D2754D"/>
    <w:rsid w:val="00D27977"/>
    <w:rsid w:val="00D27B27"/>
    <w:rsid w:val="00D27C7D"/>
    <w:rsid w:val="00D3094F"/>
    <w:rsid w:val="00D30C89"/>
    <w:rsid w:val="00D31E44"/>
    <w:rsid w:val="00D32825"/>
    <w:rsid w:val="00D3292D"/>
    <w:rsid w:val="00D32CE7"/>
    <w:rsid w:val="00D339AD"/>
    <w:rsid w:val="00D33BA2"/>
    <w:rsid w:val="00D33BE9"/>
    <w:rsid w:val="00D34154"/>
    <w:rsid w:val="00D348B4"/>
    <w:rsid w:val="00D3570B"/>
    <w:rsid w:val="00D357FF"/>
    <w:rsid w:val="00D376BE"/>
    <w:rsid w:val="00D407A1"/>
    <w:rsid w:val="00D40C05"/>
    <w:rsid w:val="00D41C59"/>
    <w:rsid w:val="00D41F3E"/>
    <w:rsid w:val="00D424C7"/>
    <w:rsid w:val="00D42C0C"/>
    <w:rsid w:val="00D4355D"/>
    <w:rsid w:val="00D43B2A"/>
    <w:rsid w:val="00D43F67"/>
    <w:rsid w:val="00D44030"/>
    <w:rsid w:val="00D45900"/>
    <w:rsid w:val="00D47575"/>
    <w:rsid w:val="00D51C5C"/>
    <w:rsid w:val="00D52EED"/>
    <w:rsid w:val="00D53CFF"/>
    <w:rsid w:val="00D543E2"/>
    <w:rsid w:val="00D548E0"/>
    <w:rsid w:val="00D57FF2"/>
    <w:rsid w:val="00D600C9"/>
    <w:rsid w:val="00D6028C"/>
    <w:rsid w:val="00D6162E"/>
    <w:rsid w:val="00D6223B"/>
    <w:rsid w:val="00D62354"/>
    <w:rsid w:val="00D63680"/>
    <w:rsid w:val="00D63D43"/>
    <w:rsid w:val="00D64B6F"/>
    <w:rsid w:val="00D64F70"/>
    <w:rsid w:val="00D66A45"/>
    <w:rsid w:val="00D70F16"/>
    <w:rsid w:val="00D717CE"/>
    <w:rsid w:val="00D72A9B"/>
    <w:rsid w:val="00D72DF2"/>
    <w:rsid w:val="00D735F5"/>
    <w:rsid w:val="00D73AAC"/>
    <w:rsid w:val="00D7440B"/>
    <w:rsid w:val="00D74475"/>
    <w:rsid w:val="00D7457F"/>
    <w:rsid w:val="00D74DE9"/>
    <w:rsid w:val="00D74F95"/>
    <w:rsid w:val="00D7570A"/>
    <w:rsid w:val="00D767AB"/>
    <w:rsid w:val="00D76A44"/>
    <w:rsid w:val="00D77114"/>
    <w:rsid w:val="00D77EC5"/>
    <w:rsid w:val="00D815EF"/>
    <w:rsid w:val="00D82052"/>
    <w:rsid w:val="00D8361B"/>
    <w:rsid w:val="00D83942"/>
    <w:rsid w:val="00D85100"/>
    <w:rsid w:val="00D855FC"/>
    <w:rsid w:val="00D9065B"/>
    <w:rsid w:val="00D9154C"/>
    <w:rsid w:val="00D917BF"/>
    <w:rsid w:val="00D91923"/>
    <w:rsid w:val="00D9328D"/>
    <w:rsid w:val="00D935B8"/>
    <w:rsid w:val="00D93753"/>
    <w:rsid w:val="00D94063"/>
    <w:rsid w:val="00D95035"/>
    <w:rsid w:val="00D95787"/>
    <w:rsid w:val="00D96AD6"/>
    <w:rsid w:val="00D96DF4"/>
    <w:rsid w:val="00DA0583"/>
    <w:rsid w:val="00DA16F2"/>
    <w:rsid w:val="00DA1B15"/>
    <w:rsid w:val="00DA2AAC"/>
    <w:rsid w:val="00DA3167"/>
    <w:rsid w:val="00DA3CD0"/>
    <w:rsid w:val="00DA4DC3"/>
    <w:rsid w:val="00DA77A5"/>
    <w:rsid w:val="00DA7944"/>
    <w:rsid w:val="00DB1219"/>
    <w:rsid w:val="00DB1A2C"/>
    <w:rsid w:val="00DB1C62"/>
    <w:rsid w:val="00DB1F31"/>
    <w:rsid w:val="00DB3542"/>
    <w:rsid w:val="00DB3B75"/>
    <w:rsid w:val="00DB42FC"/>
    <w:rsid w:val="00DB4453"/>
    <w:rsid w:val="00DB484F"/>
    <w:rsid w:val="00DB535D"/>
    <w:rsid w:val="00DB53B7"/>
    <w:rsid w:val="00DB54B0"/>
    <w:rsid w:val="00DB5C40"/>
    <w:rsid w:val="00DB5D5B"/>
    <w:rsid w:val="00DB7375"/>
    <w:rsid w:val="00DB78CE"/>
    <w:rsid w:val="00DC04F6"/>
    <w:rsid w:val="00DC06ED"/>
    <w:rsid w:val="00DC1FC8"/>
    <w:rsid w:val="00DC2030"/>
    <w:rsid w:val="00DC2944"/>
    <w:rsid w:val="00DC3358"/>
    <w:rsid w:val="00DC3C57"/>
    <w:rsid w:val="00DC3D0B"/>
    <w:rsid w:val="00DC5501"/>
    <w:rsid w:val="00DC6195"/>
    <w:rsid w:val="00DC66B1"/>
    <w:rsid w:val="00DD0F3B"/>
    <w:rsid w:val="00DD12A4"/>
    <w:rsid w:val="00DD167A"/>
    <w:rsid w:val="00DD1DC4"/>
    <w:rsid w:val="00DD1E2D"/>
    <w:rsid w:val="00DD273C"/>
    <w:rsid w:val="00DD389B"/>
    <w:rsid w:val="00DD3F28"/>
    <w:rsid w:val="00DD4017"/>
    <w:rsid w:val="00DD4537"/>
    <w:rsid w:val="00DD49CD"/>
    <w:rsid w:val="00DD4E15"/>
    <w:rsid w:val="00DD6678"/>
    <w:rsid w:val="00DD7288"/>
    <w:rsid w:val="00DE0083"/>
    <w:rsid w:val="00DE13AA"/>
    <w:rsid w:val="00DE16B4"/>
    <w:rsid w:val="00DE20B9"/>
    <w:rsid w:val="00DE235B"/>
    <w:rsid w:val="00DE30DF"/>
    <w:rsid w:val="00DE3138"/>
    <w:rsid w:val="00DE34FD"/>
    <w:rsid w:val="00DE37F8"/>
    <w:rsid w:val="00DE4C39"/>
    <w:rsid w:val="00DE4DDE"/>
    <w:rsid w:val="00DE4FCB"/>
    <w:rsid w:val="00DE50E6"/>
    <w:rsid w:val="00DE5148"/>
    <w:rsid w:val="00DE5AE1"/>
    <w:rsid w:val="00DE6703"/>
    <w:rsid w:val="00DE76B9"/>
    <w:rsid w:val="00DE7832"/>
    <w:rsid w:val="00DF0AD9"/>
    <w:rsid w:val="00DF14BD"/>
    <w:rsid w:val="00DF18FC"/>
    <w:rsid w:val="00DF1A49"/>
    <w:rsid w:val="00DF2AC8"/>
    <w:rsid w:val="00DF3745"/>
    <w:rsid w:val="00DF3B30"/>
    <w:rsid w:val="00DF4344"/>
    <w:rsid w:val="00DF5336"/>
    <w:rsid w:val="00DF5D2B"/>
    <w:rsid w:val="00DF6D35"/>
    <w:rsid w:val="00DF7EB5"/>
    <w:rsid w:val="00E00888"/>
    <w:rsid w:val="00E00E8E"/>
    <w:rsid w:val="00E0113B"/>
    <w:rsid w:val="00E01EFB"/>
    <w:rsid w:val="00E022D5"/>
    <w:rsid w:val="00E045A4"/>
    <w:rsid w:val="00E04887"/>
    <w:rsid w:val="00E04A5F"/>
    <w:rsid w:val="00E04B61"/>
    <w:rsid w:val="00E05630"/>
    <w:rsid w:val="00E06DBB"/>
    <w:rsid w:val="00E10149"/>
    <w:rsid w:val="00E122FD"/>
    <w:rsid w:val="00E12487"/>
    <w:rsid w:val="00E12F03"/>
    <w:rsid w:val="00E13003"/>
    <w:rsid w:val="00E13462"/>
    <w:rsid w:val="00E13F10"/>
    <w:rsid w:val="00E145AC"/>
    <w:rsid w:val="00E14699"/>
    <w:rsid w:val="00E154C5"/>
    <w:rsid w:val="00E16372"/>
    <w:rsid w:val="00E169B1"/>
    <w:rsid w:val="00E16A07"/>
    <w:rsid w:val="00E17097"/>
    <w:rsid w:val="00E17D11"/>
    <w:rsid w:val="00E20E4D"/>
    <w:rsid w:val="00E20ED6"/>
    <w:rsid w:val="00E21358"/>
    <w:rsid w:val="00E22388"/>
    <w:rsid w:val="00E2249B"/>
    <w:rsid w:val="00E22A0D"/>
    <w:rsid w:val="00E247AA"/>
    <w:rsid w:val="00E24D4A"/>
    <w:rsid w:val="00E24FE3"/>
    <w:rsid w:val="00E25C27"/>
    <w:rsid w:val="00E2771E"/>
    <w:rsid w:val="00E27871"/>
    <w:rsid w:val="00E31451"/>
    <w:rsid w:val="00E31833"/>
    <w:rsid w:val="00E32C62"/>
    <w:rsid w:val="00E34948"/>
    <w:rsid w:val="00E34B10"/>
    <w:rsid w:val="00E35088"/>
    <w:rsid w:val="00E3565E"/>
    <w:rsid w:val="00E36AAA"/>
    <w:rsid w:val="00E37569"/>
    <w:rsid w:val="00E407C9"/>
    <w:rsid w:val="00E410A5"/>
    <w:rsid w:val="00E41E30"/>
    <w:rsid w:val="00E4217E"/>
    <w:rsid w:val="00E43D70"/>
    <w:rsid w:val="00E43EB1"/>
    <w:rsid w:val="00E4410A"/>
    <w:rsid w:val="00E443FD"/>
    <w:rsid w:val="00E4488B"/>
    <w:rsid w:val="00E45746"/>
    <w:rsid w:val="00E4635E"/>
    <w:rsid w:val="00E46484"/>
    <w:rsid w:val="00E465EF"/>
    <w:rsid w:val="00E466F3"/>
    <w:rsid w:val="00E4685A"/>
    <w:rsid w:val="00E46F5A"/>
    <w:rsid w:val="00E47B2C"/>
    <w:rsid w:val="00E50F6B"/>
    <w:rsid w:val="00E51560"/>
    <w:rsid w:val="00E516B0"/>
    <w:rsid w:val="00E51BF2"/>
    <w:rsid w:val="00E522FE"/>
    <w:rsid w:val="00E534AF"/>
    <w:rsid w:val="00E53943"/>
    <w:rsid w:val="00E54347"/>
    <w:rsid w:val="00E55424"/>
    <w:rsid w:val="00E55BB5"/>
    <w:rsid w:val="00E55E64"/>
    <w:rsid w:val="00E56C43"/>
    <w:rsid w:val="00E5737E"/>
    <w:rsid w:val="00E57E9A"/>
    <w:rsid w:val="00E606EE"/>
    <w:rsid w:val="00E61161"/>
    <w:rsid w:val="00E64C75"/>
    <w:rsid w:val="00E64F70"/>
    <w:rsid w:val="00E65190"/>
    <w:rsid w:val="00E65CEF"/>
    <w:rsid w:val="00E65E79"/>
    <w:rsid w:val="00E66182"/>
    <w:rsid w:val="00E66827"/>
    <w:rsid w:val="00E66BA2"/>
    <w:rsid w:val="00E67416"/>
    <w:rsid w:val="00E67480"/>
    <w:rsid w:val="00E70833"/>
    <w:rsid w:val="00E70DDC"/>
    <w:rsid w:val="00E710C6"/>
    <w:rsid w:val="00E718B6"/>
    <w:rsid w:val="00E723BA"/>
    <w:rsid w:val="00E7247E"/>
    <w:rsid w:val="00E72F35"/>
    <w:rsid w:val="00E73581"/>
    <w:rsid w:val="00E74F4D"/>
    <w:rsid w:val="00E80160"/>
    <w:rsid w:val="00E80AD0"/>
    <w:rsid w:val="00E80C11"/>
    <w:rsid w:val="00E833F7"/>
    <w:rsid w:val="00E83BDF"/>
    <w:rsid w:val="00E84246"/>
    <w:rsid w:val="00E84405"/>
    <w:rsid w:val="00E84991"/>
    <w:rsid w:val="00E861E5"/>
    <w:rsid w:val="00E8701D"/>
    <w:rsid w:val="00E87A1D"/>
    <w:rsid w:val="00E900E8"/>
    <w:rsid w:val="00E924E7"/>
    <w:rsid w:val="00E926A5"/>
    <w:rsid w:val="00E93A41"/>
    <w:rsid w:val="00E94E99"/>
    <w:rsid w:val="00E95862"/>
    <w:rsid w:val="00E962CD"/>
    <w:rsid w:val="00E97178"/>
    <w:rsid w:val="00E97804"/>
    <w:rsid w:val="00E97A7B"/>
    <w:rsid w:val="00EA0545"/>
    <w:rsid w:val="00EA0C51"/>
    <w:rsid w:val="00EA17C3"/>
    <w:rsid w:val="00EA21AD"/>
    <w:rsid w:val="00EA2CAA"/>
    <w:rsid w:val="00EA2D46"/>
    <w:rsid w:val="00EA3864"/>
    <w:rsid w:val="00EA3E14"/>
    <w:rsid w:val="00EA48D9"/>
    <w:rsid w:val="00EA48FA"/>
    <w:rsid w:val="00EA6A66"/>
    <w:rsid w:val="00EA6F7B"/>
    <w:rsid w:val="00EA7481"/>
    <w:rsid w:val="00EB0948"/>
    <w:rsid w:val="00EB15B6"/>
    <w:rsid w:val="00EB1736"/>
    <w:rsid w:val="00EB2010"/>
    <w:rsid w:val="00EB206D"/>
    <w:rsid w:val="00EB4916"/>
    <w:rsid w:val="00EB5329"/>
    <w:rsid w:val="00EB559F"/>
    <w:rsid w:val="00EB5992"/>
    <w:rsid w:val="00EB5B47"/>
    <w:rsid w:val="00EB5C0E"/>
    <w:rsid w:val="00EB63CF"/>
    <w:rsid w:val="00EB66A5"/>
    <w:rsid w:val="00EB7894"/>
    <w:rsid w:val="00EB7AE7"/>
    <w:rsid w:val="00EB7D65"/>
    <w:rsid w:val="00EC00C9"/>
    <w:rsid w:val="00EC0FC5"/>
    <w:rsid w:val="00EC17C6"/>
    <w:rsid w:val="00EC2184"/>
    <w:rsid w:val="00EC2649"/>
    <w:rsid w:val="00EC29B8"/>
    <w:rsid w:val="00EC2B55"/>
    <w:rsid w:val="00EC30A9"/>
    <w:rsid w:val="00EC3EB2"/>
    <w:rsid w:val="00EC418E"/>
    <w:rsid w:val="00EC436A"/>
    <w:rsid w:val="00EC4680"/>
    <w:rsid w:val="00EC480C"/>
    <w:rsid w:val="00EC480E"/>
    <w:rsid w:val="00EC54D4"/>
    <w:rsid w:val="00EC5DD1"/>
    <w:rsid w:val="00EC6425"/>
    <w:rsid w:val="00EC6E32"/>
    <w:rsid w:val="00EC6F7F"/>
    <w:rsid w:val="00ED0826"/>
    <w:rsid w:val="00ED17AA"/>
    <w:rsid w:val="00ED2DC3"/>
    <w:rsid w:val="00ED2FF9"/>
    <w:rsid w:val="00ED335D"/>
    <w:rsid w:val="00ED57EA"/>
    <w:rsid w:val="00ED6692"/>
    <w:rsid w:val="00ED7A30"/>
    <w:rsid w:val="00EE045A"/>
    <w:rsid w:val="00EE07D3"/>
    <w:rsid w:val="00EE22AF"/>
    <w:rsid w:val="00EE31FC"/>
    <w:rsid w:val="00EE363C"/>
    <w:rsid w:val="00EE3E63"/>
    <w:rsid w:val="00EE5A91"/>
    <w:rsid w:val="00EE664F"/>
    <w:rsid w:val="00EF0171"/>
    <w:rsid w:val="00EF13CD"/>
    <w:rsid w:val="00EF1B25"/>
    <w:rsid w:val="00EF1F4A"/>
    <w:rsid w:val="00EF2DD0"/>
    <w:rsid w:val="00EF3E45"/>
    <w:rsid w:val="00EF4747"/>
    <w:rsid w:val="00EF48E9"/>
    <w:rsid w:val="00EF4BF8"/>
    <w:rsid w:val="00EF5B82"/>
    <w:rsid w:val="00EF5DE0"/>
    <w:rsid w:val="00EF6E4F"/>
    <w:rsid w:val="00EF717E"/>
    <w:rsid w:val="00EF7308"/>
    <w:rsid w:val="00EF76EA"/>
    <w:rsid w:val="00F00FD5"/>
    <w:rsid w:val="00F02253"/>
    <w:rsid w:val="00F03C2E"/>
    <w:rsid w:val="00F04A66"/>
    <w:rsid w:val="00F0516C"/>
    <w:rsid w:val="00F05835"/>
    <w:rsid w:val="00F067A2"/>
    <w:rsid w:val="00F07001"/>
    <w:rsid w:val="00F102F4"/>
    <w:rsid w:val="00F10A17"/>
    <w:rsid w:val="00F10C4F"/>
    <w:rsid w:val="00F118D5"/>
    <w:rsid w:val="00F11F5B"/>
    <w:rsid w:val="00F120E0"/>
    <w:rsid w:val="00F1263A"/>
    <w:rsid w:val="00F128A6"/>
    <w:rsid w:val="00F13503"/>
    <w:rsid w:val="00F14367"/>
    <w:rsid w:val="00F14654"/>
    <w:rsid w:val="00F148B6"/>
    <w:rsid w:val="00F14B57"/>
    <w:rsid w:val="00F1708C"/>
    <w:rsid w:val="00F17281"/>
    <w:rsid w:val="00F17722"/>
    <w:rsid w:val="00F20949"/>
    <w:rsid w:val="00F20AFB"/>
    <w:rsid w:val="00F20B9E"/>
    <w:rsid w:val="00F20BF7"/>
    <w:rsid w:val="00F22B0D"/>
    <w:rsid w:val="00F24837"/>
    <w:rsid w:val="00F25657"/>
    <w:rsid w:val="00F2575F"/>
    <w:rsid w:val="00F27565"/>
    <w:rsid w:val="00F301F8"/>
    <w:rsid w:val="00F307B5"/>
    <w:rsid w:val="00F310D4"/>
    <w:rsid w:val="00F31B77"/>
    <w:rsid w:val="00F31D5A"/>
    <w:rsid w:val="00F32019"/>
    <w:rsid w:val="00F33075"/>
    <w:rsid w:val="00F33DE9"/>
    <w:rsid w:val="00F34A05"/>
    <w:rsid w:val="00F35099"/>
    <w:rsid w:val="00F350CD"/>
    <w:rsid w:val="00F3619A"/>
    <w:rsid w:val="00F3687B"/>
    <w:rsid w:val="00F368C1"/>
    <w:rsid w:val="00F36C24"/>
    <w:rsid w:val="00F36C2D"/>
    <w:rsid w:val="00F3720E"/>
    <w:rsid w:val="00F37CB2"/>
    <w:rsid w:val="00F40AAA"/>
    <w:rsid w:val="00F40ABA"/>
    <w:rsid w:val="00F40BA7"/>
    <w:rsid w:val="00F41857"/>
    <w:rsid w:val="00F4194C"/>
    <w:rsid w:val="00F42C99"/>
    <w:rsid w:val="00F43A20"/>
    <w:rsid w:val="00F43C2B"/>
    <w:rsid w:val="00F4451B"/>
    <w:rsid w:val="00F45554"/>
    <w:rsid w:val="00F46259"/>
    <w:rsid w:val="00F4665B"/>
    <w:rsid w:val="00F46CB6"/>
    <w:rsid w:val="00F47DE8"/>
    <w:rsid w:val="00F5010F"/>
    <w:rsid w:val="00F50B10"/>
    <w:rsid w:val="00F5187F"/>
    <w:rsid w:val="00F52055"/>
    <w:rsid w:val="00F522F5"/>
    <w:rsid w:val="00F5293F"/>
    <w:rsid w:val="00F542C1"/>
    <w:rsid w:val="00F54398"/>
    <w:rsid w:val="00F553AF"/>
    <w:rsid w:val="00F55E73"/>
    <w:rsid w:val="00F55EDA"/>
    <w:rsid w:val="00F562F6"/>
    <w:rsid w:val="00F565EC"/>
    <w:rsid w:val="00F5703A"/>
    <w:rsid w:val="00F574A5"/>
    <w:rsid w:val="00F575B3"/>
    <w:rsid w:val="00F60092"/>
    <w:rsid w:val="00F612A3"/>
    <w:rsid w:val="00F63529"/>
    <w:rsid w:val="00F638BB"/>
    <w:rsid w:val="00F63F90"/>
    <w:rsid w:val="00F64D70"/>
    <w:rsid w:val="00F6526D"/>
    <w:rsid w:val="00F65576"/>
    <w:rsid w:val="00F65F33"/>
    <w:rsid w:val="00F65F4B"/>
    <w:rsid w:val="00F704BE"/>
    <w:rsid w:val="00F70C9D"/>
    <w:rsid w:val="00F70EC6"/>
    <w:rsid w:val="00F71200"/>
    <w:rsid w:val="00F71527"/>
    <w:rsid w:val="00F71DF2"/>
    <w:rsid w:val="00F71F92"/>
    <w:rsid w:val="00F721A4"/>
    <w:rsid w:val="00F73121"/>
    <w:rsid w:val="00F736B5"/>
    <w:rsid w:val="00F74C23"/>
    <w:rsid w:val="00F74CD9"/>
    <w:rsid w:val="00F76C93"/>
    <w:rsid w:val="00F77454"/>
    <w:rsid w:val="00F77DBF"/>
    <w:rsid w:val="00F77ED7"/>
    <w:rsid w:val="00F80A7B"/>
    <w:rsid w:val="00F80E5D"/>
    <w:rsid w:val="00F810E7"/>
    <w:rsid w:val="00F81550"/>
    <w:rsid w:val="00F832F8"/>
    <w:rsid w:val="00F84728"/>
    <w:rsid w:val="00F850CA"/>
    <w:rsid w:val="00F851CE"/>
    <w:rsid w:val="00F866C8"/>
    <w:rsid w:val="00F86989"/>
    <w:rsid w:val="00F870E4"/>
    <w:rsid w:val="00F908A3"/>
    <w:rsid w:val="00F91219"/>
    <w:rsid w:val="00F9240A"/>
    <w:rsid w:val="00F93A99"/>
    <w:rsid w:val="00F93C14"/>
    <w:rsid w:val="00F9421F"/>
    <w:rsid w:val="00F94F90"/>
    <w:rsid w:val="00F958FC"/>
    <w:rsid w:val="00F961C8"/>
    <w:rsid w:val="00F96226"/>
    <w:rsid w:val="00F976B8"/>
    <w:rsid w:val="00F978BB"/>
    <w:rsid w:val="00F9795E"/>
    <w:rsid w:val="00F97A78"/>
    <w:rsid w:val="00FA0981"/>
    <w:rsid w:val="00FA0B20"/>
    <w:rsid w:val="00FA0C2D"/>
    <w:rsid w:val="00FA1218"/>
    <w:rsid w:val="00FA1558"/>
    <w:rsid w:val="00FA1FB9"/>
    <w:rsid w:val="00FA2207"/>
    <w:rsid w:val="00FA24E7"/>
    <w:rsid w:val="00FA38FA"/>
    <w:rsid w:val="00FA399F"/>
    <w:rsid w:val="00FA3E0B"/>
    <w:rsid w:val="00FA4EF3"/>
    <w:rsid w:val="00FA5214"/>
    <w:rsid w:val="00FA5A4B"/>
    <w:rsid w:val="00FA777A"/>
    <w:rsid w:val="00FB0755"/>
    <w:rsid w:val="00FB07CF"/>
    <w:rsid w:val="00FB1337"/>
    <w:rsid w:val="00FB24DE"/>
    <w:rsid w:val="00FB2FCB"/>
    <w:rsid w:val="00FB39FB"/>
    <w:rsid w:val="00FB3A15"/>
    <w:rsid w:val="00FB3C24"/>
    <w:rsid w:val="00FB4A3F"/>
    <w:rsid w:val="00FB5782"/>
    <w:rsid w:val="00FB5EDF"/>
    <w:rsid w:val="00FB67F7"/>
    <w:rsid w:val="00FB69A4"/>
    <w:rsid w:val="00FB7E2B"/>
    <w:rsid w:val="00FC018A"/>
    <w:rsid w:val="00FC0C81"/>
    <w:rsid w:val="00FC1074"/>
    <w:rsid w:val="00FC119B"/>
    <w:rsid w:val="00FC1884"/>
    <w:rsid w:val="00FC19E3"/>
    <w:rsid w:val="00FC2474"/>
    <w:rsid w:val="00FC26A4"/>
    <w:rsid w:val="00FC371D"/>
    <w:rsid w:val="00FC5F0B"/>
    <w:rsid w:val="00FC6380"/>
    <w:rsid w:val="00FC7055"/>
    <w:rsid w:val="00FC70C0"/>
    <w:rsid w:val="00FD0308"/>
    <w:rsid w:val="00FD0ACA"/>
    <w:rsid w:val="00FD0CE2"/>
    <w:rsid w:val="00FD10CE"/>
    <w:rsid w:val="00FD2043"/>
    <w:rsid w:val="00FD2100"/>
    <w:rsid w:val="00FD2F02"/>
    <w:rsid w:val="00FD436C"/>
    <w:rsid w:val="00FD446D"/>
    <w:rsid w:val="00FD525E"/>
    <w:rsid w:val="00FD5500"/>
    <w:rsid w:val="00FD6394"/>
    <w:rsid w:val="00FD63FC"/>
    <w:rsid w:val="00FD6823"/>
    <w:rsid w:val="00FD77FF"/>
    <w:rsid w:val="00FD7E50"/>
    <w:rsid w:val="00FE0E6C"/>
    <w:rsid w:val="00FE107B"/>
    <w:rsid w:val="00FE54F0"/>
    <w:rsid w:val="00FE6ABD"/>
    <w:rsid w:val="00FE70C3"/>
    <w:rsid w:val="00FE75C0"/>
    <w:rsid w:val="00FF0755"/>
    <w:rsid w:val="00FF2259"/>
    <w:rsid w:val="00FF22AD"/>
    <w:rsid w:val="00FF2451"/>
    <w:rsid w:val="00FF2F22"/>
    <w:rsid w:val="00FF369A"/>
    <w:rsid w:val="00FF3DCF"/>
    <w:rsid w:val="00FF48E7"/>
    <w:rsid w:val="00FF492C"/>
    <w:rsid w:val="00FF4A21"/>
    <w:rsid w:val="00FF5323"/>
    <w:rsid w:val="00FF5AA3"/>
    <w:rsid w:val="00FF5AD8"/>
    <w:rsid w:val="00FF680A"/>
    <w:rsid w:val="00FF70FF"/>
    <w:rsid w:val="00FF75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FF1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D407A1"/>
    <w:pPr>
      <w:jc w:val="left"/>
    </w:pPr>
  </w:style>
  <w:style w:type="character" w:customStyle="1" w:styleId="BodyTextChar">
    <w:name w:val="Body Text Char"/>
    <w:basedOn w:val="DefaultParagraphFont"/>
    <w:link w:val="BodyText"/>
    <w:rsid w:val="00D407A1"/>
    <w:rPr>
      <w:rFonts w:ascii="Calibri" w:hAnsi="Calibri" w:cs="Arial"/>
      <w:snapToGrid w:val="0"/>
      <w:sz w:val="24"/>
      <w:szCs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szCs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1F047D"/>
    <w:pPr>
      <w:widowControl/>
      <w:jc w:val="left"/>
    </w:pPr>
    <w:rPr>
      <w:rFonts w:ascii="Arial Narrow" w:hAnsi="Arial Narrow" w:cs="Times New Roman"/>
      <w:snapToGrid/>
      <w:sz w:val="18"/>
    </w:rPr>
  </w:style>
  <w:style w:type="character" w:customStyle="1" w:styleId="TabletextChar">
    <w:name w:val="Table text Char"/>
    <w:link w:val="Tabletext"/>
    <w:uiPriority w:val="2"/>
    <w:rsid w:val="001F047D"/>
    <w:rPr>
      <w:rFonts w:ascii="Arial Narrow" w:hAnsi="Arial Narrow"/>
      <w:sz w:val="18"/>
      <w:szCs w:val="22"/>
      <w:lang w:eastAsia="en-US"/>
    </w:rPr>
  </w:style>
  <w:style w:type="paragraph" w:customStyle="1" w:styleId="TableHeading">
    <w:name w:val="TableHeading"/>
    <w:basedOn w:val="Normal"/>
    <w:uiPriority w:val="99"/>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23CA0"/>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uiPriority w:val="99"/>
    <w:qFormat/>
    <w:rsid w:val="00EC436A"/>
    <w:pPr>
      <w:widowControl/>
      <w:spacing w:before="60" w:after="60"/>
      <w:jc w:val="left"/>
    </w:pPr>
    <w:rPr>
      <w:rFonts w:ascii="Arial" w:eastAsia="Arial" w:hAnsi="Arial"/>
      <w:snapToGrid/>
      <w:sz w:val="18"/>
    </w:rPr>
  </w:style>
  <w:style w:type="paragraph" w:customStyle="1" w:styleId="TableTextHeading">
    <w:name w:val="Table Text Heading"/>
    <w:basedOn w:val="Normal"/>
    <w:uiPriority w:val="99"/>
    <w:rsid w:val="008A5D00"/>
    <w:pPr>
      <w:widowControl/>
      <w:spacing w:before="60" w:after="60"/>
      <w:jc w:val="center"/>
    </w:pPr>
    <w:rPr>
      <w:rFonts w:ascii="Arial Bold" w:eastAsia="Times New Roman" w:hAnsi="Arial Bold" w:cs="Times New Roman"/>
      <w:b/>
      <w:snapToGrid/>
      <w:sz w:val="18"/>
      <w:szCs w:val="20"/>
      <w:lang w:eastAsia="en-AU"/>
    </w:rPr>
  </w:style>
  <w:style w:type="paragraph" w:customStyle="1" w:styleId="TableText1">
    <w:name w:val="TableText"/>
    <w:basedOn w:val="Normal"/>
    <w:uiPriority w:val="99"/>
    <w:qFormat/>
    <w:rsid w:val="008A5D00"/>
    <w:pPr>
      <w:widowControl/>
      <w:spacing w:before="60" w:after="60"/>
      <w:jc w:val="left"/>
    </w:pPr>
    <w:rPr>
      <w:rFonts w:ascii="Arial" w:eastAsia="Times New Roman" w:hAnsi="Arial" w:cs="Times New Roman"/>
      <w:snapToGrid/>
      <w:sz w:val="18"/>
      <w:lang w:eastAsia="en-AU"/>
    </w:rPr>
  </w:style>
  <w:style w:type="paragraph" w:customStyle="1" w:styleId="LOFHeading">
    <w:name w:val="L.O.F Heading"/>
    <w:basedOn w:val="Normal"/>
    <w:next w:val="Normal"/>
    <w:uiPriority w:val="99"/>
    <w:rsid w:val="007B509D"/>
    <w:pPr>
      <w:keepNext/>
      <w:widowControl/>
      <w:spacing w:before="240" w:after="360" w:line="276" w:lineRule="auto"/>
      <w:jc w:val="left"/>
    </w:pPr>
    <w:rPr>
      <w:rFonts w:ascii="Arial" w:eastAsia="Times New Roman" w:hAnsi="Arial" w:cs="Times New Roman"/>
      <w:b/>
      <w:caps/>
      <w:snapToGrid/>
      <w:sz w:val="28"/>
      <w:szCs w:val="28"/>
      <w:lang w:eastAsia="en-AU"/>
    </w:rPr>
  </w:style>
  <w:style w:type="paragraph" w:customStyle="1" w:styleId="Default">
    <w:name w:val="Default"/>
    <w:link w:val="DefaultChar"/>
    <w:rsid w:val="00324F99"/>
    <w:pPr>
      <w:autoSpaceDE w:val="0"/>
      <w:autoSpaceDN w:val="0"/>
      <w:adjustRightInd w:val="0"/>
    </w:pPr>
    <w:rPr>
      <w:rFonts w:ascii="Arial" w:eastAsia="Times New Roman" w:hAnsi="Arial" w:cs="Arial"/>
      <w:color w:val="000000"/>
      <w:sz w:val="24"/>
      <w:szCs w:val="24"/>
      <w:lang w:val="en-US"/>
    </w:rPr>
  </w:style>
  <w:style w:type="character" w:customStyle="1" w:styleId="DefaultChar">
    <w:name w:val="Default Char"/>
    <w:basedOn w:val="DefaultParagraphFont"/>
    <w:link w:val="Default"/>
    <w:locked/>
    <w:rsid w:val="00324F99"/>
    <w:rPr>
      <w:rFonts w:ascii="Arial" w:eastAsia="Times New Roman" w:hAnsi="Arial" w:cs="Arial"/>
      <w:color w:val="000000"/>
      <w:sz w:val="24"/>
      <w:szCs w:val="24"/>
      <w:lang w:val="en-US"/>
    </w:rPr>
  </w:style>
  <w:style w:type="paragraph" w:styleId="DocumentMap">
    <w:name w:val="Document Map"/>
    <w:basedOn w:val="Normal"/>
    <w:link w:val="DocumentMapChar"/>
    <w:semiHidden/>
    <w:unhideWhenUsed/>
    <w:rsid w:val="00CA080D"/>
    <w:rPr>
      <w:rFonts w:ascii="Lucida Grande" w:hAnsi="Lucida Grande" w:cs="Lucida Grande"/>
      <w:szCs w:val="24"/>
    </w:rPr>
  </w:style>
  <w:style w:type="character" w:customStyle="1" w:styleId="DocumentMapChar">
    <w:name w:val="Document Map Char"/>
    <w:basedOn w:val="DefaultParagraphFont"/>
    <w:link w:val="DocumentMap"/>
    <w:semiHidden/>
    <w:rsid w:val="00CA080D"/>
    <w:rPr>
      <w:rFonts w:ascii="Lucida Grande" w:hAnsi="Lucida Grande" w:cs="Lucida Grande"/>
      <w:snapToGrid w:val="0"/>
      <w:sz w:val="24"/>
      <w:szCs w:val="24"/>
      <w:lang w:eastAsia="en-US"/>
    </w:rPr>
  </w:style>
  <w:style w:type="paragraph" w:customStyle="1" w:styleId="MainBodyText">
    <w:name w:val="Main Body Text"/>
    <w:basedOn w:val="Normal"/>
    <w:link w:val="MainBodyTextChar"/>
    <w:uiPriority w:val="99"/>
    <w:rsid w:val="00225F41"/>
    <w:pPr>
      <w:widowControl/>
      <w:spacing w:after="240" w:line="276" w:lineRule="auto"/>
    </w:pPr>
    <w:rPr>
      <w:rFonts w:ascii="Arial" w:eastAsia="Times New Roman" w:hAnsi="Arial" w:cs="Times New Roman"/>
      <w:snapToGrid/>
      <w:sz w:val="22"/>
      <w:lang w:eastAsia="en-AU"/>
    </w:rPr>
  </w:style>
  <w:style w:type="character" w:customStyle="1" w:styleId="MainBodyTextChar">
    <w:name w:val="Main Body Text Char"/>
    <w:link w:val="MainBodyText"/>
    <w:uiPriority w:val="99"/>
    <w:rsid w:val="00225F41"/>
    <w:rPr>
      <w:rFonts w:ascii="Arial" w:eastAsia="Times New Roman" w:hAnsi="Arial"/>
      <w:sz w:val="22"/>
      <w:szCs w:val="22"/>
    </w:rPr>
  </w:style>
  <w:style w:type="paragraph" w:customStyle="1" w:styleId="V50Instructions">
    <w:name w:val="V5.0 Instructions"/>
    <w:basedOn w:val="Normal"/>
    <w:link w:val="V50InstructionsChar"/>
    <w:qFormat/>
    <w:rsid w:val="00217CDA"/>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217CDA"/>
    <w:rPr>
      <w:rFonts w:asciiTheme="minorHAnsi" w:eastAsiaTheme="minorHAnsi" w:hAnsiTheme="minorHAnsi" w:cstheme="minorBidi"/>
      <w:color w:val="4BACC6" w:themeColor="accent5"/>
      <w:sz w:val="24"/>
      <w:szCs w:val="22"/>
      <w:lang w:eastAsia="en-US"/>
    </w:rPr>
  </w:style>
  <w:style w:type="paragraph" w:styleId="EndnoteText">
    <w:name w:val="endnote text"/>
    <w:basedOn w:val="Normal"/>
    <w:link w:val="EndnoteTextChar"/>
    <w:semiHidden/>
    <w:unhideWhenUsed/>
    <w:rsid w:val="00F43C2B"/>
    <w:rPr>
      <w:sz w:val="20"/>
      <w:szCs w:val="20"/>
    </w:rPr>
  </w:style>
  <w:style w:type="character" w:customStyle="1" w:styleId="EndnoteTextChar">
    <w:name w:val="Endnote Text Char"/>
    <w:basedOn w:val="DefaultParagraphFont"/>
    <w:link w:val="EndnoteText"/>
    <w:semiHidden/>
    <w:rsid w:val="00F43C2B"/>
    <w:rPr>
      <w:rFonts w:ascii="Calibri" w:hAnsi="Calibri" w:cs="Arial"/>
      <w:snapToGrid w:val="0"/>
      <w:lang w:eastAsia="en-US"/>
    </w:rPr>
  </w:style>
  <w:style w:type="character" w:styleId="EndnoteReference">
    <w:name w:val="endnote reference"/>
    <w:basedOn w:val="DefaultParagraphFont"/>
    <w:semiHidden/>
    <w:unhideWhenUsed/>
    <w:rsid w:val="00F43C2B"/>
    <w:rPr>
      <w:vertAlign w:val="superscript"/>
    </w:rPr>
  </w:style>
  <w:style w:type="paragraph" w:styleId="FootnoteText">
    <w:name w:val="footnote text"/>
    <w:basedOn w:val="Normal"/>
    <w:link w:val="FootnoteTextChar"/>
    <w:unhideWhenUsed/>
    <w:rsid w:val="00F43C2B"/>
    <w:rPr>
      <w:sz w:val="20"/>
      <w:szCs w:val="20"/>
    </w:rPr>
  </w:style>
  <w:style w:type="character" w:customStyle="1" w:styleId="FootnoteTextChar">
    <w:name w:val="Footnote Text Char"/>
    <w:basedOn w:val="DefaultParagraphFont"/>
    <w:link w:val="FootnoteText"/>
    <w:rsid w:val="00F43C2B"/>
    <w:rPr>
      <w:rFonts w:ascii="Calibri" w:hAnsi="Calibri" w:cs="Arial"/>
      <w:snapToGrid w:val="0"/>
      <w:lang w:eastAsia="en-US"/>
    </w:rPr>
  </w:style>
  <w:style w:type="character" w:styleId="FootnoteReference">
    <w:name w:val="footnote reference"/>
    <w:basedOn w:val="DefaultParagraphFont"/>
    <w:unhideWhenUsed/>
    <w:rsid w:val="00F43C2B"/>
    <w:rPr>
      <w:vertAlign w:val="superscript"/>
    </w:rPr>
  </w:style>
  <w:style w:type="paragraph" w:customStyle="1" w:styleId="TableHeading0">
    <w:name w:val="Table Heading"/>
    <w:basedOn w:val="Normal"/>
    <w:qFormat/>
    <w:rsid w:val="008F7E18"/>
    <w:pPr>
      <w:keepNext/>
      <w:widowControl/>
      <w:spacing w:after="60"/>
      <w:jc w:val="left"/>
    </w:pPr>
    <w:rPr>
      <w:rFonts w:ascii="Arial Narrow" w:eastAsiaTheme="minorHAnsi" w:hAnsi="Arial Narrow" w:cstheme="minorBidi"/>
      <w:b/>
      <w:snapToGrid/>
      <w:sz w:val="20"/>
    </w:rPr>
  </w:style>
  <w:style w:type="paragraph" w:customStyle="1" w:styleId="TableParagraph">
    <w:name w:val="Table Paragraph"/>
    <w:basedOn w:val="Normal"/>
    <w:uiPriority w:val="1"/>
    <w:qFormat/>
    <w:rsid w:val="00D7440B"/>
    <w:pPr>
      <w:jc w:val="left"/>
    </w:pPr>
    <w:rPr>
      <w:rFonts w:asciiTheme="minorHAnsi" w:eastAsiaTheme="minorHAnsi" w:hAnsiTheme="minorHAnsi" w:cstheme="minorBidi"/>
      <w:snapToGrid/>
      <w:sz w:val="22"/>
      <w:lang w:val="en-US"/>
    </w:rPr>
  </w:style>
  <w:style w:type="character" w:customStyle="1" w:styleId="Heading3Char">
    <w:name w:val="Heading 3 Char"/>
    <w:basedOn w:val="DefaultParagraphFont"/>
    <w:link w:val="Heading3"/>
    <w:rsid w:val="00903EB8"/>
    <w:rPr>
      <w:rFonts w:ascii="Calibri" w:hAnsi="Calibri" w:cs="Arial"/>
      <w:snapToGrid w:val="0"/>
      <w:sz w:val="24"/>
      <w:szCs w:val="22"/>
      <w:u w:val="single"/>
      <w:lang w:eastAsia="en-US"/>
    </w:rPr>
  </w:style>
  <w:style w:type="table" w:customStyle="1" w:styleId="TableGridLight1">
    <w:name w:val="Table Grid Light1"/>
    <w:basedOn w:val="TableNormal"/>
    <w:uiPriority w:val="40"/>
    <w:rsid w:val="009A16D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MATableTemplate1">
    <w:name w:val="CMA Table Template1"/>
    <w:basedOn w:val="TableNormal"/>
    <w:next w:val="TableGrid"/>
    <w:uiPriority w:val="39"/>
    <w:rsid w:val="00400D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Tablename">
    <w:name w:val="V5.0 Table name"/>
    <w:basedOn w:val="Normal"/>
    <w:link w:val="V50TablenameChar"/>
    <w:qFormat/>
    <w:rsid w:val="003759F9"/>
    <w:pPr>
      <w:keepNext/>
      <w:widowControl/>
      <w:jc w:val="left"/>
    </w:pPr>
    <w:rPr>
      <w:rFonts w:asciiTheme="minorHAnsi" w:eastAsiaTheme="minorHAnsi" w:hAnsiTheme="minorHAnsi" w:cstheme="minorBidi"/>
      <w:b/>
      <w:snapToGrid/>
      <w:sz w:val="20"/>
      <w:szCs w:val="24"/>
      <w:lang w:val="en-US"/>
    </w:rPr>
  </w:style>
  <w:style w:type="character" w:customStyle="1" w:styleId="V50TablenameChar">
    <w:name w:val="V5.0 Table name Char"/>
    <w:basedOn w:val="DefaultParagraphFont"/>
    <w:link w:val="V50Tablename"/>
    <w:rsid w:val="003759F9"/>
    <w:rPr>
      <w:rFonts w:asciiTheme="minorHAnsi" w:eastAsiaTheme="minorHAnsi" w:hAnsiTheme="minorHAnsi" w:cstheme="minorBidi"/>
      <w:b/>
      <w:szCs w:val="24"/>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04CC5"/>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21">
      <w:bodyDiv w:val="1"/>
      <w:marLeft w:val="0"/>
      <w:marRight w:val="0"/>
      <w:marTop w:val="0"/>
      <w:marBottom w:val="0"/>
      <w:divBdr>
        <w:top w:val="none" w:sz="0" w:space="0" w:color="auto"/>
        <w:left w:val="none" w:sz="0" w:space="0" w:color="auto"/>
        <w:bottom w:val="none" w:sz="0" w:space="0" w:color="auto"/>
        <w:right w:val="none" w:sz="0" w:space="0" w:color="auto"/>
      </w:divBdr>
    </w:div>
    <w:div w:id="3022835">
      <w:bodyDiv w:val="1"/>
      <w:marLeft w:val="0"/>
      <w:marRight w:val="0"/>
      <w:marTop w:val="0"/>
      <w:marBottom w:val="0"/>
      <w:divBdr>
        <w:top w:val="none" w:sz="0" w:space="0" w:color="auto"/>
        <w:left w:val="none" w:sz="0" w:space="0" w:color="auto"/>
        <w:bottom w:val="none" w:sz="0" w:space="0" w:color="auto"/>
        <w:right w:val="none" w:sz="0" w:space="0" w:color="auto"/>
      </w:divBdr>
    </w:div>
    <w:div w:id="7953561">
      <w:bodyDiv w:val="1"/>
      <w:marLeft w:val="0"/>
      <w:marRight w:val="0"/>
      <w:marTop w:val="0"/>
      <w:marBottom w:val="0"/>
      <w:divBdr>
        <w:top w:val="none" w:sz="0" w:space="0" w:color="auto"/>
        <w:left w:val="none" w:sz="0" w:space="0" w:color="auto"/>
        <w:bottom w:val="none" w:sz="0" w:space="0" w:color="auto"/>
        <w:right w:val="none" w:sz="0" w:space="0" w:color="auto"/>
      </w:divBdr>
    </w:div>
    <w:div w:id="16275555">
      <w:bodyDiv w:val="1"/>
      <w:marLeft w:val="0"/>
      <w:marRight w:val="0"/>
      <w:marTop w:val="0"/>
      <w:marBottom w:val="0"/>
      <w:divBdr>
        <w:top w:val="none" w:sz="0" w:space="0" w:color="auto"/>
        <w:left w:val="none" w:sz="0" w:space="0" w:color="auto"/>
        <w:bottom w:val="none" w:sz="0" w:space="0" w:color="auto"/>
        <w:right w:val="none" w:sz="0" w:space="0" w:color="auto"/>
      </w:divBdr>
    </w:div>
    <w:div w:id="27224558">
      <w:bodyDiv w:val="1"/>
      <w:marLeft w:val="0"/>
      <w:marRight w:val="0"/>
      <w:marTop w:val="0"/>
      <w:marBottom w:val="0"/>
      <w:divBdr>
        <w:top w:val="none" w:sz="0" w:space="0" w:color="auto"/>
        <w:left w:val="none" w:sz="0" w:space="0" w:color="auto"/>
        <w:bottom w:val="none" w:sz="0" w:space="0" w:color="auto"/>
        <w:right w:val="none" w:sz="0" w:space="0" w:color="auto"/>
      </w:divBdr>
    </w:div>
    <w:div w:id="37053294">
      <w:bodyDiv w:val="1"/>
      <w:marLeft w:val="0"/>
      <w:marRight w:val="0"/>
      <w:marTop w:val="0"/>
      <w:marBottom w:val="0"/>
      <w:divBdr>
        <w:top w:val="none" w:sz="0" w:space="0" w:color="auto"/>
        <w:left w:val="none" w:sz="0" w:space="0" w:color="auto"/>
        <w:bottom w:val="none" w:sz="0" w:space="0" w:color="auto"/>
        <w:right w:val="none" w:sz="0" w:space="0" w:color="auto"/>
      </w:divBdr>
    </w:div>
    <w:div w:id="43065312">
      <w:bodyDiv w:val="1"/>
      <w:marLeft w:val="0"/>
      <w:marRight w:val="0"/>
      <w:marTop w:val="0"/>
      <w:marBottom w:val="0"/>
      <w:divBdr>
        <w:top w:val="none" w:sz="0" w:space="0" w:color="auto"/>
        <w:left w:val="none" w:sz="0" w:space="0" w:color="auto"/>
        <w:bottom w:val="none" w:sz="0" w:space="0" w:color="auto"/>
        <w:right w:val="none" w:sz="0" w:space="0" w:color="auto"/>
      </w:divBdr>
    </w:div>
    <w:div w:id="43650338">
      <w:bodyDiv w:val="1"/>
      <w:marLeft w:val="0"/>
      <w:marRight w:val="0"/>
      <w:marTop w:val="0"/>
      <w:marBottom w:val="0"/>
      <w:divBdr>
        <w:top w:val="none" w:sz="0" w:space="0" w:color="auto"/>
        <w:left w:val="none" w:sz="0" w:space="0" w:color="auto"/>
        <w:bottom w:val="none" w:sz="0" w:space="0" w:color="auto"/>
        <w:right w:val="none" w:sz="0" w:space="0" w:color="auto"/>
      </w:divBdr>
    </w:div>
    <w:div w:id="49038739">
      <w:bodyDiv w:val="1"/>
      <w:marLeft w:val="0"/>
      <w:marRight w:val="0"/>
      <w:marTop w:val="0"/>
      <w:marBottom w:val="0"/>
      <w:divBdr>
        <w:top w:val="none" w:sz="0" w:space="0" w:color="auto"/>
        <w:left w:val="none" w:sz="0" w:space="0" w:color="auto"/>
        <w:bottom w:val="none" w:sz="0" w:space="0" w:color="auto"/>
        <w:right w:val="none" w:sz="0" w:space="0" w:color="auto"/>
      </w:divBdr>
    </w:div>
    <w:div w:id="55127859">
      <w:bodyDiv w:val="1"/>
      <w:marLeft w:val="0"/>
      <w:marRight w:val="0"/>
      <w:marTop w:val="0"/>
      <w:marBottom w:val="0"/>
      <w:divBdr>
        <w:top w:val="none" w:sz="0" w:space="0" w:color="auto"/>
        <w:left w:val="none" w:sz="0" w:space="0" w:color="auto"/>
        <w:bottom w:val="none" w:sz="0" w:space="0" w:color="auto"/>
        <w:right w:val="none" w:sz="0" w:space="0" w:color="auto"/>
      </w:divBdr>
    </w:div>
    <w:div w:id="55206237">
      <w:bodyDiv w:val="1"/>
      <w:marLeft w:val="0"/>
      <w:marRight w:val="0"/>
      <w:marTop w:val="0"/>
      <w:marBottom w:val="0"/>
      <w:divBdr>
        <w:top w:val="none" w:sz="0" w:space="0" w:color="auto"/>
        <w:left w:val="none" w:sz="0" w:space="0" w:color="auto"/>
        <w:bottom w:val="none" w:sz="0" w:space="0" w:color="auto"/>
        <w:right w:val="none" w:sz="0" w:space="0" w:color="auto"/>
      </w:divBdr>
    </w:div>
    <w:div w:id="56518867">
      <w:bodyDiv w:val="1"/>
      <w:marLeft w:val="0"/>
      <w:marRight w:val="0"/>
      <w:marTop w:val="0"/>
      <w:marBottom w:val="0"/>
      <w:divBdr>
        <w:top w:val="none" w:sz="0" w:space="0" w:color="auto"/>
        <w:left w:val="none" w:sz="0" w:space="0" w:color="auto"/>
        <w:bottom w:val="none" w:sz="0" w:space="0" w:color="auto"/>
        <w:right w:val="none" w:sz="0" w:space="0" w:color="auto"/>
      </w:divBdr>
    </w:div>
    <w:div w:id="62991458">
      <w:bodyDiv w:val="1"/>
      <w:marLeft w:val="0"/>
      <w:marRight w:val="0"/>
      <w:marTop w:val="0"/>
      <w:marBottom w:val="0"/>
      <w:divBdr>
        <w:top w:val="none" w:sz="0" w:space="0" w:color="auto"/>
        <w:left w:val="none" w:sz="0" w:space="0" w:color="auto"/>
        <w:bottom w:val="none" w:sz="0" w:space="0" w:color="auto"/>
        <w:right w:val="none" w:sz="0" w:space="0" w:color="auto"/>
      </w:divBdr>
    </w:div>
    <w:div w:id="74325285">
      <w:bodyDiv w:val="1"/>
      <w:marLeft w:val="0"/>
      <w:marRight w:val="0"/>
      <w:marTop w:val="0"/>
      <w:marBottom w:val="0"/>
      <w:divBdr>
        <w:top w:val="none" w:sz="0" w:space="0" w:color="auto"/>
        <w:left w:val="none" w:sz="0" w:space="0" w:color="auto"/>
        <w:bottom w:val="none" w:sz="0" w:space="0" w:color="auto"/>
        <w:right w:val="none" w:sz="0" w:space="0" w:color="auto"/>
      </w:divBdr>
    </w:div>
    <w:div w:id="79299291">
      <w:bodyDiv w:val="1"/>
      <w:marLeft w:val="0"/>
      <w:marRight w:val="0"/>
      <w:marTop w:val="0"/>
      <w:marBottom w:val="0"/>
      <w:divBdr>
        <w:top w:val="none" w:sz="0" w:space="0" w:color="auto"/>
        <w:left w:val="none" w:sz="0" w:space="0" w:color="auto"/>
        <w:bottom w:val="none" w:sz="0" w:space="0" w:color="auto"/>
        <w:right w:val="none" w:sz="0" w:space="0" w:color="auto"/>
      </w:divBdr>
    </w:div>
    <w:div w:id="81610295">
      <w:bodyDiv w:val="1"/>
      <w:marLeft w:val="0"/>
      <w:marRight w:val="0"/>
      <w:marTop w:val="0"/>
      <w:marBottom w:val="0"/>
      <w:divBdr>
        <w:top w:val="none" w:sz="0" w:space="0" w:color="auto"/>
        <w:left w:val="none" w:sz="0" w:space="0" w:color="auto"/>
        <w:bottom w:val="none" w:sz="0" w:space="0" w:color="auto"/>
        <w:right w:val="none" w:sz="0" w:space="0" w:color="auto"/>
      </w:divBdr>
    </w:div>
    <w:div w:id="88963208">
      <w:bodyDiv w:val="1"/>
      <w:marLeft w:val="0"/>
      <w:marRight w:val="0"/>
      <w:marTop w:val="0"/>
      <w:marBottom w:val="0"/>
      <w:divBdr>
        <w:top w:val="none" w:sz="0" w:space="0" w:color="auto"/>
        <w:left w:val="none" w:sz="0" w:space="0" w:color="auto"/>
        <w:bottom w:val="none" w:sz="0" w:space="0" w:color="auto"/>
        <w:right w:val="none" w:sz="0" w:space="0" w:color="auto"/>
      </w:divBdr>
    </w:div>
    <w:div w:id="123425320">
      <w:bodyDiv w:val="1"/>
      <w:marLeft w:val="0"/>
      <w:marRight w:val="0"/>
      <w:marTop w:val="0"/>
      <w:marBottom w:val="0"/>
      <w:divBdr>
        <w:top w:val="none" w:sz="0" w:space="0" w:color="auto"/>
        <w:left w:val="none" w:sz="0" w:space="0" w:color="auto"/>
        <w:bottom w:val="none" w:sz="0" w:space="0" w:color="auto"/>
        <w:right w:val="none" w:sz="0" w:space="0" w:color="auto"/>
      </w:divBdr>
    </w:div>
    <w:div w:id="126894576">
      <w:bodyDiv w:val="1"/>
      <w:marLeft w:val="0"/>
      <w:marRight w:val="0"/>
      <w:marTop w:val="0"/>
      <w:marBottom w:val="0"/>
      <w:divBdr>
        <w:top w:val="none" w:sz="0" w:space="0" w:color="auto"/>
        <w:left w:val="none" w:sz="0" w:space="0" w:color="auto"/>
        <w:bottom w:val="none" w:sz="0" w:space="0" w:color="auto"/>
        <w:right w:val="none" w:sz="0" w:space="0" w:color="auto"/>
      </w:divBdr>
    </w:div>
    <w:div w:id="132677111">
      <w:bodyDiv w:val="1"/>
      <w:marLeft w:val="0"/>
      <w:marRight w:val="0"/>
      <w:marTop w:val="0"/>
      <w:marBottom w:val="0"/>
      <w:divBdr>
        <w:top w:val="none" w:sz="0" w:space="0" w:color="auto"/>
        <w:left w:val="none" w:sz="0" w:space="0" w:color="auto"/>
        <w:bottom w:val="none" w:sz="0" w:space="0" w:color="auto"/>
        <w:right w:val="none" w:sz="0" w:space="0" w:color="auto"/>
      </w:divBdr>
    </w:div>
    <w:div w:id="134110138">
      <w:bodyDiv w:val="1"/>
      <w:marLeft w:val="0"/>
      <w:marRight w:val="0"/>
      <w:marTop w:val="0"/>
      <w:marBottom w:val="0"/>
      <w:divBdr>
        <w:top w:val="none" w:sz="0" w:space="0" w:color="auto"/>
        <w:left w:val="none" w:sz="0" w:space="0" w:color="auto"/>
        <w:bottom w:val="none" w:sz="0" w:space="0" w:color="auto"/>
        <w:right w:val="none" w:sz="0" w:space="0" w:color="auto"/>
      </w:divBdr>
    </w:div>
    <w:div w:id="161161855">
      <w:bodyDiv w:val="1"/>
      <w:marLeft w:val="0"/>
      <w:marRight w:val="0"/>
      <w:marTop w:val="0"/>
      <w:marBottom w:val="0"/>
      <w:divBdr>
        <w:top w:val="none" w:sz="0" w:space="0" w:color="auto"/>
        <w:left w:val="none" w:sz="0" w:space="0" w:color="auto"/>
        <w:bottom w:val="none" w:sz="0" w:space="0" w:color="auto"/>
        <w:right w:val="none" w:sz="0" w:space="0" w:color="auto"/>
      </w:divBdr>
    </w:div>
    <w:div w:id="171529612">
      <w:bodyDiv w:val="1"/>
      <w:marLeft w:val="0"/>
      <w:marRight w:val="0"/>
      <w:marTop w:val="0"/>
      <w:marBottom w:val="0"/>
      <w:divBdr>
        <w:top w:val="none" w:sz="0" w:space="0" w:color="auto"/>
        <w:left w:val="none" w:sz="0" w:space="0" w:color="auto"/>
        <w:bottom w:val="none" w:sz="0" w:space="0" w:color="auto"/>
        <w:right w:val="none" w:sz="0" w:space="0" w:color="auto"/>
      </w:divBdr>
    </w:div>
    <w:div w:id="176576059">
      <w:bodyDiv w:val="1"/>
      <w:marLeft w:val="0"/>
      <w:marRight w:val="0"/>
      <w:marTop w:val="0"/>
      <w:marBottom w:val="0"/>
      <w:divBdr>
        <w:top w:val="none" w:sz="0" w:space="0" w:color="auto"/>
        <w:left w:val="none" w:sz="0" w:space="0" w:color="auto"/>
        <w:bottom w:val="none" w:sz="0" w:space="0" w:color="auto"/>
        <w:right w:val="none" w:sz="0" w:space="0" w:color="auto"/>
      </w:divBdr>
    </w:div>
    <w:div w:id="176771712">
      <w:bodyDiv w:val="1"/>
      <w:marLeft w:val="0"/>
      <w:marRight w:val="0"/>
      <w:marTop w:val="0"/>
      <w:marBottom w:val="0"/>
      <w:divBdr>
        <w:top w:val="none" w:sz="0" w:space="0" w:color="auto"/>
        <w:left w:val="none" w:sz="0" w:space="0" w:color="auto"/>
        <w:bottom w:val="none" w:sz="0" w:space="0" w:color="auto"/>
        <w:right w:val="none" w:sz="0" w:space="0" w:color="auto"/>
      </w:divBdr>
    </w:div>
    <w:div w:id="180709749">
      <w:bodyDiv w:val="1"/>
      <w:marLeft w:val="0"/>
      <w:marRight w:val="0"/>
      <w:marTop w:val="0"/>
      <w:marBottom w:val="0"/>
      <w:divBdr>
        <w:top w:val="none" w:sz="0" w:space="0" w:color="auto"/>
        <w:left w:val="none" w:sz="0" w:space="0" w:color="auto"/>
        <w:bottom w:val="none" w:sz="0" w:space="0" w:color="auto"/>
        <w:right w:val="none" w:sz="0" w:space="0" w:color="auto"/>
      </w:divBdr>
    </w:div>
    <w:div w:id="195587821">
      <w:bodyDiv w:val="1"/>
      <w:marLeft w:val="0"/>
      <w:marRight w:val="0"/>
      <w:marTop w:val="0"/>
      <w:marBottom w:val="0"/>
      <w:divBdr>
        <w:top w:val="none" w:sz="0" w:space="0" w:color="auto"/>
        <w:left w:val="none" w:sz="0" w:space="0" w:color="auto"/>
        <w:bottom w:val="none" w:sz="0" w:space="0" w:color="auto"/>
        <w:right w:val="none" w:sz="0" w:space="0" w:color="auto"/>
      </w:divBdr>
    </w:div>
    <w:div w:id="198669276">
      <w:bodyDiv w:val="1"/>
      <w:marLeft w:val="0"/>
      <w:marRight w:val="0"/>
      <w:marTop w:val="0"/>
      <w:marBottom w:val="0"/>
      <w:divBdr>
        <w:top w:val="none" w:sz="0" w:space="0" w:color="auto"/>
        <w:left w:val="none" w:sz="0" w:space="0" w:color="auto"/>
        <w:bottom w:val="none" w:sz="0" w:space="0" w:color="auto"/>
        <w:right w:val="none" w:sz="0" w:space="0" w:color="auto"/>
      </w:divBdr>
    </w:div>
    <w:div w:id="217279284">
      <w:bodyDiv w:val="1"/>
      <w:marLeft w:val="0"/>
      <w:marRight w:val="0"/>
      <w:marTop w:val="0"/>
      <w:marBottom w:val="0"/>
      <w:divBdr>
        <w:top w:val="none" w:sz="0" w:space="0" w:color="auto"/>
        <w:left w:val="none" w:sz="0" w:space="0" w:color="auto"/>
        <w:bottom w:val="none" w:sz="0" w:space="0" w:color="auto"/>
        <w:right w:val="none" w:sz="0" w:space="0" w:color="auto"/>
      </w:divBdr>
    </w:div>
    <w:div w:id="218590373">
      <w:bodyDiv w:val="1"/>
      <w:marLeft w:val="0"/>
      <w:marRight w:val="0"/>
      <w:marTop w:val="0"/>
      <w:marBottom w:val="0"/>
      <w:divBdr>
        <w:top w:val="none" w:sz="0" w:space="0" w:color="auto"/>
        <w:left w:val="none" w:sz="0" w:space="0" w:color="auto"/>
        <w:bottom w:val="none" w:sz="0" w:space="0" w:color="auto"/>
        <w:right w:val="none" w:sz="0" w:space="0" w:color="auto"/>
      </w:divBdr>
    </w:div>
    <w:div w:id="226065687">
      <w:bodyDiv w:val="1"/>
      <w:marLeft w:val="0"/>
      <w:marRight w:val="0"/>
      <w:marTop w:val="0"/>
      <w:marBottom w:val="0"/>
      <w:divBdr>
        <w:top w:val="none" w:sz="0" w:space="0" w:color="auto"/>
        <w:left w:val="none" w:sz="0" w:space="0" w:color="auto"/>
        <w:bottom w:val="none" w:sz="0" w:space="0" w:color="auto"/>
        <w:right w:val="none" w:sz="0" w:space="0" w:color="auto"/>
      </w:divBdr>
    </w:div>
    <w:div w:id="232202672">
      <w:bodyDiv w:val="1"/>
      <w:marLeft w:val="0"/>
      <w:marRight w:val="0"/>
      <w:marTop w:val="0"/>
      <w:marBottom w:val="0"/>
      <w:divBdr>
        <w:top w:val="none" w:sz="0" w:space="0" w:color="auto"/>
        <w:left w:val="none" w:sz="0" w:space="0" w:color="auto"/>
        <w:bottom w:val="none" w:sz="0" w:space="0" w:color="auto"/>
        <w:right w:val="none" w:sz="0" w:space="0" w:color="auto"/>
      </w:divBdr>
    </w:div>
    <w:div w:id="233272981">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
    <w:div w:id="270431792">
      <w:bodyDiv w:val="1"/>
      <w:marLeft w:val="0"/>
      <w:marRight w:val="0"/>
      <w:marTop w:val="0"/>
      <w:marBottom w:val="0"/>
      <w:divBdr>
        <w:top w:val="none" w:sz="0" w:space="0" w:color="auto"/>
        <w:left w:val="none" w:sz="0" w:space="0" w:color="auto"/>
        <w:bottom w:val="none" w:sz="0" w:space="0" w:color="auto"/>
        <w:right w:val="none" w:sz="0" w:space="0" w:color="auto"/>
      </w:divBdr>
    </w:div>
    <w:div w:id="276260064">
      <w:bodyDiv w:val="1"/>
      <w:marLeft w:val="0"/>
      <w:marRight w:val="0"/>
      <w:marTop w:val="0"/>
      <w:marBottom w:val="0"/>
      <w:divBdr>
        <w:top w:val="none" w:sz="0" w:space="0" w:color="auto"/>
        <w:left w:val="none" w:sz="0" w:space="0" w:color="auto"/>
        <w:bottom w:val="none" w:sz="0" w:space="0" w:color="auto"/>
        <w:right w:val="none" w:sz="0" w:space="0" w:color="auto"/>
      </w:divBdr>
    </w:div>
    <w:div w:id="280572221">
      <w:bodyDiv w:val="1"/>
      <w:marLeft w:val="0"/>
      <w:marRight w:val="0"/>
      <w:marTop w:val="0"/>
      <w:marBottom w:val="0"/>
      <w:divBdr>
        <w:top w:val="none" w:sz="0" w:space="0" w:color="auto"/>
        <w:left w:val="none" w:sz="0" w:space="0" w:color="auto"/>
        <w:bottom w:val="none" w:sz="0" w:space="0" w:color="auto"/>
        <w:right w:val="none" w:sz="0" w:space="0" w:color="auto"/>
      </w:divBdr>
    </w:div>
    <w:div w:id="281234192">
      <w:bodyDiv w:val="1"/>
      <w:marLeft w:val="0"/>
      <w:marRight w:val="0"/>
      <w:marTop w:val="0"/>
      <w:marBottom w:val="0"/>
      <w:divBdr>
        <w:top w:val="none" w:sz="0" w:space="0" w:color="auto"/>
        <w:left w:val="none" w:sz="0" w:space="0" w:color="auto"/>
        <w:bottom w:val="none" w:sz="0" w:space="0" w:color="auto"/>
        <w:right w:val="none" w:sz="0" w:space="0" w:color="auto"/>
      </w:divBdr>
      <w:divsChild>
        <w:div w:id="284391026">
          <w:marLeft w:val="0"/>
          <w:marRight w:val="0"/>
          <w:marTop w:val="0"/>
          <w:marBottom w:val="0"/>
          <w:divBdr>
            <w:top w:val="none" w:sz="0" w:space="0" w:color="auto"/>
            <w:left w:val="none" w:sz="0" w:space="0" w:color="auto"/>
            <w:bottom w:val="none" w:sz="0" w:space="0" w:color="auto"/>
            <w:right w:val="none" w:sz="0" w:space="0" w:color="auto"/>
          </w:divBdr>
          <w:divsChild>
            <w:div w:id="967931122">
              <w:marLeft w:val="0"/>
              <w:marRight w:val="0"/>
              <w:marTop w:val="0"/>
              <w:marBottom w:val="0"/>
              <w:divBdr>
                <w:top w:val="none" w:sz="0" w:space="0" w:color="auto"/>
                <w:left w:val="none" w:sz="0" w:space="0" w:color="auto"/>
                <w:bottom w:val="none" w:sz="0" w:space="0" w:color="auto"/>
                <w:right w:val="none" w:sz="0" w:space="0" w:color="auto"/>
              </w:divBdr>
              <w:divsChild>
                <w:div w:id="12803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07317">
      <w:bodyDiv w:val="1"/>
      <w:marLeft w:val="0"/>
      <w:marRight w:val="0"/>
      <w:marTop w:val="0"/>
      <w:marBottom w:val="0"/>
      <w:divBdr>
        <w:top w:val="none" w:sz="0" w:space="0" w:color="auto"/>
        <w:left w:val="none" w:sz="0" w:space="0" w:color="auto"/>
        <w:bottom w:val="none" w:sz="0" w:space="0" w:color="auto"/>
        <w:right w:val="none" w:sz="0" w:space="0" w:color="auto"/>
      </w:divBdr>
    </w:div>
    <w:div w:id="303971475">
      <w:bodyDiv w:val="1"/>
      <w:marLeft w:val="0"/>
      <w:marRight w:val="0"/>
      <w:marTop w:val="0"/>
      <w:marBottom w:val="0"/>
      <w:divBdr>
        <w:top w:val="none" w:sz="0" w:space="0" w:color="auto"/>
        <w:left w:val="none" w:sz="0" w:space="0" w:color="auto"/>
        <w:bottom w:val="none" w:sz="0" w:space="0" w:color="auto"/>
        <w:right w:val="none" w:sz="0" w:space="0" w:color="auto"/>
      </w:divBdr>
    </w:div>
    <w:div w:id="307633208">
      <w:bodyDiv w:val="1"/>
      <w:marLeft w:val="0"/>
      <w:marRight w:val="0"/>
      <w:marTop w:val="0"/>
      <w:marBottom w:val="0"/>
      <w:divBdr>
        <w:top w:val="none" w:sz="0" w:space="0" w:color="auto"/>
        <w:left w:val="none" w:sz="0" w:space="0" w:color="auto"/>
        <w:bottom w:val="none" w:sz="0" w:space="0" w:color="auto"/>
        <w:right w:val="none" w:sz="0" w:space="0" w:color="auto"/>
      </w:divBdr>
      <w:divsChild>
        <w:div w:id="627973326">
          <w:marLeft w:val="0"/>
          <w:marRight w:val="0"/>
          <w:marTop w:val="0"/>
          <w:marBottom w:val="0"/>
          <w:divBdr>
            <w:top w:val="none" w:sz="0" w:space="0" w:color="auto"/>
            <w:left w:val="none" w:sz="0" w:space="0" w:color="auto"/>
            <w:bottom w:val="none" w:sz="0" w:space="0" w:color="auto"/>
            <w:right w:val="none" w:sz="0" w:space="0" w:color="auto"/>
          </w:divBdr>
          <w:divsChild>
            <w:div w:id="39674317">
              <w:marLeft w:val="0"/>
              <w:marRight w:val="0"/>
              <w:marTop w:val="0"/>
              <w:marBottom w:val="0"/>
              <w:divBdr>
                <w:top w:val="none" w:sz="0" w:space="0" w:color="auto"/>
                <w:left w:val="none" w:sz="0" w:space="0" w:color="auto"/>
                <w:bottom w:val="none" w:sz="0" w:space="0" w:color="auto"/>
                <w:right w:val="none" w:sz="0" w:space="0" w:color="auto"/>
              </w:divBdr>
              <w:divsChild>
                <w:div w:id="20657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2899">
      <w:bodyDiv w:val="1"/>
      <w:marLeft w:val="0"/>
      <w:marRight w:val="0"/>
      <w:marTop w:val="0"/>
      <w:marBottom w:val="0"/>
      <w:divBdr>
        <w:top w:val="none" w:sz="0" w:space="0" w:color="auto"/>
        <w:left w:val="none" w:sz="0" w:space="0" w:color="auto"/>
        <w:bottom w:val="none" w:sz="0" w:space="0" w:color="auto"/>
        <w:right w:val="none" w:sz="0" w:space="0" w:color="auto"/>
      </w:divBdr>
    </w:div>
    <w:div w:id="314604196">
      <w:bodyDiv w:val="1"/>
      <w:marLeft w:val="0"/>
      <w:marRight w:val="0"/>
      <w:marTop w:val="0"/>
      <w:marBottom w:val="0"/>
      <w:divBdr>
        <w:top w:val="none" w:sz="0" w:space="0" w:color="auto"/>
        <w:left w:val="none" w:sz="0" w:space="0" w:color="auto"/>
        <w:bottom w:val="none" w:sz="0" w:space="0" w:color="auto"/>
        <w:right w:val="none" w:sz="0" w:space="0" w:color="auto"/>
      </w:divBdr>
    </w:div>
    <w:div w:id="316156472">
      <w:bodyDiv w:val="1"/>
      <w:marLeft w:val="0"/>
      <w:marRight w:val="0"/>
      <w:marTop w:val="0"/>
      <w:marBottom w:val="0"/>
      <w:divBdr>
        <w:top w:val="none" w:sz="0" w:space="0" w:color="auto"/>
        <w:left w:val="none" w:sz="0" w:space="0" w:color="auto"/>
        <w:bottom w:val="none" w:sz="0" w:space="0" w:color="auto"/>
        <w:right w:val="none" w:sz="0" w:space="0" w:color="auto"/>
      </w:divBdr>
    </w:div>
    <w:div w:id="333729621">
      <w:bodyDiv w:val="1"/>
      <w:marLeft w:val="0"/>
      <w:marRight w:val="0"/>
      <w:marTop w:val="0"/>
      <w:marBottom w:val="0"/>
      <w:divBdr>
        <w:top w:val="none" w:sz="0" w:space="0" w:color="auto"/>
        <w:left w:val="none" w:sz="0" w:space="0" w:color="auto"/>
        <w:bottom w:val="none" w:sz="0" w:space="0" w:color="auto"/>
        <w:right w:val="none" w:sz="0" w:space="0" w:color="auto"/>
      </w:divBdr>
    </w:div>
    <w:div w:id="338433585">
      <w:bodyDiv w:val="1"/>
      <w:marLeft w:val="0"/>
      <w:marRight w:val="0"/>
      <w:marTop w:val="0"/>
      <w:marBottom w:val="0"/>
      <w:divBdr>
        <w:top w:val="none" w:sz="0" w:space="0" w:color="auto"/>
        <w:left w:val="none" w:sz="0" w:space="0" w:color="auto"/>
        <w:bottom w:val="none" w:sz="0" w:space="0" w:color="auto"/>
        <w:right w:val="none" w:sz="0" w:space="0" w:color="auto"/>
      </w:divBdr>
    </w:div>
    <w:div w:id="345715022">
      <w:bodyDiv w:val="1"/>
      <w:marLeft w:val="0"/>
      <w:marRight w:val="0"/>
      <w:marTop w:val="0"/>
      <w:marBottom w:val="0"/>
      <w:divBdr>
        <w:top w:val="none" w:sz="0" w:space="0" w:color="auto"/>
        <w:left w:val="none" w:sz="0" w:space="0" w:color="auto"/>
        <w:bottom w:val="none" w:sz="0" w:space="0" w:color="auto"/>
        <w:right w:val="none" w:sz="0" w:space="0" w:color="auto"/>
      </w:divBdr>
    </w:div>
    <w:div w:id="351079138">
      <w:bodyDiv w:val="1"/>
      <w:marLeft w:val="0"/>
      <w:marRight w:val="0"/>
      <w:marTop w:val="0"/>
      <w:marBottom w:val="0"/>
      <w:divBdr>
        <w:top w:val="none" w:sz="0" w:space="0" w:color="auto"/>
        <w:left w:val="none" w:sz="0" w:space="0" w:color="auto"/>
        <w:bottom w:val="none" w:sz="0" w:space="0" w:color="auto"/>
        <w:right w:val="none" w:sz="0" w:space="0" w:color="auto"/>
      </w:divBdr>
    </w:div>
    <w:div w:id="353581974">
      <w:bodyDiv w:val="1"/>
      <w:marLeft w:val="0"/>
      <w:marRight w:val="0"/>
      <w:marTop w:val="0"/>
      <w:marBottom w:val="0"/>
      <w:divBdr>
        <w:top w:val="none" w:sz="0" w:space="0" w:color="auto"/>
        <w:left w:val="none" w:sz="0" w:space="0" w:color="auto"/>
        <w:bottom w:val="none" w:sz="0" w:space="0" w:color="auto"/>
        <w:right w:val="none" w:sz="0" w:space="0" w:color="auto"/>
      </w:divBdr>
    </w:div>
    <w:div w:id="355473042">
      <w:bodyDiv w:val="1"/>
      <w:marLeft w:val="0"/>
      <w:marRight w:val="0"/>
      <w:marTop w:val="0"/>
      <w:marBottom w:val="0"/>
      <w:divBdr>
        <w:top w:val="none" w:sz="0" w:space="0" w:color="auto"/>
        <w:left w:val="none" w:sz="0" w:space="0" w:color="auto"/>
        <w:bottom w:val="none" w:sz="0" w:space="0" w:color="auto"/>
        <w:right w:val="none" w:sz="0" w:space="0" w:color="auto"/>
      </w:divBdr>
    </w:div>
    <w:div w:id="358893071">
      <w:bodyDiv w:val="1"/>
      <w:marLeft w:val="0"/>
      <w:marRight w:val="0"/>
      <w:marTop w:val="0"/>
      <w:marBottom w:val="0"/>
      <w:divBdr>
        <w:top w:val="none" w:sz="0" w:space="0" w:color="auto"/>
        <w:left w:val="none" w:sz="0" w:space="0" w:color="auto"/>
        <w:bottom w:val="none" w:sz="0" w:space="0" w:color="auto"/>
        <w:right w:val="none" w:sz="0" w:space="0" w:color="auto"/>
      </w:divBdr>
    </w:div>
    <w:div w:id="386228490">
      <w:bodyDiv w:val="1"/>
      <w:marLeft w:val="0"/>
      <w:marRight w:val="0"/>
      <w:marTop w:val="0"/>
      <w:marBottom w:val="0"/>
      <w:divBdr>
        <w:top w:val="none" w:sz="0" w:space="0" w:color="auto"/>
        <w:left w:val="none" w:sz="0" w:space="0" w:color="auto"/>
        <w:bottom w:val="none" w:sz="0" w:space="0" w:color="auto"/>
        <w:right w:val="none" w:sz="0" w:space="0" w:color="auto"/>
      </w:divBdr>
    </w:div>
    <w:div w:id="386685219">
      <w:bodyDiv w:val="1"/>
      <w:marLeft w:val="0"/>
      <w:marRight w:val="0"/>
      <w:marTop w:val="0"/>
      <w:marBottom w:val="0"/>
      <w:divBdr>
        <w:top w:val="none" w:sz="0" w:space="0" w:color="auto"/>
        <w:left w:val="none" w:sz="0" w:space="0" w:color="auto"/>
        <w:bottom w:val="none" w:sz="0" w:space="0" w:color="auto"/>
        <w:right w:val="none" w:sz="0" w:space="0" w:color="auto"/>
      </w:divBdr>
    </w:div>
    <w:div w:id="388310144">
      <w:bodyDiv w:val="1"/>
      <w:marLeft w:val="0"/>
      <w:marRight w:val="0"/>
      <w:marTop w:val="0"/>
      <w:marBottom w:val="0"/>
      <w:divBdr>
        <w:top w:val="none" w:sz="0" w:space="0" w:color="auto"/>
        <w:left w:val="none" w:sz="0" w:space="0" w:color="auto"/>
        <w:bottom w:val="none" w:sz="0" w:space="0" w:color="auto"/>
        <w:right w:val="none" w:sz="0" w:space="0" w:color="auto"/>
      </w:divBdr>
    </w:div>
    <w:div w:id="401222511">
      <w:bodyDiv w:val="1"/>
      <w:marLeft w:val="0"/>
      <w:marRight w:val="0"/>
      <w:marTop w:val="0"/>
      <w:marBottom w:val="0"/>
      <w:divBdr>
        <w:top w:val="none" w:sz="0" w:space="0" w:color="auto"/>
        <w:left w:val="none" w:sz="0" w:space="0" w:color="auto"/>
        <w:bottom w:val="none" w:sz="0" w:space="0" w:color="auto"/>
        <w:right w:val="none" w:sz="0" w:space="0" w:color="auto"/>
      </w:divBdr>
    </w:div>
    <w:div w:id="404568845">
      <w:bodyDiv w:val="1"/>
      <w:marLeft w:val="0"/>
      <w:marRight w:val="0"/>
      <w:marTop w:val="0"/>
      <w:marBottom w:val="0"/>
      <w:divBdr>
        <w:top w:val="none" w:sz="0" w:space="0" w:color="auto"/>
        <w:left w:val="none" w:sz="0" w:space="0" w:color="auto"/>
        <w:bottom w:val="none" w:sz="0" w:space="0" w:color="auto"/>
        <w:right w:val="none" w:sz="0" w:space="0" w:color="auto"/>
      </w:divBdr>
    </w:div>
    <w:div w:id="407504799">
      <w:bodyDiv w:val="1"/>
      <w:marLeft w:val="0"/>
      <w:marRight w:val="0"/>
      <w:marTop w:val="0"/>
      <w:marBottom w:val="0"/>
      <w:divBdr>
        <w:top w:val="none" w:sz="0" w:space="0" w:color="auto"/>
        <w:left w:val="none" w:sz="0" w:space="0" w:color="auto"/>
        <w:bottom w:val="none" w:sz="0" w:space="0" w:color="auto"/>
        <w:right w:val="none" w:sz="0" w:space="0" w:color="auto"/>
      </w:divBdr>
    </w:div>
    <w:div w:id="431896001">
      <w:bodyDiv w:val="1"/>
      <w:marLeft w:val="0"/>
      <w:marRight w:val="0"/>
      <w:marTop w:val="0"/>
      <w:marBottom w:val="0"/>
      <w:divBdr>
        <w:top w:val="none" w:sz="0" w:space="0" w:color="auto"/>
        <w:left w:val="none" w:sz="0" w:space="0" w:color="auto"/>
        <w:bottom w:val="none" w:sz="0" w:space="0" w:color="auto"/>
        <w:right w:val="none" w:sz="0" w:space="0" w:color="auto"/>
      </w:divBdr>
    </w:div>
    <w:div w:id="432744054">
      <w:bodyDiv w:val="1"/>
      <w:marLeft w:val="0"/>
      <w:marRight w:val="0"/>
      <w:marTop w:val="0"/>
      <w:marBottom w:val="0"/>
      <w:divBdr>
        <w:top w:val="none" w:sz="0" w:space="0" w:color="auto"/>
        <w:left w:val="none" w:sz="0" w:space="0" w:color="auto"/>
        <w:bottom w:val="none" w:sz="0" w:space="0" w:color="auto"/>
        <w:right w:val="none" w:sz="0" w:space="0" w:color="auto"/>
      </w:divBdr>
    </w:div>
    <w:div w:id="444806834">
      <w:bodyDiv w:val="1"/>
      <w:marLeft w:val="0"/>
      <w:marRight w:val="0"/>
      <w:marTop w:val="0"/>
      <w:marBottom w:val="0"/>
      <w:divBdr>
        <w:top w:val="none" w:sz="0" w:space="0" w:color="auto"/>
        <w:left w:val="none" w:sz="0" w:space="0" w:color="auto"/>
        <w:bottom w:val="none" w:sz="0" w:space="0" w:color="auto"/>
        <w:right w:val="none" w:sz="0" w:space="0" w:color="auto"/>
      </w:divBdr>
    </w:div>
    <w:div w:id="450129649">
      <w:bodyDiv w:val="1"/>
      <w:marLeft w:val="0"/>
      <w:marRight w:val="0"/>
      <w:marTop w:val="0"/>
      <w:marBottom w:val="0"/>
      <w:divBdr>
        <w:top w:val="none" w:sz="0" w:space="0" w:color="auto"/>
        <w:left w:val="none" w:sz="0" w:space="0" w:color="auto"/>
        <w:bottom w:val="none" w:sz="0" w:space="0" w:color="auto"/>
        <w:right w:val="none" w:sz="0" w:space="0" w:color="auto"/>
      </w:divBdr>
    </w:div>
    <w:div w:id="457526908">
      <w:bodyDiv w:val="1"/>
      <w:marLeft w:val="0"/>
      <w:marRight w:val="0"/>
      <w:marTop w:val="0"/>
      <w:marBottom w:val="0"/>
      <w:divBdr>
        <w:top w:val="none" w:sz="0" w:space="0" w:color="auto"/>
        <w:left w:val="none" w:sz="0" w:space="0" w:color="auto"/>
        <w:bottom w:val="none" w:sz="0" w:space="0" w:color="auto"/>
        <w:right w:val="none" w:sz="0" w:space="0" w:color="auto"/>
      </w:divBdr>
    </w:div>
    <w:div w:id="458232872">
      <w:bodyDiv w:val="1"/>
      <w:marLeft w:val="0"/>
      <w:marRight w:val="0"/>
      <w:marTop w:val="0"/>
      <w:marBottom w:val="0"/>
      <w:divBdr>
        <w:top w:val="none" w:sz="0" w:space="0" w:color="auto"/>
        <w:left w:val="none" w:sz="0" w:space="0" w:color="auto"/>
        <w:bottom w:val="none" w:sz="0" w:space="0" w:color="auto"/>
        <w:right w:val="none" w:sz="0" w:space="0" w:color="auto"/>
      </w:divBdr>
    </w:div>
    <w:div w:id="458837221">
      <w:bodyDiv w:val="1"/>
      <w:marLeft w:val="0"/>
      <w:marRight w:val="0"/>
      <w:marTop w:val="0"/>
      <w:marBottom w:val="0"/>
      <w:divBdr>
        <w:top w:val="none" w:sz="0" w:space="0" w:color="auto"/>
        <w:left w:val="none" w:sz="0" w:space="0" w:color="auto"/>
        <w:bottom w:val="none" w:sz="0" w:space="0" w:color="auto"/>
        <w:right w:val="none" w:sz="0" w:space="0" w:color="auto"/>
      </w:divBdr>
    </w:div>
    <w:div w:id="460610855">
      <w:bodyDiv w:val="1"/>
      <w:marLeft w:val="0"/>
      <w:marRight w:val="0"/>
      <w:marTop w:val="0"/>
      <w:marBottom w:val="0"/>
      <w:divBdr>
        <w:top w:val="none" w:sz="0" w:space="0" w:color="auto"/>
        <w:left w:val="none" w:sz="0" w:space="0" w:color="auto"/>
        <w:bottom w:val="none" w:sz="0" w:space="0" w:color="auto"/>
        <w:right w:val="none" w:sz="0" w:space="0" w:color="auto"/>
      </w:divBdr>
    </w:div>
    <w:div w:id="476344766">
      <w:bodyDiv w:val="1"/>
      <w:marLeft w:val="0"/>
      <w:marRight w:val="0"/>
      <w:marTop w:val="0"/>
      <w:marBottom w:val="0"/>
      <w:divBdr>
        <w:top w:val="none" w:sz="0" w:space="0" w:color="auto"/>
        <w:left w:val="none" w:sz="0" w:space="0" w:color="auto"/>
        <w:bottom w:val="none" w:sz="0" w:space="0" w:color="auto"/>
        <w:right w:val="none" w:sz="0" w:space="0" w:color="auto"/>
      </w:divBdr>
    </w:div>
    <w:div w:id="507335599">
      <w:bodyDiv w:val="1"/>
      <w:marLeft w:val="0"/>
      <w:marRight w:val="0"/>
      <w:marTop w:val="0"/>
      <w:marBottom w:val="0"/>
      <w:divBdr>
        <w:top w:val="none" w:sz="0" w:space="0" w:color="auto"/>
        <w:left w:val="none" w:sz="0" w:space="0" w:color="auto"/>
        <w:bottom w:val="none" w:sz="0" w:space="0" w:color="auto"/>
        <w:right w:val="none" w:sz="0" w:space="0" w:color="auto"/>
      </w:divBdr>
    </w:div>
    <w:div w:id="523783684">
      <w:bodyDiv w:val="1"/>
      <w:marLeft w:val="0"/>
      <w:marRight w:val="0"/>
      <w:marTop w:val="0"/>
      <w:marBottom w:val="0"/>
      <w:divBdr>
        <w:top w:val="none" w:sz="0" w:space="0" w:color="auto"/>
        <w:left w:val="none" w:sz="0" w:space="0" w:color="auto"/>
        <w:bottom w:val="none" w:sz="0" w:space="0" w:color="auto"/>
        <w:right w:val="none" w:sz="0" w:space="0" w:color="auto"/>
      </w:divBdr>
    </w:div>
    <w:div w:id="527715914">
      <w:bodyDiv w:val="1"/>
      <w:marLeft w:val="0"/>
      <w:marRight w:val="0"/>
      <w:marTop w:val="0"/>
      <w:marBottom w:val="0"/>
      <w:divBdr>
        <w:top w:val="none" w:sz="0" w:space="0" w:color="auto"/>
        <w:left w:val="none" w:sz="0" w:space="0" w:color="auto"/>
        <w:bottom w:val="none" w:sz="0" w:space="0" w:color="auto"/>
        <w:right w:val="none" w:sz="0" w:space="0" w:color="auto"/>
      </w:divBdr>
    </w:div>
    <w:div w:id="538905899">
      <w:bodyDiv w:val="1"/>
      <w:marLeft w:val="0"/>
      <w:marRight w:val="0"/>
      <w:marTop w:val="0"/>
      <w:marBottom w:val="0"/>
      <w:divBdr>
        <w:top w:val="none" w:sz="0" w:space="0" w:color="auto"/>
        <w:left w:val="none" w:sz="0" w:space="0" w:color="auto"/>
        <w:bottom w:val="none" w:sz="0" w:space="0" w:color="auto"/>
        <w:right w:val="none" w:sz="0" w:space="0" w:color="auto"/>
      </w:divBdr>
    </w:div>
    <w:div w:id="547647756">
      <w:bodyDiv w:val="1"/>
      <w:marLeft w:val="0"/>
      <w:marRight w:val="0"/>
      <w:marTop w:val="0"/>
      <w:marBottom w:val="0"/>
      <w:divBdr>
        <w:top w:val="none" w:sz="0" w:space="0" w:color="auto"/>
        <w:left w:val="none" w:sz="0" w:space="0" w:color="auto"/>
        <w:bottom w:val="none" w:sz="0" w:space="0" w:color="auto"/>
        <w:right w:val="none" w:sz="0" w:space="0" w:color="auto"/>
      </w:divBdr>
    </w:div>
    <w:div w:id="549388375">
      <w:bodyDiv w:val="1"/>
      <w:marLeft w:val="0"/>
      <w:marRight w:val="0"/>
      <w:marTop w:val="0"/>
      <w:marBottom w:val="0"/>
      <w:divBdr>
        <w:top w:val="none" w:sz="0" w:space="0" w:color="auto"/>
        <w:left w:val="none" w:sz="0" w:space="0" w:color="auto"/>
        <w:bottom w:val="none" w:sz="0" w:space="0" w:color="auto"/>
        <w:right w:val="none" w:sz="0" w:space="0" w:color="auto"/>
      </w:divBdr>
    </w:div>
    <w:div w:id="554198919">
      <w:bodyDiv w:val="1"/>
      <w:marLeft w:val="0"/>
      <w:marRight w:val="0"/>
      <w:marTop w:val="0"/>
      <w:marBottom w:val="0"/>
      <w:divBdr>
        <w:top w:val="none" w:sz="0" w:space="0" w:color="auto"/>
        <w:left w:val="none" w:sz="0" w:space="0" w:color="auto"/>
        <w:bottom w:val="none" w:sz="0" w:space="0" w:color="auto"/>
        <w:right w:val="none" w:sz="0" w:space="0" w:color="auto"/>
      </w:divBdr>
    </w:div>
    <w:div w:id="562840176">
      <w:bodyDiv w:val="1"/>
      <w:marLeft w:val="0"/>
      <w:marRight w:val="0"/>
      <w:marTop w:val="0"/>
      <w:marBottom w:val="0"/>
      <w:divBdr>
        <w:top w:val="none" w:sz="0" w:space="0" w:color="auto"/>
        <w:left w:val="none" w:sz="0" w:space="0" w:color="auto"/>
        <w:bottom w:val="none" w:sz="0" w:space="0" w:color="auto"/>
        <w:right w:val="none" w:sz="0" w:space="0" w:color="auto"/>
      </w:divBdr>
    </w:div>
    <w:div w:id="598223838">
      <w:bodyDiv w:val="1"/>
      <w:marLeft w:val="0"/>
      <w:marRight w:val="0"/>
      <w:marTop w:val="0"/>
      <w:marBottom w:val="0"/>
      <w:divBdr>
        <w:top w:val="none" w:sz="0" w:space="0" w:color="auto"/>
        <w:left w:val="none" w:sz="0" w:space="0" w:color="auto"/>
        <w:bottom w:val="none" w:sz="0" w:space="0" w:color="auto"/>
        <w:right w:val="none" w:sz="0" w:space="0" w:color="auto"/>
      </w:divBdr>
    </w:div>
    <w:div w:id="608851516">
      <w:bodyDiv w:val="1"/>
      <w:marLeft w:val="0"/>
      <w:marRight w:val="0"/>
      <w:marTop w:val="0"/>
      <w:marBottom w:val="0"/>
      <w:divBdr>
        <w:top w:val="none" w:sz="0" w:space="0" w:color="auto"/>
        <w:left w:val="none" w:sz="0" w:space="0" w:color="auto"/>
        <w:bottom w:val="none" w:sz="0" w:space="0" w:color="auto"/>
        <w:right w:val="none" w:sz="0" w:space="0" w:color="auto"/>
      </w:divBdr>
    </w:div>
    <w:div w:id="612981564">
      <w:bodyDiv w:val="1"/>
      <w:marLeft w:val="0"/>
      <w:marRight w:val="0"/>
      <w:marTop w:val="0"/>
      <w:marBottom w:val="0"/>
      <w:divBdr>
        <w:top w:val="none" w:sz="0" w:space="0" w:color="auto"/>
        <w:left w:val="none" w:sz="0" w:space="0" w:color="auto"/>
        <w:bottom w:val="none" w:sz="0" w:space="0" w:color="auto"/>
        <w:right w:val="none" w:sz="0" w:space="0" w:color="auto"/>
      </w:divBdr>
    </w:div>
    <w:div w:id="633103619">
      <w:bodyDiv w:val="1"/>
      <w:marLeft w:val="0"/>
      <w:marRight w:val="0"/>
      <w:marTop w:val="0"/>
      <w:marBottom w:val="0"/>
      <w:divBdr>
        <w:top w:val="none" w:sz="0" w:space="0" w:color="auto"/>
        <w:left w:val="none" w:sz="0" w:space="0" w:color="auto"/>
        <w:bottom w:val="none" w:sz="0" w:space="0" w:color="auto"/>
        <w:right w:val="none" w:sz="0" w:space="0" w:color="auto"/>
      </w:divBdr>
    </w:div>
    <w:div w:id="633143872">
      <w:bodyDiv w:val="1"/>
      <w:marLeft w:val="0"/>
      <w:marRight w:val="0"/>
      <w:marTop w:val="0"/>
      <w:marBottom w:val="0"/>
      <w:divBdr>
        <w:top w:val="none" w:sz="0" w:space="0" w:color="auto"/>
        <w:left w:val="none" w:sz="0" w:space="0" w:color="auto"/>
        <w:bottom w:val="none" w:sz="0" w:space="0" w:color="auto"/>
        <w:right w:val="none" w:sz="0" w:space="0" w:color="auto"/>
      </w:divBdr>
    </w:div>
    <w:div w:id="635524136">
      <w:bodyDiv w:val="1"/>
      <w:marLeft w:val="0"/>
      <w:marRight w:val="0"/>
      <w:marTop w:val="0"/>
      <w:marBottom w:val="0"/>
      <w:divBdr>
        <w:top w:val="none" w:sz="0" w:space="0" w:color="auto"/>
        <w:left w:val="none" w:sz="0" w:space="0" w:color="auto"/>
        <w:bottom w:val="none" w:sz="0" w:space="0" w:color="auto"/>
        <w:right w:val="none" w:sz="0" w:space="0" w:color="auto"/>
      </w:divBdr>
    </w:div>
    <w:div w:id="644090097">
      <w:bodyDiv w:val="1"/>
      <w:marLeft w:val="0"/>
      <w:marRight w:val="0"/>
      <w:marTop w:val="0"/>
      <w:marBottom w:val="0"/>
      <w:divBdr>
        <w:top w:val="none" w:sz="0" w:space="0" w:color="auto"/>
        <w:left w:val="none" w:sz="0" w:space="0" w:color="auto"/>
        <w:bottom w:val="none" w:sz="0" w:space="0" w:color="auto"/>
        <w:right w:val="none" w:sz="0" w:space="0" w:color="auto"/>
      </w:divBdr>
    </w:div>
    <w:div w:id="645668862">
      <w:bodyDiv w:val="1"/>
      <w:marLeft w:val="0"/>
      <w:marRight w:val="0"/>
      <w:marTop w:val="0"/>
      <w:marBottom w:val="0"/>
      <w:divBdr>
        <w:top w:val="none" w:sz="0" w:space="0" w:color="auto"/>
        <w:left w:val="none" w:sz="0" w:space="0" w:color="auto"/>
        <w:bottom w:val="none" w:sz="0" w:space="0" w:color="auto"/>
        <w:right w:val="none" w:sz="0" w:space="0" w:color="auto"/>
      </w:divBdr>
    </w:div>
    <w:div w:id="661617921">
      <w:bodyDiv w:val="1"/>
      <w:marLeft w:val="0"/>
      <w:marRight w:val="0"/>
      <w:marTop w:val="0"/>
      <w:marBottom w:val="0"/>
      <w:divBdr>
        <w:top w:val="none" w:sz="0" w:space="0" w:color="auto"/>
        <w:left w:val="none" w:sz="0" w:space="0" w:color="auto"/>
        <w:bottom w:val="none" w:sz="0" w:space="0" w:color="auto"/>
        <w:right w:val="none" w:sz="0" w:space="0" w:color="auto"/>
      </w:divBdr>
    </w:div>
    <w:div w:id="669211071">
      <w:bodyDiv w:val="1"/>
      <w:marLeft w:val="0"/>
      <w:marRight w:val="0"/>
      <w:marTop w:val="0"/>
      <w:marBottom w:val="0"/>
      <w:divBdr>
        <w:top w:val="none" w:sz="0" w:space="0" w:color="auto"/>
        <w:left w:val="none" w:sz="0" w:space="0" w:color="auto"/>
        <w:bottom w:val="none" w:sz="0" w:space="0" w:color="auto"/>
        <w:right w:val="none" w:sz="0" w:space="0" w:color="auto"/>
      </w:divBdr>
    </w:div>
    <w:div w:id="680858242">
      <w:bodyDiv w:val="1"/>
      <w:marLeft w:val="0"/>
      <w:marRight w:val="0"/>
      <w:marTop w:val="0"/>
      <w:marBottom w:val="0"/>
      <w:divBdr>
        <w:top w:val="none" w:sz="0" w:space="0" w:color="auto"/>
        <w:left w:val="none" w:sz="0" w:space="0" w:color="auto"/>
        <w:bottom w:val="none" w:sz="0" w:space="0" w:color="auto"/>
        <w:right w:val="none" w:sz="0" w:space="0" w:color="auto"/>
      </w:divBdr>
    </w:div>
    <w:div w:id="688140678">
      <w:bodyDiv w:val="1"/>
      <w:marLeft w:val="0"/>
      <w:marRight w:val="0"/>
      <w:marTop w:val="0"/>
      <w:marBottom w:val="0"/>
      <w:divBdr>
        <w:top w:val="none" w:sz="0" w:space="0" w:color="auto"/>
        <w:left w:val="none" w:sz="0" w:space="0" w:color="auto"/>
        <w:bottom w:val="none" w:sz="0" w:space="0" w:color="auto"/>
        <w:right w:val="none" w:sz="0" w:space="0" w:color="auto"/>
      </w:divBdr>
    </w:div>
    <w:div w:id="698287361">
      <w:bodyDiv w:val="1"/>
      <w:marLeft w:val="0"/>
      <w:marRight w:val="0"/>
      <w:marTop w:val="0"/>
      <w:marBottom w:val="0"/>
      <w:divBdr>
        <w:top w:val="none" w:sz="0" w:space="0" w:color="auto"/>
        <w:left w:val="none" w:sz="0" w:space="0" w:color="auto"/>
        <w:bottom w:val="none" w:sz="0" w:space="0" w:color="auto"/>
        <w:right w:val="none" w:sz="0" w:space="0" w:color="auto"/>
      </w:divBdr>
    </w:div>
    <w:div w:id="704331180">
      <w:bodyDiv w:val="1"/>
      <w:marLeft w:val="0"/>
      <w:marRight w:val="0"/>
      <w:marTop w:val="0"/>
      <w:marBottom w:val="0"/>
      <w:divBdr>
        <w:top w:val="none" w:sz="0" w:space="0" w:color="auto"/>
        <w:left w:val="none" w:sz="0" w:space="0" w:color="auto"/>
        <w:bottom w:val="none" w:sz="0" w:space="0" w:color="auto"/>
        <w:right w:val="none" w:sz="0" w:space="0" w:color="auto"/>
      </w:divBdr>
    </w:div>
    <w:div w:id="708459261">
      <w:bodyDiv w:val="1"/>
      <w:marLeft w:val="0"/>
      <w:marRight w:val="0"/>
      <w:marTop w:val="0"/>
      <w:marBottom w:val="0"/>
      <w:divBdr>
        <w:top w:val="none" w:sz="0" w:space="0" w:color="auto"/>
        <w:left w:val="none" w:sz="0" w:space="0" w:color="auto"/>
        <w:bottom w:val="none" w:sz="0" w:space="0" w:color="auto"/>
        <w:right w:val="none" w:sz="0" w:space="0" w:color="auto"/>
      </w:divBdr>
      <w:divsChild>
        <w:div w:id="166408553">
          <w:marLeft w:val="0"/>
          <w:marRight w:val="0"/>
          <w:marTop w:val="0"/>
          <w:marBottom w:val="0"/>
          <w:divBdr>
            <w:top w:val="none" w:sz="0" w:space="0" w:color="auto"/>
            <w:left w:val="none" w:sz="0" w:space="0" w:color="auto"/>
            <w:bottom w:val="none" w:sz="0" w:space="0" w:color="auto"/>
            <w:right w:val="none" w:sz="0" w:space="0" w:color="auto"/>
          </w:divBdr>
          <w:divsChild>
            <w:div w:id="466512443">
              <w:marLeft w:val="0"/>
              <w:marRight w:val="0"/>
              <w:marTop w:val="0"/>
              <w:marBottom w:val="0"/>
              <w:divBdr>
                <w:top w:val="none" w:sz="0" w:space="0" w:color="auto"/>
                <w:left w:val="none" w:sz="0" w:space="0" w:color="auto"/>
                <w:bottom w:val="none" w:sz="0" w:space="0" w:color="auto"/>
                <w:right w:val="none" w:sz="0" w:space="0" w:color="auto"/>
              </w:divBdr>
              <w:divsChild>
                <w:div w:id="20690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17749">
      <w:bodyDiv w:val="1"/>
      <w:marLeft w:val="0"/>
      <w:marRight w:val="0"/>
      <w:marTop w:val="0"/>
      <w:marBottom w:val="0"/>
      <w:divBdr>
        <w:top w:val="none" w:sz="0" w:space="0" w:color="auto"/>
        <w:left w:val="none" w:sz="0" w:space="0" w:color="auto"/>
        <w:bottom w:val="none" w:sz="0" w:space="0" w:color="auto"/>
        <w:right w:val="none" w:sz="0" w:space="0" w:color="auto"/>
      </w:divBdr>
    </w:div>
    <w:div w:id="716317297">
      <w:bodyDiv w:val="1"/>
      <w:marLeft w:val="0"/>
      <w:marRight w:val="0"/>
      <w:marTop w:val="0"/>
      <w:marBottom w:val="0"/>
      <w:divBdr>
        <w:top w:val="none" w:sz="0" w:space="0" w:color="auto"/>
        <w:left w:val="none" w:sz="0" w:space="0" w:color="auto"/>
        <w:bottom w:val="none" w:sz="0" w:space="0" w:color="auto"/>
        <w:right w:val="none" w:sz="0" w:space="0" w:color="auto"/>
      </w:divBdr>
    </w:div>
    <w:div w:id="719863297">
      <w:bodyDiv w:val="1"/>
      <w:marLeft w:val="0"/>
      <w:marRight w:val="0"/>
      <w:marTop w:val="0"/>
      <w:marBottom w:val="0"/>
      <w:divBdr>
        <w:top w:val="none" w:sz="0" w:space="0" w:color="auto"/>
        <w:left w:val="none" w:sz="0" w:space="0" w:color="auto"/>
        <w:bottom w:val="none" w:sz="0" w:space="0" w:color="auto"/>
        <w:right w:val="none" w:sz="0" w:space="0" w:color="auto"/>
      </w:divBdr>
    </w:div>
    <w:div w:id="727581175">
      <w:bodyDiv w:val="1"/>
      <w:marLeft w:val="0"/>
      <w:marRight w:val="0"/>
      <w:marTop w:val="0"/>
      <w:marBottom w:val="0"/>
      <w:divBdr>
        <w:top w:val="none" w:sz="0" w:space="0" w:color="auto"/>
        <w:left w:val="none" w:sz="0" w:space="0" w:color="auto"/>
        <w:bottom w:val="none" w:sz="0" w:space="0" w:color="auto"/>
        <w:right w:val="none" w:sz="0" w:space="0" w:color="auto"/>
      </w:divBdr>
    </w:div>
    <w:div w:id="737244244">
      <w:bodyDiv w:val="1"/>
      <w:marLeft w:val="0"/>
      <w:marRight w:val="0"/>
      <w:marTop w:val="0"/>
      <w:marBottom w:val="0"/>
      <w:divBdr>
        <w:top w:val="none" w:sz="0" w:space="0" w:color="auto"/>
        <w:left w:val="none" w:sz="0" w:space="0" w:color="auto"/>
        <w:bottom w:val="none" w:sz="0" w:space="0" w:color="auto"/>
        <w:right w:val="none" w:sz="0" w:space="0" w:color="auto"/>
      </w:divBdr>
    </w:div>
    <w:div w:id="746414317">
      <w:bodyDiv w:val="1"/>
      <w:marLeft w:val="0"/>
      <w:marRight w:val="0"/>
      <w:marTop w:val="0"/>
      <w:marBottom w:val="0"/>
      <w:divBdr>
        <w:top w:val="none" w:sz="0" w:space="0" w:color="auto"/>
        <w:left w:val="none" w:sz="0" w:space="0" w:color="auto"/>
        <w:bottom w:val="none" w:sz="0" w:space="0" w:color="auto"/>
        <w:right w:val="none" w:sz="0" w:space="0" w:color="auto"/>
      </w:divBdr>
    </w:div>
    <w:div w:id="760183687">
      <w:bodyDiv w:val="1"/>
      <w:marLeft w:val="0"/>
      <w:marRight w:val="0"/>
      <w:marTop w:val="0"/>
      <w:marBottom w:val="0"/>
      <w:divBdr>
        <w:top w:val="none" w:sz="0" w:space="0" w:color="auto"/>
        <w:left w:val="none" w:sz="0" w:space="0" w:color="auto"/>
        <w:bottom w:val="none" w:sz="0" w:space="0" w:color="auto"/>
        <w:right w:val="none" w:sz="0" w:space="0" w:color="auto"/>
      </w:divBdr>
    </w:div>
    <w:div w:id="771052146">
      <w:bodyDiv w:val="1"/>
      <w:marLeft w:val="0"/>
      <w:marRight w:val="0"/>
      <w:marTop w:val="0"/>
      <w:marBottom w:val="0"/>
      <w:divBdr>
        <w:top w:val="none" w:sz="0" w:space="0" w:color="auto"/>
        <w:left w:val="none" w:sz="0" w:space="0" w:color="auto"/>
        <w:bottom w:val="none" w:sz="0" w:space="0" w:color="auto"/>
        <w:right w:val="none" w:sz="0" w:space="0" w:color="auto"/>
      </w:divBdr>
    </w:div>
    <w:div w:id="772239931">
      <w:bodyDiv w:val="1"/>
      <w:marLeft w:val="0"/>
      <w:marRight w:val="0"/>
      <w:marTop w:val="0"/>
      <w:marBottom w:val="0"/>
      <w:divBdr>
        <w:top w:val="none" w:sz="0" w:space="0" w:color="auto"/>
        <w:left w:val="none" w:sz="0" w:space="0" w:color="auto"/>
        <w:bottom w:val="none" w:sz="0" w:space="0" w:color="auto"/>
        <w:right w:val="none" w:sz="0" w:space="0" w:color="auto"/>
      </w:divBdr>
    </w:div>
    <w:div w:id="780346676">
      <w:bodyDiv w:val="1"/>
      <w:marLeft w:val="0"/>
      <w:marRight w:val="0"/>
      <w:marTop w:val="0"/>
      <w:marBottom w:val="0"/>
      <w:divBdr>
        <w:top w:val="none" w:sz="0" w:space="0" w:color="auto"/>
        <w:left w:val="none" w:sz="0" w:space="0" w:color="auto"/>
        <w:bottom w:val="none" w:sz="0" w:space="0" w:color="auto"/>
        <w:right w:val="none" w:sz="0" w:space="0" w:color="auto"/>
      </w:divBdr>
    </w:div>
    <w:div w:id="788472390">
      <w:bodyDiv w:val="1"/>
      <w:marLeft w:val="0"/>
      <w:marRight w:val="0"/>
      <w:marTop w:val="0"/>
      <w:marBottom w:val="0"/>
      <w:divBdr>
        <w:top w:val="none" w:sz="0" w:space="0" w:color="auto"/>
        <w:left w:val="none" w:sz="0" w:space="0" w:color="auto"/>
        <w:bottom w:val="none" w:sz="0" w:space="0" w:color="auto"/>
        <w:right w:val="none" w:sz="0" w:space="0" w:color="auto"/>
      </w:divBdr>
    </w:div>
    <w:div w:id="790707749">
      <w:bodyDiv w:val="1"/>
      <w:marLeft w:val="0"/>
      <w:marRight w:val="0"/>
      <w:marTop w:val="0"/>
      <w:marBottom w:val="0"/>
      <w:divBdr>
        <w:top w:val="none" w:sz="0" w:space="0" w:color="auto"/>
        <w:left w:val="none" w:sz="0" w:space="0" w:color="auto"/>
        <w:bottom w:val="none" w:sz="0" w:space="0" w:color="auto"/>
        <w:right w:val="none" w:sz="0" w:space="0" w:color="auto"/>
      </w:divBdr>
    </w:div>
    <w:div w:id="801969069">
      <w:bodyDiv w:val="1"/>
      <w:marLeft w:val="0"/>
      <w:marRight w:val="0"/>
      <w:marTop w:val="0"/>
      <w:marBottom w:val="0"/>
      <w:divBdr>
        <w:top w:val="none" w:sz="0" w:space="0" w:color="auto"/>
        <w:left w:val="none" w:sz="0" w:space="0" w:color="auto"/>
        <w:bottom w:val="none" w:sz="0" w:space="0" w:color="auto"/>
        <w:right w:val="none" w:sz="0" w:space="0" w:color="auto"/>
      </w:divBdr>
    </w:div>
    <w:div w:id="807210256">
      <w:bodyDiv w:val="1"/>
      <w:marLeft w:val="0"/>
      <w:marRight w:val="0"/>
      <w:marTop w:val="0"/>
      <w:marBottom w:val="0"/>
      <w:divBdr>
        <w:top w:val="none" w:sz="0" w:space="0" w:color="auto"/>
        <w:left w:val="none" w:sz="0" w:space="0" w:color="auto"/>
        <w:bottom w:val="none" w:sz="0" w:space="0" w:color="auto"/>
        <w:right w:val="none" w:sz="0" w:space="0" w:color="auto"/>
      </w:divBdr>
    </w:div>
    <w:div w:id="810515587">
      <w:bodyDiv w:val="1"/>
      <w:marLeft w:val="0"/>
      <w:marRight w:val="0"/>
      <w:marTop w:val="0"/>
      <w:marBottom w:val="0"/>
      <w:divBdr>
        <w:top w:val="none" w:sz="0" w:space="0" w:color="auto"/>
        <w:left w:val="none" w:sz="0" w:space="0" w:color="auto"/>
        <w:bottom w:val="none" w:sz="0" w:space="0" w:color="auto"/>
        <w:right w:val="none" w:sz="0" w:space="0" w:color="auto"/>
      </w:divBdr>
    </w:div>
    <w:div w:id="824972131">
      <w:bodyDiv w:val="1"/>
      <w:marLeft w:val="0"/>
      <w:marRight w:val="0"/>
      <w:marTop w:val="0"/>
      <w:marBottom w:val="0"/>
      <w:divBdr>
        <w:top w:val="none" w:sz="0" w:space="0" w:color="auto"/>
        <w:left w:val="none" w:sz="0" w:space="0" w:color="auto"/>
        <w:bottom w:val="none" w:sz="0" w:space="0" w:color="auto"/>
        <w:right w:val="none" w:sz="0" w:space="0" w:color="auto"/>
      </w:divBdr>
    </w:div>
    <w:div w:id="827331449">
      <w:bodyDiv w:val="1"/>
      <w:marLeft w:val="0"/>
      <w:marRight w:val="0"/>
      <w:marTop w:val="0"/>
      <w:marBottom w:val="0"/>
      <w:divBdr>
        <w:top w:val="none" w:sz="0" w:space="0" w:color="auto"/>
        <w:left w:val="none" w:sz="0" w:space="0" w:color="auto"/>
        <w:bottom w:val="none" w:sz="0" w:space="0" w:color="auto"/>
        <w:right w:val="none" w:sz="0" w:space="0" w:color="auto"/>
      </w:divBdr>
      <w:divsChild>
        <w:div w:id="386993614">
          <w:marLeft w:val="0"/>
          <w:marRight w:val="0"/>
          <w:marTop w:val="0"/>
          <w:marBottom w:val="0"/>
          <w:divBdr>
            <w:top w:val="none" w:sz="0" w:space="0" w:color="auto"/>
            <w:left w:val="none" w:sz="0" w:space="0" w:color="auto"/>
            <w:bottom w:val="none" w:sz="0" w:space="0" w:color="auto"/>
            <w:right w:val="none" w:sz="0" w:space="0" w:color="auto"/>
          </w:divBdr>
          <w:divsChild>
            <w:div w:id="281615085">
              <w:marLeft w:val="0"/>
              <w:marRight w:val="0"/>
              <w:marTop w:val="0"/>
              <w:marBottom w:val="0"/>
              <w:divBdr>
                <w:top w:val="none" w:sz="0" w:space="0" w:color="auto"/>
                <w:left w:val="none" w:sz="0" w:space="0" w:color="auto"/>
                <w:bottom w:val="none" w:sz="0" w:space="0" w:color="auto"/>
                <w:right w:val="none" w:sz="0" w:space="0" w:color="auto"/>
              </w:divBdr>
              <w:divsChild>
                <w:div w:id="1947543105">
                  <w:marLeft w:val="0"/>
                  <w:marRight w:val="0"/>
                  <w:marTop w:val="0"/>
                  <w:marBottom w:val="0"/>
                  <w:divBdr>
                    <w:top w:val="none" w:sz="0" w:space="0" w:color="auto"/>
                    <w:left w:val="none" w:sz="0" w:space="0" w:color="auto"/>
                    <w:bottom w:val="none" w:sz="0" w:space="0" w:color="auto"/>
                    <w:right w:val="none" w:sz="0" w:space="0" w:color="auto"/>
                  </w:divBdr>
                  <w:divsChild>
                    <w:div w:id="1865484552">
                      <w:marLeft w:val="0"/>
                      <w:marRight w:val="0"/>
                      <w:marTop w:val="0"/>
                      <w:marBottom w:val="0"/>
                      <w:divBdr>
                        <w:top w:val="none" w:sz="0" w:space="0" w:color="auto"/>
                        <w:left w:val="none" w:sz="0" w:space="0" w:color="auto"/>
                        <w:bottom w:val="none" w:sz="0" w:space="0" w:color="auto"/>
                        <w:right w:val="none" w:sz="0" w:space="0" w:color="auto"/>
                      </w:divBdr>
                      <w:divsChild>
                        <w:div w:id="2067023643">
                          <w:marLeft w:val="0"/>
                          <w:marRight w:val="0"/>
                          <w:marTop w:val="0"/>
                          <w:marBottom w:val="0"/>
                          <w:divBdr>
                            <w:top w:val="none" w:sz="0" w:space="0" w:color="auto"/>
                            <w:left w:val="none" w:sz="0" w:space="0" w:color="auto"/>
                            <w:bottom w:val="none" w:sz="0" w:space="0" w:color="auto"/>
                            <w:right w:val="none" w:sz="0" w:space="0" w:color="auto"/>
                          </w:divBdr>
                          <w:divsChild>
                            <w:div w:id="476070459">
                              <w:marLeft w:val="0"/>
                              <w:marRight w:val="0"/>
                              <w:marTop w:val="0"/>
                              <w:marBottom w:val="0"/>
                              <w:divBdr>
                                <w:top w:val="none" w:sz="0" w:space="0" w:color="auto"/>
                                <w:left w:val="none" w:sz="0" w:space="0" w:color="auto"/>
                                <w:bottom w:val="none" w:sz="0" w:space="0" w:color="auto"/>
                                <w:right w:val="none" w:sz="0" w:space="0" w:color="auto"/>
                              </w:divBdr>
                              <w:divsChild>
                                <w:div w:id="1787002196">
                                  <w:marLeft w:val="0"/>
                                  <w:marRight w:val="0"/>
                                  <w:marTop w:val="0"/>
                                  <w:marBottom w:val="0"/>
                                  <w:divBdr>
                                    <w:top w:val="none" w:sz="0" w:space="0" w:color="auto"/>
                                    <w:left w:val="none" w:sz="0" w:space="0" w:color="auto"/>
                                    <w:bottom w:val="none" w:sz="0" w:space="0" w:color="auto"/>
                                    <w:right w:val="none" w:sz="0" w:space="0" w:color="auto"/>
                                  </w:divBdr>
                                  <w:divsChild>
                                    <w:div w:id="233244235">
                                      <w:marLeft w:val="0"/>
                                      <w:marRight w:val="0"/>
                                      <w:marTop w:val="0"/>
                                      <w:marBottom w:val="0"/>
                                      <w:divBdr>
                                        <w:top w:val="none" w:sz="0" w:space="0" w:color="auto"/>
                                        <w:left w:val="none" w:sz="0" w:space="0" w:color="auto"/>
                                        <w:bottom w:val="none" w:sz="0" w:space="0" w:color="auto"/>
                                        <w:right w:val="none" w:sz="0" w:space="0" w:color="auto"/>
                                      </w:divBdr>
                                      <w:divsChild>
                                        <w:div w:id="12971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130908">
      <w:bodyDiv w:val="1"/>
      <w:marLeft w:val="0"/>
      <w:marRight w:val="0"/>
      <w:marTop w:val="0"/>
      <w:marBottom w:val="0"/>
      <w:divBdr>
        <w:top w:val="none" w:sz="0" w:space="0" w:color="auto"/>
        <w:left w:val="none" w:sz="0" w:space="0" w:color="auto"/>
        <w:bottom w:val="none" w:sz="0" w:space="0" w:color="auto"/>
        <w:right w:val="none" w:sz="0" w:space="0" w:color="auto"/>
      </w:divBdr>
    </w:div>
    <w:div w:id="830634275">
      <w:bodyDiv w:val="1"/>
      <w:marLeft w:val="0"/>
      <w:marRight w:val="0"/>
      <w:marTop w:val="0"/>
      <w:marBottom w:val="0"/>
      <w:divBdr>
        <w:top w:val="none" w:sz="0" w:space="0" w:color="auto"/>
        <w:left w:val="none" w:sz="0" w:space="0" w:color="auto"/>
        <w:bottom w:val="none" w:sz="0" w:space="0" w:color="auto"/>
        <w:right w:val="none" w:sz="0" w:space="0" w:color="auto"/>
      </w:divBdr>
    </w:div>
    <w:div w:id="849104445">
      <w:bodyDiv w:val="1"/>
      <w:marLeft w:val="0"/>
      <w:marRight w:val="0"/>
      <w:marTop w:val="0"/>
      <w:marBottom w:val="0"/>
      <w:divBdr>
        <w:top w:val="none" w:sz="0" w:space="0" w:color="auto"/>
        <w:left w:val="none" w:sz="0" w:space="0" w:color="auto"/>
        <w:bottom w:val="none" w:sz="0" w:space="0" w:color="auto"/>
        <w:right w:val="none" w:sz="0" w:space="0" w:color="auto"/>
      </w:divBdr>
    </w:div>
    <w:div w:id="849566783">
      <w:bodyDiv w:val="1"/>
      <w:marLeft w:val="0"/>
      <w:marRight w:val="0"/>
      <w:marTop w:val="0"/>
      <w:marBottom w:val="0"/>
      <w:divBdr>
        <w:top w:val="none" w:sz="0" w:space="0" w:color="auto"/>
        <w:left w:val="none" w:sz="0" w:space="0" w:color="auto"/>
        <w:bottom w:val="none" w:sz="0" w:space="0" w:color="auto"/>
        <w:right w:val="none" w:sz="0" w:space="0" w:color="auto"/>
      </w:divBdr>
    </w:div>
    <w:div w:id="878053068">
      <w:bodyDiv w:val="1"/>
      <w:marLeft w:val="0"/>
      <w:marRight w:val="0"/>
      <w:marTop w:val="0"/>
      <w:marBottom w:val="0"/>
      <w:divBdr>
        <w:top w:val="none" w:sz="0" w:space="0" w:color="auto"/>
        <w:left w:val="none" w:sz="0" w:space="0" w:color="auto"/>
        <w:bottom w:val="none" w:sz="0" w:space="0" w:color="auto"/>
        <w:right w:val="none" w:sz="0" w:space="0" w:color="auto"/>
      </w:divBdr>
    </w:div>
    <w:div w:id="881551191">
      <w:bodyDiv w:val="1"/>
      <w:marLeft w:val="0"/>
      <w:marRight w:val="0"/>
      <w:marTop w:val="0"/>
      <w:marBottom w:val="0"/>
      <w:divBdr>
        <w:top w:val="none" w:sz="0" w:space="0" w:color="auto"/>
        <w:left w:val="none" w:sz="0" w:space="0" w:color="auto"/>
        <w:bottom w:val="none" w:sz="0" w:space="0" w:color="auto"/>
        <w:right w:val="none" w:sz="0" w:space="0" w:color="auto"/>
      </w:divBdr>
    </w:div>
    <w:div w:id="885220216">
      <w:bodyDiv w:val="1"/>
      <w:marLeft w:val="0"/>
      <w:marRight w:val="0"/>
      <w:marTop w:val="0"/>
      <w:marBottom w:val="0"/>
      <w:divBdr>
        <w:top w:val="none" w:sz="0" w:space="0" w:color="auto"/>
        <w:left w:val="none" w:sz="0" w:space="0" w:color="auto"/>
        <w:bottom w:val="none" w:sz="0" w:space="0" w:color="auto"/>
        <w:right w:val="none" w:sz="0" w:space="0" w:color="auto"/>
      </w:divBdr>
    </w:div>
    <w:div w:id="889926899">
      <w:bodyDiv w:val="1"/>
      <w:marLeft w:val="0"/>
      <w:marRight w:val="0"/>
      <w:marTop w:val="0"/>
      <w:marBottom w:val="0"/>
      <w:divBdr>
        <w:top w:val="none" w:sz="0" w:space="0" w:color="auto"/>
        <w:left w:val="none" w:sz="0" w:space="0" w:color="auto"/>
        <w:bottom w:val="none" w:sz="0" w:space="0" w:color="auto"/>
        <w:right w:val="none" w:sz="0" w:space="0" w:color="auto"/>
      </w:divBdr>
    </w:div>
    <w:div w:id="893467905">
      <w:bodyDiv w:val="1"/>
      <w:marLeft w:val="0"/>
      <w:marRight w:val="0"/>
      <w:marTop w:val="0"/>
      <w:marBottom w:val="0"/>
      <w:divBdr>
        <w:top w:val="none" w:sz="0" w:space="0" w:color="auto"/>
        <w:left w:val="none" w:sz="0" w:space="0" w:color="auto"/>
        <w:bottom w:val="none" w:sz="0" w:space="0" w:color="auto"/>
        <w:right w:val="none" w:sz="0" w:space="0" w:color="auto"/>
      </w:divBdr>
    </w:div>
    <w:div w:id="909118072">
      <w:bodyDiv w:val="1"/>
      <w:marLeft w:val="0"/>
      <w:marRight w:val="0"/>
      <w:marTop w:val="0"/>
      <w:marBottom w:val="0"/>
      <w:divBdr>
        <w:top w:val="none" w:sz="0" w:space="0" w:color="auto"/>
        <w:left w:val="none" w:sz="0" w:space="0" w:color="auto"/>
        <w:bottom w:val="none" w:sz="0" w:space="0" w:color="auto"/>
        <w:right w:val="none" w:sz="0" w:space="0" w:color="auto"/>
      </w:divBdr>
    </w:div>
    <w:div w:id="912395135">
      <w:bodyDiv w:val="1"/>
      <w:marLeft w:val="0"/>
      <w:marRight w:val="0"/>
      <w:marTop w:val="0"/>
      <w:marBottom w:val="0"/>
      <w:divBdr>
        <w:top w:val="none" w:sz="0" w:space="0" w:color="auto"/>
        <w:left w:val="none" w:sz="0" w:space="0" w:color="auto"/>
        <w:bottom w:val="none" w:sz="0" w:space="0" w:color="auto"/>
        <w:right w:val="none" w:sz="0" w:space="0" w:color="auto"/>
      </w:divBdr>
    </w:div>
    <w:div w:id="926379808">
      <w:bodyDiv w:val="1"/>
      <w:marLeft w:val="0"/>
      <w:marRight w:val="0"/>
      <w:marTop w:val="0"/>
      <w:marBottom w:val="0"/>
      <w:divBdr>
        <w:top w:val="none" w:sz="0" w:space="0" w:color="auto"/>
        <w:left w:val="none" w:sz="0" w:space="0" w:color="auto"/>
        <w:bottom w:val="none" w:sz="0" w:space="0" w:color="auto"/>
        <w:right w:val="none" w:sz="0" w:space="0" w:color="auto"/>
      </w:divBdr>
    </w:div>
    <w:div w:id="926618207">
      <w:bodyDiv w:val="1"/>
      <w:marLeft w:val="0"/>
      <w:marRight w:val="0"/>
      <w:marTop w:val="0"/>
      <w:marBottom w:val="0"/>
      <w:divBdr>
        <w:top w:val="none" w:sz="0" w:space="0" w:color="auto"/>
        <w:left w:val="none" w:sz="0" w:space="0" w:color="auto"/>
        <w:bottom w:val="none" w:sz="0" w:space="0" w:color="auto"/>
        <w:right w:val="none" w:sz="0" w:space="0" w:color="auto"/>
      </w:divBdr>
    </w:div>
    <w:div w:id="939331949">
      <w:bodyDiv w:val="1"/>
      <w:marLeft w:val="0"/>
      <w:marRight w:val="0"/>
      <w:marTop w:val="0"/>
      <w:marBottom w:val="0"/>
      <w:divBdr>
        <w:top w:val="none" w:sz="0" w:space="0" w:color="auto"/>
        <w:left w:val="none" w:sz="0" w:space="0" w:color="auto"/>
        <w:bottom w:val="none" w:sz="0" w:space="0" w:color="auto"/>
        <w:right w:val="none" w:sz="0" w:space="0" w:color="auto"/>
      </w:divBdr>
    </w:div>
    <w:div w:id="948777180">
      <w:bodyDiv w:val="1"/>
      <w:marLeft w:val="0"/>
      <w:marRight w:val="0"/>
      <w:marTop w:val="0"/>
      <w:marBottom w:val="0"/>
      <w:divBdr>
        <w:top w:val="none" w:sz="0" w:space="0" w:color="auto"/>
        <w:left w:val="none" w:sz="0" w:space="0" w:color="auto"/>
        <w:bottom w:val="none" w:sz="0" w:space="0" w:color="auto"/>
        <w:right w:val="none" w:sz="0" w:space="0" w:color="auto"/>
      </w:divBdr>
    </w:div>
    <w:div w:id="955133936">
      <w:bodyDiv w:val="1"/>
      <w:marLeft w:val="0"/>
      <w:marRight w:val="0"/>
      <w:marTop w:val="0"/>
      <w:marBottom w:val="0"/>
      <w:divBdr>
        <w:top w:val="none" w:sz="0" w:space="0" w:color="auto"/>
        <w:left w:val="none" w:sz="0" w:space="0" w:color="auto"/>
        <w:bottom w:val="none" w:sz="0" w:space="0" w:color="auto"/>
        <w:right w:val="none" w:sz="0" w:space="0" w:color="auto"/>
      </w:divBdr>
    </w:div>
    <w:div w:id="957251129">
      <w:bodyDiv w:val="1"/>
      <w:marLeft w:val="0"/>
      <w:marRight w:val="0"/>
      <w:marTop w:val="0"/>
      <w:marBottom w:val="0"/>
      <w:divBdr>
        <w:top w:val="none" w:sz="0" w:space="0" w:color="auto"/>
        <w:left w:val="none" w:sz="0" w:space="0" w:color="auto"/>
        <w:bottom w:val="none" w:sz="0" w:space="0" w:color="auto"/>
        <w:right w:val="none" w:sz="0" w:space="0" w:color="auto"/>
      </w:divBdr>
    </w:div>
    <w:div w:id="979918877">
      <w:bodyDiv w:val="1"/>
      <w:marLeft w:val="0"/>
      <w:marRight w:val="0"/>
      <w:marTop w:val="0"/>
      <w:marBottom w:val="0"/>
      <w:divBdr>
        <w:top w:val="none" w:sz="0" w:space="0" w:color="auto"/>
        <w:left w:val="none" w:sz="0" w:space="0" w:color="auto"/>
        <w:bottom w:val="none" w:sz="0" w:space="0" w:color="auto"/>
        <w:right w:val="none" w:sz="0" w:space="0" w:color="auto"/>
      </w:divBdr>
    </w:div>
    <w:div w:id="999311940">
      <w:bodyDiv w:val="1"/>
      <w:marLeft w:val="0"/>
      <w:marRight w:val="0"/>
      <w:marTop w:val="0"/>
      <w:marBottom w:val="0"/>
      <w:divBdr>
        <w:top w:val="none" w:sz="0" w:space="0" w:color="auto"/>
        <w:left w:val="none" w:sz="0" w:space="0" w:color="auto"/>
        <w:bottom w:val="none" w:sz="0" w:space="0" w:color="auto"/>
        <w:right w:val="none" w:sz="0" w:space="0" w:color="auto"/>
      </w:divBdr>
    </w:div>
    <w:div w:id="1007056082">
      <w:bodyDiv w:val="1"/>
      <w:marLeft w:val="0"/>
      <w:marRight w:val="0"/>
      <w:marTop w:val="0"/>
      <w:marBottom w:val="0"/>
      <w:divBdr>
        <w:top w:val="none" w:sz="0" w:space="0" w:color="auto"/>
        <w:left w:val="none" w:sz="0" w:space="0" w:color="auto"/>
        <w:bottom w:val="none" w:sz="0" w:space="0" w:color="auto"/>
        <w:right w:val="none" w:sz="0" w:space="0" w:color="auto"/>
      </w:divBdr>
      <w:divsChild>
        <w:div w:id="2050907814">
          <w:marLeft w:val="0"/>
          <w:marRight w:val="0"/>
          <w:marTop w:val="0"/>
          <w:marBottom w:val="0"/>
          <w:divBdr>
            <w:top w:val="none" w:sz="0" w:space="0" w:color="auto"/>
            <w:left w:val="none" w:sz="0" w:space="0" w:color="auto"/>
            <w:bottom w:val="none" w:sz="0" w:space="0" w:color="auto"/>
            <w:right w:val="none" w:sz="0" w:space="0" w:color="auto"/>
          </w:divBdr>
          <w:divsChild>
            <w:div w:id="1408304395">
              <w:marLeft w:val="0"/>
              <w:marRight w:val="0"/>
              <w:marTop w:val="0"/>
              <w:marBottom w:val="0"/>
              <w:divBdr>
                <w:top w:val="none" w:sz="0" w:space="0" w:color="auto"/>
                <w:left w:val="none" w:sz="0" w:space="0" w:color="auto"/>
                <w:bottom w:val="none" w:sz="0" w:space="0" w:color="auto"/>
                <w:right w:val="none" w:sz="0" w:space="0" w:color="auto"/>
              </w:divBdr>
              <w:divsChild>
                <w:div w:id="247078449">
                  <w:marLeft w:val="0"/>
                  <w:marRight w:val="0"/>
                  <w:marTop w:val="0"/>
                  <w:marBottom w:val="0"/>
                  <w:divBdr>
                    <w:top w:val="none" w:sz="0" w:space="0" w:color="auto"/>
                    <w:left w:val="none" w:sz="0" w:space="0" w:color="auto"/>
                    <w:bottom w:val="none" w:sz="0" w:space="0" w:color="auto"/>
                    <w:right w:val="none" w:sz="0" w:space="0" w:color="auto"/>
                  </w:divBdr>
                  <w:divsChild>
                    <w:div w:id="899555264">
                      <w:marLeft w:val="0"/>
                      <w:marRight w:val="0"/>
                      <w:marTop w:val="0"/>
                      <w:marBottom w:val="0"/>
                      <w:divBdr>
                        <w:top w:val="none" w:sz="0" w:space="0" w:color="auto"/>
                        <w:left w:val="none" w:sz="0" w:space="0" w:color="auto"/>
                        <w:bottom w:val="none" w:sz="0" w:space="0" w:color="auto"/>
                        <w:right w:val="none" w:sz="0" w:space="0" w:color="auto"/>
                      </w:divBdr>
                      <w:divsChild>
                        <w:div w:id="1241912449">
                          <w:marLeft w:val="0"/>
                          <w:marRight w:val="0"/>
                          <w:marTop w:val="0"/>
                          <w:marBottom w:val="0"/>
                          <w:divBdr>
                            <w:top w:val="none" w:sz="0" w:space="0" w:color="auto"/>
                            <w:left w:val="none" w:sz="0" w:space="0" w:color="auto"/>
                            <w:bottom w:val="none" w:sz="0" w:space="0" w:color="auto"/>
                            <w:right w:val="none" w:sz="0" w:space="0" w:color="auto"/>
                          </w:divBdr>
                          <w:divsChild>
                            <w:div w:id="253982263">
                              <w:marLeft w:val="0"/>
                              <w:marRight w:val="0"/>
                              <w:marTop w:val="0"/>
                              <w:marBottom w:val="0"/>
                              <w:divBdr>
                                <w:top w:val="none" w:sz="0" w:space="0" w:color="auto"/>
                                <w:left w:val="none" w:sz="0" w:space="0" w:color="auto"/>
                                <w:bottom w:val="none" w:sz="0" w:space="0" w:color="auto"/>
                                <w:right w:val="none" w:sz="0" w:space="0" w:color="auto"/>
                              </w:divBdr>
                              <w:divsChild>
                                <w:div w:id="416096779">
                                  <w:marLeft w:val="0"/>
                                  <w:marRight w:val="0"/>
                                  <w:marTop w:val="0"/>
                                  <w:marBottom w:val="0"/>
                                  <w:divBdr>
                                    <w:top w:val="none" w:sz="0" w:space="0" w:color="auto"/>
                                    <w:left w:val="none" w:sz="0" w:space="0" w:color="auto"/>
                                    <w:bottom w:val="none" w:sz="0" w:space="0" w:color="auto"/>
                                    <w:right w:val="none" w:sz="0" w:space="0" w:color="auto"/>
                                  </w:divBdr>
                                  <w:divsChild>
                                    <w:div w:id="276103492">
                                      <w:marLeft w:val="0"/>
                                      <w:marRight w:val="0"/>
                                      <w:marTop w:val="0"/>
                                      <w:marBottom w:val="0"/>
                                      <w:divBdr>
                                        <w:top w:val="none" w:sz="0" w:space="0" w:color="auto"/>
                                        <w:left w:val="none" w:sz="0" w:space="0" w:color="auto"/>
                                        <w:bottom w:val="none" w:sz="0" w:space="0" w:color="auto"/>
                                        <w:right w:val="none" w:sz="0" w:space="0" w:color="auto"/>
                                      </w:divBdr>
                                      <w:divsChild>
                                        <w:div w:id="3267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975215">
      <w:bodyDiv w:val="1"/>
      <w:marLeft w:val="0"/>
      <w:marRight w:val="0"/>
      <w:marTop w:val="0"/>
      <w:marBottom w:val="0"/>
      <w:divBdr>
        <w:top w:val="none" w:sz="0" w:space="0" w:color="auto"/>
        <w:left w:val="none" w:sz="0" w:space="0" w:color="auto"/>
        <w:bottom w:val="none" w:sz="0" w:space="0" w:color="auto"/>
        <w:right w:val="none" w:sz="0" w:space="0" w:color="auto"/>
      </w:divBdr>
    </w:div>
    <w:div w:id="1010331668">
      <w:bodyDiv w:val="1"/>
      <w:marLeft w:val="0"/>
      <w:marRight w:val="0"/>
      <w:marTop w:val="0"/>
      <w:marBottom w:val="0"/>
      <w:divBdr>
        <w:top w:val="none" w:sz="0" w:space="0" w:color="auto"/>
        <w:left w:val="none" w:sz="0" w:space="0" w:color="auto"/>
        <w:bottom w:val="none" w:sz="0" w:space="0" w:color="auto"/>
        <w:right w:val="none" w:sz="0" w:space="0" w:color="auto"/>
      </w:divBdr>
    </w:div>
    <w:div w:id="1024479338">
      <w:bodyDiv w:val="1"/>
      <w:marLeft w:val="0"/>
      <w:marRight w:val="0"/>
      <w:marTop w:val="0"/>
      <w:marBottom w:val="0"/>
      <w:divBdr>
        <w:top w:val="none" w:sz="0" w:space="0" w:color="auto"/>
        <w:left w:val="none" w:sz="0" w:space="0" w:color="auto"/>
        <w:bottom w:val="none" w:sz="0" w:space="0" w:color="auto"/>
        <w:right w:val="none" w:sz="0" w:space="0" w:color="auto"/>
      </w:divBdr>
    </w:div>
    <w:div w:id="1026054254">
      <w:bodyDiv w:val="1"/>
      <w:marLeft w:val="0"/>
      <w:marRight w:val="0"/>
      <w:marTop w:val="0"/>
      <w:marBottom w:val="0"/>
      <w:divBdr>
        <w:top w:val="none" w:sz="0" w:space="0" w:color="auto"/>
        <w:left w:val="none" w:sz="0" w:space="0" w:color="auto"/>
        <w:bottom w:val="none" w:sz="0" w:space="0" w:color="auto"/>
        <w:right w:val="none" w:sz="0" w:space="0" w:color="auto"/>
      </w:divBdr>
    </w:div>
    <w:div w:id="1038049347">
      <w:bodyDiv w:val="1"/>
      <w:marLeft w:val="0"/>
      <w:marRight w:val="0"/>
      <w:marTop w:val="0"/>
      <w:marBottom w:val="0"/>
      <w:divBdr>
        <w:top w:val="none" w:sz="0" w:space="0" w:color="auto"/>
        <w:left w:val="none" w:sz="0" w:space="0" w:color="auto"/>
        <w:bottom w:val="none" w:sz="0" w:space="0" w:color="auto"/>
        <w:right w:val="none" w:sz="0" w:space="0" w:color="auto"/>
      </w:divBdr>
    </w:div>
    <w:div w:id="1061561580">
      <w:bodyDiv w:val="1"/>
      <w:marLeft w:val="0"/>
      <w:marRight w:val="0"/>
      <w:marTop w:val="0"/>
      <w:marBottom w:val="0"/>
      <w:divBdr>
        <w:top w:val="none" w:sz="0" w:space="0" w:color="auto"/>
        <w:left w:val="none" w:sz="0" w:space="0" w:color="auto"/>
        <w:bottom w:val="none" w:sz="0" w:space="0" w:color="auto"/>
        <w:right w:val="none" w:sz="0" w:space="0" w:color="auto"/>
      </w:divBdr>
    </w:div>
    <w:div w:id="1069304254">
      <w:bodyDiv w:val="1"/>
      <w:marLeft w:val="0"/>
      <w:marRight w:val="0"/>
      <w:marTop w:val="0"/>
      <w:marBottom w:val="0"/>
      <w:divBdr>
        <w:top w:val="none" w:sz="0" w:space="0" w:color="auto"/>
        <w:left w:val="none" w:sz="0" w:space="0" w:color="auto"/>
        <w:bottom w:val="none" w:sz="0" w:space="0" w:color="auto"/>
        <w:right w:val="none" w:sz="0" w:space="0" w:color="auto"/>
      </w:divBdr>
    </w:div>
    <w:div w:id="1070809686">
      <w:bodyDiv w:val="1"/>
      <w:marLeft w:val="0"/>
      <w:marRight w:val="0"/>
      <w:marTop w:val="0"/>
      <w:marBottom w:val="0"/>
      <w:divBdr>
        <w:top w:val="none" w:sz="0" w:space="0" w:color="auto"/>
        <w:left w:val="none" w:sz="0" w:space="0" w:color="auto"/>
        <w:bottom w:val="none" w:sz="0" w:space="0" w:color="auto"/>
        <w:right w:val="none" w:sz="0" w:space="0" w:color="auto"/>
      </w:divBdr>
    </w:div>
    <w:div w:id="1078406765">
      <w:bodyDiv w:val="1"/>
      <w:marLeft w:val="0"/>
      <w:marRight w:val="0"/>
      <w:marTop w:val="0"/>
      <w:marBottom w:val="0"/>
      <w:divBdr>
        <w:top w:val="none" w:sz="0" w:space="0" w:color="auto"/>
        <w:left w:val="none" w:sz="0" w:space="0" w:color="auto"/>
        <w:bottom w:val="none" w:sz="0" w:space="0" w:color="auto"/>
        <w:right w:val="none" w:sz="0" w:space="0" w:color="auto"/>
      </w:divBdr>
    </w:div>
    <w:div w:id="1080905001">
      <w:bodyDiv w:val="1"/>
      <w:marLeft w:val="0"/>
      <w:marRight w:val="0"/>
      <w:marTop w:val="0"/>
      <w:marBottom w:val="0"/>
      <w:divBdr>
        <w:top w:val="none" w:sz="0" w:space="0" w:color="auto"/>
        <w:left w:val="none" w:sz="0" w:space="0" w:color="auto"/>
        <w:bottom w:val="none" w:sz="0" w:space="0" w:color="auto"/>
        <w:right w:val="none" w:sz="0" w:space="0" w:color="auto"/>
      </w:divBdr>
    </w:div>
    <w:div w:id="1087312507">
      <w:bodyDiv w:val="1"/>
      <w:marLeft w:val="0"/>
      <w:marRight w:val="0"/>
      <w:marTop w:val="0"/>
      <w:marBottom w:val="0"/>
      <w:divBdr>
        <w:top w:val="none" w:sz="0" w:space="0" w:color="auto"/>
        <w:left w:val="none" w:sz="0" w:space="0" w:color="auto"/>
        <w:bottom w:val="none" w:sz="0" w:space="0" w:color="auto"/>
        <w:right w:val="none" w:sz="0" w:space="0" w:color="auto"/>
      </w:divBdr>
    </w:div>
    <w:div w:id="1102527457">
      <w:bodyDiv w:val="1"/>
      <w:marLeft w:val="0"/>
      <w:marRight w:val="0"/>
      <w:marTop w:val="0"/>
      <w:marBottom w:val="0"/>
      <w:divBdr>
        <w:top w:val="none" w:sz="0" w:space="0" w:color="auto"/>
        <w:left w:val="none" w:sz="0" w:space="0" w:color="auto"/>
        <w:bottom w:val="none" w:sz="0" w:space="0" w:color="auto"/>
        <w:right w:val="none" w:sz="0" w:space="0" w:color="auto"/>
      </w:divBdr>
    </w:div>
    <w:div w:id="1114668471">
      <w:bodyDiv w:val="1"/>
      <w:marLeft w:val="0"/>
      <w:marRight w:val="0"/>
      <w:marTop w:val="0"/>
      <w:marBottom w:val="0"/>
      <w:divBdr>
        <w:top w:val="none" w:sz="0" w:space="0" w:color="auto"/>
        <w:left w:val="none" w:sz="0" w:space="0" w:color="auto"/>
        <w:bottom w:val="none" w:sz="0" w:space="0" w:color="auto"/>
        <w:right w:val="none" w:sz="0" w:space="0" w:color="auto"/>
      </w:divBdr>
    </w:div>
    <w:div w:id="1115976627">
      <w:bodyDiv w:val="1"/>
      <w:marLeft w:val="0"/>
      <w:marRight w:val="0"/>
      <w:marTop w:val="0"/>
      <w:marBottom w:val="0"/>
      <w:divBdr>
        <w:top w:val="none" w:sz="0" w:space="0" w:color="auto"/>
        <w:left w:val="none" w:sz="0" w:space="0" w:color="auto"/>
        <w:bottom w:val="none" w:sz="0" w:space="0" w:color="auto"/>
        <w:right w:val="none" w:sz="0" w:space="0" w:color="auto"/>
      </w:divBdr>
    </w:div>
    <w:div w:id="1137070184">
      <w:bodyDiv w:val="1"/>
      <w:marLeft w:val="0"/>
      <w:marRight w:val="0"/>
      <w:marTop w:val="0"/>
      <w:marBottom w:val="0"/>
      <w:divBdr>
        <w:top w:val="none" w:sz="0" w:space="0" w:color="auto"/>
        <w:left w:val="none" w:sz="0" w:space="0" w:color="auto"/>
        <w:bottom w:val="none" w:sz="0" w:space="0" w:color="auto"/>
        <w:right w:val="none" w:sz="0" w:space="0" w:color="auto"/>
      </w:divBdr>
    </w:div>
    <w:div w:id="1142625626">
      <w:bodyDiv w:val="1"/>
      <w:marLeft w:val="0"/>
      <w:marRight w:val="0"/>
      <w:marTop w:val="0"/>
      <w:marBottom w:val="0"/>
      <w:divBdr>
        <w:top w:val="none" w:sz="0" w:space="0" w:color="auto"/>
        <w:left w:val="none" w:sz="0" w:space="0" w:color="auto"/>
        <w:bottom w:val="none" w:sz="0" w:space="0" w:color="auto"/>
        <w:right w:val="none" w:sz="0" w:space="0" w:color="auto"/>
      </w:divBdr>
    </w:div>
    <w:div w:id="1148136242">
      <w:bodyDiv w:val="1"/>
      <w:marLeft w:val="0"/>
      <w:marRight w:val="0"/>
      <w:marTop w:val="0"/>
      <w:marBottom w:val="0"/>
      <w:divBdr>
        <w:top w:val="none" w:sz="0" w:space="0" w:color="auto"/>
        <w:left w:val="none" w:sz="0" w:space="0" w:color="auto"/>
        <w:bottom w:val="none" w:sz="0" w:space="0" w:color="auto"/>
        <w:right w:val="none" w:sz="0" w:space="0" w:color="auto"/>
      </w:divBdr>
    </w:div>
    <w:div w:id="1150243495">
      <w:bodyDiv w:val="1"/>
      <w:marLeft w:val="0"/>
      <w:marRight w:val="0"/>
      <w:marTop w:val="0"/>
      <w:marBottom w:val="0"/>
      <w:divBdr>
        <w:top w:val="none" w:sz="0" w:space="0" w:color="auto"/>
        <w:left w:val="none" w:sz="0" w:space="0" w:color="auto"/>
        <w:bottom w:val="none" w:sz="0" w:space="0" w:color="auto"/>
        <w:right w:val="none" w:sz="0" w:space="0" w:color="auto"/>
      </w:divBdr>
    </w:div>
    <w:div w:id="1150901770">
      <w:bodyDiv w:val="1"/>
      <w:marLeft w:val="0"/>
      <w:marRight w:val="0"/>
      <w:marTop w:val="0"/>
      <w:marBottom w:val="0"/>
      <w:divBdr>
        <w:top w:val="none" w:sz="0" w:space="0" w:color="auto"/>
        <w:left w:val="none" w:sz="0" w:space="0" w:color="auto"/>
        <w:bottom w:val="none" w:sz="0" w:space="0" w:color="auto"/>
        <w:right w:val="none" w:sz="0" w:space="0" w:color="auto"/>
      </w:divBdr>
    </w:div>
    <w:div w:id="1150974875">
      <w:bodyDiv w:val="1"/>
      <w:marLeft w:val="0"/>
      <w:marRight w:val="0"/>
      <w:marTop w:val="0"/>
      <w:marBottom w:val="0"/>
      <w:divBdr>
        <w:top w:val="none" w:sz="0" w:space="0" w:color="auto"/>
        <w:left w:val="none" w:sz="0" w:space="0" w:color="auto"/>
        <w:bottom w:val="none" w:sz="0" w:space="0" w:color="auto"/>
        <w:right w:val="none" w:sz="0" w:space="0" w:color="auto"/>
      </w:divBdr>
    </w:div>
    <w:div w:id="1158112149">
      <w:bodyDiv w:val="1"/>
      <w:marLeft w:val="0"/>
      <w:marRight w:val="0"/>
      <w:marTop w:val="0"/>
      <w:marBottom w:val="0"/>
      <w:divBdr>
        <w:top w:val="none" w:sz="0" w:space="0" w:color="auto"/>
        <w:left w:val="none" w:sz="0" w:space="0" w:color="auto"/>
        <w:bottom w:val="none" w:sz="0" w:space="0" w:color="auto"/>
        <w:right w:val="none" w:sz="0" w:space="0" w:color="auto"/>
      </w:divBdr>
    </w:div>
    <w:div w:id="1160385674">
      <w:bodyDiv w:val="1"/>
      <w:marLeft w:val="0"/>
      <w:marRight w:val="0"/>
      <w:marTop w:val="0"/>
      <w:marBottom w:val="0"/>
      <w:divBdr>
        <w:top w:val="none" w:sz="0" w:space="0" w:color="auto"/>
        <w:left w:val="none" w:sz="0" w:space="0" w:color="auto"/>
        <w:bottom w:val="none" w:sz="0" w:space="0" w:color="auto"/>
        <w:right w:val="none" w:sz="0" w:space="0" w:color="auto"/>
      </w:divBdr>
    </w:div>
    <w:div w:id="1173108201">
      <w:bodyDiv w:val="1"/>
      <w:marLeft w:val="0"/>
      <w:marRight w:val="0"/>
      <w:marTop w:val="0"/>
      <w:marBottom w:val="0"/>
      <w:divBdr>
        <w:top w:val="none" w:sz="0" w:space="0" w:color="auto"/>
        <w:left w:val="none" w:sz="0" w:space="0" w:color="auto"/>
        <w:bottom w:val="none" w:sz="0" w:space="0" w:color="auto"/>
        <w:right w:val="none" w:sz="0" w:space="0" w:color="auto"/>
      </w:divBdr>
    </w:div>
    <w:div w:id="1178692923">
      <w:bodyDiv w:val="1"/>
      <w:marLeft w:val="0"/>
      <w:marRight w:val="0"/>
      <w:marTop w:val="0"/>
      <w:marBottom w:val="0"/>
      <w:divBdr>
        <w:top w:val="none" w:sz="0" w:space="0" w:color="auto"/>
        <w:left w:val="none" w:sz="0" w:space="0" w:color="auto"/>
        <w:bottom w:val="none" w:sz="0" w:space="0" w:color="auto"/>
        <w:right w:val="none" w:sz="0" w:space="0" w:color="auto"/>
      </w:divBdr>
    </w:div>
    <w:div w:id="1187332530">
      <w:bodyDiv w:val="1"/>
      <w:marLeft w:val="0"/>
      <w:marRight w:val="0"/>
      <w:marTop w:val="0"/>
      <w:marBottom w:val="0"/>
      <w:divBdr>
        <w:top w:val="none" w:sz="0" w:space="0" w:color="auto"/>
        <w:left w:val="none" w:sz="0" w:space="0" w:color="auto"/>
        <w:bottom w:val="none" w:sz="0" w:space="0" w:color="auto"/>
        <w:right w:val="none" w:sz="0" w:space="0" w:color="auto"/>
      </w:divBdr>
    </w:div>
    <w:div w:id="1196625309">
      <w:bodyDiv w:val="1"/>
      <w:marLeft w:val="0"/>
      <w:marRight w:val="0"/>
      <w:marTop w:val="0"/>
      <w:marBottom w:val="0"/>
      <w:divBdr>
        <w:top w:val="none" w:sz="0" w:space="0" w:color="auto"/>
        <w:left w:val="none" w:sz="0" w:space="0" w:color="auto"/>
        <w:bottom w:val="none" w:sz="0" w:space="0" w:color="auto"/>
        <w:right w:val="none" w:sz="0" w:space="0" w:color="auto"/>
      </w:divBdr>
    </w:div>
    <w:div w:id="1196891602">
      <w:bodyDiv w:val="1"/>
      <w:marLeft w:val="0"/>
      <w:marRight w:val="0"/>
      <w:marTop w:val="0"/>
      <w:marBottom w:val="0"/>
      <w:divBdr>
        <w:top w:val="none" w:sz="0" w:space="0" w:color="auto"/>
        <w:left w:val="none" w:sz="0" w:space="0" w:color="auto"/>
        <w:bottom w:val="none" w:sz="0" w:space="0" w:color="auto"/>
        <w:right w:val="none" w:sz="0" w:space="0" w:color="auto"/>
      </w:divBdr>
    </w:div>
    <w:div w:id="1200170709">
      <w:bodyDiv w:val="1"/>
      <w:marLeft w:val="0"/>
      <w:marRight w:val="0"/>
      <w:marTop w:val="0"/>
      <w:marBottom w:val="0"/>
      <w:divBdr>
        <w:top w:val="none" w:sz="0" w:space="0" w:color="auto"/>
        <w:left w:val="none" w:sz="0" w:space="0" w:color="auto"/>
        <w:bottom w:val="none" w:sz="0" w:space="0" w:color="auto"/>
        <w:right w:val="none" w:sz="0" w:space="0" w:color="auto"/>
      </w:divBdr>
    </w:div>
    <w:div w:id="1201434468">
      <w:bodyDiv w:val="1"/>
      <w:marLeft w:val="0"/>
      <w:marRight w:val="0"/>
      <w:marTop w:val="0"/>
      <w:marBottom w:val="0"/>
      <w:divBdr>
        <w:top w:val="none" w:sz="0" w:space="0" w:color="auto"/>
        <w:left w:val="none" w:sz="0" w:space="0" w:color="auto"/>
        <w:bottom w:val="none" w:sz="0" w:space="0" w:color="auto"/>
        <w:right w:val="none" w:sz="0" w:space="0" w:color="auto"/>
      </w:divBdr>
    </w:div>
    <w:div w:id="1210533479">
      <w:bodyDiv w:val="1"/>
      <w:marLeft w:val="0"/>
      <w:marRight w:val="0"/>
      <w:marTop w:val="0"/>
      <w:marBottom w:val="0"/>
      <w:divBdr>
        <w:top w:val="none" w:sz="0" w:space="0" w:color="auto"/>
        <w:left w:val="none" w:sz="0" w:space="0" w:color="auto"/>
        <w:bottom w:val="none" w:sz="0" w:space="0" w:color="auto"/>
        <w:right w:val="none" w:sz="0" w:space="0" w:color="auto"/>
      </w:divBdr>
    </w:div>
    <w:div w:id="1214541508">
      <w:bodyDiv w:val="1"/>
      <w:marLeft w:val="0"/>
      <w:marRight w:val="0"/>
      <w:marTop w:val="0"/>
      <w:marBottom w:val="0"/>
      <w:divBdr>
        <w:top w:val="none" w:sz="0" w:space="0" w:color="auto"/>
        <w:left w:val="none" w:sz="0" w:space="0" w:color="auto"/>
        <w:bottom w:val="none" w:sz="0" w:space="0" w:color="auto"/>
        <w:right w:val="none" w:sz="0" w:space="0" w:color="auto"/>
      </w:divBdr>
    </w:div>
    <w:div w:id="1229421077">
      <w:bodyDiv w:val="1"/>
      <w:marLeft w:val="0"/>
      <w:marRight w:val="0"/>
      <w:marTop w:val="0"/>
      <w:marBottom w:val="0"/>
      <w:divBdr>
        <w:top w:val="none" w:sz="0" w:space="0" w:color="auto"/>
        <w:left w:val="none" w:sz="0" w:space="0" w:color="auto"/>
        <w:bottom w:val="none" w:sz="0" w:space="0" w:color="auto"/>
        <w:right w:val="none" w:sz="0" w:space="0" w:color="auto"/>
      </w:divBdr>
      <w:divsChild>
        <w:div w:id="1483422876">
          <w:marLeft w:val="1166"/>
          <w:marRight w:val="0"/>
          <w:marTop w:val="96"/>
          <w:marBottom w:val="0"/>
          <w:divBdr>
            <w:top w:val="none" w:sz="0" w:space="0" w:color="auto"/>
            <w:left w:val="none" w:sz="0" w:space="0" w:color="auto"/>
            <w:bottom w:val="none" w:sz="0" w:space="0" w:color="auto"/>
            <w:right w:val="none" w:sz="0" w:space="0" w:color="auto"/>
          </w:divBdr>
        </w:div>
      </w:divsChild>
    </w:div>
    <w:div w:id="1230728235">
      <w:bodyDiv w:val="1"/>
      <w:marLeft w:val="0"/>
      <w:marRight w:val="0"/>
      <w:marTop w:val="0"/>
      <w:marBottom w:val="0"/>
      <w:divBdr>
        <w:top w:val="none" w:sz="0" w:space="0" w:color="auto"/>
        <w:left w:val="none" w:sz="0" w:space="0" w:color="auto"/>
        <w:bottom w:val="none" w:sz="0" w:space="0" w:color="auto"/>
        <w:right w:val="none" w:sz="0" w:space="0" w:color="auto"/>
      </w:divBdr>
    </w:div>
    <w:div w:id="1237014195">
      <w:bodyDiv w:val="1"/>
      <w:marLeft w:val="0"/>
      <w:marRight w:val="0"/>
      <w:marTop w:val="0"/>
      <w:marBottom w:val="0"/>
      <w:divBdr>
        <w:top w:val="none" w:sz="0" w:space="0" w:color="auto"/>
        <w:left w:val="none" w:sz="0" w:space="0" w:color="auto"/>
        <w:bottom w:val="none" w:sz="0" w:space="0" w:color="auto"/>
        <w:right w:val="none" w:sz="0" w:space="0" w:color="auto"/>
      </w:divBdr>
    </w:div>
    <w:div w:id="1238902910">
      <w:bodyDiv w:val="1"/>
      <w:marLeft w:val="0"/>
      <w:marRight w:val="0"/>
      <w:marTop w:val="0"/>
      <w:marBottom w:val="0"/>
      <w:divBdr>
        <w:top w:val="none" w:sz="0" w:space="0" w:color="auto"/>
        <w:left w:val="none" w:sz="0" w:space="0" w:color="auto"/>
        <w:bottom w:val="none" w:sz="0" w:space="0" w:color="auto"/>
        <w:right w:val="none" w:sz="0" w:space="0" w:color="auto"/>
      </w:divBdr>
    </w:div>
    <w:div w:id="1245721525">
      <w:bodyDiv w:val="1"/>
      <w:marLeft w:val="0"/>
      <w:marRight w:val="0"/>
      <w:marTop w:val="0"/>
      <w:marBottom w:val="0"/>
      <w:divBdr>
        <w:top w:val="none" w:sz="0" w:space="0" w:color="auto"/>
        <w:left w:val="none" w:sz="0" w:space="0" w:color="auto"/>
        <w:bottom w:val="none" w:sz="0" w:space="0" w:color="auto"/>
        <w:right w:val="none" w:sz="0" w:space="0" w:color="auto"/>
      </w:divBdr>
    </w:div>
    <w:div w:id="1254972697">
      <w:bodyDiv w:val="1"/>
      <w:marLeft w:val="0"/>
      <w:marRight w:val="0"/>
      <w:marTop w:val="0"/>
      <w:marBottom w:val="0"/>
      <w:divBdr>
        <w:top w:val="none" w:sz="0" w:space="0" w:color="auto"/>
        <w:left w:val="none" w:sz="0" w:space="0" w:color="auto"/>
        <w:bottom w:val="none" w:sz="0" w:space="0" w:color="auto"/>
        <w:right w:val="none" w:sz="0" w:space="0" w:color="auto"/>
      </w:divBdr>
    </w:div>
    <w:div w:id="1308391307">
      <w:bodyDiv w:val="1"/>
      <w:marLeft w:val="0"/>
      <w:marRight w:val="0"/>
      <w:marTop w:val="0"/>
      <w:marBottom w:val="0"/>
      <w:divBdr>
        <w:top w:val="none" w:sz="0" w:space="0" w:color="auto"/>
        <w:left w:val="none" w:sz="0" w:space="0" w:color="auto"/>
        <w:bottom w:val="none" w:sz="0" w:space="0" w:color="auto"/>
        <w:right w:val="none" w:sz="0" w:space="0" w:color="auto"/>
      </w:divBdr>
    </w:div>
    <w:div w:id="1310861023">
      <w:bodyDiv w:val="1"/>
      <w:marLeft w:val="0"/>
      <w:marRight w:val="0"/>
      <w:marTop w:val="0"/>
      <w:marBottom w:val="0"/>
      <w:divBdr>
        <w:top w:val="none" w:sz="0" w:space="0" w:color="auto"/>
        <w:left w:val="none" w:sz="0" w:space="0" w:color="auto"/>
        <w:bottom w:val="none" w:sz="0" w:space="0" w:color="auto"/>
        <w:right w:val="none" w:sz="0" w:space="0" w:color="auto"/>
      </w:divBdr>
    </w:div>
    <w:div w:id="1314212430">
      <w:bodyDiv w:val="1"/>
      <w:marLeft w:val="0"/>
      <w:marRight w:val="0"/>
      <w:marTop w:val="0"/>
      <w:marBottom w:val="0"/>
      <w:divBdr>
        <w:top w:val="none" w:sz="0" w:space="0" w:color="auto"/>
        <w:left w:val="none" w:sz="0" w:space="0" w:color="auto"/>
        <w:bottom w:val="none" w:sz="0" w:space="0" w:color="auto"/>
        <w:right w:val="none" w:sz="0" w:space="0" w:color="auto"/>
      </w:divBdr>
    </w:div>
    <w:div w:id="1316448189">
      <w:bodyDiv w:val="1"/>
      <w:marLeft w:val="0"/>
      <w:marRight w:val="0"/>
      <w:marTop w:val="0"/>
      <w:marBottom w:val="0"/>
      <w:divBdr>
        <w:top w:val="none" w:sz="0" w:space="0" w:color="auto"/>
        <w:left w:val="none" w:sz="0" w:space="0" w:color="auto"/>
        <w:bottom w:val="none" w:sz="0" w:space="0" w:color="auto"/>
        <w:right w:val="none" w:sz="0" w:space="0" w:color="auto"/>
      </w:divBdr>
    </w:div>
    <w:div w:id="1323847677">
      <w:bodyDiv w:val="1"/>
      <w:marLeft w:val="0"/>
      <w:marRight w:val="0"/>
      <w:marTop w:val="0"/>
      <w:marBottom w:val="0"/>
      <w:divBdr>
        <w:top w:val="none" w:sz="0" w:space="0" w:color="auto"/>
        <w:left w:val="none" w:sz="0" w:space="0" w:color="auto"/>
        <w:bottom w:val="none" w:sz="0" w:space="0" w:color="auto"/>
        <w:right w:val="none" w:sz="0" w:space="0" w:color="auto"/>
      </w:divBdr>
    </w:div>
    <w:div w:id="1324817339">
      <w:bodyDiv w:val="1"/>
      <w:marLeft w:val="0"/>
      <w:marRight w:val="0"/>
      <w:marTop w:val="0"/>
      <w:marBottom w:val="0"/>
      <w:divBdr>
        <w:top w:val="none" w:sz="0" w:space="0" w:color="auto"/>
        <w:left w:val="none" w:sz="0" w:space="0" w:color="auto"/>
        <w:bottom w:val="none" w:sz="0" w:space="0" w:color="auto"/>
        <w:right w:val="none" w:sz="0" w:space="0" w:color="auto"/>
      </w:divBdr>
    </w:div>
    <w:div w:id="1332830965">
      <w:bodyDiv w:val="1"/>
      <w:marLeft w:val="0"/>
      <w:marRight w:val="0"/>
      <w:marTop w:val="0"/>
      <w:marBottom w:val="0"/>
      <w:divBdr>
        <w:top w:val="none" w:sz="0" w:space="0" w:color="auto"/>
        <w:left w:val="none" w:sz="0" w:space="0" w:color="auto"/>
        <w:bottom w:val="none" w:sz="0" w:space="0" w:color="auto"/>
        <w:right w:val="none" w:sz="0" w:space="0" w:color="auto"/>
      </w:divBdr>
    </w:div>
    <w:div w:id="1345748562">
      <w:bodyDiv w:val="1"/>
      <w:marLeft w:val="0"/>
      <w:marRight w:val="0"/>
      <w:marTop w:val="0"/>
      <w:marBottom w:val="0"/>
      <w:divBdr>
        <w:top w:val="none" w:sz="0" w:space="0" w:color="auto"/>
        <w:left w:val="none" w:sz="0" w:space="0" w:color="auto"/>
        <w:bottom w:val="none" w:sz="0" w:space="0" w:color="auto"/>
        <w:right w:val="none" w:sz="0" w:space="0" w:color="auto"/>
      </w:divBdr>
    </w:div>
    <w:div w:id="1378550737">
      <w:bodyDiv w:val="1"/>
      <w:marLeft w:val="0"/>
      <w:marRight w:val="0"/>
      <w:marTop w:val="0"/>
      <w:marBottom w:val="0"/>
      <w:divBdr>
        <w:top w:val="none" w:sz="0" w:space="0" w:color="auto"/>
        <w:left w:val="none" w:sz="0" w:space="0" w:color="auto"/>
        <w:bottom w:val="none" w:sz="0" w:space="0" w:color="auto"/>
        <w:right w:val="none" w:sz="0" w:space="0" w:color="auto"/>
      </w:divBdr>
    </w:div>
    <w:div w:id="1382175407">
      <w:bodyDiv w:val="1"/>
      <w:marLeft w:val="0"/>
      <w:marRight w:val="0"/>
      <w:marTop w:val="0"/>
      <w:marBottom w:val="0"/>
      <w:divBdr>
        <w:top w:val="none" w:sz="0" w:space="0" w:color="auto"/>
        <w:left w:val="none" w:sz="0" w:space="0" w:color="auto"/>
        <w:bottom w:val="none" w:sz="0" w:space="0" w:color="auto"/>
        <w:right w:val="none" w:sz="0" w:space="0" w:color="auto"/>
      </w:divBdr>
    </w:div>
    <w:div w:id="1386442938">
      <w:bodyDiv w:val="1"/>
      <w:marLeft w:val="0"/>
      <w:marRight w:val="0"/>
      <w:marTop w:val="0"/>
      <w:marBottom w:val="0"/>
      <w:divBdr>
        <w:top w:val="none" w:sz="0" w:space="0" w:color="auto"/>
        <w:left w:val="none" w:sz="0" w:space="0" w:color="auto"/>
        <w:bottom w:val="none" w:sz="0" w:space="0" w:color="auto"/>
        <w:right w:val="none" w:sz="0" w:space="0" w:color="auto"/>
      </w:divBdr>
    </w:div>
    <w:div w:id="1386638112">
      <w:bodyDiv w:val="1"/>
      <w:marLeft w:val="0"/>
      <w:marRight w:val="0"/>
      <w:marTop w:val="0"/>
      <w:marBottom w:val="0"/>
      <w:divBdr>
        <w:top w:val="none" w:sz="0" w:space="0" w:color="auto"/>
        <w:left w:val="none" w:sz="0" w:space="0" w:color="auto"/>
        <w:bottom w:val="none" w:sz="0" w:space="0" w:color="auto"/>
        <w:right w:val="none" w:sz="0" w:space="0" w:color="auto"/>
      </w:divBdr>
    </w:div>
    <w:div w:id="1392579011">
      <w:bodyDiv w:val="1"/>
      <w:marLeft w:val="0"/>
      <w:marRight w:val="0"/>
      <w:marTop w:val="0"/>
      <w:marBottom w:val="0"/>
      <w:divBdr>
        <w:top w:val="none" w:sz="0" w:space="0" w:color="auto"/>
        <w:left w:val="none" w:sz="0" w:space="0" w:color="auto"/>
        <w:bottom w:val="none" w:sz="0" w:space="0" w:color="auto"/>
        <w:right w:val="none" w:sz="0" w:space="0" w:color="auto"/>
      </w:divBdr>
    </w:div>
    <w:div w:id="1394160270">
      <w:bodyDiv w:val="1"/>
      <w:marLeft w:val="0"/>
      <w:marRight w:val="0"/>
      <w:marTop w:val="0"/>
      <w:marBottom w:val="0"/>
      <w:divBdr>
        <w:top w:val="none" w:sz="0" w:space="0" w:color="auto"/>
        <w:left w:val="none" w:sz="0" w:space="0" w:color="auto"/>
        <w:bottom w:val="none" w:sz="0" w:space="0" w:color="auto"/>
        <w:right w:val="none" w:sz="0" w:space="0" w:color="auto"/>
      </w:divBdr>
    </w:div>
    <w:div w:id="1421830295">
      <w:bodyDiv w:val="1"/>
      <w:marLeft w:val="0"/>
      <w:marRight w:val="0"/>
      <w:marTop w:val="0"/>
      <w:marBottom w:val="0"/>
      <w:divBdr>
        <w:top w:val="none" w:sz="0" w:space="0" w:color="auto"/>
        <w:left w:val="none" w:sz="0" w:space="0" w:color="auto"/>
        <w:bottom w:val="none" w:sz="0" w:space="0" w:color="auto"/>
        <w:right w:val="none" w:sz="0" w:space="0" w:color="auto"/>
      </w:divBdr>
    </w:div>
    <w:div w:id="1442724755">
      <w:bodyDiv w:val="1"/>
      <w:marLeft w:val="0"/>
      <w:marRight w:val="0"/>
      <w:marTop w:val="0"/>
      <w:marBottom w:val="0"/>
      <w:divBdr>
        <w:top w:val="none" w:sz="0" w:space="0" w:color="auto"/>
        <w:left w:val="none" w:sz="0" w:space="0" w:color="auto"/>
        <w:bottom w:val="none" w:sz="0" w:space="0" w:color="auto"/>
        <w:right w:val="none" w:sz="0" w:space="0" w:color="auto"/>
      </w:divBdr>
    </w:div>
    <w:div w:id="1481922477">
      <w:bodyDiv w:val="1"/>
      <w:marLeft w:val="0"/>
      <w:marRight w:val="0"/>
      <w:marTop w:val="0"/>
      <w:marBottom w:val="0"/>
      <w:divBdr>
        <w:top w:val="none" w:sz="0" w:space="0" w:color="auto"/>
        <w:left w:val="none" w:sz="0" w:space="0" w:color="auto"/>
        <w:bottom w:val="none" w:sz="0" w:space="0" w:color="auto"/>
        <w:right w:val="none" w:sz="0" w:space="0" w:color="auto"/>
      </w:divBdr>
    </w:div>
    <w:div w:id="1503543070">
      <w:bodyDiv w:val="1"/>
      <w:marLeft w:val="0"/>
      <w:marRight w:val="0"/>
      <w:marTop w:val="0"/>
      <w:marBottom w:val="0"/>
      <w:divBdr>
        <w:top w:val="none" w:sz="0" w:space="0" w:color="auto"/>
        <w:left w:val="none" w:sz="0" w:space="0" w:color="auto"/>
        <w:bottom w:val="none" w:sz="0" w:space="0" w:color="auto"/>
        <w:right w:val="none" w:sz="0" w:space="0" w:color="auto"/>
      </w:divBdr>
    </w:div>
    <w:div w:id="1529175953">
      <w:bodyDiv w:val="1"/>
      <w:marLeft w:val="0"/>
      <w:marRight w:val="0"/>
      <w:marTop w:val="0"/>
      <w:marBottom w:val="0"/>
      <w:divBdr>
        <w:top w:val="none" w:sz="0" w:space="0" w:color="auto"/>
        <w:left w:val="none" w:sz="0" w:space="0" w:color="auto"/>
        <w:bottom w:val="none" w:sz="0" w:space="0" w:color="auto"/>
        <w:right w:val="none" w:sz="0" w:space="0" w:color="auto"/>
      </w:divBdr>
    </w:div>
    <w:div w:id="1534077084">
      <w:bodyDiv w:val="1"/>
      <w:marLeft w:val="0"/>
      <w:marRight w:val="0"/>
      <w:marTop w:val="0"/>
      <w:marBottom w:val="0"/>
      <w:divBdr>
        <w:top w:val="none" w:sz="0" w:space="0" w:color="auto"/>
        <w:left w:val="none" w:sz="0" w:space="0" w:color="auto"/>
        <w:bottom w:val="none" w:sz="0" w:space="0" w:color="auto"/>
        <w:right w:val="none" w:sz="0" w:space="0" w:color="auto"/>
      </w:divBdr>
    </w:div>
    <w:div w:id="1539656974">
      <w:bodyDiv w:val="1"/>
      <w:marLeft w:val="0"/>
      <w:marRight w:val="0"/>
      <w:marTop w:val="0"/>
      <w:marBottom w:val="0"/>
      <w:divBdr>
        <w:top w:val="none" w:sz="0" w:space="0" w:color="auto"/>
        <w:left w:val="none" w:sz="0" w:space="0" w:color="auto"/>
        <w:bottom w:val="none" w:sz="0" w:space="0" w:color="auto"/>
        <w:right w:val="none" w:sz="0" w:space="0" w:color="auto"/>
      </w:divBdr>
    </w:div>
    <w:div w:id="1541742833">
      <w:bodyDiv w:val="1"/>
      <w:marLeft w:val="0"/>
      <w:marRight w:val="0"/>
      <w:marTop w:val="0"/>
      <w:marBottom w:val="0"/>
      <w:divBdr>
        <w:top w:val="none" w:sz="0" w:space="0" w:color="auto"/>
        <w:left w:val="none" w:sz="0" w:space="0" w:color="auto"/>
        <w:bottom w:val="none" w:sz="0" w:space="0" w:color="auto"/>
        <w:right w:val="none" w:sz="0" w:space="0" w:color="auto"/>
      </w:divBdr>
    </w:div>
    <w:div w:id="1558590400">
      <w:bodyDiv w:val="1"/>
      <w:marLeft w:val="0"/>
      <w:marRight w:val="0"/>
      <w:marTop w:val="0"/>
      <w:marBottom w:val="0"/>
      <w:divBdr>
        <w:top w:val="none" w:sz="0" w:space="0" w:color="auto"/>
        <w:left w:val="none" w:sz="0" w:space="0" w:color="auto"/>
        <w:bottom w:val="none" w:sz="0" w:space="0" w:color="auto"/>
        <w:right w:val="none" w:sz="0" w:space="0" w:color="auto"/>
      </w:divBdr>
    </w:div>
    <w:div w:id="1559046395">
      <w:bodyDiv w:val="1"/>
      <w:marLeft w:val="0"/>
      <w:marRight w:val="0"/>
      <w:marTop w:val="0"/>
      <w:marBottom w:val="0"/>
      <w:divBdr>
        <w:top w:val="none" w:sz="0" w:space="0" w:color="auto"/>
        <w:left w:val="none" w:sz="0" w:space="0" w:color="auto"/>
        <w:bottom w:val="none" w:sz="0" w:space="0" w:color="auto"/>
        <w:right w:val="none" w:sz="0" w:space="0" w:color="auto"/>
      </w:divBdr>
    </w:div>
    <w:div w:id="1570850278">
      <w:bodyDiv w:val="1"/>
      <w:marLeft w:val="0"/>
      <w:marRight w:val="0"/>
      <w:marTop w:val="0"/>
      <w:marBottom w:val="0"/>
      <w:divBdr>
        <w:top w:val="none" w:sz="0" w:space="0" w:color="auto"/>
        <w:left w:val="none" w:sz="0" w:space="0" w:color="auto"/>
        <w:bottom w:val="none" w:sz="0" w:space="0" w:color="auto"/>
        <w:right w:val="none" w:sz="0" w:space="0" w:color="auto"/>
      </w:divBdr>
    </w:div>
    <w:div w:id="1573007109">
      <w:bodyDiv w:val="1"/>
      <w:marLeft w:val="0"/>
      <w:marRight w:val="0"/>
      <w:marTop w:val="0"/>
      <w:marBottom w:val="0"/>
      <w:divBdr>
        <w:top w:val="none" w:sz="0" w:space="0" w:color="auto"/>
        <w:left w:val="none" w:sz="0" w:space="0" w:color="auto"/>
        <w:bottom w:val="none" w:sz="0" w:space="0" w:color="auto"/>
        <w:right w:val="none" w:sz="0" w:space="0" w:color="auto"/>
      </w:divBdr>
    </w:div>
    <w:div w:id="1581794805">
      <w:bodyDiv w:val="1"/>
      <w:marLeft w:val="0"/>
      <w:marRight w:val="0"/>
      <w:marTop w:val="0"/>
      <w:marBottom w:val="0"/>
      <w:divBdr>
        <w:top w:val="none" w:sz="0" w:space="0" w:color="auto"/>
        <w:left w:val="none" w:sz="0" w:space="0" w:color="auto"/>
        <w:bottom w:val="none" w:sz="0" w:space="0" w:color="auto"/>
        <w:right w:val="none" w:sz="0" w:space="0" w:color="auto"/>
      </w:divBdr>
    </w:div>
    <w:div w:id="1581983441">
      <w:bodyDiv w:val="1"/>
      <w:marLeft w:val="0"/>
      <w:marRight w:val="0"/>
      <w:marTop w:val="0"/>
      <w:marBottom w:val="0"/>
      <w:divBdr>
        <w:top w:val="none" w:sz="0" w:space="0" w:color="auto"/>
        <w:left w:val="none" w:sz="0" w:space="0" w:color="auto"/>
        <w:bottom w:val="none" w:sz="0" w:space="0" w:color="auto"/>
        <w:right w:val="none" w:sz="0" w:space="0" w:color="auto"/>
      </w:divBdr>
    </w:div>
    <w:div w:id="1584339460">
      <w:bodyDiv w:val="1"/>
      <w:marLeft w:val="0"/>
      <w:marRight w:val="0"/>
      <w:marTop w:val="0"/>
      <w:marBottom w:val="0"/>
      <w:divBdr>
        <w:top w:val="none" w:sz="0" w:space="0" w:color="auto"/>
        <w:left w:val="none" w:sz="0" w:space="0" w:color="auto"/>
        <w:bottom w:val="none" w:sz="0" w:space="0" w:color="auto"/>
        <w:right w:val="none" w:sz="0" w:space="0" w:color="auto"/>
      </w:divBdr>
    </w:div>
    <w:div w:id="1594319762">
      <w:bodyDiv w:val="1"/>
      <w:marLeft w:val="0"/>
      <w:marRight w:val="0"/>
      <w:marTop w:val="0"/>
      <w:marBottom w:val="0"/>
      <w:divBdr>
        <w:top w:val="none" w:sz="0" w:space="0" w:color="auto"/>
        <w:left w:val="none" w:sz="0" w:space="0" w:color="auto"/>
        <w:bottom w:val="none" w:sz="0" w:space="0" w:color="auto"/>
        <w:right w:val="none" w:sz="0" w:space="0" w:color="auto"/>
      </w:divBdr>
    </w:div>
    <w:div w:id="1603029273">
      <w:bodyDiv w:val="1"/>
      <w:marLeft w:val="0"/>
      <w:marRight w:val="0"/>
      <w:marTop w:val="0"/>
      <w:marBottom w:val="0"/>
      <w:divBdr>
        <w:top w:val="none" w:sz="0" w:space="0" w:color="auto"/>
        <w:left w:val="none" w:sz="0" w:space="0" w:color="auto"/>
        <w:bottom w:val="none" w:sz="0" w:space="0" w:color="auto"/>
        <w:right w:val="none" w:sz="0" w:space="0" w:color="auto"/>
      </w:divBdr>
    </w:div>
    <w:div w:id="1615331922">
      <w:bodyDiv w:val="1"/>
      <w:marLeft w:val="0"/>
      <w:marRight w:val="0"/>
      <w:marTop w:val="0"/>
      <w:marBottom w:val="0"/>
      <w:divBdr>
        <w:top w:val="none" w:sz="0" w:space="0" w:color="auto"/>
        <w:left w:val="none" w:sz="0" w:space="0" w:color="auto"/>
        <w:bottom w:val="none" w:sz="0" w:space="0" w:color="auto"/>
        <w:right w:val="none" w:sz="0" w:space="0" w:color="auto"/>
      </w:divBdr>
    </w:div>
    <w:div w:id="1615357598">
      <w:bodyDiv w:val="1"/>
      <w:marLeft w:val="0"/>
      <w:marRight w:val="0"/>
      <w:marTop w:val="0"/>
      <w:marBottom w:val="0"/>
      <w:divBdr>
        <w:top w:val="none" w:sz="0" w:space="0" w:color="auto"/>
        <w:left w:val="none" w:sz="0" w:space="0" w:color="auto"/>
        <w:bottom w:val="none" w:sz="0" w:space="0" w:color="auto"/>
        <w:right w:val="none" w:sz="0" w:space="0" w:color="auto"/>
      </w:divBdr>
    </w:div>
    <w:div w:id="1628512828">
      <w:bodyDiv w:val="1"/>
      <w:marLeft w:val="0"/>
      <w:marRight w:val="0"/>
      <w:marTop w:val="0"/>
      <w:marBottom w:val="0"/>
      <w:divBdr>
        <w:top w:val="none" w:sz="0" w:space="0" w:color="auto"/>
        <w:left w:val="none" w:sz="0" w:space="0" w:color="auto"/>
        <w:bottom w:val="none" w:sz="0" w:space="0" w:color="auto"/>
        <w:right w:val="none" w:sz="0" w:space="0" w:color="auto"/>
      </w:divBdr>
    </w:div>
    <w:div w:id="1633173560">
      <w:bodyDiv w:val="1"/>
      <w:marLeft w:val="0"/>
      <w:marRight w:val="0"/>
      <w:marTop w:val="0"/>
      <w:marBottom w:val="0"/>
      <w:divBdr>
        <w:top w:val="none" w:sz="0" w:space="0" w:color="auto"/>
        <w:left w:val="none" w:sz="0" w:space="0" w:color="auto"/>
        <w:bottom w:val="none" w:sz="0" w:space="0" w:color="auto"/>
        <w:right w:val="none" w:sz="0" w:space="0" w:color="auto"/>
      </w:divBdr>
    </w:div>
    <w:div w:id="1639144157">
      <w:bodyDiv w:val="1"/>
      <w:marLeft w:val="0"/>
      <w:marRight w:val="0"/>
      <w:marTop w:val="0"/>
      <w:marBottom w:val="0"/>
      <w:divBdr>
        <w:top w:val="none" w:sz="0" w:space="0" w:color="auto"/>
        <w:left w:val="none" w:sz="0" w:space="0" w:color="auto"/>
        <w:bottom w:val="none" w:sz="0" w:space="0" w:color="auto"/>
        <w:right w:val="none" w:sz="0" w:space="0" w:color="auto"/>
      </w:divBdr>
    </w:div>
    <w:div w:id="1639338759">
      <w:bodyDiv w:val="1"/>
      <w:marLeft w:val="0"/>
      <w:marRight w:val="0"/>
      <w:marTop w:val="0"/>
      <w:marBottom w:val="0"/>
      <w:divBdr>
        <w:top w:val="none" w:sz="0" w:space="0" w:color="auto"/>
        <w:left w:val="none" w:sz="0" w:space="0" w:color="auto"/>
        <w:bottom w:val="none" w:sz="0" w:space="0" w:color="auto"/>
        <w:right w:val="none" w:sz="0" w:space="0" w:color="auto"/>
      </w:divBdr>
    </w:div>
    <w:div w:id="1639727934">
      <w:bodyDiv w:val="1"/>
      <w:marLeft w:val="0"/>
      <w:marRight w:val="0"/>
      <w:marTop w:val="0"/>
      <w:marBottom w:val="0"/>
      <w:divBdr>
        <w:top w:val="none" w:sz="0" w:space="0" w:color="auto"/>
        <w:left w:val="none" w:sz="0" w:space="0" w:color="auto"/>
        <w:bottom w:val="none" w:sz="0" w:space="0" w:color="auto"/>
        <w:right w:val="none" w:sz="0" w:space="0" w:color="auto"/>
      </w:divBdr>
    </w:div>
    <w:div w:id="1644040922">
      <w:bodyDiv w:val="1"/>
      <w:marLeft w:val="0"/>
      <w:marRight w:val="0"/>
      <w:marTop w:val="0"/>
      <w:marBottom w:val="0"/>
      <w:divBdr>
        <w:top w:val="none" w:sz="0" w:space="0" w:color="auto"/>
        <w:left w:val="none" w:sz="0" w:space="0" w:color="auto"/>
        <w:bottom w:val="none" w:sz="0" w:space="0" w:color="auto"/>
        <w:right w:val="none" w:sz="0" w:space="0" w:color="auto"/>
      </w:divBdr>
    </w:div>
    <w:div w:id="1653830398">
      <w:bodyDiv w:val="1"/>
      <w:marLeft w:val="0"/>
      <w:marRight w:val="0"/>
      <w:marTop w:val="0"/>
      <w:marBottom w:val="0"/>
      <w:divBdr>
        <w:top w:val="none" w:sz="0" w:space="0" w:color="auto"/>
        <w:left w:val="none" w:sz="0" w:space="0" w:color="auto"/>
        <w:bottom w:val="none" w:sz="0" w:space="0" w:color="auto"/>
        <w:right w:val="none" w:sz="0" w:space="0" w:color="auto"/>
      </w:divBdr>
    </w:div>
    <w:div w:id="1665470334">
      <w:bodyDiv w:val="1"/>
      <w:marLeft w:val="0"/>
      <w:marRight w:val="0"/>
      <w:marTop w:val="0"/>
      <w:marBottom w:val="0"/>
      <w:divBdr>
        <w:top w:val="none" w:sz="0" w:space="0" w:color="auto"/>
        <w:left w:val="none" w:sz="0" w:space="0" w:color="auto"/>
        <w:bottom w:val="none" w:sz="0" w:space="0" w:color="auto"/>
        <w:right w:val="none" w:sz="0" w:space="0" w:color="auto"/>
      </w:divBdr>
    </w:div>
    <w:div w:id="1671104272">
      <w:bodyDiv w:val="1"/>
      <w:marLeft w:val="0"/>
      <w:marRight w:val="0"/>
      <w:marTop w:val="0"/>
      <w:marBottom w:val="0"/>
      <w:divBdr>
        <w:top w:val="none" w:sz="0" w:space="0" w:color="auto"/>
        <w:left w:val="none" w:sz="0" w:space="0" w:color="auto"/>
        <w:bottom w:val="none" w:sz="0" w:space="0" w:color="auto"/>
        <w:right w:val="none" w:sz="0" w:space="0" w:color="auto"/>
      </w:divBdr>
      <w:divsChild>
        <w:div w:id="1703507772">
          <w:marLeft w:val="0"/>
          <w:marRight w:val="0"/>
          <w:marTop w:val="0"/>
          <w:marBottom w:val="0"/>
          <w:divBdr>
            <w:top w:val="none" w:sz="0" w:space="0" w:color="auto"/>
            <w:left w:val="none" w:sz="0" w:space="0" w:color="auto"/>
            <w:bottom w:val="none" w:sz="0" w:space="0" w:color="auto"/>
            <w:right w:val="none" w:sz="0" w:space="0" w:color="auto"/>
          </w:divBdr>
          <w:divsChild>
            <w:div w:id="512494442">
              <w:marLeft w:val="0"/>
              <w:marRight w:val="0"/>
              <w:marTop w:val="0"/>
              <w:marBottom w:val="0"/>
              <w:divBdr>
                <w:top w:val="none" w:sz="0" w:space="0" w:color="auto"/>
                <w:left w:val="none" w:sz="0" w:space="0" w:color="auto"/>
                <w:bottom w:val="none" w:sz="0" w:space="0" w:color="auto"/>
                <w:right w:val="none" w:sz="0" w:space="0" w:color="auto"/>
              </w:divBdr>
              <w:divsChild>
                <w:div w:id="10820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4897">
      <w:bodyDiv w:val="1"/>
      <w:marLeft w:val="0"/>
      <w:marRight w:val="0"/>
      <w:marTop w:val="0"/>
      <w:marBottom w:val="0"/>
      <w:divBdr>
        <w:top w:val="none" w:sz="0" w:space="0" w:color="auto"/>
        <w:left w:val="none" w:sz="0" w:space="0" w:color="auto"/>
        <w:bottom w:val="none" w:sz="0" w:space="0" w:color="auto"/>
        <w:right w:val="none" w:sz="0" w:space="0" w:color="auto"/>
      </w:divBdr>
    </w:div>
    <w:div w:id="1714231400">
      <w:bodyDiv w:val="1"/>
      <w:marLeft w:val="0"/>
      <w:marRight w:val="0"/>
      <w:marTop w:val="0"/>
      <w:marBottom w:val="0"/>
      <w:divBdr>
        <w:top w:val="none" w:sz="0" w:space="0" w:color="auto"/>
        <w:left w:val="none" w:sz="0" w:space="0" w:color="auto"/>
        <w:bottom w:val="none" w:sz="0" w:space="0" w:color="auto"/>
        <w:right w:val="none" w:sz="0" w:space="0" w:color="auto"/>
      </w:divBdr>
    </w:div>
    <w:div w:id="1728794143">
      <w:bodyDiv w:val="1"/>
      <w:marLeft w:val="0"/>
      <w:marRight w:val="0"/>
      <w:marTop w:val="0"/>
      <w:marBottom w:val="0"/>
      <w:divBdr>
        <w:top w:val="none" w:sz="0" w:space="0" w:color="auto"/>
        <w:left w:val="none" w:sz="0" w:space="0" w:color="auto"/>
        <w:bottom w:val="none" w:sz="0" w:space="0" w:color="auto"/>
        <w:right w:val="none" w:sz="0" w:space="0" w:color="auto"/>
      </w:divBdr>
    </w:div>
    <w:div w:id="1732920600">
      <w:bodyDiv w:val="1"/>
      <w:marLeft w:val="0"/>
      <w:marRight w:val="0"/>
      <w:marTop w:val="0"/>
      <w:marBottom w:val="0"/>
      <w:divBdr>
        <w:top w:val="none" w:sz="0" w:space="0" w:color="auto"/>
        <w:left w:val="none" w:sz="0" w:space="0" w:color="auto"/>
        <w:bottom w:val="none" w:sz="0" w:space="0" w:color="auto"/>
        <w:right w:val="none" w:sz="0" w:space="0" w:color="auto"/>
      </w:divBdr>
    </w:div>
    <w:div w:id="1741520571">
      <w:bodyDiv w:val="1"/>
      <w:marLeft w:val="0"/>
      <w:marRight w:val="0"/>
      <w:marTop w:val="0"/>
      <w:marBottom w:val="0"/>
      <w:divBdr>
        <w:top w:val="none" w:sz="0" w:space="0" w:color="auto"/>
        <w:left w:val="none" w:sz="0" w:space="0" w:color="auto"/>
        <w:bottom w:val="none" w:sz="0" w:space="0" w:color="auto"/>
        <w:right w:val="none" w:sz="0" w:space="0" w:color="auto"/>
      </w:divBdr>
    </w:div>
    <w:div w:id="1742822772">
      <w:bodyDiv w:val="1"/>
      <w:marLeft w:val="0"/>
      <w:marRight w:val="0"/>
      <w:marTop w:val="0"/>
      <w:marBottom w:val="0"/>
      <w:divBdr>
        <w:top w:val="none" w:sz="0" w:space="0" w:color="auto"/>
        <w:left w:val="none" w:sz="0" w:space="0" w:color="auto"/>
        <w:bottom w:val="none" w:sz="0" w:space="0" w:color="auto"/>
        <w:right w:val="none" w:sz="0" w:space="0" w:color="auto"/>
      </w:divBdr>
    </w:div>
    <w:div w:id="1772704933">
      <w:bodyDiv w:val="1"/>
      <w:marLeft w:val="0"/>
      <w:marRight w:val="0"/>
      <w:marTop w:val="0"/>
      <w:marBottom w:val="0"/>
      <w:divBdr>
        <w:top w:val="none" w:sz="0" w:space="0" w:color="auto"/>
        <w:left w:val="none" w:sz="0" w:space="0" w:color="auto"/>
        <w:bottom w:val="none" w:sz="0" w:space="0" w:color="auto"/>
        <w:right w:val="none" w:sz="0" w:space="0" w:color="auto"/>
      </w:divBdr>
    </w:div>
    <w:div w:id="1785465266">
      <w:bodyDiv w:val="1"/>
      <w:marLeft w:val="0"/>
      <w:marRight w:val="0"/>
      <w:marTop w:val="0"/>
      <w:marBottom w:val="0"/>
      <w:divBdr>
        <w:top w:val="none" w:sz="0" w:space="0" w:color="auto"/>
        <w:left w:val="none" w:sz="0" w:space="0" w:color="auto"/>
        <w:bottom w:val="none" w:sz="0" w:space="0" w:color="auto"/>
        <w:right w:val="none" w:sz="0" w:space="0" w:color="auto"/>
      </w:divBdr>
    </w:div>
    <w:div w:id="1819765060">
      <w:bodyDiv w:val="1"/>
      <w:marLeft w:val="0"/>
      <w:marRight w:val="0"/>
      <w:marTop w:val="0"/>
      <w:marBottom w:val="0"/>
      <w:divBdr>
        <w:top w:val="none" w:sz="0" w:space="0" w:color="auto"/>
        <w:left w:val="none" w:sz="0" w:space="0" w:color="auto"/>
        <w:bottom w:val="none" w:sz="0" w:space="0" w:color="auto"/>
        <w:right w:val="none" w:sz="0" w:space="0" w:color="auto"/>
      </w:divBdr>
    </w:div>
    <w:div w:id="1828010089">
      <w:bodyDiv w:val="1"/>
      <w:marLeft w:val="0"/>
      <w:marRight w:val="0"/>
      <w:marTop w:val="0"/>
      <w:marBottom w:val="0"/>
      <w:divBdr>
        <w:top w:val="none" w:sz="0" w:space="0" w:color="auto"/>
        <w:left w:val="none" w:sz="0" w:space="0" w:color="auto"/>
        <w:bottom w:val="none" w:sz="0" w:space="0" w:color="auto"/>
        <w:right w:val="none" w:sz="0" w:space="0" w:color="auto"/>
      </w:divBdr>
    </w:div>
    <w:div w:id="1832674329">
      <w:bodyDiv w:val="1"/>
      <w:marLeft w:val="0"/>
      <w:marRight w:val="0"/>
      <w:marTop w:val="0"/>
      <w:marBottom w:val="0"/>
      <w:divBdr>
        <w:top w:val="none" w:sz="0" w:space="0" w:color="auto"/>
        <w:left w:val="none" w:sz="0" w:space="0" w:color="auto"/>
        <w:bottom w:val="none" w:sz="0" w:space="0" w:color="auto"/>
        <w:right w:val="none" w:sz="0" w:space="0" w:color="auto"/>
      </w:divBdr>
    </w:div>
    <w:div w:id="1837961182">
      <w:bodyDiv w:val="1"/>
      <w:marLeft w:val="0"/>
      <w:marRight w:val="0"/>
      <w:marTop w:val="0"/>
      <w:marBottom w:val="0"/>
      <w:divBdr>
        <w:top w:val="none" w:sz="0" w:space="0" w:color="auto"/>
        <w:left w:val="none" w:sz="0" w:space="0" w:color="auto"/>
        <w:bottom w:val="none" w:sz="0" w:space="0" w:color="auto"/>
        <w:right w:val="none" w:sz="0" w:space="0" w:color="auto"/>
      </w:divBdr>
    </w:div>
    <w:div w:id="1841389896">
      <w:bodyDiv w:val="1"/>
      <w:marLeft w:val="0"/>
      <w:marRight w:val="0"/>
      <w:marTop w:val="0"/>
      <w:marBottom w:val="0"/>
      <w:divBdr>
        <w:top w:val="none" w:sz="0" w:space="0" w:color="auto"/>
        <w:left w:val="none" w:sz="0" w:space="0" w:color="auto"/>
        <w:bottom w:val="none" w:sz="0" w:space="0" w:color="auto"/>
        <w:right w:val="none" w:sz="0" w:space="0" w:color="auto"/>
      </w:divBdr>
    </w:div>
    <w:div w:id="1841502733">
      <w:bodyDiv w:val="1"/>
      <w:marLeft w:val="0"/>
      <w:marRight w:val="0"/>
      <w:marTop w:val="0"/>
      <w:marBottom w:val="0"/>
      <w:divBdr>
        <w:top w:val="none" w:sz="0" w:space="0" w:color="auto"/>
        <w:left w:val="none" w:sz="0" w:space="0" w:color="auto"/>
        <w:bottom w:val="none" w:sz="0" w:space="0" w:color="auto"/>
        <w:right w:val="none" w:sz="0" w:space="0" w:color="auto"/>
      </w:divBdr>
    </w:div>
    <w:div w:id="1853569539">
      <w:bodyDiv w:val="1"/>
      <w:marLeft w:val="0"/>
      <w:marRight w:val="0"/>
      <w:marTop w:val="0"/>
      <w:marBottom w:val="0"/>
      <w:divBdr>
        <w:top w:val="none" w:sz="0" w:space="0" w:color="auto"/>
        <w:left w:val="none" w:sz="0" w:space="0" w:color="auto"/>
        <w:bottom w:val="none" w:sz="0" w:space="0" w:color="auto"/>
        <w:right w:val="none" w:sz="0" w:space="0" w:color="auto"/>
      </w:divBdr>
    </w:div>
    <w:div w:id="1854219164">
      <w:bodyDiv w:val="1"/>
      <w:marLeft w:val="0"/>
      <w:marRight w:val="0"/>
      <w:marTop w:val="0"/>
      <w:marBottom w:val="0"/>
      <w:divBdr>
        <w:top w:val="none" w:sz="0" w:space="0" w:color="auto"/>
        <w:left w:val="none" w:sz="0" w:space="0" w:color="auto"/>
        <w:bottom w:val="none" w:sz="0" w:space="0" w:color="auto"/>
        <w:right w:val="none" w:sz="0" w:space="0" w:color="auto"/>
      </w:divBdr>
    </w:div>
    <w:div w:id="1854998221">
      <w:bodyDiv w:val="1"/>
      <w:marLeft w:val="0"/>
      <w:marRight w:val="0"/>
      <w:marTop w:val="0"/>
      <w:marBottom w:val="0"/>
      <w:divBdr>
        <w:top w:val="none" w:sz="0" w:space="0" w:color="auto"/>
        <w:left w:val="none" w:sz="0" w:space="0" w:color="auto"/>
        <w:bottom w:val="none" w:sz="0" w:space="0" w:color="auto"/>
        <w:right w:val="none" w:sz="0" w:space="0" w:color="auto"/>
      </w:divBdr>
    </w:div>
    <w:div w:id="1855919643">
      <w:bodyDiv w:val="1"/>
      <w:marLeft w:val="0"/>
      <w:marRight w:val="0"/>
      <w:marTop w:val="0"/>
      <w:marBottom w:val="0"/>
      <w:divBdr>
        <w:top w:val="none" w:sz="0" w:space="0" w:color="auto"/>
        <w:left w:val="none" w:sz="0" w:space="0" w:color="auto"/>
        <w:bottom w:val="none" w:sz="0" w:space="0" w:color="auto"/>
        <w:right w:val="none" w:sz="0" w:space="0" w:color="auto"/>
      </w:divBdr>
    </w:div>
    <w:div w:id="1856268913">
      <w:bodyDiv w:val="1"/>
      <w:marLeft w:val="0"/>
      <w:marRight w:val="0"/>
      <w:marTop w:val="0"/>
      <w:marBottom w:val="0"/>
      <w:divBdr>
        <w:top w:val="none" w:sz="0" w:space="0" w:color="auto"/>
        <w:left w:val="none" w:sz="0" w:space="0" w:color="auto"/>
        <w:bottom w:val="none" w:sz="0" w:space="0" w:color="auto"/>
        <w:right w:val="none" w:sz="0" w:space="0" w:color="auto"/>
      </w:divBdr>
    </w:div>
    <w:div w:id="1861818859">
      <w:bodyDiv w:val="1"/>
      <w:marLeft w:val="0"/>
      <w:marRight w:val="0"/>
      <w:marTop w:val="0"/>
      <w:marBottom w:val="0"/>
      <w:divBdr>
        <w:top w:val="none" w:sz="0" w:space="0" w:color="auto"/>
        <w:left w:val="none" w:sz="0" w:space="0" w:color="auto"/>
        <w:bottom w:val="none" w:sz="0" w:space="0" w:color="auto"/>
        <w:right w:val="none" w:sz="0" w:space="0" w:color="auto"/>
      </w:divBdr>
    </w:div>
    <w:div w:id="1864247971">
      <w:bodyDiv w:val="1"/>
      <w:marLeft w:val="0"/>
      <w:marRight w:val="0"/>
      <w:marTop w:val="0"/>
      <w:marBottom w:val="0"/>
      <w:divBdr>
        <w:top w:val="none" w:sz="0" w:space="0" w:color="auto"/>
        <w:left w:val="none" w:sz="0" w:space="0" w:color="auto"/>
        <w:bottom w:val="none" w:sz="0" w:space="0" w:color="auto"/>
        <w:right w:val="none" w:sz="0" w:space="0" w:color="auto"/>
      </w:divBdr>
    </w:div>
    <w:div w:id="1869289799">
      <w:bodyDiv w:val="1"/>
      <w:marLeft w:val="0"/>
      <w:marRight w:val="0"/>
      <w:marTop w:val="0"/>
      <w:marBottom w:val="0"/>
      <w:divBdr>
        <w:top w:val="none" w:sz="0" w:space="0" w:color="auto"/>
        <w:left w:val="none" w:sz="0" w:space="0" w:color="auto"/>
        <w:bottom w:val="none" w:sz="0" w:space="0" w:color="auto"/>
        <w:right w:val="none" w:sz="0" w:space="0" w:color="auto"/>
      </w:divBdr>
    </w:div>
    <w:div w:id="1870408270">
      <w:bodyDiv w:val="1"/>
      <w:marLeft w:val="0"/>
      <w:marRight w:val="0"/>
      <w:marTop w:val="0"/>
      <w:marBottom w:val="0"/>
      <w:divBdr>
        <w:top w:val="none" w:sz="0" w:space="0" w:color="auto"/>
        <w:left w:val="none" w:sz="0" w:space="0" w:color="auto"/>
        <w:bottom w:val="none" w:sz="0" w:space="0" w:color="auto"/>
        <w:right w:val="none" w:sz="0" w:space="0" w:color="auto"/>
      </w:divBdr>
    </w:div>
    <w:div w:id="1872298458">
      <w:bodyDiv w:val="1"/>
      <w:marLeft w:val="0"/>
      <w:marRight w:val="0"/>
      <w:marTop w:val="0"/>
      <w:marBottom w:val="0"/>
      <w:divBdr>
        <w:top w:val="none" w:sz="0" w:space="0" w:color="auto"/>
        <w:left w:val="none" w:sz="0" w:space="0" w:color="auto"/>
        <w:bottom w:val="none" w:sz="0" w:space="0" w:color="auto"/>
        <w:right w:val="none" w:sz="0" w:space="0" w:color="auto"/>
      </w:divBdr>
    </w:div>
    <w:div w:id="1882328630">
      <w:bodyDiv w:val="1"/>
      <w:marLeft w:val="0"/>
      <w:marRight w:val="0"/>
      <w:marTop w:val="0"/>
      <w:marBottom w:val="0"/>
      <w:divBdr>
        <w:top w:val="none" w:sz="0" w:space="0" w:color="auto"/>
        <w:left w:val="none" w:sz="0" w:space="0" w:color="auto"/>
        <w:bottom w:val="none" w:sz="0" w:space="0" w:color="auto"/>
        <w:right w:val="none" w:sz="0" w:space="0" w:color="auto"/>
      </w:divBdr>
    </w:div>
    <w:div w:id="1882862666">
      <w:bodyDiv w:val="1"/>
      <w:marLeft w:val="0"/>
      <w:marRight w:val="0"/>
      <w:marTop w:val="0"/>
      <w:marBottom w:val="0"/>
      <w:divBdr>
        <w:top w:val="none" w:sz="0" w:space="0" w:color="auto"/>
        <w:left w:val="none" w:sz="0" w:space="0" w:color="auto"/>
        <w:bottom w:val="none" w:sz="0" w:space="0" w:color="auto"/>
        <w:right w:val="none" w:sz="0" w:space="0" w:color="auto"/>
      </w:divBdr>
    </w:div>
    <w:div w:id="1887182173">
      <w:bodyDiv w:val="1"/>
      <w:marLeft w:val="0"/>
      <w:marRight w:val="0"/>
      <w:marTop w:val="0"/>
      <w:marBottom w:val="0"/>
      <w:divBdr>
        <w:top w:val="none" w:sz="0" w:space="0" w:color="auto"/>
        <w:left w:val="none" w:sz="0" w:space="0" w:color="auto"/>
        <w:bottom w:val="none" w:sz="0" w:space="0" w:color="auto"/>
        <w:right w:val="none" w:sz="0" w:space="0" w:color="auto"/>
      </w:divBdr>
    </w:div>
    <w:div w:id="1896624172">
      <w:bodyDiv w:val="1"/>
      <w:marLeft w:val="0"/>
      <w:marRight w:val="0"/>
      <w:marTop w:val="0"/>
      <w:marBottom w:val="0"/>
      <w:divBdr>
        <w:top w:val="none" w:sz="0" w:space="0" w:color="auto"/>
        <w:left w:val="none" w:sz="0" w:space="0" w:color="auto"/>
        <w:bottom w:val="none" w:sz="0" w:space="0" w:color="auto"/>
        <w:right w:val="none" w:sz="0" w:space="0" w:color="auto"/>
      </w:divBdr>
    </w:div>
    <w:div w:id="1912930532">
      <w:bodyDiv w:val="1"/>
      <w:marLeft w:val="0"/>
      <w:marRight w:val="0"/>
      <w:marTop w:val="0"/>
      <w:marBottom w:val="0"/>
      <w:divBdr>
        <w:top w:val="none" w:sz="0" w:space="0" w:color="auto"/>
        <w:left w:val="none" w:sz="0" w:space="0" w:color="auto"/>
        <w:bottom w:val="none" w:sz="0" w:space="0" w:color="auto"/>
        <w:right w:val="none" w:sz="0" w:space="0" w:color="auto"/>
      </w:divBdr>
    </w:div>
    <w:div w:id="1935817881">
      <w:bodyDiv w:val="1"/>
      <w:marLeft w:val="0"/>
      <w:marRight w:val="0"/>
      <w:marTop w:val="0"/>
      <w:marBottom w:val="0"/>
      <w:divBdr>
        <w:top w:val="none" w:sz="0" w:space="0" w:color="auto"/>
        <w:left w:val="none" w:sz="0" w:space="0" w:color="auto"/>
        <w:bottom w:val="none" w:sz="0" w:space="0" w:color="auto"/>
        <w:right w:val="none" w:sz="0" w:space="0" w:color="auto"/>
      </w:divBdr>
    </w:div>
    <w:div w:id="1936785516">
      <w:bodyDiv w:val="1"/>
      <w:marLeft w:val="0"/>
      <w:marRight w:val="0"/>
      <w:marTop w:val="0"/>
      <w:marBottom w:val="0"/>
      <w:divBdr>
        <w:top w:val="none" w:sz="0" w:space="0" w:color="auto"/>
        <w:left w:val="none" w:sz="0" w:space="0" w:color="auto"/>
        <w:bottom w:val="none" w:sz="0" w:space="0" w:color="auto"/>
        <w:right w:val="none" w:sz="0" w:space="0" w:color="auto"/>
      </w:divBdr>
    </w:div>
    <w:div w:id="1941184575">
      <w:bodyDiv w:val="1"/>
      <w:marLeft w:val="0"/>
      <w:marRight w:val="0"/>
      <w:marTop w:val="0"/>
      <w:marBottom w:val="0"/>
      <w:divBdr>
        <w:top w:val="none" w:sz="0" w:space="0" w:color="auto"/>
        <w:left w:val="none" w:sz="0" w:space="0" w:color="auto"/>
        <w:bottom w:val="none" w:sz="0" w:space="0" w:color="auto"/>
        <w:right w:val="none" w:sz="0" w:space="0" w:color="auto"/>
      </w:divBdr>
    </w:div>
    <w:div w:id="1942299897">
      <w:bodyDiv w:val="1"/>
      <w:marLeft w:val="0"/>
      <w:marRight w:val="0"/>
      <w:marTop w:val="0"/>
      <w:marBottom w:val="0"/>
      <w:divBdr>
        <w:top w:val="none" w:sz="0" w:space="0" w:color="auto"/>
        <w:left w:val="none" w:sz="0" w:space="0" w:color="auto"/>
        <w:bottom w:val="none" w:sz="0" w:space="0" w:color="auto"/>
        <w:right w:val="none" w:sz="0" w:space="0" w:color="auto"/>
      </w:divBdr>
    </w:div>
    <w:div w:id="1948350457">
      <w:bodyDiv w:val="1"/>
      <w:marLeft w:val="0"/>
      <w:marRight w:val="0"/>
      <w:marTop w:val="0"/>
      <w:marBottom w:val="0"/>
      <w:divBdr>
        <w:top w:val="none" w:sz="0" w:space="0" w:color="auto"/>
        <w:left w:val="none" w:sz="0" w:space="0" w:color="auto"/>
        <w:bottom w:val="none" w:sz="0" w:space="0" w:color="auto"/>
        <w:right w:val="none" w:sz="0" w:space="0" w:color="auto"/>
      </w:divBdr>
    </w:div>
    <w:div w:id="1972048987">
      <w:bodyDiv w:val="1"/>
      <w:marLeft w:val="0"/>
      <w:marRight w:val="0"/>
      <w:marTop w:val="0"/>
      <w:marBottom w:val="0"/>
      <w:divBdr>
        <w:top w:val="none" w:sz="0" w:space="0" w:color="auto"/>
        <w:left w:val="none" w:sz="0" w:space="0" w:color="auto"/>
        <w:bottom w:val="none" w:sz="0" w:space="0" w:color="auto"/>
        <w:right w:val="none" w:sz="0" w:space="0" w:color="auto"/>
      </w:divBdr>
    </w:div>
    <w:div w:id="1986625102">
      <w:bodyDiv w:val="1"/>
      <w:marLeft w:val="0"/>
      <w:marRight w:val="0"/>
      <w:marTop w:val="0"/>
      <w:marBottom w:val="0"/>
      <w:divBdr>
        <w:top w:val="none" w:sz="0" w:space="0" w:color="auto"/>
        <w:left w:val="none" w:sz="0" w:space="0" w:color="auto"/>
        <w:bottom w:val="none" w:sz="0" w:space="0" w:color="auto"/>
        <w:right w:val="none" w:sz="0" w:space="0" w:color="auto"/>
      </w:divBdr>
    </w:div>
    <w:div w:id="2030327037">
      <w:bodyDiv w:val="1"/>
      <w:marLeft w:val="0"/>
      <w:marRight w:val="0"/>
      <w:marTop w:val="0"/>
      <w:marBottom w:val="0"/>
      <w:divBdr>
        <w:top w:val="none" w:sz="0" w:space="0" w:color="auto"/>
        <w:left w:val="none" w:sz="0" w:space="0" w:color="auto"/>
        <w:bottom w:val="none" w:sz="0" w:space="0" w:color="auto"/>
        <w:right w:val="none" w:sz="0" w:space="0" w:color="auto"/>
      </w:divBdr>
    </w:div>
    <w:div w:id="2050178759">
      <w:bodyDiv w:val="1"/>
      <w:marLeft w:val="0"/>
      <w:marRight w:val="0"/>
      <w:marTop w:val="0"/>
      <w:marBottom w:val="0"/>
      <w:divBdr>
        <w:top w:val="none" w:sz="0" w:space="0" w:color="auto"/>
        <w:left w:val="none" w:sz="0" w:space="0" w:color="auto"/>
        <w:bottom w:val="none" w:sz="0" w:space="0" w:color="auto"/>
        <w:right w:val="none" w:sz="0" w:space="0" w:color="auto"/>
      </w:divBdr>
    </w:div>
    <w:div w:id="2053917848">
      <w:bodyDiv w:val="1"/>
      <w:marLeft w:val="0"/>
      <w:marRight w:val="0"/>
      <w:marTop w:val="0"/>
      <w:marBottom w:val="0"/>
      <w:divBdr>
        <w:top w:val="none" w:sz="0" w:space="0" w:color="auto"/>
        <w:left w:val="none" w:sz="0" w:space="0" w:color="auto"/>
        <w:bottom w:val="none" w:sz="0" w:space="0" w:color="auto"/>
        <w:right w:val="none" w:sz="0" w:space="0" w:color="auto"/>
      </w:divBdr>
    </w:div>
    <w:div w:id="2057583019">
      <w:bodyDiv w:val="1"/>
      <w:marLeft w:val="0"/>
      <w:marRight w:val="0"/>
      <w:marTop w:val="0"/>
      <w:marBottom w:val="0"/>
      <w:divBdr>
        <w:top w:val="none" w:sz="0" w:space="0" w:color="auto"/>
        <w:left w:val="none" w:sz="0" w:space="0" w:color="auto"/>
        <w:bottom w:val="none" w:sz="0" w:space="0" w:color="auto"/>
        <w:right w:val="none" w:sz="0" w:space="0" w:color="auto"/>
      </w:divBdr>
    </w:div>
    <w:div w:id="2068645135">
      <w:bodyDiv w:val="1"/>
      <w:marLeft w:val="0"/>
      <w:marRight w:val="0"/>
      <w:marTop w:val="0"/>
      <w:marBottom w:val="0"/>
      <w:divBdr>
        <w:top w:val="none" w:sz="0" w:space="0" w:color="auto"/>
        <w:left w:val="none" w:sz="0" w:space="0" w:color="auto"/>
        <w:bottom w:val="none" w:sz="0" w:space="0" w:color="auto"/>
        <w:right w:val="none" w:sz="0" w:space="0" w:color="auto"/>
      </w:divBdr>
    </w:div>
    <w:div w:id="2068917846">
      <w:bodyDiv w:val="1"/>
      <w:marLeft w:val="0"/>
      <w:marRight w:val="0"/>
      <w:marTop w:val="0"/>
      <w:marBottom w:val="0"/>
      <w:divBdr>
        <w:top w:val="none" w:sz="0" w:space="0" w:color="auto"/>
        <w:left w:val="none" w:sz="0" w:space="0" w:color="auto"/>
        <w:bottom w:val="none" w:sz="0" w:space="0" w:color="auto"/>
        <w:right w:val="none" w:sz="0" w:space="0" w:color="auto"/>
      </w:divBdr>
    </w:div>
    <w:div w:id="2075273650">
      <w:bodyDiv w:val="1"/>
      <w:marLeft w:val="0"/>
      <w:marRight w:val="0"/>
      <w:marTop w:val="0"/>
      <w:marBottom w:val="0"/>
      <w:divBdr>
        <w:top w:val="none" w:sz="0" w:space="0" w:color="auto"/>
        <w:left w:val="none" w:sz="0" w:space="0" w:color="auto"/>
        <w:bottom w:val="none" w:sz="0" w:space="0" w:color="auto"/>
        <w:right w:val="none" w:sz="0" w:space="0" w:color="auto"/>
      </w:divBdr>
    </w:div>
    <w:div w:id="2094623774">
      <w:bodyDiv w:val="1"/>
      <w:marLeft w:val="0"/>
      <w:marRight w:val="0"/>
      <w:marTop w:val="0"/>
      <w:marBottom w:val="0"/>
      <w:divBdr>
        <w:top w:val="none" w:sz="0" w:space="0" w:color="auto"/>
        <w:left w:val="none" w:sz="0" w:space="0" w:color="auto"/>
        <w:bottom w:val="none" w:sz="0" w:space="0" w:color="auto"/>
        <w:right w:val="none" w:sz="0" w:space="0" w:color="auto"/>
      </w:divBdr>
    </w:div>
    <w:div w:id="21084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1A1D5-94F4-477C-AB47-286F60E98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14020</Words>
  <Characters>83160</Characters>
  <Application>Microsoft Office Word</Application>
  <DocSecurity>0</DocSecurity>
  <Lines>693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2019-06-25T05:45:00Z</dcterms:created>
  <dcterms:modified xsi:type="dcterms:W3CDTF">2019-07-01T01:40:00Z</dcterms:modified>
</cp:coreProperties>
</file>