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3A2" w:rsidRPr="002E6BC6" w:rsidRDefault="00700A32" w:rsidP="003263A2">
      <w:pPr>
        <w:pStyle w:val="Title"/>
        <w:spacing w:before="120" w:after="160"/>
        <w:ind w:left="720" w:hanging="720"/>
        <w:jc w:val="both"/>
        <w:rPr>
          <w:rFonts w:asciiTheme="minorHAnsi" w:hAnsiTheme="minorHAnsi"/>
          <w:sz w:val="36"/>
          <w:szCs w:val="36"/>
        </w:rPr>
      </w:pPr>
      <w:r w:rsidRPr="002E6BC6">
        <w:rPr>
          <w:rFonts w:asciiTheme="minorHAnsi" w:hAnsiTheme="minorHAnsi"/>
          <w:sz w:val="36"/>
          <w:szCs w:val="36"/>
        </w:rPr>
        <w:t>6.19</w:t>
      </w:r>
      <w:r w:rsidRPr="002E6BC6">
        <w:rPr>
          <w:rFonts w:asciiTheme="minorHAnsi" w:hAnsiTheme="minorHAnsi"/>
          <w:sz w:val="36"/>
          <w:szCs w:val="36"/>
        </w:rPr>
        <w:tab/>
        <w:t>TOCILIZUMAB</w:t>
      </w:r>
    </w:p>
    <w:p w:rsidR="003263A2" w:rsidRPr="002E6BC6" w:rsidRDefault="003263A2" w:rsidP="00224CF5">
      <w:pPr>
        <w:pStyle w:val="Title"/>
        <w:spacing w:before="120" w:after="160"/>
        <w:ind w:left="720" w:hanging="11"/>
        <w:jc w:val="both"/>
        <w:outlineLvl w:val="9"/>
        <w:rPr>
          <w:rFonts w:asciiTheme="minorHAnsi" w:hAnsiTheme="minorHAnsi"/>
          <w:sz w:val="36"/>
          <w:szCs w:val="36"/>
        </w:rPr>
      </w:pPr>
      <w:r w:rsidRPr="002E6BC6">
        <w:rPr>
          <w:rFonts w:asciiTheme="minorHAnsi" w:hAnsiTheme="minorHAnsi"/>
          <w:sz w:val="36"/>
          <w:szCs w:val="36"/>
        </w:rPr>
        <w:t>Injection 162 mg in 0.9 mL single use pre-filled pen,</w:t>
      </w:r>
    </w:p>
    <w:p w:rsidR="00D830C5" w:rsidRPr="002E6BC6" w:rsidRDefault="003263A2" w:rsidP="00224CF5">
      <w:pPr>
        <w:pStyle w:val="Title"/>
        <w:spacing w:before="120" w:after="160"/>
        <w:ind w:left="720" w:hanging="11"/>
        <w:jc w:val="both"/>
        <w:outlineLvl w:val="9"/>
        <w:rPr>
          <w:rFonts w:asciiTheme="minorHAnsi" w:hAnsiTheme="minorHAnsi"/>
          <w:sz w:val="36"/>
          <w:szCs w:val="36"/>
        </w:rPr>
      </w:pPr>
      <w:r w:rsidRPr="002E6BC6">
        <w:rPr>
          <w:rFonts w:asciiTheme="minorHAnsi" w:hAnsiTheme="minorHAnsi"/>
          <w:sz w:val="36"/>
          <w:szCs w:val="36"/>
        </w:rPr>
        <w:t>Injection 162 mg in 0.9 mL single use pre-filled</w:t>
      </w:r>
      <w:r w:rsidR="00106730" w:rsidRPr="002E6BC6">
        <w:rPr>
          <w:rFonts w:asciiTheme="minorHAnsi" w:hAnsiTheme="minorHAnsi"/>
          <w:sz w:val="36"/>
          <w:szCs w:val="36"/>
        </w:rPr>
        <w:t xml:space="preserve"> </w:t>
      </w:r>
      <w:r w:rsidRPr="002E6BC6">
        <w:rPr>
          <w:rFonts w:asciiTheme="minorHAnsi" w:hAnsiTheme="minorHAnsi"/>
          <w:sz w:val="36"/>
          <w:szCs w:val="36"/>
        </w:rPr>
        <w:t>syringe</w:t>
      </w:r>
      <w:r w:rsidRPr="002E6BC6">
        <w:rPr>
          <w:rFonts w:asciiTheme="minorHAnsi" w:hAnsiTheme="minorHAnsi"/>
          <w:b w:val="0"/>
          <w:sz w:val="36"/>
          <w:szCs w:val="36"/>
        </w:rPr>
        <w:t>,</w:t>
      </w:r>
      <w:r w:rsidR="00D830C5" w:rsidRPr="002E6BC6">
        <w:rPr>
          <w:rFonts w:asciiTheme="minorHAnsi" w:hAnsiTheme="minorHAnsi"/>
          <w:sz w:val="36"/>
          <w:szCs w:val="36"/>
        </w:rPr>
        <w:t xml:space="preserve"> </w:t>
      </w:r>
    </w:p>
    <w:p w:rsidR="006D6493" w:rsidRPr="002E6BC6" w:rsidRDefault="003263A2" w:rsidP="00224CF5">
      <w:pPr>
        <w:pStyle w:val="Title"/>
        <w:spacing w:before="120" w:after="160"/>
        <w:ind w:left="720" w:hanging="11"/>
        <w:jc w:val="both"/>
        <w:outlineLvl w:val="9"/>
        <w:rPr>
          <w:rFonts w:asciiTheme="minorHAnsi" w:hAnsiTheme="minorHAnsi"/>
          <w:sz w:val="36"/>
          <w:szCs w:val="36"/>
        </w:rPr>
      </w:pPr>
      <w:proofErr w:type="spellStart"/>
      <w:r w:rsidRPr="002E6BC6">
        <w:rPr>
          <w:rFonts w:asciiTheme="minorHAnsi" w:hAnsiTheme="minorHAnsi"/>
          <w:sz w:val="36"/>
          <w:szCs w:val="36"/>
        </w:rPr>
        <w:t>Actemra</w:t>
      </w:r>
      <w:proofErr w:type="spellEnd"/>
      <w:r w:rsidR="006D6493" w:rsidRPr="002E6BC6">
        <w:rPr>
          <w:rFonts w:asciiTheme="minorHAnsi" w:hAnsiTheme="minorHAnsi"/>
          <w:sz w:val="36"/>
          <w:szCs w:val="36"/>
          <w:vertAlign w:val="superscript"/>
        </w:rPr>
        <w:t>®</w:t>
      </w:r>
      <w:r w:rsidRPr="002E6BC6">
        <w:rPr>
          <w:rFonts w:asciiTheme="minorHAnsi" w:hAnsiTheme="minorHAnsi"/>
          <w:sz w:val="36"/>
          <w:szCs w:val="36"/>
        </w:rPr>
        <w:t xml:space="preserve">, Roche Products Pty Ltd </w:t>
      </w:r>
    </w:p>
    <w:p w:rsidR="008A50F1" w:rsidRPr="002E6BC6" w:rsidRDefault="00CE10C4" w:rsidP="000334C9">
      <w:pPr>
        <w:pStyle w:val="PBACHeading1"/>
        <w:spacing w:before="120" w:after="120"/>
        <w:ind w:left="709" w:hanging="709"/>
        <w:rPr>
          <w:rFonts w:asciiTheme="minorHAnsi" w:hAnsiTheme="minorHAnsi"/>
          <w:sz w:val="32"/>
          <w:szCs w:val="32"/>
        </w:rPr>
      </w:pPr>
      <w:r w:rsidRPr="002E6BC6">
        <w:rPr>
          <w:rFonts w:asciiTheme="minorHAnsi" w:hAnsiTheme="minorHAnsi"/>
          <w:sz w:val="32"/>
          <w:szCs w:val="32"/>
        </w:rPr>
        <w:t xml:space="preserve">Purpose of </w:t>
      </w:r>
      <w:r w:rsidR="0004240E" w:rsidRPr="002E6BC6">
        <w:rPr>
          <w:rFonts w:asciiTheme="minorHAnsi" w:hAnsiTheme="minorHAnsi"/>
          <w:sz w:val="32"/>
          <w:szCs w:val="32"/>
        </w:rPr>
        <w:t>Application</w:t>
      </w:r>
    </w:p>
    <w:p w:rsidR="004F160E" w:rsidRPr="002E6BC6" w:rsidRDefault="00EF44A0" w:rsidP="000334C9">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2E6BC6">
        <w:rPr>
          <w:rFonts w:asciiTheme="minorHAnsi" w:eastAsiaTheme="minorHAnsi" w:hAnsiTheme="minorHAnsi" w:cstheme="minorBidi"/>
          <w:snapToGrid/>
          <w:sz w:val="24"/>
          <w:szCs w:val="22"/>
        </w:rPr>
        <w:t>The mi</w:t>
      </w:r>
      <w:r w:rsidR="00FF2801" w:rsidRPr="002E6BC6">
        <w:rPr>
          <w:rFonts w:asciiTheme="minorHAnsi" w:eastAsiaTheme="minorHAnsi" w:hAnsiTheme="minorHAnsi" w:cstheme="minorBidi"/>
          <w:snapToGrid/>
          <w:sz w:val="24"/>
          <w:szCs w:val="22"/>
        </w:rPr>
        <w:t xml:space="preserve">nor submission </w:t>
      </w:r>
      <w:r w:rsidR="00D830C5" w:rsidRPr="002E6BC6">
        <w:rPr>
          <w:rFonts w:asciiTheme="minorHAnsi" w:eastAsiaTheme="minorHAnsi" w:hAnsiTheme="minorHAnsi" w:cstheme="minorBidi"/>
          <w:snapToGrid/>
          <w:sz w:val="24"/>
          <w:szCs w:val="22"/>
        </w:rPr>
        <w:t>requested</w:t>
      </w:r>
      <w:r w:rsidR="00BF655A" w:rsidRPr="002E6BC6">
        <w:rPr>
          <w:rFonts w:asciiTheme="minorHAnsi" w:eastAsiaTheme="minorHAnsi" w:hAnsiTheme="minorHAnsi" w:cstheme="minorBidi"/>
          <w:snapToGrid/>
          <w:sz w:val="24"/>
          <w:szCs w:val="22"/>
        </w:rPr>
        <w:t xml:space="preserve"> </w:t>
      </w:r>
      <w:r w:rsidR="00AC00D7" w:rsidRPr="002E6BC6">
        <w:rPr>
          <w:rFonts w:asciiTheme="minorHAnsi" w:eastAsiaTheme="minorHAnsi" w:hAnsiTheme="minorHAnsi" w:cstheme="minorBidi"/>
          <w:snapToGrid/>
          <w:sz w:val="24"/>
          <w:szCs w:val="22"/>
        </w:rPr>
        <w:t xml:space="preserve">to extend </w:t>
      </w:r>
      <w:r w:rsidR="004F160E" w:rsidRPr="002E6BC6">
        <w:rPr>
          <w:rFonts w:asciiTheme="minorHAnsi" w:eastAsiaTheme="minorHAnsi" w:hAnsiTheme="minorHAnsi" w:cstheme="minorBidi"/>
          <w:snapToGrid/>
          <w:sz w:val="24"/>
          <w:szCs w:val="22"/>
        </w:rPr>
        <w:t>the</w:t>
      </w:r>
      <w:r w:rsidR="00BF655A" w:rsidRPr="002E6BC6">
        <w:rPr>
          <w:rFonts w:asciiTheme="minorHAnsi" w:eastAsiaTheme="minorHAnsi" w:hAnsiTheme="minorHAnsi" w:cstheme="minorBidi"/>
          <w:snapToGrid/>
          <w:sz w:val="24"/>
          <w:szCs w:val="22"/>
        </w:rPr>
        <w:t xml:space="preserve"> current</w:t>
      </w:r>
      <w:r w:rsidR="004F160E" w:rsidRPr="002E6BC6">
        <w:rPr>
          <w:rFonts w:asciiTheme="minorHAnsi" w:eastAsiaTheme="minorHAnsi" w:hAnsiTheme="minorHAnsi" w:cstheme="minorBidi"/>
          <w:snapToGrid/>
          <w:sz w:val="24"/>
          <w:szCs w:val="22"/>
        </w:rPr>
        <w:t xml:space="preserve"> Section 85 (General Schedule), </w:t>
      </w:r>
      <w:r w:rsidR="00D830C5" w:rsidRPr="002E6BC6">
        <w:rPr>
          <w:rFonts w:asciiTheme="minorHAnsi" w:eastAsiaTheme="minorHAnsi" w:hAnsiTheme="minorHAnsi" w:cstheme="minorBidi"/>
          <w:snapToGrid/>
          <w:sz w:val="24"/>
          <w:szCs w:val="22"/>
        </w:rPr>
        <w:t>Authority Required listing</w:t>
      </w:r>
      <w:r w:rsidR="00BE7959" w:rsidRPr="002E6BC6">
        <w:rPr>
          <w:rFonts w:asciiTheme="minorHAnsi" w:eastAsiaTheme="minorHAnsi" w:hAnsiTheme="minorHAnsi" w:cstheme="minorBidi"/>
          <w:snapToGrid/>
          <w:sz w:val="24"/>
          <w:szCs w:val="22"/>
        </w:rPr>
        <w:t>s</w:t>
      </w:r>
      <w:r w:rsidR="00D830C5" w:rsidRPr="002E6BC6">
        <w:rPr>
          <w:rFonts w:asciiTheme="minorHAnsi" w:eastAsiaTheme="minorHAnsi" w:hAnsiTheme="minorHAnsi" w:cstheme="minorBidi"/>
          <w:snapToGrid/>
          <w:sz w:val="24"/>
          <w:szCs w:val="22"/>
        </w:rPr>
        <w:t xml:space="preserve"> </w:t>
      </w:r>
      <w:r w:rsidR="000C6A21" w:rsidRPr="002E6BC6">
        <w:rPr>
          <w:rFonts w:asciiTheme="minorHAnsi" w:eastAsiaTheme="minorHAnsi" w:hAnsiTheme="minorHAnsi" w:cstheme="minorBidi"/>
          <w:snapToGrid/>
          <w:sz w:val="24"/>
          <w:szCs w:val="22"/>
        </w:rPr>
        <w:t>of</w:t>
      </w:r>
      <w:r w:rsidR="00D830C5" w:rsidRPr="002E6BC6">
        <w:rPr>
          <w:rFonts w:asciiTheme="minorHAnsi" w:eastAsiaTheme="minorHAnsi" w:hAnsiTheme="minorHAnsi" w:cstheme="minorBidi"/>
          <w:snapToGrid/>
          <w:sz w:val="24"/>
          <w:szCs w:val="22"/>
        </w:rPr>
        <w:t xml:space="preserve"> subcutaneous</w:t>
      </w:r>
      <w:r w:rsidR="007A6ACC" w:rsidRPr="002E6BC6">
        <w:rPr>
          <w:rFonts w:asciiTheme="minorHAnsi" w:eastAsiaTheme="minorHAnsi" w:hAnsiTheme="minorHAnsi" w:cstheme="minorBidi"/>
          <w:snapToGrid/>
          <w:sz w:val="24"/>
          <w:szCs w:val="22"/>
        </w:rPr>
        <w:t xml:space="preserve"> (SC)</w:t>
      </w:r>
      <w:r w:rsidR="00B0205D" w:rsidRPr="002E6BC6">
        <w:rPr>
          <w:rFonts w:asciiTheme="minorHAnsi" w:eastAsiaTheme="minorHAnsi" w:hAnsiTheme="minorHAnsi" w:cstheme="minorBidi"/>
          <w:snapToGrid/>
          <w:sz w:val="24"/>
          <w:szCs w:val="22"/>
        </w:rPr>
        <w:t xml:space="preserve"> injection presentations of</w:t>
      </w:r>
      <w:r w:rsidR="00D830C5" w:rsidRPr="002E6BC6">
        <w:rPr>
          <w:rFonts w:asciiTheme="minorHAnsi" w:eastAsiaTheme="minorHAnsi" w:hAnsiTheme="minorHAnsi" w:cstheme="minorBidi"/>
          <w:snapToGrid/>
          <w:sz w:val="24"/>
          <w:szCs w:val="22"/>
        </w:rPr>
        <w:t xml:space="preserve"> </w:t>
      </w:r>
      <w:proofErr w:type="spellStart"/>
      <w:r w:rsidR="00D830C5" w:rsidRPr="002E6BC6">
        <w:rPr>
          <w:rFonts w:asciiTheme="minorHAnsi" w:eastAsiaTheme="minorHAnsi" w:hAnsiTheme="minorHAnsi" w:cstheme="minorBidi"/>
          <w:snapToGrid/>
          <w:sz w:val="24"/>
          <w:szCs w:val="22"/>
        </w:rPr>
        <w:t>tocilizumab</w:t>
      </w:r>
      <w:proofErr w:type="spellEnd"/>
      <w:r w:rsidR="00D830C5" w:rsidRPr="002E6BC6">
        <w:rPr>
          <w:rFonts w:asciiTheme="minorHAnsi" w:eastAsiaTheme="minorHAnsi" w:hAnsiTheme="minorHAnsi" w:cstheme="minorBidi"/>
          <w:snapToGrid/>
          <w:sz w:val="24"/>
          <w:szCs w:val="22"/>
        </w:rPr>
        <w:t xml:space="preserve"> </w:t>
      </w:r>
      <w:r w:rsidR="00E42918" w:rsidRPr="002E6BC6">
        <w:rPr>
          <w:rFonts w:asciiTheme="minorHAnsi" w:eastAsiaTheme="minorHAnsi" w:hAnsiTheme="minorHAnsi" w:cstheme="minorBidi"/>
          <w:snapToGrid/>
          <w:sz w:val="24"/>
          <w:szCs w:val="22"/>
        </w:rPr>
        <w:t>(</w:t>
      </w:r>
      <w:proofErr w:type="spellStart"/>
      <w:r w:rsidR="00E42918" w:rsidRPr="002E6BC6">
        <w:rPr>
          <w:rFonts w:asciiTheme="minorHAnsi" w:eastAsiaTheme="minorHAnsi" w:hAnsiTheme="minorHAnsi" w:cstheme="minorBidi"/>
          <w:snapToGrid/>
          <w:sz w:val="24"/>
          <w:szCs w:val="22"/>
        </w:rPr>
        <w:t>tocilizumab</w:t>
      </w:r>
      <w:proofErr w:type="spellEnd"/>
      <w:r w:rsidR="00E42918" w:rsidRPr="002E6BC6">
        <w:rPr>
          <w:rFonts w:asciiTheme="minorHAnsi" w:eastAsiaTheme="minorHAnsi" w:hAnsiTheme="minorHAnsi" w:cstheme="minorBidi"/>
          <w:snapToGrid/>
          <w:sz w:val="24"/>
          <w:szCs w:val="22"/>
        </w:rPr>
        <w:t xml:space="preserve"> SC</w:t>
      </w:r>
      <w:r w:rsidR="00F3729D" w:rsidRPr="002E6BC6">
        <w:rPr>
          <w:rFonts w:asciiTheme="minorHAnsi" w:eastAsiaTheme="minorHAnsi" w:hAnsiTheme="minorHAnsi" w:cstheme="minorBidi"/>
          <w:snapToGrid/>
          <w:sz w:val="24"/>
          <w:szCs w:val="22"/>
        </w:rPr>
        <w:t xml:space="preserve"> from herein</w:t>
      </w:r>
      <w:r w:rsidR="00E42918" w:rsidRPr="002E6BC6">
        <w:rPr>
          <w:rFonts w:asciiTheme="minorHAnsi" w:eastAsiaTheme="minorHAnsi" w:hAnsiTheme="minorHAnsi" w:cstheme="minorBidi"/>
          <w:snapToGrid/>
          <w:sz w:val="24"/>
          <w:szCs w:val="22"/>
        </w:rPr>
        <w:t xml:space="preserve">) </w:t>
      </w:r>
      <w:r w:rsidR="00BF655A" w:rsidRPr="002E6BC6">
        <w:rPr>
          <w:rFonts w:asciiTheme="minorHAnsi" w:eastAsiaTheme="minorHAnsi" w:hAnsiTheme="minorHAnsi" w:cstheme="minorBidi"/>
          <w:snapToGrid/>
          <w:sz w:val="24"/>
          <w:szCs w:val="22"/>
        </w:rPr>
        <w:t xml:space="preserve">to include </w:t>
      </w:r>
      <w:r w:rsidR="00D830C5" w:rsidRPr="002E6BC6">
        <w:rPr>
          <w:rFonts w:asciiTheme="minorHAnsi" w:eastAsiaTheme="minorHAnsi" w:hAnsiTheme="minorHAnsi" w:cstheme="minorBidi"/>
          <w:snapToGrid/>
          <w:sz w:val="24"/>
          <w:szCs w:val="22"/>
        </w:rPr>
        <w:t>treatment of severe active</w:t>
      </w:r>
      <w:r w:rsidR="00BF655A" w:rsidRPr="002E6BC6">
        <w:rPr>
          <w:rFonts w:asciiTheme="minorHAnsi" w:eastAsiaTheme="minorHAnsi" w:hAnsiTheme="minorHAnsi" w:cstheme="minorBidi"/>
          <w:snapToGrid/>
          <w:sz w:val="24"/>
          <w:szCs w:val="22"/>
        </w:rPr>
        <w:t xml:space="preserve"> </w:t>
      </w:r>
      <w:proofErr w:type="spellStart"/>
      <w:r w:rsidR="00BF655A" w:rsidRPr="002E6BC6">
        <w:rPr>
          <w:rFonts w:asciiTheme="minorHAnsi" w:eastAsiaTheme="minorHAnsi" w:hAnsiTheme="minorHAnsi" w:cstheme="minorBidi"/>
          <w:snapToGrid/>
          <w:sz w:val="24"/>
          <w:szCs w:val="22"/>
        </w:rPr>
        <w:t>polyarticular</w:t>
      </w:r>
      <w:proofErr w:type="spellEnd"/>
      <w:r w:rsidR="00D830C5" w:rsidRPr="002E6BC6">
        <w:rPr>
          <w:rFonts w:asciiTheme="minorHAnsi" w:eastAsiaTheme="minorHAnsi" w:hAnsiTheme="minorHAnsi" w:cstheme="minorBidi"/>
          <w:snapToGrid/>
          <w:sz w:val="24"/>
          <w:szCs w:val="22"/>
        </w:rPr>
        <w:t xml:space="preserve"> juvenile idiopathic arthritis</w:t>
      </w:r>
      <w:r w:rsidR="008E121A" w:rsidRPr="002E6BC6">
        <w:rPr>
          <w:rFonts w:asciiTheme="minorHAnsi" w:eastAsiaTheme="minorHAnsi" w:hAnsiTheme="minorHAnsi" w:cstheme="minorBidi"/>
          <w:snapToGrid/>
          <w:sz w:val="24"/>
          <w:szCs w:val="22"/>
        </w:rPr>
        <w:t xml:space="preserve"> (JIA)</w:t>
      </w:r>
      <w:r w:rsidR="00964B27" w:rsidRPr="002E6BC6">
        <w:rPr>
          <w:rFonts w:asciiTheme="minorHAnsi" w:eastAsiaTheme="minorHAnsi" w:hAnsiTheme="minorHAnsi" w:cstheme="minorBidi"/>
          <w:snapToGrid/>
          <w:sz w:val="24"/>
          <w:szCs w:val="22"/>
        </w:rPr>
        <w:t>.</w:t>
      </w:r>
    </w:p>
    <w:p w:rsidR="006A12A5" w:rsidRPr="002E6BC6" w:rsidRDefault="006A12A5" w:rsidP="000334C9">
      <w:pPr>
        <w:pStyle w:val="PBACHeading1"/>
        <w:spacing w:before="120" w:after="120"/>
        <w:ind w:left="709" w:hanging="709"/>
        <w:rPr>
          <w:rFonts w:asciiTheme="minorHAnsi" w:hAnsiTheme="minorHAnsi"/>
          <w:sz w:val="32"/>
          <w:szCs w:val="32"/>
        </w:rPr>
      </w:pPr>
      <w:r w:rsidRPr="002E6BC6">
        <w:rPr>
          <w:rFonts w:asciiTheme="minorHAnsi" w:hAnsiTheme="minorHAnsi"/>
          <w:sz w:val="32"/>
          <w:szCs w:val="32"/>
        </w:rPr>
        <w:t>Requested listing</w:t>
      </w:r>
    </w:p>
    <w:p w:rsidR="00826F6D" w:rsidRPr="002E6BC6" w:rsidRDefault="007A6ACC" w:rsidP="000334C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2E6BC6">
        <w:rPr>
          <w:rFonts w:asciiTheme="minorHAnsi" w:eastAsiaTheme="minorHAnsi" w:hAnsiTheme="minorHAnsi" w:cstheme="minorBidi"/>
          <w:snapToGrid/>
          <w:sz w:val="24"/>
          <w:szCs w:val="22"/>
        </w:rPr>
        <w:t xml:space="preserve">The submission requested </w:t>
      </w:r>
      <w:r w:rsidR="00964B27" w:rsidRPr="002E6BC6">
        <w:rPr>
          <w:rFonts w:asciiTheme="minorHAnsi" w:eastAsiaTheme="minorHAnsi" w:hAnsiTheme="minorHAnsi" w:cstheme="minorBidi"/>
          <w:snapToGrid/>
          <w:sz w:val="24"/>
          <w:szCs w:val="22"/>
        </w:rPr>
        <w:t xml:space="preserve">to have the </w:t>
      </w:r>
      <w:r w:rsidR="00151C92" w:rsidRPr="002E6BC6">
        <w:rPr>
          <w:rFonts w:asciiTheme="minorHAnsi" w:eastAsiaTheme="minorHAnsi" w:hAnsiTheme="minorHAnsi" w:cstheme="minorBidi"/>
          <w:snapToGrid/>
          <w:sz w:val="24"/>
          <w:szCs w:val="22"/>
        </w:rPr>
        <w:t xml:space="preserve">same </w:t>
      </w:r>
      <w:r w:rsidR="00A3671D" w:rsidRPr="002E6BC6">
        <w:rPr>
          <w:rFonts w:asciiTheme="minorHAnsi" w:eastAsiaTheme="minorHAnsi" w:hAnsiTheme="minorHAnsi" w:cstheme="minorBidi"/>
          <w:snapToGrid/>
          <w:sz w:val="24"/>
          <w:szCs w:val="22"/>
        </w:rPr>
        <w:t>listing</w:t>
      </w:r>
      <w:r w:rsidR="00151C92" w:rsidRPr="002E6BC6">
        <w:rPr>
          <w:rFonts w:asciiTheme="minorHAnsi" w:eastAsiaTheme="minorHAnsi" w:hAnsiTheme="minorHAnsi" w:cstheme="minorBidi"/>
          <w:snapToGrid/>
          <w:sz w:val="24"/>
          <w:szCs w:val="22"/>
        </w:rPr>
        <w:t xml:space="preserve"> for</w:t>
      </w:r>
      <w:r w:rsidRPr="002E6BC6">
        <w:rPr>
          <w:rFonts w:asciiTheme="minorHAnsi" w:eastAsiaTheme="minorHAnsi" w:hAnsiTheme="minorHAnsi" w:cstheme="minorBidi"/>
          <w:snapToGrid/>
          <w:sz w:val="24"/>
          <w:szCs w:val="22"/>
        </w:rPr>
        <w:t xml:space="preserve"> </w:t>
      </w:r>
      <w:proofErr w:type="spellStart"/>
      <w:r w:rsidRPr="002E6BC6">
        <w:rPr>
          <w:rFonts w:asciiTheme="minorHAnsi" w:eastAsiaTheme="minorHAnsi" w:hAnsiTheme="minorHAnsi" w:cstheme="minorBidi"/>
          <w:snapToGrid/>
          <w:sz w:val="24"/>
          <w:szCs w:val="22"/>
        </w:rPr>
        <w:t>tocilizumab</w:t>
      </w:r>
      <w:proofErr w:type="spellEnd"/>
      <w:r w:rsidR="00151C92" w:rsidRPr="002E6BC6">
        <w:rPr>
          <w:rFonts w:asciiTheme="minorHAnsi" w:eastAsiaTheme="minorHAnsi" w:hAnsiTheme="minorHAnsi" w:cstheme="minorBidi"/>
          <w:snapToGrid/>
          <w:sz w:val="24"/>
          <w:szCs w:val="22"/>
        </w:rPr>
        <w:t xml:space="preserve"> SC</w:t>
      </w:r>
      <w:r w:rsidRPr="002E6BC6">
        <w:rPr>
          <w:rFonts w:asciiTheme="minorHAnsi" w:eastAsiaTheme="minorHAnsi" w:hAnsiTheme="minorHAnsi" w:cstheme="minorBidi"/>
          <w:snapToGrid/>
          <w:sz w:val="24"/>
          <w:szCs w:val="22"/>
        </w:rPr>
        <w:t xml:space="preserve"> as the existing </w:t>
      </w:r>
      <w:proofErr w:type="spellStart"/>
      <w:r w:rsidR="00B0205D" w:rsidRPr="002E6BC6">
        <w:rPr>
          <w:rFonts w:asciiTheme="minorHAnsi" w:eastAsiaTheme="minorHAnsi" w:hAnsiTheme="minorHAnsi" w:cstheme="minorBidi"/>
          <w:snapToGrid/>
          <w:sz w:val="24"/>
          <w:szCs w:val="22"/>
        </w:rPr>
        <w:t>tocilizumab</w:t>
      </w:r>
      <w:proofErr w:type="spellEnd"/>
      <w:r w:rsidR="00B0205D" w:rsidRPr="002E6BC6">
        <w:rPr>
          <w:rFonts w:asciiTheme="minorHAnsi" w:eastAsiaTheme="minorHAnsi" w:hAnsiTheme="minorHAnsi" w:cstheme="minorBidi"/>
          <w:snapToGrid/>
          <w:sz w:val="24"/>
          <w:szCs w:val="22"/>
        </w:rPr>
        <w:t xml:space="preserve"> intravenous (IV) injection in </w:t>
      </w:r>
      <w:r w:rsidRPr="002E6BC6">
        <w:rPr>
          <w:rFonts w:asciiTheme="minorHAnsi" w:eastAsiaTheme="minorHAnsi" w:hAnsiTheme="minorHAnsi" w:cstheme="minorBidi"/>
          <w:snapToGrid/>
          <w:sz w:val="24"/>
          <w:szCs w:val="22"/>
        </w:rPr>
        <w:t xml:space="preserve">severe active </w:t>
      </w:r>
      <w:r w:rsidR="006B5EA8" w:rsidRPr="002E6BC6">
        <w:rPr>
          <w:rFonts w:asciiTheme="minorHAnsi" w:eastAsiaTheme="minorHAnsi" w:hAnsiTheme="minorHAnsi" w:cstheme="minorBidi"/>
          <w:snapToGrid/>
          <w:sz w:val="24"/>
          <w:szCs w:val="22"/>
        </w:rPr>
        <w:t>JIA</w:t>
      </w:r>
      <w:r w:rsidR="00964B27" w:rsidRPr="002E6BC6">
        <w:rPr>
          <w:rFonts w:asciiTheme="minorHAnsi" w:eastAsiaTheme="minorHAnsi" w:hAnsiTheme="minorHAnsi" w:cstheme="minorBidi"/>
          <w:snapToGrid/>
          <w:sz w:val="24"/>
          <w:szCs w:val="22"/>
        </w:rPr>
        <w:t>,</w:t>
      </w:r>
      <w:r w:rsidR="005F25F6" w:rsidRPr="002E6BC6">
        <w:rPr>
          <w:rFonts w:asciiTheme="minorHAnsi" w:eastAsiaTheme="minorHAnsi" w:hAnsiTheme="minorHAnsi" w:cstheme="minorBidi"/>
          <w:snapToGrid/>
          <w:sz w:val="24"/>
          <w:szCs w:val="22"/>
        </w:rPr>
        <w:t xml:space="preserve"> </w:t>
      </w:r>
      <w:r w:rsidR="00964B27" w:rsidRPr="002E6BC6">
        <w:rPr>
          <w:rFonts w:asciiTheme="minorHAnsi" w:eastAsiaTheme="minorHAnsi" w:hAnsiTheme="minorHAnsi" w:cstheme="minorBidi"/>
          <w:snapToGrid/>
          <w:sz w:val="24"/>
          <w:szCs w:val="22"/>
        </w:rPr>
        <w:t>with the removal of the criterion</w:t>
      </w:r>
      <w:r w:rsidR="005F25F6" w:rsidRPr="002E6BC6">
        <w:rPr>
          <w:rFonts w:asciiTheme="minorHAnsi" w:eastAsiaTheme="minorHAnsi" w:hAnsiTheme="minorHAnsi" w:cstheme="minorBidi"/>
          <w:snapToGrid/>
          <w:sz w:val="24"/>
          <w:szCs w:val="22"/>
        </w:rPr>
        <w:t xml:space="preserve"> that specif</w:t>
      </w:r>
      <w:r w:rsidR="00964B27" w:rsidRPr="002E6BC6">
        <w:rPr>
          <w:rFonts w:asciiTheme="minorHAnsi" w:eastAsiaTheme="minorHAnsi" w:hAnsiTheme="minorHAnsi" w:cstheme="minorBidi"/>
          <w:snapToGrid/>
          <w:sz w:val="24"/>
          <w:szCs w:val="22"/>
        </w:rPr>
        <w:t>ies</w:t>
      </w:r>
      <w:r w:rsidR="005F25F6" w:rsidRPr="002E6BC6">
        <w:rPr>
          <w:rFonts w:asciiTheme="minorHAnsi" w:eastAsiaTheme="minorHAnsi" w:hAnsiTheme="minorHAnsi" w:cstheme="minorBidi"/>
          <w:snapToGrid/>
          <w:sz w:val="24"/>
          <w:szCs w:val="22"/>
        </w:rPr>
        <w:t xml:space="preserve"> the medical practitioner must request the appropriate number of vials of appropriate strength to provide sufficient drug, based on the weight of the patient, for two infusions. </w:t>
      </w:r>
    </w:p>
    <w:p w:rsidR="006023F2" w:rsidRPr="002E6BC6" w:rsidRDefault="006407BB" w:rsidP="000334C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2E6BC6">
        <w:rPr>
          <w:rFonts w:asciiTheme="minorHAnsi" w:eastAsiaTheme="minorHAnsi" w:hAnsiTheme="minorHAnsi" w:cstheme="minorBidi"/>
          <w:snapToGrid/>
          <w:sz w:val="24"/>
          <w:szCs w:val="22"/>
        </w:rPr>
        <w:t>The submission</w:t>
      </w:r>
      <w:r w:rsidR="00462FFC" w:rsidRPr="002E6BC6">
        <w:rPr>
          <w:rFonts w:asciiTheme="minorHAnsi" w:eastAsiaTheme="minorHAnsi" w:hAnsiTheme="minorHAnsi" w:cstheme="minorBidi"/>
          <w:snapToGrid/>
          <w:sz w:val="24"/>
          <w:szCs w:val="22"/>
        </w:rPr>
        <w:t xml:space="preserve"> also requested different maximum quantities</w:t>
      </w:r>
      <w:r w:rsidR="00813B42" w:rsidRPr="002E6BC6">
        <w:rPr>
          <w:rFonts w:asciiTheme="minorHAnsi" w:eastAsiaTheme="minorHAnsi" w:hAnsiTheme="minorHAnsi" w:cstheme="minorBidi"/>
          <w:snapToGrid/>
          <w:sz w:val="24"/>
          <w:szCs w:val="22"/>
        </w:rPr>
        <w:t xml:space="preserve"> and number of repeats </w:t>
      </w:r>
      <w:r w:rsidR="00C15C35" w:rsidRPr="002E6BC6">
        <w:rPr>
          <w:rFonts w:asciiTheme="minorHAnsi" w:eastAsiaTheme="minorHAnsi" w:hAnsiTheme="minorHAnsi" w:cstheme="minorBidi"/>
          <w:snapToGrid/>
          <w:sz w:val="24"/>
          <w:szCs w:val="22"/>
        </w:rPr>
        <w:t xml:space="preserve">(shown below) </w:t>
      </w:r>
      <w:r w:rsidR="00813B42" w:rsidRPr="002E6BC6">
        <w:rPr>
          <w:rFonts w:asciiTheme="minorHAnsi" w:eastAsiaTheme="minorHAnsi" w:hAnsiTheme="minorHAnsi" w:cstheme="minorBidi"/>
          <w:snapToGrid/>
          <w:sz w:val="24"/>
          <w:szCs w:val="22"/>
        </w:rPr>
        <w:t>for</w:t>
      </w:r>
      <w:r w:rsidR="006A468A" w:rsidRPr="002E6BC6">
        <w:rPr>
          <w:rFonts w:asciiTheme="minorHAnsi" w:eastAsiaTheme="minorHAnsi" w:hAnsiTheme="minorHAnsi" w:cstheme="minorBidi"/>
          <w:snapToGrid/>
          <w:sz w:val="24"/>
          <w:szCs w:val="22"/>
        </w:rPr>
        <w:t xml:space="preserve"> initial and continuing treatment for patients</w:t>
      </w:r>
      <w:r w:rsidR="00813B42" w:rsidRPr="002E6BC6">
        <w:rPr>
          <w:rFonts w:asciiTheme="minorHAnsi" w:eastAsiaTheme="minorHAnsi" w:hAnsiTheme="minorHAnsi" w:cstheme="minorBidi"/>
          <w:snapToGrid/>
          <w:sz w:val="24"/>
          <w:szCs w:val="22"/>
        </w:rPr>
        <w:t xml:space="preserve"> w</w:t>
      </w:r>
      <w:r w:rsidR="006A468A" w:rsidRPr="002E6BC6">
        <w:rPr>
          <w:rFonts w:asciiTheme="minorHAnsi" w:eastAsiaTheme="minorHAnsi" w:hAnsiTheme="minorHAnsi" w:cstheme="minorBidi"/>
          <w:snapToGrid/>
          <w:sz w:val="24"/>
          <w:szCs w:val="22"/>
        </w:rPr>
        <w:t xml:space="preserve">eighing &lt; 30 kg </w:t>
      </w:r>
      <w:r w:rsidR="00813B42" w:rsidRPr="002E6BC6">
        <w:rPr>
          <w:rFonts w:asciiTheme="minorHAnsi" w:eastAsiaTheme="minorHAnsi" w:hAnsiTheme="minorHAnsi" w:cstheme="minorBidi"/>
          <w:snapToGrid/>
          <w:sz w:val="24"/>
          <w:szCs w:val="22"/>
        </w:rPr>
        <w:t>and</w:t>
      </w:r>
      <w:r w:rsidR="006A468A" w:rsidRPr="002E6BC6">
        <w:rPr>
          <w:rFonts w:asciiTheme="minorHAnsi" w:eastAsiaTheme="minorHAnsi" w:hAnsiTheme="minorHAnsi" w:cstheme="minorBidi"/>
          <w:snapToGrid/>
          <w:sz w:val="24"/>
          <w:szCs w:val="22"/>
        </w:rPr>
        <w:t xml:space="preserve"> for</w:t>
      </w:r>
      <w:r w:rsidR="00813B42" w:rsidRPr="002E6BC6">
        <w:rPr>
          <w:rFonts w:asciiTheme="minorHAnsi" w:eastAsiaTheme="minorHAnsi" w:hAnsiTheme="minorHAnsi" w:cstheme="minorBidi"/>
          <w:snapToGrid/>
          <w:sz w:val="24"/>
          <w:szCs w:val="22"/>
        </w:rPr>
        <w:t xml:space="preserve"> </w:t>
      </w:r>
      <w:r w:rsidR="006A468A" w:rsidRPr="002E6BC6">
        <w:rPr>
          <w:rFonts w:asciiTheme="minorHAnsi" w:eastAsiaTheme="minorHAnsi" w:hAnsiTheme="minorHAnsi" w:cstheme="minorBidi"/>
          <w:snapToGrid/>
          <w:sz w:val="24"/>
          <w:szCs w:val="22"/>
        </w:rPr>
        <w:t xml:space="preserve">patients weighing </w:t>
      </w:r>
      <w:r w:rsidR="006A468A" w:rsidRPr="002E6BC6">
        <w:rPr>
          <w:rFonts w:asciiTheme="minorHAnsi" w:eastAsiaTheme="minorHAnsi" w:hAnsiTheme="minorHAnsi" w:cstheme="minorHAnsi"/>
          <w:snapToGrid/>
          <w:sz w:val="24"/>
          <w:szCs w:val="22"/>
        </w:rPr>
        <w:t>≥</w:t>
      </w:r>
      <w:r w:rsidR="006A468A" w:rsidRPr="002E6BC6">
        <w:rPr>
          <w:rFonts w:asciiTheme="minorHAnsi" w:eastAsiaTheme="minorHAnsi" w:hAnsiTheme="minorHAnsi" w:cstheme="minorBidi"/>
          <w:snapToGrid/>
          <w:sz w:val="24"/>
          <w:szCs w:val="22"/>
        </w:rPr>
        <w:t xml:space="preserve"> 30 kg. </w:t>
      </w:r>
    </w:p>
    <w:p w:rsidR="006023F2" w:rsidRPr="002E6BC6" w:rsidRDefault="006023F2" w:rsidP="000334C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2E6BC6">
        <w:rPr>
          <w:rFonts w:asciiTheme="minorHAnsi" w:eastAsiaTheme="minorHAnsi" w:hAnsiTheme="minorHAnsi" w:cstheme="minorBidi"/>
          <w:snapToGrid/>
          <w:sz w:val="24"/>
          <w:szCs w:val="22"/>
        </w:rPr>
        <w:t xml:space="preserve">Suggestions and additions proposed by the Secretariat to the requested listing </w:t>
      </w:r>
      <w:proofErr w:type="gramStart"/>
      <w:r w:rsidRPr="002E6BC6">
        <w:rPr>
          <w:rFonts w:asciiTheme="minorHAnsi" w:eastAsiaTheme="minorHAnsi" w:hAnsiTheme="minorHAnsi" w:cstheme="minorBidi"/>
          <w:snapToGrid/>
          <w:sz w:val="24"/>
          <w:szCs w:val="22"/>
        </w:rPr>
        <w:t>are added</w:t>
      </w:r>
      <w:proofErr w:type="gramEnd"/>
      <w:r w:rsidRPr="002E6BC6">
        <w:rPr>
          <w:rFonts w:asciiTheme="minorHAnsi" w:eastAsiaTheme="minorHAnsi" w:hAnsiTheme="minorHAnsi" w:cstheme="minorBidi"/>
          <w:snapToGrid/>
          <w:sz w:val="24"/>
          <w:szCs w:val="22"/>
        </w:rPr>
        <w:t xml:space="preserve"> in italics and suggested deletions are crossed out with strikethrough. </w:t>
      </w:r>
      <w:r w:rsidR="00144015" w:rsidRPr="002E6BC6">
        <w:rPr>
          <w:rFonts w:asciiTheme="minorHAnsi" w:eastAsiaTheme="minorHAnsi" w:hAnsiTheme="minorHAnsi" w:cstheme="minorBidi"/>
          <w:snapToGrid/>
          <w:sz w:val="24"/>
          <w:szCs w:val="22"/>
        </w:rPr>
        <w:t>Given the size of</w:t>
      </w:r>
      <w:r w:rsidR="00F44F5F" w:rsidRPr="002E6BC6">
        <w:rPr>
          <w:rFonts w:asciiTheme="minorHAnsi" w:eastAsiaTheme="minorHAnsi" w:hAnsiTheme="minorHAnsi" w:cstheme="minorBidi"/>
          <w:snapToGrid/>
          <w:sz w:val="24"/>
          <w:szCs w:val="22"/>
        </w:rPr>
        <w:t xml:space="preserve"> the restrictions, only the proposed additions and deletions </w:t>
      </w:r>
      <w:proofErr w:type="gramStart"/>
      <w:r w:rsidR="00F44F5F" w:rsidRPr="002E6BC6">
        <w:rPr>
          <w:rFonts w:asciiTheme="minorHAnsi" w:eastAsiaTheme="minorHAnsi" w:hAnsiTheme="minorHAnsi" w:cstheme="minorBidi"/>
          <w:snapToGrid/>
          <w:sz w:val="24"/>
          <w:szCs w:val="22"/>
        </w:rPr>
        <w:t>are shown</w:t>
      </w:r>
      <w:proofErr w:type="gramEnd"/>
      <w:r w:rsidR="00F44F5F" w:rsidRPr="002E6BC6">
        <w:rPr>
          <w:rFonts w:asciiTheme="minorHAnsi" w:eastAsiaTheme="minorHAnsi" w:hAnsiTheme="minorHAnsi" w:cstheme="minorBidi"/>
          <w:snapToGrid/>
          <w:sz w:val="24"/>
          <w:szCs w:val="22"/>
        </w:rPr>
        <w:t xml:space="preserve"> below. </w:t>
      </w:r>
    </w:p>
    <w:p w:rsidR="00A3671D" w:rsidRPr="002E6BC6" w:rsidRDefault="00A3671D" w:rsidP="00A3671D">
      <w:pPr>
        <w:keepNext/>
        <w:spacing w:after="120"/>
        <w:rPr>
          <w:rFonts w:asciiTheme="minorHAnsi" w:eastAsiaTheme="minorHAnsi" w:hAnsiTheme="minorHAnsi" w:cstheme="minorBidi"/>
          <w:b/>
          <w:szCs w:val="22"/>
        </w:rPr>
      </w:pPr>
      <w:r w:rsidRPr="002E6BC6">
        <w:rPr>
          <w:rFonts w:asciiTheme="minorHAnsi" w:eastAsiaTheme="minorHAnsi" w:hAnsiTheme="minorHAnsi" w:cstheme="minorBidi"/>
          <w:b/>
          <w:szCs w:val="22"/>
        </w:rPr>
        <w:t xml:space="preserve">&lt; 30 kg body </w:t>
      </w:r>
      <w:proofErr w:type="gramStart"/>
      <w:r w:rsidRPr="002E6BC6">
        <w:rPr>
          <w:rFonts w:asciiTheme="minorHAnsi" w:eastAsiaTheme="minorHAnsi" w:hAnsiTheme="minorHAnsi" w:cstheme="minorBidi"/>
          <w:b/>
          <w:szCs w:val="22"/>
        </w:rPr>
        <w:t>weight (</w:t>
      </w:r>
      <w:r w:rsidR="00134859" w:rsidRPr="002E6BC6">
        <w:rPr>
          <w:rFonts w:asciiTheme="minorHAnsi" w:eastAsiaTheme="minorHAnsi" w:hAnsiTheme="minorHAnsi" w:cstheme="minorBidi"/>
          <w:b/>
          <w:szCs w:val="22"/>
        </w:rPr>
        <w:t>dosing</w:t>
      </w:r>
      <w:proofErr w:type="gramEnd"/>
      <w:r w:rsidR="00134859" w:rsidRPr="002E6BC6">
        <w:rPr>
          <w:rFonts w:asciiTheme="minorHAnsi" w:eastAsiaTheme="minorHAnsi" w:hAnsiTheme="minorHAnsi" w:cstheme="minorBidi"/>
          <w:b/>
          <w:szCs w:val="22"/>
        </w:rPr>
        <w:t xml:space="preserve"> </w:t>
      </w:r>
      <w:r w:rsidRPr="002E6BC6">
        <w:rPr>
          <w:rFonts w:asciiTheme="minorHAnsi" w:eastAsiaTheme="minorHAnsi" w:hAnsiTheme="minorHAnsi" w:cstheme="minorBidi"/>
          <w:b/>
          <w:szCs w:val="22"/>
        </w:rPr>
        <w:t>Q3W)</w:t>
      </w:r>
    </w:p>
    <w:p w:rsidR="00134859" w:rsidRPr="002E6BC6" w:rsidRDefault="00134859" w:rsidP="00A3671D">
      <w:pPr>
        <w:keepNext/>
        <w:spacing w:after="120"/>
        <w:rPr>
          <w:rFonts w:ascii="Arial Narrow" w:eastAsiaTheme="minorHAnsi" w:hAnsi="Arial Narrow" w:cstheme="minorBidi"/>
          <w:sz w:val="20"/>
          <w:szCs w:val="22"/>
          <w:u w:val="single"/>
        </w:rPr>
      </w:pPr>
      <w:r w:rsidRPr="002E6BC6">
        <w:rPr>
          <w:rFonts w:ascii="Arial Narrow" w:eastAsiaTheme="minorHAnsi" w:hAnsi="Arial Narrow" w:cstheme="minorBidi"/>
          <w:sz w:val="20"/>
          <w:szCs w:val="22"/>
          <w:u w:val="single"/>
        </w:rPr>
        <w:t xml:space="preserve">Initial treatment </w:t>
      </w:r>
    </w:p>
    <w:tbl>
      <w:tblPr>
        <w:tblW w:w="5000" w:type="pct"/>
        <w:tblLook w:val="0000" w:firstRow="0" w:lastRow="0" w:firstColumn="0" w:lastColumn="0" w:noHBand="0" w:noVBand="0"/>
      </w:tblPr>
      <w:tblGrid>
        <w:gridCol w:w="2873"/>
        <w:gridCol w:w="615"/>
        <w:gridCol w:w="1010"/>
        <w:gridCol w:w="1010"/>
        <w:gridCol w:w="1401"/>
        <w:gridCol w:w="827"/>
        <w:gridCol w:w="1290"/>
      </w:tblGrid>
      <w:tr w:rsidR="00A3671D" w:rsidRPr="002E6BC6" w:rsidTr="00A3671D">
        <w:trPr>
          <w:trHeight w:val="465"/>
        </w:trPr>
        <w:tc>
          <w:tcPr>
            <w:tcW w:w="1594" w:type="pct"/>
            <w:tcBorders>
              <w:bottom w:val="single" w:sz="4" w:space="0" w:color="auto"/>
            </w:tcBorders>
          </w:tcPr>
          <w:p w:rsidR="00A3671D" w:rsidRPr="002E6BC6" w:rsidRDefault="00A3671D" w:rsidP="00A3671D">
            <w:pPr>
              <w:keepNext/>
              <w:spacing w:before="40" w:after="40"/>
              <w:jc w:val="both"/>
              <w:rPr>
                <w:rFonts w:ascii="Arial Narrow" w:hAnsi="Arial Narrow" w:cs="Arial"/>
                <w:b/>
                <w:sz w:val="20"/>
                <w:szCs w:val="20"/>
              </w:rPr>
            </w:pPr>
            <w:r w:rsidRPr="002E6BC6">
              <w:rPr>
                <w:rFonts w:ascii="Arial Narrow" w:hAnsi="Arial Narrow" w:cs="Arial"/>
                <w:b/>
                <w:sz w:val="20"/>
                <w:szCs w:val="20"/>
              </w:rPr>
              <w:t>Name, Restriction,</w:t>
            </w:r>
          </w:p>
          <w:p w:rsidR="00A3671D" w:rsidRPr="002E6BC6" w:rsidRDefault="00A3671D" w:rsidP="00A3671D">
            <w:pPr>
              <w:keepNext/>
              <w:spacing w:before="40" w:after="40"/>
              <w:jc w:val="both"/>
              <w:rPr>
                <w:rFonts w:ascii="Arial Narrow" w:hAnsi="Arial Narrow" w:cs="Arial"/>
                <w:b/>
                <w:sz w:val="20"/>
                <w:szCs w:val="20"/>
              </w:rPr>
            </w:pPr>
            <w:r w:rsidRPr="002E6BC6">
              <w:rPr>
                <w:rFonts w:ascii="Arial Narrow" w:hAnsi="Arial Narrow" w:cs="Arial"/>
                <w:b/>
                <w:sz w:val="20"/>
                <w:szCs w:val="20"/>
              </w:rPr>
              <w:t>Manner of administration and form</w:t>
            </w:r>
          </w:p>
        </w:tc>
        <w:tc>
          <w:tcPr>
            <w:tcW w:w="343" w:type="pct"/>
            <w:tcBorders>
              <w:bottom w:val="single" w:sz="4" w:space="0" w:color="auto"/>
            </w:tcBorders>
          </w:tcPr>
          <w:p w:rsidR="00A3671D" w:rsidRPr="002E6BC6" w:rsidRDefault="00A3671D" w:rsidP="00A3671D">
            <w:pPr>
              <w:keepNext/>
              <w:spacing w:before="40" w:after="40"/>
              <w:jc w:val="both"/>
              <w:rPr>
                <w:rFonts w:ascii="Arial Narrow" w:hAnsi="Arial Narrow" w:cs="Arial"/>
                <w:b/>
                <w:sz w:val="20"/>
                <w:szCs w:val="20"/>
              </w:rPr>
            </w:pPr>
            <w:r w:rsidRPr="002E6BC6">
              <w:rPr>
                <w:rFonts w:ascii="Arial Narrow" w:hAnsi="Arial Narrow" w:cs="Arial"/>
                <w:b/>
                <w:sz w:val="20"/>
                <w:szCs w:val="20"/>
              </w:rPr>
              <w:t>Max.</w:t>
            </w:r>
          </w:p>
          <w:p w:rsidR="00A3671D" w:rsidRPr="002E6BC6" w:rsidRDefault="00A3671D" w:rsidP="00A3671D">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Qty</w:t>
            </w:r>
            <w:proofErr w:type="spellEnd"/>
          </w:p>
        </w:tc>
        <w:tc>
          <w:tcPr>
            <w:tcW w:w="561" w:type="pct"/>
            <w:tcBorders>
              <w:bottom w:val="single" w:sz="4" w:space="0" w:color="auto"/>
            </w:tcBorders>
          </w:tcPr>
          <w:p w:rsidR="00A3671D" w:rsidRPr="002E6BC6" w:rsidRDefault="00A3671D" w:rsidP="00A3671D">
            <w:pPr>
              <w:keepNext/>
              <w:spacing w:before="40" w:after="40"/>
              <w:jc w:val="both"/>
              <w:rPr>
                <w:rFonts w:ascii="Arial Narrow" w:hAnsi="Arial Narrow" w:cs="Arial"/>
                <w:b/>
                <w:sz w:val="20"/>
                <w:szCs w:val="20"/>
              </w:rPr>
            </w:pPr>
          </w:p>
        </w:tc>
        <w:tc>
          <w:tcPr>
            <w:tcW w:w="561" w:type="pct"/>
            <w:tcBorders>
              <w:bottom w:val="single" w:sz="4" w:space="0" w:color="auto"/>
            </w:tcBorders>
          </w:tcPr>
          <w:p w:rsidR="00A3671D" w:rsidRPr="002E6BC6" w:rsidRDefault="00A3671D" w:rsidP="00A3671D">
            <w:pPr>
              <w:keepNext/>
              <w:spacing w:before="40" w:after="40"/>
              <w:jc w:val="both"/>
              <w:rPr>
                <w:rFonts w:ascii="Arial Narrow" w:hAnsi="Arial Narrow" w:cs="Arial"/>
                <w:b/>
                <w:sz w:val="20"/>
                <w:szCs w:val="20"/>
              </w:rPr>
            </w:pPr>
            <w:r w:rsidRPr="002E6BC6">
              <w:rPr>
                <w:rFonts w:ascii="Arial Narrow" w:hAnsi="Arial Narrow" w:cs="Arial"/>
                <w:b/>
                <w:sz w:val="20"/>
                <w:szCs w:val="20"/>
              </w:rPr>
              <w:t>№.of</w:t>
            </w:r>
          </w:p>
          <w:p w:rsidR="00A3671D" w:rsidRPr="002E6BC6" w:rsidRDefault="00A3671D" w:rsidP="00A3671D">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Rpts</w:t>
            </w:r>
            <w:proofErr w:type="spellEnd"/>
          </w:p>
        </w:tc>
        <w:tc>
          <w:tcPr>
            <w:tcW w:w="778" w:type="pct"/>
            <w:tcBorders>
              <w:bottom w:val="single" w:sz="4" w:space="0" w:color="auto"/>
            </w:tcBorders>
          </w:tcPr>
          <w:p w:rsidR="00A3671D" w:rsidRPr="002E6BC6" w:rsidRDefault="00A3671D" w:rsidP="00A3671D">
            <w:pPr>
              <w:keepNext/>
              <w:spacing w:before="40" w:after="40"/>
              <w:jc w:val="both"/>
              <w:rPr>
                <w:rFonts w:ascii="Arial Narrow" w:hAnsi="Arial Narrow" w:cs="Arial"/>
                <w:b/>
                <w:sz w:val="20"/>
                <w:szCs w:val="20"/>
              </w:rPr>
            </w:pPr>
            <w:r w:rsidRPr="002E6BC6">
              <w:rPr>
                <w:rFonts w:ascii="Arial Narrow" w:hAnsi="Arial Narrow" w:cs="Arial"/>
                <w:b/>
                <w:sz w:val="20"/>
                <w:szCs w:val="20"/>
              </w:rPr>
              <w:t xml:space="preserve">Dispensed Price for Max. </w:t>
            </w:r>
            <w:proofErr w:type="spellStart"/>
            <w:r w:rsidRPr="002E6BC6">
              <w:rPr>
                <w:rFonts w:ascii="Arial Narrow" w:hAnsi="Arial Narrow" w:cs="Arial"/>
                <w:b/>
                <w:sz w:val="20"/>
                <w:szCs w:val="20"/>
              </w:rPr>
              <w:t>Qty</w:t>
            </w:r>
            <w:proofErr w:type="spellEnd"/>
          </w:p>
        </w:tc>
        <w:tc>
          <w:tcPr>
            <w:tcW w:w="1163" w:type="pct"/>
            <w:gridSpan w:val="2"/>
            <w:tcBorders>
              <w:bottom w:val="single" w:sz="4" w:space="0" w:color="auto"/>
            </w:tcBorders>
          </w:tcPr>
          <w:p w:rsidR="00A3671D" w:rsidRPr="00037C20" w:rsidRDefault="00A3671D" w:rsidP="00A3671D">
            <w:pPr>
              <w:keepNext/>
              <w:spacing w:before="40" w:after="40"/>
              <w:jc w:val="both"/>
              <w:rPr>
                <w:rFonts w:ascii="Arial Narrow" w:hAnsi="Arial Narrow" w:cs="Arial"/>
                <w:b/>
                <w:sz w:val="20"/>
                <w:szCs w:val="20"/>
              </w:rPr>
            </w:pPr>
            <w:r w:rsidRPr="002E6BC6">
              <w:rPr>
                <w:rFonts w:ascii="Arial Narrow" w:hAnsi="Arial Narrow" w:cs="Arial"/>
                <w:b/>
                <w:sz w:val="20"/>
                <w:szCs w:val="20"/>
              </w:rPr>
              <w:t>Proprietary Name and Manufacturer</w:t>
            </w:r>
          </w:p>
        </w:tc>
      </w:tr>
      <w:tr w:rsidR="00A3671D" w:rsidRPr="002E6BC6" w:rsidTr="00A3671D">
        <w:trPr>
          <w:trHeight w:val="567"/>
        </w:trPr>
        <w:tc>
          <w:tcPr>
            <w:tcW w:w="1594" w:type="pct"/>
          </w:tcPr>
          <w:p w:rsidR="00A3671D" w:rsidRPr="002E6BC6" w:rsidRDefault="00A3671D" w:rsidP="00A3671D">
            <w:pPr>
              <w:keepNext/>
              <w:spacing w:before="40" w:after="40"/>
              <w:jc w:val="both"/>
              <w:rPr>
                <w:rFonts w:ascii="Arial Narrow" w:hAnsi="Arial Narrow" w:cs="Arial"/>
                <w:sz w:val="20"/>
                <w:szCs w:val="20"/>
              </w:rPr>
            </w:pPr>
            <w:r w:rsidRPr="002E6BC6">
              <w:rPr>
                <w:rFonts w:ascii="Arial Narrow" w:hAnsi="Arial Narrow" w:cs="Arial"/>
                <w:smallCaps/>
                <w:sz w:val="20"/>
                <w:szCs w:val="20"/>
              </w:rPr>
              <w:t xml:space="preserve">TOCILIZUMAB </w:t>
            </w:r>
          </w:p>
          <w:p w:rsidR="00A3671D" w:rsidRPr="002E6BC6" w:rsidRDefault="00A3671D" w:rsidP="00A3671D">
            <w:pPr>
              <w:keepNext/>
              <w:spacing w:before="40" w:after="40"/>
              <w:jc w:val="both"/>
              <w:rPr>
                <w:rFonts w:ascii="Arial Narrow" w:hAnsi="Arial Narrow" w:cs="Arial"/>
                <w:sz w:val="20"/>
                <w:szCs w:val="20"/>
              </w:rPr>
            </w:pPr>
            <w:r w:rsidRPr="002E6BC6">
              <w:rPr>
                <w:rFonts w:ascii="Arial Narrow" w:hAnsi="Arial Narrow" w:cs="Arial"/>
                <w:sz w:val="20"/>
                <w:szCs w:val="20"/>
              </w:rPr>
              <w:t>162 mg/0.9 mL, 4 x 0.9 mL</w:t>
            </w:r>
          </w:p>
          <w:p w:rsidR="00A3671D" w:rsidRPr="002E6BC6" w:rsidRDefault="00A3671D" w:rsidP="00A3671D">
            <w:pPr>
              <w:keepNext/>
              <w:spacing w:before="40" w:after="40"/>
              <w:jc w:val="both"/>
              <w:rPr>
                <w:rFonts w:ascii="Arial Narrow" w:hAnsi="Arial Narrow" w:cs="Arial"/>
                <w:sz w:val="20"/>
                <w:szCs w:val="20"/>
              </w:rPr>
            </w:pPr>
            <w:r w:rsidRPr="002E6BC6">
              <w:rPr>
                <w:rFonts w:ascii="Arial Narrow" w:hAnsi="Arial Narrow" w:cs="Arial"/>
                <w:sz w:val="20"/>
                <w:szCs w:val="20"/>
              </w:rPr>
              <w:t>auto-injector</w:t>
            </w:r>
          </w:p>
          <w:p w:rsidR="00A3671D" w:rsidRPr="002E6BC6" w:rsidRDefault="00A3671D" w:rsidP="00A3671D">
            <w:pPr>
              <w:keepNext/>
              <w:spacing w:before="40" w:after="40"/>
              <w:jc w:val="both"/>
              <w:rPr>
                <w:rFonts w:ascii="Arial Narrow" w:hAnsi="Arial Narrow" w:cs="Arial"/>
                <w:sz w:val="20"/>
                <w:szCs w:val="20"/>
              </w:rPr>
            </w:pPr>
            <w:r w:rsidRPr="002E6BC6">
              <w:rPr>
                <w:rFonts w:ascii="Arial Narrow" w:hAnsi="Arial Narrow" w:cs="Arial"/>
                <w:sz w:val="20"/>
                <w:szCs w:val="20"/>
              </w:rPr>
              <w:t>162 mg/0.9 mL, 4</w:t>
            </w:r>
            <w:r w:rsidR="00C178B7" w:rsidRPr="002E6BC6">
              <w:rPr>
                <w:rFonts w:ascii="Arial Narrow" w:hAnsi="Arial Narrow" w:cs="Arial"/>
                <w:sz w:val="20"/>
                <w:szCs w:val="20"/>
              </w:rPr>
              <w:t xml:space="preserve"> x</w:t>
            </w:r>
            <w:r w:rsidRPr="002E6BC6">
              <w:rPr>
                <w:rFonts w:ascii="Arial Narrow" w:hAnsi="Arial Narrow" w:cs="Arial"/>
                <w:sz w:val="20"/>
                <w:szCs w:val="20"/>
              </w:rPr>
              <w:t xml:space="preserve"> 0.9 mL</w:t>
            </w:r>
          </w:p>
          <w:p w:rsidR="00A3671D" w:rsidRPr="002E6BC6" w:rsidRDefault="00A3671D" w:rsidP="00A3671D">
            <w:pPr>
              <w:keepNext/>
              <w:spacing w:before="40" w:after="40"/>
              <w:jc w:val="both"/>
              <w:rPr>
                <w:rFonts w:ascii="Arial Narrow" w:hAnsi="Arial Narrow" w:cs="Arial"/>
                <w:sz w:val="20"/>
                <w:szCs w:val="20"/>
              </w:rPr>
            </w:pPr>
            <w:r w:rsidRPr="002E6BC6">
              <w:rPr>
                <w:rFonts w:ascii="Arial Narrow" w:hAnsi="Arial Narrow" w:cs="Arial"/>
                <w:sz w:val="20"/>
                <w:szCs w:val="20"/>
              </w:rPr>
              <w:t>syringe</w:t>
            </w:r>
          </w:p>
        </w:tc>
        <w:tc>
          <w:tcPr>
            <w:tcW w:w="343" w:type="pct"/>
          </w:tcPr>
          <w:p w:rsidR="00A3671D" w:rsidRPr="002E6BC6" w:rsidRDefault="00A3671D" w:rsidP="00134859">
            <w:pPr>
              <w:keepNext/>
              <w:spacing w:before="40" w:after="40"/>
              <w:jc w:val="both"/>
              <w:rPr>
                <w:rFonts w:ascii="Arial Narrow" w:hAnsi="Arial Narrow" w:cs="Arial"/>
                <w:strike/>
                <w:sz w:val="20"/>
                <w:szCs w:val="20"/>
              </w:rPr>
            </w:pPr>
          </w:p>
          <w:p w:rsidR="00A3671D" w:rsidRPr="002E6BC6" w:rsidRDefault="00A3671D" w:rsidP="00134859">
            <w:pPr>
              <w:keepNext/>
              <w:spacing w:before="40" w:after="40"/>
              <w:jc w:val="both"/>
              <w:rPr>
                <w:rFonts w:ascii="Arial Narrow" w:hAnsi="Arial Narrow" w:cs="Arial"/>
                <w:strike/>
                <w:sz w:val="20"/>
                <w:szCs w:val="20"/>
              </w:rPr>
            </w:pPr>
            <w:r w:rsidRPr="002E6BC6">
              <w:rPr>
                <w:rFonts w:ascii="Arial Narrow" w:hAnsi="Arial Narrow" w:cs="Arial"/>
                <w:strike/>
                <w:sz w:val="20"/>
                <w:szCs w:val="20"/>
              </w:rPr>
              <w:t>1</w:t>
            </w:r>
          </w:p>
          <w:p w:rsidR="00A3671D" w:rsidRPr="002E6BC6" w:rsidRDefault="00A3671D" w:rsidP="00C178B7">
            <w:pPr>
              <w:keepNext/>
              <w:spacing w:before="40" w:after="40"/>
              <w:jc w:val="both"/>
              <w:rPr>
                <w:rFonts w:ascii="Arial Narrow" w:hAnsi="Arial Narrow" w:cs="Arial"/>
                <w:strike/>
                <w:sz w:val="20"/>
                <w:szCs w:val="20"/>
              </w:rPr>
            </w:pPr>
          </w:p>
          <w:p w:rsidR="00A3671D" w:rsidRPr="002E6BC6" w:rsidRDefault="00A3671D" w:rsidP="00435047">
            <w:pPr>
              <w:keepNext/>
              <w:spacing w:before="40" w:after="40"/>
              <w:jc w:val="both"/>
              <w:rPr>
                <w:rFonts w:ascii="Arial Narrow" w:hAnsi="Arial Narrow" w:cs="Arial"/>
                <w:strike/>
                <w:sz w:val="20"/>
                <w:szCs w:val="20"/>
              </w:rPr>
            </w:pPr>
            <w:r w:rsidRPr="002E6BC6">
              <w:rPr>
                <w:rFonts w:ascii="Arial Narrow" w:hAnsi="Arial Narrow" w:cs="Arial"/>
                <w:strike/>
                <w:sz w:val="20"/>
                <w:szCs w:val="20"/>
              </w:rPr>
              <w:t>1</w:t>
            </w:r>
          </w:p>
        </w:tc>
        <w:tc>
          <w:tcPr>
            <w:tcW w:w="561" w:type="pct"/>
          </w:tcPr>
          <w:p w:rsidR="00A3671D" w:rsidRPr="002E6BC6" w:rsidRDefault="00A3671D" w:rsidP="00A3671D">
            <w:pPr>
              <w:keepNext/>
              <w:spacing w:before="40" w:after="40"/>
              <w:jc w:val="both"/>
              <w:rPr>
                <w:rFonts w:ascii="Arial Narrow" w:hAnsi="Arial Narrow" w:cs="Arial"/>
                <w:strike/>
                <w:sz w:val="20"/>
                <w:szCs w:val="20"/>
              </w:rPr>
            </w:pPr>
          </w:p>
        </w:tc>
        <w:tc>
          <w:tcPr>
            <w:tcW w:w="561" w:type="pct"/>
          </w:tcPr>
          <w:p w:rsidR="00A3671D" w:rsidRPr="002E6BC6" w:rsidRDefault="00A3671D" w:rsidP="00A3671D">
            <w:pPr>
              <w:keepNext/>
              <w:spacing w:before="40" w:after="40"/>
              <w:jc w:val="both"/>
              <w:rPr>
                <w:rFonts w:ascii="Arial Narrow" w:hAnsi="Arial Narrow" w:cs="Arial"/>
                <w:strike/>
                <w:sz w:val="20"/>
                <w:szCs w:val="20"/>
              </w:rPr>
            </w:pPr>
          </w:p>
          <w:p w:rsidR="00A3671D" w:rsidRPr="002E6BC6" w:rsidRDefault="00A3671D" w:rsidP="00A3671D">
            <w:pPr>
              <w:keepNext/>
              <w:spacing w:before="40" w:after="40"/>
              <w:jc w:val="both"/>
              <w:rPr>
                <w:rFonts w:ascii="Arial Narrow" w:hAnsi="Arial Narrow" w:cs="Arial"/>
                <w:strike/>
                <w:sz w:val="20"/>
                <w:szCs w:val="20"/>
              </w:rPr>
            </w:pPr>
            <w:r w:rsidRPr="002E6BC6">
              <w:rPr>
                <w:rFonts w:ascii="Arial Narrow" w:hAnsi="Arial Narrow" w:cs="Arial"/>
                <w:strike/>
                <w:sz w:val="20"/>
                <w:szCs w:val="20"/>
              </w:rPr>
              <w:t>1</w:t>
            </w:r>
          </w:p>
          <w:p w:rsidR="00A3671D" w:rsidRPr="002E6BC6" w:rsidRDefault="00A3671D" w:rsidP="00A3671D">
            <w:pPr>
              <w:keepNext/>
              <w:spacing w:before="40" w:after="40"/>
              <w:jc w:val="both"/>
              <w:rPr>
                <w:rFonts w:ascii="Arial Narrow" w:hAnsi="Arial Narrow" w:cs="Arial"/>
                <w:strike/>
                <w:sz w:val="20"/>
                <w:szCs w:val="20"/>
              </w:rPr>
            </w:pPr>
          </w:p>
          <w:p w:rsidR="00A3671D" w:rsidRPr="002E6BC6" w:rsidRDefault="00A3671D" w:rsidP="00A3671D">
            <w:pPr>
              <w:keepNext/>
              <w:spacing w:before="40" w:after="40"/>
              <w:jc w:val="both"/>
              <w:rPr>
                <w:rFonts w:ascii="Arial Narrow" w:hAnsi="Arial Narrow" w:cs="Arial"/>
                <w:strike/>
                <w:sz w:val="20"/>
                <w:szCs w:val="20"/>
              </w:rPr>
            </w:pPr>
            <w:r w:rsidRPr="002E6BC6">
              <w:rPr>
                <w:rFonts w:ascii="Arial Narrow" w:hAnsi="Arial Narrow" w:cs="Arial"/>
                <w:strike/>
                <w:sz w:val="20"/>
                <w:szCs w:val="20"/>
              </w:rPr>
              <w:t>1</w:t>
            </w:r>
          </w:p>
        </w:tc>
        <w:tc>
          <w:tcPr>
            <w:tcW w:w="778" w:type="pct"/>
          </w:tcPr>
          <w:p w:rsidR="00A3671D" w:rsidRPr="002E6BC6" w:rsidRDefault="00A3671D" w:rsidP="00134859">
            <w:pPr>
              <w:keepNext/>
              <w:spacing w:before="40" w:after="40"/>
              <w:jc w:val="both"/>
              <w:rPr>
                <w:rFonts w:ascii="Arial Narrow" w:hAnsi="Arial Narrow" w:cs="Arial"/>
                <w:sz w:val="20"/>
                <w:szCs w:val="20"/>
              </w:rPr>
            </w:pPr>
          </w:p>
          <w:p w:rsidR="00A3671D" w:rsidRPr="002E6BC6" w:rsidRDefault="00A3671D" w:rsidP="00134859">
            <w:pPr>
              <w:keepNext/>
              <w:spacing w:before="40" w:after="40"/>
              <w:jc w:val="both"/>
              <w:rPr>
                <w:rFonts w:ascii="Arial Narrow" w:hAnsi="Arial Narrow" w:cs="Arial"/>
                <w:sz w:val="20"/>
                <w:szCs w:val="20"/>
              </w:rPr>
            </w:pPr>
            <w:r w:rsidRPr="002E6BC6">
              <w:rPr>
                <w:rFonts w:ascii="Arial Narrow" w:hAnsi="Arial Narrow" w:cs="Arial"/>
                <w:sz w:val="20"/>
                <w:szCs w:val="20"/>
              </w:rPr>
              <w:t>$</w:t>
            </w:r>
            <w:r w:rsidR="003E2B64">
              <w:rPr>
                <w:rFonts w:ascii="Arial Narrow" w:hAnsi="Arial Narrow" w:cs="Arial"/>
                <w:noProof/>
                <w:color w:val="000000"/>
                <w:sz w:val="20"/>
                <w:szCs w:val="20"/>
                <w:highlight w:val="black"/>
              </w:rPr>
              <w:t>'''''''''''''''''''''''</w:t>
            </w:r>
          </w:p>
        </w:tc>
        <w:tc>
          <w:tcPr>
            <w:tcW w:w="447" w:type="pct"/>
          </w:tcPr>
          <w:p w:rsidR="00A3671D" w:rsidRPr="002E6BC6" w:rsidRDefault="00A3671D" w:rsidP="00C178B7">
            <w:pPr>
              <w:keepNext/>
              <w:spacing w:before="40" w:after="40"/>
              <w:jc w:val="both"/>
              <w:rPr>
                <w:rFonts w:ascii="Arial Narrow" w:hAnsi="Arial Narrow" w:cs="Arial"/>
                <w:sz w:val="20"/>
                <w:szCs w:val="20"/>
              </w:rPr>
            </w:pPr>
          </w:p>
          <w:p w:rsidR="00A3671D" w:rsidRPr="002E6BC6" w:rsidRDefault="00A3671D" w:rsidP="00435047">
            <w:pPr>
              <w:keepNext/>
              <w:spacing w:before="40" w:after="40"/>
              <w:jc w:val="both"/>
              <w:rPr>
                <w:rFonts w:ascii="Arial Narrow" w:hAnsi="Arial Narrow" w:cs="Arial"/>
                <w:sz w:val="20"/>
                <w:szCs w:val="20"/>
              </w:rPr>
            </w:pPr>
            <w:proofErr w:type="spellStart"/>
            <w:r w:rsidRPr="002E6BC6">
              <w:rPr>
                <w:rFonts w:ascii="Arial Narrow" w:hAnsi="Arial Narrow" w:cs="Arial"/>
                <w:sz w:val="20"/>
                <w:szCs w:val="20"/>
              </w:rPr>
              <w:t>Actemra</w:t>
            </w:r>
            <w:proofErr w:type="spellEnd"/>
          </w:p>
        </w:tc>
        <w:tc>
          <w:tcPr>
            <w:tcW w:w="716" w:type="pct"/>
          </w:tcPr>
          <w:p w:rsidR="00A3671D" w:rsidRPr="002E6BC6" w:rsidRDefault="00A3671D" w:rsidP="006023F2">
            <w:pPr>
              <w:keepNext/>
              <w:spacing w:before="40" w:after="40"/>
              <w:jc w:val="both"/>
              <w:rPr>
                <w:rFonts w:ascii="Arial Narrow" w:hAnsi="Arial Narrow" w:cs="Arial"/>
                <w:sz w:val="20"/>
                <w:szCs w:val="20"/>
              </w:rPr>
            </w:pPr>
          </w:p>
          <w:p w:rsidR="00A3671D" w:rsidRPr="002E6BC6" w:rsidRDefault="00A3671D" w:rsidP="00A42D9F">
            <w:pPr>
              <w:keepNext/>
              <w:spacing w:before="40" w:after="40"/>
              <w:jc w:val="both"/>
              <w:rPr>
                <w:rFonts w:ascii="Arial Narrow" w:hAnsi="Arial Narrow" w:cs="Arial"/>
                <w:sz w:val="20"/>
                <w:szCs w:val="20"/>
              </w:rPr>
            </w:pPr>
            <w:r w:rsidRPr="002E6BC6">
              <w:rPr>
                <w:rFonts w:ascii="Arial Narrow" w:hAnsi="Arial Narrow" w:cs="Arial"/>
                <w:sz w:val="20"/>
                <w:szCs w:val="20"/>
              </w:rPr>
              <w:t>Roche Products</w:t>
            </w:r>
          </w:p>
        </w:tc>
      </w:tr>
    </w:tbl>
    <w:p w:rsidR="00134859" w:rsidRPr="002E6BC6" w:rsidRDefault="00134859" w:rsidP="00134859">
      <w:pPr>
        <w:spacing w:after="120"/>
        <w:rPr>
          <w:rFonts w:asciiTheme="minorHAnsi" w:eastAsiaTheme="minorHAnsi" w:hAnsiTheme="minorHAnsi" w:cstheme="minorBidi"/>
          <w:szCs w:val="22"/>
        </w:rPr>
      </w:pPr>
    </w:p>
    <w:p w:rsidR="00134859" w:rsidRPr="002E6BC6" w:rsidRDefault="00134859" w:rsidP="00134859">
      <w:pPr>
        <w:keepNext/>
        <w:spacing w:after="120"/>
        <w:rPr>
          <w:rFonts w:ascii="Arial Narrow" w:eastAsiaTheme="minorHAnsi" w:hAnsi="Arial Narrow" w:cstheme="minorBidi"/>
          <w:sz w:val="20"/>
          <w:szCs w:val="22"/>
          <w:u w:val="single"/>
        </w:rPr>
      </w:pPr>
      <w:r w:rsidRPr="002E6BC6">
        <w:rPr>
          <w:rFonts w:ascii="Arial Narrow" w:eastAsiaTheme="minorHAnsi" w:hAnsi="Arial Narrow" w:cstheme="minorBidi"/>
          <w:sz w:val="20"/>
          <w:szCs w:val="22"/>
          <w:u w:val="single"/>
        </w:rPr>
        <w:lastRenderedPageBreak/>
        <w:t xml:space="preserve">Continuing treatment </w:t>
      </w:r>
    </w:p>
    <w:tbl>
      <w:tblPr>
        <w:tblW w:w="5000" w:type="pct"/>
        <w:tblLook w:val="0000" w:firstRow="0" w:lastRow="0" w:firstColumn="0" w:lastColumn="0" w:noHBand="0" w:noVBand="0"/>
      </w:tblPr>
      <w:tblGrid>
        <w:gridCol w:w="2873"/>
        <w:gridCol w:w="615"/>
        <w:gridCol w:w="1010"/>
        <w:gridCol w:w="1010"/>
        <w:gridCol w:w="1401"/>
        <w:gridCol w:w="827"/>
        <w:gridCol w:w="1290"/>
      </w:tblGrid>
      <w:tr w:rsidR="00134859" w:rsidRPr="002E6BC6" w:rsidTr="00F44F5F">
        <w:trPr>
          <w:trHeight w:val="465"/>
        </w:trPr>
        <w:tc>
          <w:tcPr>
            <w:tcW w:w="1594" w:type="pct"/>
            <w:tcBorders>
              <w:bottom w:val="single" w:sz="4" w:space="0" w:color="auto"/>
            </w:tcBorders>
          </w:tcPr>
          <w:p w:rsidR="00134859" w:rsidRPr="002E6BC6" w:rsidRDefault="00134859"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Name, Restriction,</w:t>
            </w:r>
          </w:p>
          <w:p w:rsidR="00134859" w:rsidRPr="002E6BC6" w:rsidRDefault="00134859"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Manner of administration and form</w:t>
            </w:r>
          </w:p>
        </w:tc>
        <w:tc>
          <w:tcPr>
            <w:tcW w:w="343" w:type="pct"/>
            <w:tcBorders>
              <w:bottom w:val="single" w:sz="4" w:space="0" w:color="auto"/>
            </w:tcBorders>
          </w:tcPr>
          <w:p w:rsidR="00134859" w:rsidRPr="002E6BC6" w:rsidRDefault="00134859"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Max.</w:t>
            </w:r>
          </w:p>
          <w:p w:rsidR="00134859" w:rsidRPr="002E6BC6" w:rsidRDefault="00134859" w:rsidP="00F44F5F">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Qty</w:t>
            </w:r>
            <w:proofErr w:type="spellEnd"/>
          </w:p>
        </w:tc>
        <w:tc>
          <w:tcPr>
            <w:tcW w:w="561" w:type="pct"/>
            <w:tcBorders>
              <w:bottom w:val="single" w:sz="4" w:space="0" w:color="auto"/>
            </w:tcBorders>
          </w:tcPr>
          <w:p w:rsidR="00134859" w:rsidRPr="002E6BC6" w:rsidRDefault="00134859" w:rsidP="00F44F5F">
            <w:pPr>
              <w:keepNext/>
              <w:spacing w:before="40" w:after="40"/>
              <w:jc w:val="both"/>
              <w:rPr>
                <w:rFonts w:ascii="Arial Narrow" w:hAnsi="Arial Narrow" w:cs="Arial"/>
                <w:b/>
                <w:sz w:val="20"/>
                <w:szCs w:val="20"/>
              </w:rPr>
            </w:pPr>
          </w:p>
        </w:tc>
        <w:tc>
          <w:tcPr>
            <w:tcW w:w="561" w:type="pct"/>
            <w:tcBorders>
              <w:bottom w:val="single" w:sz="4" w:space="0" w:color="auto"/>
            </w:tcBorders>
          </w:tcPr>
          <w:p w:rsidR="00134859" w:rsidRPr="002E6BC6" w:rsidRDefault="00134859"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№.of</w:t>
            </w:r>
          </w:p>
          <w:p w:rsidR="00134859" w:rsidRPr="002E6BC6" w:rsidRDefault="00134859" w:rsidP="00F44F5F">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Rpts</w:t>
            </w:r>
            <w:proofErr w:type="spellEnd"/>
          </w:p>
        </w:tc>
        <w:tc>
          <w:tcPr>
            <w:tcW w:w="778" w:type="pct"/>
            <w:tcBorders>
              <w:bottom w:val="single" w:sz="4" w:space="0" w:color="auto"/>
            </w:tcBorders>
          </w:tcPr>
          <w:p w:rsidR="00134859" w:rsidRPr="002E6BC6" w:rsidRDefault="00134859"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 xml:space="preserve">Dispensed Price for Max. </w:t>
            </w:r>
            <w:proofErr w:type="spellStart"/>
            <w:r w:rsidRPr="002E6BC6">
              <w:rPr>
                <w:rFonts w:ascii="Arial Narrow" w:hAnsi="Arial Narrow" w:cs="Arial"/>
                <w:b/>
                <w:sz w:val="20"/>
                <w:szCs w:val="20"/>
              </w:rPr>
              <w:t>Qty</w:t>
            </w:r>
            <w:proofErr w:type="spellEnd"/>
          </w:p>
        </w:tc>
        <w:tc>
          <w:tcPr>
            <w:tcW w:w="1163" w:type="pct"/>
            <w:gridSpan w:val="2"/>
            <w:tcBorders>
              <w:bottom w:val="single" w:sz="4" w:space="0" w:color="auto"/>
            </w:tcBorders>
          </w:tcPr>
          <w:p w:rsidR="00134859" w:rsidRPr="00037C20" w:rsidRDefault="00134859"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Proprietary Name and Manufacturer</w:t>
            </w:r>
          </w:p>
        </w:tc>
      </w:tr>
      <w:tr w:rsidR="00134859" w:rsidRPr="002E6BC6" w:rsidTr="00F44F5F">
        <w:trPr>
          <w:trHeight w:val="567"/>
        </w:trPr>
        <w:tc>
          <w:tcPr>
            <w:tcW w:w="1594" w:type="pct"/>
          </w:tcPr>
          <w:p w:rsidR="00134859" w:rsidRPr="002E6BC6" w:rsidRDefault="00134859" w:rsidP="00F44F5F">
            <w:pPr>
              <w:keepNext/>
              <w:spacing w:before="40" w:after="40"/>
              <w:jc w:val="both"/>
              <w:rPr>
                <w:rFonts w:ascii="Arial Narrow" w:hAnsi="Arial Narrow" w:cs="Arial"/>
                <w:sz w:val="20"/>
                <w:szCs w:val="20"/>
              </w:rPr>
            </w:pPr>
            <w:r w:rsidRPr="002E6BC6">
              <w:rPr>
                <w:rFonts w:ascii="Arial Narrow" w:hAnsi="Arial Narrow" w:cs="Arial"/>
                <w:smallCaps/>
                <w:sz w:val="20"/>
                <w:szCs w:val="20"/>
              </w:rPr>
              <w:t xml:space="preserve">TOCILIZUMAB </w:t>
            </w:r>
          </w:p>
          <w:p w:rsidR="00134859" w:rsidRPr="002E6BC6" w:rsidRDefault="00134859" w:rsidP="00F44F5F">
            <w:pPr>
              <w:keepNext/>
              <w:spacing w:before="40" w:after="40"/>
              <w:jc w:val="both"/>
              <w:rPr>
                <w:rFonts w:ascii="Arial Narrow" w:hAnsi="Arial Narrow" w:cs="Arial"/>
                <w:sz w:val="20"/>
                <w:szCs w:val="20"/>
              </w:rPr>
            </w:pPr>
            <w:r w:rsidRPr="002E6BC6">
              <w:rPr>
                <w:rFonts w:ascii="Arial Narrow" w:hAnsi="Arial Narrow" w:cs="Arial"/>
                <w:sz w:val="20"/>
                <w:szCs w:val="20"/>
              </w:rPr>
              <w:t>162 mg/0.9 mL, 4 x 0.9 mL</w:t>
            </w:r>
          </w:p>
          <w:p w:rsidR="00134859" w:rsidRPr="002E6BC6" w:rsidRDefault="00134859" w:rsidP="00F44F5F">
            <w:pPr>
              <w:keepNext/>
              <w:spacing w:before="40" w:after="40"/>
              <w:jc w:val="both"/>
              <w:rPr>
                <w:rFonts w:ascii="Arial Narrow" w:hAnsi="Arial Narrow" w:cs="Arial"/>
                <w:sz w:val="20"/>
                <w:szCs w:val="20"/>
              </w:rPr>
            </w:pPr>
            <w:r w:rsidRPr="002E6BC6">
              <w:rPr>
                <w:rFonts w:ascii="Arial Narrow" w:hAnsi="Arial Narrow" w:cs="Arial"/>
                <w:sz w:val="20"/>
                <w:szCs w:val="20"/>
              </w:rPr>
              <w:t>auto-injector</w:t>
            </w:r>
          </w:p>
          <w:p w:rsidR="00134859" w:rsidRPr="002E6BC6" w:rsidRDefault="00134859" w:rsidP="00F44F5F">
            <w:pPr>
              <w:keepNext/>
              <w:spacing w:before="40" w:after="40"/>
              <w:jc w:val="both"/>
              <w:rPr>
                <w:rFonts w:ascii="Arial Narrow" w:hAnsi="Arial Narrow" w:cs="Arial"/>
                <w:sz w:val="20"/>
                <w:szCs w:val="20"/>
              </w:rPr>
            </w:pPr>
            <w:r w:rsidRPr="002E6BC6">
              <w:rPr>
                <w:rFonts w:ascii="Arial Narrow" w:hAnsi="Arial Narrow" w:cs="Arial"/>
                <w:sz w:val="20"/>
                <w:szCs w:val="20"/>
              </w:rPr>
              <w:t xml:space="preserve">162 mg/0.9 mL, 4 </w:t>
            </w:r>
            <w:r w:rsidR="00C178B7" w:rsidRPr="002E6BC6">
              <w:rPr>
                <w:rFonts w:ascii="Arial Narrow" w:hAnsi="Arial Narrow" w:cs="Arial"/>
                <w:sz w:val="20"/>
                <w:szCs w:val="20"/>
              </w:rPr>
              <w:t xml:space="preserve">x </w:t>
            </w:r>
            <w:r w:rsidRPr="002E6BC6">
              <w:rPr>
                <w:rFonts w:ascii="Arial Narrow" w:hAnsi="Arial Narrow" w:cs="Arial"/>
                <w:sz w:val="20"/>
                <w:szCs w:val="20"/>
              </w:rPr>
              <w:t>0.9 mL</w:t>
            </w:r>
          </w:p>
          <w:p w:rsidR="00134859" w:rsidRPr="002E6BC6" w:rsidRDefault="00134859" w:rsidP="00F44F5F">
            <w:pPr>
              <w:keepNext/>
              <w:spacing w:before="40" w:after="40"/>
              <w:jc w:val="both"/>
              <w:rPr>
                <w:rFonts w:ascii="Arial Narrow" w:hAnsi="Arial Narrow" w:cs="Arial"/>
                <w:sz w:val="20"/>
                <w:szCs w:val="20"/>
              </w:rPr>
            </w:pPr>
            <w:r w:rsidRPr="002E6BC6">
              <w:rPr>
                <w:rFonts w:ascii="Arial Narrow" w:hAnsi="Arial Narrow" w:cs="Arial"/>
                <w:sz w:val="20"/>
                <w:szCs w:val="20"/>
              </w:rPr>
              <w:t>syringe</w:t>
            </w:r>
          </w:p>
        </w:tc>
        <w:tc>
          <w:tcPr>
            <w:tcW w:w="343" w:type="pct"/>
          </w:tcPr>
          <w:p w:rsidR="00134859" w:rsidRPr="002E6BC6" w:rsidRDefault="00134859" w:rsidP="00F44F5F">
            <w:pPr>
              <w:keepNext/>
              <w:spacing w:before="40" w:after="40"/>
              <w:jc w:val="both"/>
              <w:rPr>
                <w:rFonts w:ascii="Arial Narrow" w:hAnsi="Arial Narrow" w:cs="Arial"/>
                <w:strike/>
                <w:sz w:val="20"/>
                <w:szCs w:val="20"/>
              </w:rPr>
            </w:pPr>
          </w:p>
          <w:p w:rsidR="00134859" w:rsidRPr="002E6BC6" w:rsidRDefault="00134859" w:rsidP="00F44F5F">
            <w:pPr>
              <w:keepNext/>
              <w:spacing w:before="40" w:after="40"/>
              <w:jc w:val="both"/>
              <w:rPr>
                <w:rFonts w:ascii="Arial Narrow" w:hAnsi="Arial Narrow" w:cs="Arial"/>
                <w:strike/>
                <w:sz w:val="20"/>
                <w:szCs w:val="20"/>
              </w:rPr>
            </w:pPr>
            <w:r w:rsidRPr="002E6BC6">
              <w:rPr>
                <w:rFonts w:ascii="Arial Narrow" w:hAnsi="Arial Narrow" w:cs="Arial"/>
                <w:strike/>
                <w:sz w:val="20"/>
                <w:szCs w:val="20"/>
              </w:rPr>
              <w:t>1</w:t>
            </w:r>
          </w:p>
          <w:p w:rsidR="00134859" w:rsidRPr="002E6BC6" w:rsidRDefault="00134859" w:rsidP="00F44F5F">
            <w:pPr>
              <w:keepNext/>
              <w:spacing w:before="40" w:after="40"/>
              <w:jc w:val="both"/>
              <w:rPr>
                <w:rFonts w:ascii="Arial Narrow" w:hAnsi="Arial Narrow" w:cs="Arial"/>
                <w:strike/>
                <w:sz w:val="20"/>
                <w:szCs w:val="20"/>
              </w:rPr>
            </w:pPr>
          </w:p>
          <w:p w:rsidR="00134859" w:rsidRPr="002E6BC6" w:rsidRDefault="00134859" w:rsidP="00F44F5F">
            <w:pPr>
              <w:keepNext/>
              <w:spacing w:before="40" w:after="40"/>
              <w:jc w:val="both"/>
              <w:rPr>
                <w:rFonts w:ascii="Arial Narrow" w:hAnsi="Arial Narrow" w:cs="Arial"/>
                <w:strike/>
                <w:sz w:val="20"/>
                <w:szCs w:val="20"/>
              </w:rPr>
            </w:pPr>
            <w:r w:rsidRPr="002E6BC6">
              <w:rPr>
                <w:rFonts w:ascii="Arial Narrow" w:hAnsi="Arial Narrow" w:cs="Arial"/>
                <w:strike/>
                <w:sz w:val="20"/>
                <w:szCs w:val="20"/>
              </w:rPr>
              <w:t>1</w:t>
            </w:r>
          </w:p>
        </w:tc>
        <w:tc>
          <w:tcPr>
            <w:tcW w:w="561" w:type="pct"/>
          </w:tcPr>
          <w:p w:rsidR="00134859" w:rsidRPr="002E6BC6" w:rsidRDefault="00134859" w:rsidP="00F44F5F">
            <w:pPr>
              <w:keepNext/>
              <w:spacing w:before="40" w:after="40"/>
              <w:jc w:val="both"/>
              <w:rPr>
                <w:rFonts w:ascii="Arial Narrow" w:hAnsi="Arial Narrow" w:cs="Arial"/>
                <w:strike/>
                <w:sz w:val="20"/>
                <w:szCs w:val="20"/>
              </w:rPr>
            </w:pPr>
          </w:p>
        </w:tc>
        <w:tc>
          <w:tcPr>
            <w:tcW w:w="561" w:type="pct"/>
          </w:tcPr>
          <w:p w:rsidR="00134859" w:rsidRPr="002E6BC6" w:rsidRDefault="00134859" w:rsidP="00F44F5F">
            <w:pPr>
              <w:keepNext/>
              <w:spacing w:before="40" w:after="40"/>
              <w:jc w:val="both"/>
              <w:rPr>
                <w:rFonts w:ascii="Arial Narrow" w:hAnsi="Arial Narrow" w:cs="Arial"/>
                <w:strike/>
                <w:sz w:val="20"/>
                <w:szCs w:val="20"/>
              </w:rPr>
            </w:pPr>
          </w:p>
          <w:p w:rsidR="00134859" w:rsidRPr="002E6BC6" w:rsidRDefault="00134859" w:rsidP="00F44F5F">
            <w:pPr>
              <w:keepNext/>
              <w:spacing w:before="40" w:after="40"/>
              <w:jc w:val="both"/>
              <w:rPr>
                <w:rFonts w:ascii="Arial Narrow" w:hAnsi="Arial Narrow" w:cs="Arial"/>
                <w:strike/>
                <w:sz w:val="20"/>
                <w:szCs w:val="20"/>
              </w:rPr>
            </w:pPr>
            <w:r w:rsidRPr="002E6BC6">
              <w:rPr>
                <w:rFonts w:ascii="Arial Narrow" w:hAnsi="Arial Narrow" w:cs="Arial"/>
                <w:strike/>
                <w:sz w:val="20"/>
                <w:szCs w:val="20"/>
              </w:rPr>
              <w:t>3</w:t>
            </w:r>
          </w:p>
          <w:p w:rsidR="00134859" w:rsidRPr="002E6BC6" w:rsidRDefault="00134859" w:rsidP="00F44F5F">
            <w:pPr>
              <w:keepNext/>
              <w:spacing w:before="40" w:after="40"/>
              <w:jc w:val="both"/>
              <w:rPr>
                <w:rFonts w:ascii="Arial Narrow" w:hAnsi="Arial Narrow" w:cs="Arial"/>
                <w:strike/>
                <w:sz w:val="20"/>
                <w:szCs w:val="20"/>
              </w:rPr>
            </w:pPr>
          </w:p>
          <w:p w:rsidR="00134859" w:rsidRPr="002E6BC6" w:rsidRDefault="00134859" w:rsidP="00F44F5F">
            <w:pPr>
              <w:keepNext/>
              <w:spacing w:before="40" w:after="40"/>
              <w:jc w:val="both"/>
              <w:rPr>
                <w:rFonts w:ascii="Arial Narrow" w:hAnsi="Arial Narrow" w:cs="Arial"/>
                <w:strike/>
                <w:sz w:val="20"/>
                <w:szCs w:val="20"/>
              </w:rPr>
            </w:pPr>
            <w:r w:rsidRPr="002E6BC6">
              <w:rPr>
                <w:rFonts w:ascii="Arial Narrow" w:hAnsi="Arial Narrow" w:cs="Arial"/>
                <w:strike/>
                <w:sz w:val="20"/>
                <w:szCs w:val="20"/>
              </w:rPr>
              <w:t>3</w:t>
            </w:r>
          </w:p>
        </w:tc>
        <w:tc>
          <w:tcPr>
            <w:tcW w:w="778" w:type="pct"/>
          </w:tcPr>
          <w:p w:rsidR="00134859" w:rsidRPr="002E6BC6" w:rsidRDefault="00134859" w:rsidP="00F44F5F">
            <w:pPr>
              <w:keepNext/>
              <w:spacing w:before="40" w:after="40"/>
              <w:jc w:val="both"/>
              <w:rPr>
                <w:rFonts w:ascii="Arial Narrow" w:hAnsi="Arial Narrow" w:cs="Arial"/>
                <w:sz w:val="20"/>
                <w:szCs w:val="20"/>
              </w:rPr>
            </w:pPr>
          </w:p>
          <w:p w:rsidR="00134859" w:rsidRPr="002E6BC6" w:rsidRDefault="00134859" w:rsidP="00F44F5F">
            <w:pPr>
              <w:keepNext/>
              <w:spacing w:before="40" w:after="40"/>
              <w:jc w:val="both"/>
              <w:rPr>
                <w:rFonts w:ascii="Arial Narrow" w:hAnsi="Arial Narrow" w:cs="Arial"/>
                <w:sz w:val="20"/>
                <w:szCs w:val="20"/>
              </w:rPr>
            </w:pPr>
            <w:r w:rsidRPr="002E6BC6">
              <w:rPr>
                <w:rFonts w:ascii="Arial Narrow" w:hAnsi="Arial Narrow" w:cs="Arial"/>
                <w:sz w:val="20"/>
                <w:szCs w:val="20"/>
              </w:rPr>
              <w:t>$</w:t>
            </w:r>
            <w:r w:rsidR="003E2B64">
              <w:rPr>
                <w:rFonts w:ascii="Arial Narrow" w:hAnsi="Arial Narrow" w:cs="Arial"/>
                <w:noProof/>
                <w:color w:val="000000"/>
                <w:sz w:val="20"/>
                <w:szCs w:val="20"/>
                <w:highlight w:val="black"/>
              </w:rPr>
              <w:t>'''''''''''''''''''''</w:t>
            </w:r>
          </w:p>
        </w:tc>
        <w:tc>
          <w:tcPr>
            <w:tcW w:w="447" w:type="pct"/>
          </w:tcPr>
          <w:p w:rsidR="00134859" w:rsidRPr="002E6BC6" w:rsidRDefault="00134859" w:rsidP="00F44F5F">
            <w:pPr>
              <w:keepNext/>
              <w:spacing w:before="40" w:after="40"/>
              <w:jc w:val="both"/>
              <w:rPr>
                <w:rFonts w:ascii="Arial Narrow" w:hAnsi="Arial Narrow" w:cs="Arial"/>
                <w:sz w:val="20"/>
                <w:szCs w:val="20"/>
              </w:rPr>
            </w:pPr>
          </w:p>
          <w:p w:rsidR="00134859" w:rsidRPr="002E6BC6" w:rsidRDefault="00134859" w:rsidP="00F44F5F">
            <w:pPr>
              <w:keepNext/>
              <w:spacing w:before="40" w:after="40"/>
              <w:jc w:val="both"/>
              <w:rPr>
                <w:rFonts w:ascii="Arial Narrow" w:hAnsi="Arial Narrow" w:cs="Arial"/>
                <w:sz w:val="20"/>
                <w:szCs w:val="20"/>
              </w:rPr>
            </w:pPr>
            <w:proofErr w:type="spellStart"/>
            <w:r w:rsidRPr="002E6BC6">
              <w:rPr>
                <w:rFonts w:ascii="Arial Narrow" w:hAnsi="Arial Narrow" w:cs="Arial"/>
                <w:sz w:val="20"/>
                <w:szCs w:val="20"/>
              </w:rPr>
              <w:t>Actemra</w:t>
            </w:r>
            <w:proofErr w:type="spellEnd"/>
          </w:p>
        </w:tc>
        <w:tc>
          <w:tcPr>
            <w:tcW w:w="716" w:type="pct"/>
          </w:tcPr>
          <w:p w:rsidR="00134859" w:rsidRPr="002E6BC6" w:rsidRDefault="00134859" w:rsidP="00F44F5F">
            <w:pPr>
              <w:keepNext/>
              <w:spacing w:before="40" w:after="40"/>
              <w:jc w:val="both"/>
              <w:rPr>
                <w:rFonts w:ascii="Arial Narrow" w:hAnsi="Arial Narrow" w:cs="Arial"/>
                <w:sz w:val="20"/>
                <w:szCs w:val="20"/>
              </w:rPr>
            </w:pPr>
          </w:p>
          <w:p w:rsidR="00134859" w:rsidRPr="002E6BC6" w:rsidRDefault="00134859" w:rsidP="00F44F5F">
            <w:pPr>
              <w:keepNext/>
              <w:spacing w:before="40" w:after="40"/>
              <w:jc w:val="both"/>
              <w:rPr>
                <w:rFonts w:ascii="Arial Narrow" w:hAnsi="Arial Narrow" w:cs="Arial"/>
                <w:sz w:val="20"/>
                <w:szCs w:val="20"/>
              </w:rPr>
            </w:pPr>
            <w:r w:rsidRPr="002E6BC6">
              <w:rPr>
                <w:rFonts w:ascii="Arial Narrow" w:hAnsi="Arial Narrow" w:cs="Arial"/>
                <w:sz w:val="20"/>
                <w:szCs w:val="20"/>
              </w:rPr>
              <w:t>Roche Products</w:t>
            </w:r>
          </w:p>
        </w:tc>
      </w:tr>
    </w:tbl>
    <w:p w:rsidR="00134859" w:rsidRPr="002E6BC6" w:rsidRDefault="00134859" w:rsidP="000334C9">
      <w:pPr>
        <w:keepNext/>
        <w:spacing w:before="120" w:after="120"/>
        <w:rPr>
          <w:rFonts w:asciiTheme="minorHAnsi" w:eastAsiaTheme="minorHAnsi" w:hAnsiTheme="minorHAnsi" w:cstheme="minorBidi"/>
          <w:b/>
          <w:szCs w:val="22"/>
        </w:rPr>
      </w:pPr>
      <w:r w:rsidRPr="002E6BC6">
        <w:rPr>
          <w:rFonts w:asciiTheme="minorHAnsi" w:eastAsiaTheme="minorHAnsi" w:hAnsiTheme="minorHAnsi" w:cstheme="minorHAnsi"/>
          <w:b/>
          <w:szCs w:val="22"/>
        </w:rPr>
        <w:t>≥</w:t>
      </w:r>
      <w:r w:rsidRPr="002E6BC6">
        <w:rPr>
          <w:rFonts w:asciiTheme="minorHAnsi" w:eastAsiaTheme="minorHAnsi" w:hAnsiTheme="minorHAnsi" w:cstheme="minorBidi"/>
          <w:b/>
          <w:szCs w:val="22"/>
        </w:rPr>
        <w:t xml:space="preserve"> 30 kg body weight (dosing </w:t>
      </w:r>
      <w:r w:rsidR="00435047" w:rsidRPr="002E6BC6">
        <w:rPr>
          <w:rFonts w:asciiTheme="minorHAnsi" w:eastAsiaTheme="minorHAnsi" w:hAnsiTheme="minorHAnsi" w:cstheme="minorBidi"/>
          <w:b/>
          <w:szCs w:val="22"/>
        </w:rPr>
        <w:t>Q2</w:t>
      </w:r>
      <w:r w:rsidRPr="002E6BC6">
        <w:rPr>
          <w:rFonts w:asciiTheme="minorHAnsi" w:eastAsiaTheme="minorHAnsi" w:hAnsiTheme="minorHAnsi" w:cstheme="minorBidi"/>
          <w:b/>
          <w:szCs w:val="22"/>
        </w:rPr>
        <w:t>W)</w:t>
      </w:r>
    </w:p>
    <w:p w:rsidR="00C178B7" w:rsidRPr="002E6BC6" w:rsidRDefault="00C178B7" w:rsidP="000334C9">
      <w:pPr>
        <w:keepNext/>
        <w:spacing w:before="120" w:after="120"/>
        <w:rPr>
          <w:rFonts w:ascii="Arial Narrow" w:eastAsiaTheme="minorHAnsi" w:hAnsi="Arial Narrow" w:cstheme="minorBidi"/>
          <w:sz w:val="20"/>
          <w:szCs w:val="22"/>
          <w:u w:val="single"/>
        </w:rPr>
      </w:pPr>
      <w:r w:rsidRPr="002E6BC6">
        <w:rPr>
          <w:rFonts w:ascii="Arial Narrow" w:eastAsiaTheme="minorHAnsi" w:hAnsi="Arial Narrow" w:cstheme="minorBidi"/>
          <w:sz w:val="20"/>
          <w:szCs w:val="22"/>
          <w:u w:val="single"/>
        </w:rPr>
        <w:t xml:space="preserve">Initial treatment </w:t>
      </w:r>
    </w:p>
    <w:tbl>
      <w:tblPr>
        <w:tblW w:w="5000" w:type="pct"/>
        <w:tblLook w:val="0000" w:firstRow="0" w:lastRow="0" w:firstColumn="0" w:lastColumn="0" w:noHBand="0" w:noVBand="0"/>
      </w:tblPr>
      <w:tblGrid>
        <w:gridCol w:w="2873"/>
        <w:gridCol w:w="615"/>
        <w:gridCol w:w="1010"/>
        <w:gridCol w:w="1010"/>
        <w:gridCol w:w="1401"/>
        <w:gridCol w:w="827"/>
        <w:gridCol w:w="1290"/>
      </w:tblGrid>
      <w:tr w:rsidR="00C178B7" w:rsidRPr="002E6BC6" w:rsidTr="00F44F5F">
        <w:trPr>
          <w:trHeight w:val="465"/>
        </w:trPr>
        <w:tc>
          <w:tcPr>
            <w:tcW w:w="1594" w:type="pct"/>
            <w:tcBorders>
              <w:bottom w:val="single" w:sz="4" w:space="0" w:color="auto"/>
            </w:tcBorders>
          </w:tcPr>
          <w:p w:rsidR="00C178B7" w:rsidRPr="002E6BC6" w:rsidRDefault="00C178B7"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Name, Restriction,</w:t>
            </w:r>
          </w:p>
          <w:p w:rsidR="00C178B7" w:rsidRPr="002E6BC6" w:rsidRDefault="00C178B7"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Manner of administration and form</w:t>
            </w:r>
          </w:p>
        </w:tc>
        <w:tc>
          <w:tcPr>
            <w:tcW w:w="343" w:type="pct"/>
            <w:tcBorders>
              <w:bottom w:val="single" w:sz="4" w:space="0" w:color="auto"/>
            </w:tcBorders>
          </w:tcPr>
          <w:p w:rsidR="00C178B7" w:rsidRPr="002E6BC6" w:rsidRDefault="00C178B7"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Max.</w:t>
            </w:r>
          </w:p>
          <w:p w:rsidR="00C178B7" w:rsidRPr="002E6BC6" w:rsidRDefault="00C178B7" w:rsidP="00F44F5F">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Qty</w:t>
            </w:r>
            <w:proofErr w:type="spellEnd"/>
          </w:p>
        </w:tc>
        <w:tc>
          <w:tcPr>
            <w:tcW w:w="561" w:type="pct"/>
            <w:tcBorders>
              <w:bottom w:val="single" w:sz="4" w:space="0" w:color="auto"/>
            </w:tcBorders>
          </w:tcPr>
          <w:p w:rsidR="00C178B7" w:rsidRPr="002E6BC6" w:rsidRDefault="00C178B7" w:rsidP="00F44F5F">
            <w:pPr>
              <w:keepNext/>
              <w:spacing w:before="40" w:after="40"/>
              <w:jc w:val="both"/>
              <w:rPr>
                <w:rFonts w:ascii="Arial Narrow" w:hAnsi="Arial Narrow" w:cs="Arial"/>
                <w:b/>
                <w:sz w:val="20"/>
                <w:szCs w:val="20"/>
              </w:rPr>
            </w:pPr>
          </w:p>
        </w:tc>
        <w:tc>
          <w:tcPr>
            <w:tcW w:w="561" w:type="pct"/>
            <w:tcBorders>
              <w:bottom w:val="single" w:sz="4" w:space="0" w:color="auto"/>
            </w:tcBorders>
          </w:tcPr>
          <w:p w:rsidR="00C178B7" w:rsidRPr="002E6BC6" w:rsidRDefault="00C178B7"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№.of</w:t>
            </w:r>
          </w:p>
          <w:p w:rsidR="00C178B7" w:rsidRPr="002E6BC6" w:rsidRDefault="00C178B7" w:rsidP="00F44F5F">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Rpts</w:t>
            </w:r>
            <w:proofErr w:type="spellEnd"/>
          </w:p>
        </w:tc>
        <w:tc>
          <w:tcPr>
            <w:tcW w:w="778" w:type="pct"/>
            <w:tcBorders>
              <w:bottom w:val="single" w:sz="4" w:space="0" w:color="auto"/>
            </w:tcBorders>
          </w:tcPr>
          <w:p w:rsidR="00C178B7" w:rsidRPr="002E6BC6" w:rsidRDefault="00C178B7"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 xml:space="preserve">Dispensed Price for Max. </w:t>
            </w:r>
            <w:proofErr w:type="spellStart"/>
            <w:r w:rsidRPr="002E6BC6">
              <w:rPr>
                <w:rFonts w:ascii="Arial Narrow" w:hAnsi="Arial Narrow" w:cs="Arial"/>
                <w:b/>
                <w:sz w:val="20"/>
                <w:szCs w:val="20"/>
              </w:rPr>
              <w:t>Qty</w:t>
            </w:r>
            <w:proofErr w:type="spellEnd"/>
          </w:p>
        </w:tc>
        <w:tc>
          <w:tcPr>
            <w:tcW w:w="1163" w:type="pct"/>
            <w:gridSpan w:val="2"/>
            <w:tcBorders>
              <w:bottom w:val="single" w:sz="4" w:space="0" w:color="auto"/>
            </w:tcBorders>
          </w:tcPr>
          <w:p w:rsidR="00C178B7" w:rsidRPr="00037C20" w:rsidRDefault="00C178B7"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Proprietary Name and Manufacturer</w:t>
            </w:r>
          </w:p>
        </w:tc>
      </w:tr>
      <w:tr w:rsidR="00C178B7" w:rsidRPr="002E6BC6" w:rsidTr="00F44F5F">
        <w:trPr>
          <w:trHeight w:val="567"/>
        </w:trPr>
        <w:tc>
          <w:tcPr>
            <w:tcW w:w="1594" w:type="pct"/>
          </w:tcPr>
          <w:p w:rsidR="00C178B7" w:rsidRPr="002E6BC6" w:rsidRDefault="00C178B7" w:rsidP="00F44F5F">
            <w:pPr>
              <w:keepNext/>
              <w:spacing w:before="40" w:after="40"/>
              <w:jc w:val="both"/>
              <w:rPr>
                <w:rFonts w:ascii="Arial Narrow" w:hAnsi="Arial Narrow" w:cs="Arial"/>
                <w:sz w:val="20"/>
                <w:szCs w:val="20"/>
              </w:rPr>
            </w:pPr>
            <w:r w:rsidRPr="002E6BC6">
              <w:rPr>
                <w:rFonts w:ascii="Arial Narrow" w:hAnsi="Arial Narrow" w:cs="Arial"/>
                <w:smallCaps/>
                <w:sz w:val="20"/>
                <w:szCs w:val="20"/>
              </w:rPr>
              <w:t xml:space="preserve">TOCILIZUMAB </w:t>
            </w:r>
          </w:p>
          <w:p w:rsidR="00C178B7" w:rsidRPr="002E6BC6" w:rsidRDefault="00C178B7" w:rsidP="00F44F5F">
            <w:pPr>
              <w:keepNext/>
              <w:spacing w:before="40" w:after="40"/>
              <w:jc w:val="both"/>
              <w:rPr>
                <w:rFonts w:ascii="Arial Narrow" w:hAnsi="Arial Narrow" w:cs="Arial"/>
                <w:sz w:val="20"/>
                <w:szCs w:val="20"/>
              </w:rPr>
            </w:pPr>
            <w:r w:rsidRPr="002E6BC6">
              <w:rPr>
                <w:rFonts w:ascii="Arial Narrow" w:hAnsi="Arial Narrow" w:cs="Arial"/>
                <w:sz w:val="20"/>
                <w:szCs w:val="20"/>
              </w:rPr>
              <w:t>162 mg/0.9 mL, 4 x 0.9 mL</w:t>
            </w:r>
          </w:p>
          <w:p w:rsidR="00C178B7" w:rsidRPr="002E6BC6" w:rsidRDefault="00C178B7" w:rsidP="00F44F5F">
            <w:pPr>
              <w:keepNext/>
              <w:spacing w:before="40" w:after="40"/>
              <w:jc w:val="both"/>
              <w:rPr>
                <w:rFonts w:ascii="Arial Narrow" w:hAnsi="Arial Narrow" w:cs="Arial"/>
                <w:sz w:val="20"/>
                <w:szCs w:val="20"/>
              </w:rPr>
            </w:pPr>
            <w:r w:rsidRPr="002E6BC6">
              <w:rPr>
                <w:rFonts w:ascii="Arial Narrow" w:hAnsi="Arial Narrow" w:cs="Arial"/>
                <w:sz w:val="20"/>
                <w:szCs w:val="20"/>
              </w:rPr>
              <w:t>auto-injector</w:t>
            </w:r>
          </w:p>
          <w:p w:rsidR="00C178B7" w:rsidRPr="002E6BC6" w:rsidRDefault="00C178B7" w:rsidP="00F44F5F">
            <w:pPr>
              <w:keepNext/>
              <w:spacing w:before="40" w:after="40"/>
              <w:jc w:val="both"/>
              <w:rPr>
                <w:rFonts w:ascii="Arial Narrow" w:hAnsi="Arial Narrow" w:cs="Arial"/>
                <w:sz w:val="20"/>
                <w:szCs w:val="20"/>
              </w:rPr>
            </w:pPr>
            <w:r w:rsidRPr="002E6BC6">
              <w:rPr>
                <w:rFonts w:ascii="Arial Narrow" w:hAnsi="Arial Narrow" w:cs="Arial"/>
                <w:sz w:val="20"/>
                <w:szCs w:val="20"/>
              </w:rPr>
              <w:t>162 mg/0.9 mL, 4 x 0.9 mL</w:t>
            </w:r>
          </w:p>
          <w:p w:rsidR="00C178B7" w:rsidRPr="002E6BC6" w:rsidRDefault="00C178B7" w:rsidP="00F44F5F">
            <w:pPr>
              <w:keepNext/>
              <w:spacing w:before="40" w:after="40"/>
              <w:jc w:val="both"/>
              <w:rPr>
                <w:rFonts w:ascii="Arial Narrow" w:hAnsi="Arial Narrow" w:cs="Arial"/>
                <w:strike/>
                <w:sz w:val="20"/>
                <w:szCs w:val="20"/>
              </w:rPr>
            </w:pPr>
            <w:r w:rsidRPr="002E6BC6">
              <w:rPr>
                <w:rFonts w:ascii="Arial Narrow" w:hAnsi="Arial Narrow" w:cs="Arial"/>
                <w:sz w:val="20"/>
                <w:szCs w:val="20"/>
              </w:rPr>
              <w:t>syringe</w:t>
            </w:r>
          </w:p>
        </w:tc>
        <w:tc>
          <w:tcPr>
            <w:tcW w:w="343" w:type="pct"/>
          </w:tcPr>
          <w:p w:rsidR="00C178B7" w:rsidRPr="002E6BC6" w:rsidRDefault="00C178B7" w:rsidP="00F44F5F">
            <w:pPr>
              <w:keepNext/>
              <w:spacing w:before="40" w:after="40"/>
              <w:jc w:val="both"/>
              <w:rPr>
                <w:rFonts w:ascii="Arial Narrow" w:hAnsi="Arial Narrow" w:cs="Arial"/>
                <w:strike/>
                <w:sz w:val="20"/>
                <w:szCs w:val="20"/>
              </w:rPr>
            </w:pPr>
          </w:p>
          <w:p w:rsidR="00C178B7" w:rsidRPr="002E6BC6" w:rsidRDefault="00C178B7" w:rsidP="00F44F5F">
            <w:pPr>
              <w:keepNext/>
              <w:spacing w:before="40" w:after="40"/>
              <w:jc w:val="both"/>
              <w:rPr>
                <w:rFonts w:ascii="Arial Narrow" w:hAnsi="Arial Narrow" w:cs="Arial"/>
                <w:strike/>
                <w:sz w:val="20"/>
                <w:szCs w:val="20"/>
              </w:rPr>
            </w:pPr>
            <w:r w:rsidRPr="002E6BC6">
              <w:rPr>
                <w:rFonts w:ascii="Arial Narrow" w:hAnsi="Arial Narrow" w:cs="Arial"/>
                <w:strike/>
                <w:sz w:val="20"/>
                <w:szCs w:val="20"/>
              </w:rPr>
              <w:t>1</w:t>
            </w:r>
          </w:p>
          <w:p w:rsidR="00C178B7" w:rsidRPr="002E6BC6" w:rsidRDefault="00C178B7" w:rsidP="00F44F5F">
            <w:pPr>
              <w:keepNext/>
              <w:spacing w:before="40" w:after="40"/>
              <w:jc w:val="both"/>
              <w:rPr>
                <w:rFonts w:ascii="Arial Narrow" w:hAnsi="Arial Narrow" w:cs="Arial"/>
                <w:strike/>
                <w:sz w:val="20"/>
                <w:szCs w:val="20"/>
              </w:rPr>
            </w:pPr>
          </w:p>
          <w:p w:rsidR="00C178B7" w:rsidRPr="002E6BC6" w:rsidRDefault="00C178B7" w:rsidP="00F44F5F">
            <w:pPr>
              <w:keepNext/>
              <w:spacing w:before="40" w:after="40"/>
              <w:jc w:val="both"/>
              <w:rPr>
                <w:rFonts w:ascii="Arial Narrow" w:hAnsi="Arial Narrow" w:cs="Arial"/>
                <w:strike/>
                <w:sz w:val="20"/>
                <w:szCs w:val="20"/>
              </w:rPr>
            </w:pPr>
            <w:r w:rsidRPr="002E6BC6">
              <w:rPr>
                <w:rFonts w:ascii="Arial Narrow" w:hAnsi="Arial Narrow" w:cs="Arial"/>
                <w:strike/>
                <w:sz w:val="20"/>
                <w:szCs w:val="20"/>
              </w:rPr>
              <w:t>1</w:t>
            </w:r>
          </w:p>
        </w:tc>
        <w:tc>
          <w:tcPr>
            <w:tcW w:w="561" w:type="pct"/>
          </w:tcPr>
          <w:p w:rsidR="00C178B7" w:rsidRPr="002E6BC6" w:rsidRDefault="00C178B7" w:rsidP="00F44F5F">
            <w:pPr>
              <w:keepNext/>
              <w:spacing w:before="40" w:after="40"/>
              <w:jc w:val="both"/>
              <w:rPr>
                <w:rFonts w:ascii="Arial Narrow" w:hAnsi="Arial Narrow" w:cs="Arial"/>
                <w:strike/>
                <w:sz w:val="20"/>
                <w:szCs w:val="20"/>
              </w:rPr>
            </w:pPr>
          </w:p>
        </w:tc>
        <w:tc>
          <w:tcPr>
            <w:tcW w:w="561" w:type="pct"/>
          </w:tcPr>
          <w:p w:rsidR="00C178B7" w:rsidRPr="002E6BC6" w:rsidRDefault="00C178B7" w:rsidP="00F44F5F">
            <w:pPr>
              <w:keepNext/>
              <w:spacing w:before="40" w:after="40"/>
              <w:jc w:val="both"/>
              <w:rPr>
                <w:rFonts w:ascii="Arial Narrow" w:hAnsi="Arial Narrow" w:cs="Arial"/>
                <w:strike/>
                <w:sz w:val="20"/>
                <w:szCs w:val="20"/>
              </w:rPr>
            </w:pPr>
          </w:p>
          <w:p w:rsidR="00C178B7" w:rsidRPr="002E6BC6" w:rsidRDefault="00C178B7" w:rsidP="00F44F5F">
            <w:pPr>
              <w:keepNext/>
              <w:spacing w:before="40" w:after="40"/>
              <w:jc w:val="both"/>
              <w:rPr>
                <w:rFonts w:ascii="Arial Narrow" w:hAnsi="Arial Narrow" w:cs="Arial"/>
                <w:strike/>
                <w:sz w:val="20"/>
                <w:szCs w:val="20"/>
              </w:rPr>
            </w:pPr>
            <w:r w:rsidRPr="002E6BC6">
              <w:rPr>
                <w:rFonts w:ascii="Arial Narrow" w:hAnsi="Arial Narrow" w:cs="Arial"/>
                <w:strike/>
                <w:sz w:val="20"/>
                <w:szCs w:val="20"/>
              </w:rPr>
              <w:t>0</w:t>
            </w:r>
          </w:p>
          <w:p w:rsidR="00C178B7" w:rsidRPr="002E6BC6" w:rsidRDefault="00C178B7" w:rsidP="00F44F5F">
            <w:pPr>
              <w:keepNext/>
              <w:spacing w:before="40" w:after="40"/>
              <w:jc w:val="both"/>
              <w:rPr>
                <w:rFonts w:ascii="Arial Narrow" w:hAnsi="Arial Narrow" w:cs="Arial"/>
                <w:strike/>
                <w:sz w:val="20"/>
                <w:szCs w:val="20"/>
              </w:rPr>
            </w:pPr>
          </w:p>
          <w:p w:rsidR="00C178B7" w:rsidRPr="002E6BC6" w:rsidRDefault="00C178B7" w:rsidP="00F44F5F">
            <w:pPr>
              <w:keepNext/>
              <w:spacing w:before="40" w:after="40"/>
              <w:jc w:val="both"/>
              <w:rPr>
                <w:rFonts w:ascii="Arial Narrow" w:hAnsi="Arial Narrow" w:cs="Arial"/>
                <w:strike/>
                <w:sz w:val="20"/>
                <w:szCs w:val="20"/>
              </w:rPr>
            </w:pPr>
            <w:r w:rsidRPr="002E6BC6">
              <w:rPr>
                <w:rFonts w:ascii="Arial Narrow" w:hAnsi="Arial Narrow" w:cs="Arial"/>
                <w:strike/>
                <w:sz w:val="20"/>
                <w:szCs w:val="20"/>
              </w:rPr>
              <w:t>0</w:t>
            </w:r>
          </w:p>
        </w:tc>
        <w:tc>
          <w:tcPr>
            <w:tcW w:w="778" w:type="pct"/>
          </w:tcPr>
          <w:p w:rsidR="00C178B7" w:rsidRPr="002E6BC6" w:rsidRDefault="00C178B7" w:rsidP="00F44F5F">
            <w:pPr>
              <w:keepNext/>
              <w:spacing w:before="40" w:after="40"/>
              <w:jc w:val="both"/>
              <w:rPr>
                <w:rFonts w:ascii="Arial Narrow" w:hAnsi="Arial Narrow" w:cs="Arial"/>
                <w:sz w:val="20"/>
                <w:szCs w:val="20"/>
              </w:rPr>
            </w:pPr>
          </w:p>
          <w:p w:rsidR="00C178B7" w:rsidRPr="002E6BC6" w:rsidRDefault="00C178B7" w:rsidP="00F44F5F">
            <w:pPr>
              <w:keepNext/>
              <w:spacing w:before="40" w:after="40"/>
              <w:jc w:val="both"/>
              <w:rPr>
                <w:rFonts w:ascii="Arial Narrow" w:hAnsi="Arial Narrow" w:cs="Arial"/>
                <w:sz w:val="20"/>
                <w:szCs w:val="20"/>
              </w:rPr>
            </w:pPr>
            <w:r w:rsidRPr="002E6BC6">
              <w:rPr>
                <w:rFonts w:ascii="Arial Narrow" w:hAnsi="Arial Narrow" w:cs="Arial"/>
                <w:sz w:val="20"/>
                <w:szCs w:val="20"/>
              </w:rPr>
              <w:t>$</w:t>
            </w:r>
            <w:r w:rsidR="003E2B64">
              <w:rPr>
                <w:rFonts w:ascii="Arial Narrow" w:hAnsi="Arial Narrow" w:cs="Arial"/>
                <w:noProof/>
                <w:color w:val="000000"/>
                <w:sz w:val="20"/>
                <w:szCs w:val="20"/>
                <w:highlight w:val="black"/>
              </w:rPr>
              <w:t>'''''''''''''''''''''''</w:t>
            </w:r>
          </w:p>
        </w:tc>
        <w:tc>
          <w:tcPr>
            <w:tcW w:w="447" w:type="pct"/>
          </w:tcPr>
          <w:p w:rsidR="00C178B7" w:rsidRPr="002E6BC6" w:rsidRDefault="00C178B7" w:rsidP="00F44F5F">
            <w:pPr>
              <w:keepNext/>
              <w:spacing w:before="40" w:after="40"/>
              <w:jc w:val="both"/>
              <w:rPr>
                <w:rFonts w:ascii="Arial Narrow" w:hAnsi="Arial Narrow" w:cs="Arial"/>
                <w:sz w:val="20"/>
                <w:szCs w:val="20"/>
              </w:rPr>
            </w:pPr>
          </w:p>
          <w:p w:rsidR="00C178B7" w:rsidRPr="002E6BC6" w:rsidRDefault="00C178B7" w:rsidP="00F44F5F">
            <w:pPr>
              <w:keepNext/>
              <w:spacing w:before="40" w:after="40"/>
              <w:jc w:val="both"/>
              <w:rPr>
                <w:rFonts w:ascii="Arial Narrow" w:hAnsi="Arial Narrow" w:cs="Arial"/>
                <w:sz w:val="20"/>
                <w:szCs w:val="20"/>
              </w:rPr>
            </w:pPr>
            <w:proofErr w:type="spellStart"/>
            <w:r w:rsidRPr="002E6BC6">
              <w:rPr>
                <w:rFonts w:ascii="Arial Narrow" w:hAnsi="Arial Narrow" w:cs="Arial"/>
                <w:sz w:val="20"/>
                <w:szCs w:val="20"/>
              </w:rPr>
              <w:t>Actemra</w:t>
            </w:r>
            <w:proofErr w:type="spellEnd"/>
          </w:p>
        </w:tc>
        <w:tc>
          <w:tcPr>
            <w:tcW w:w="716" w:type="pct"/>
          </w:tcPr>
          <w:p w:rsidR="00C178B7" w:rsidRPr="002E6BC6" w:rsidRDefault="00C178B7" w:rsidP="00F44F5F">
            <w:pPr>
              <w:keepNext/>
              <w:spacing w:before="40" w:after="40"/>
              <w:jc w:val="both"/>
              <w:rPr>
                <w:rFonts w:ascii="Arial Narrow" w:hAnsi="Arial Narrow" w:cs="Arial"/>
                <w:sz w:val="20"/>
                <w:szCs w:val="20"/>
              </w:rPr>
            </w:pPr>
          </w:p>
          <w:p w:rsidR="00C178B7" w:rsidRPr="002E6BC6" w:rsidRDefault="00C178B7" w:rsidP="00F44F5F">
            <w:pPr>
              <w:keepNext/>
              <w:spacing w:before="40" w:after="40"/>
              <w:jc w:val="both"/>
              <w:rPr>
                <w:rFonts w:ascii="Arial Narrow" w:hAnsi="Arial Narrow" w:cs="Arial"/>
                <w:sz w:val="20"/>
                <w:szCs w:val="20"/>
              </w:rPr>
            </w:pPr>
            <w:r w:rsidRPr="002E6BC6">
              <w:rPr>
                <w:rFonts w:ascii="Arial Narrow" w:hAnsi="Arial Narrow" w:cs="Arial"/>
                <w:sz w:val="20"/>
                <w:szCs w:val="20"/>
              </w:rPr>
              <w:t>Roche Products</w:t>
            </w:r>
          </w:p>
        </w:tc>
      </w:tr>
    </w:tbl>
    <w:p w:rsidR="00435047" w:rsidRPr="002E6BC6" w:rsidRDefault="00435047" w:rsidP="000334C9">
      <w:pPr>
        <w:keepNext/>
        <w:spacing w:before="120" w:after="120"/>
        <w:rPr>
          <w:rFonts w:ascii="Arial Narrow" w:eastAsiaTheme="minorHAnsi" w:hAnsi="Arial Narrow" w:cstheme="minorBidi"/>
          <w:sz w:val="20"/>
          <w:szCs w:val="22"/>
          <w:u w:val="single"/>
        </w:rPr>
      </w:pPr>
      <w:r w:rsidRPr="002E6BC6">
        <w:rPr>
          <w:rFonts w:ascii="Arial Narrow" w:eastAsiaTheme="minorHAnsi" w:hAnsi="Arial Narrow" w:cstheme="minorBidi"/>
          <w:sz w:val="20"/>
          <w:szCs w:val="22"/>
          <w:u w:val="single"/>
        </w:rPr>
        <w:t xml:space="preserve">Continuing treatment </w:t>
      </w:r>
    </w:p>
    <w:tbl>
      <w:tblPr>
        <w:tblW w:w="5000" w:type="pct"/>
        <w:tblLook w:val="0000" w:firstRow="0" w:lastRow="0" w:firstColumn="0" w:lastColumn="0" w:noHBand="0" w:noVBand="0"/>
      </w:tblPr>
      <w:tblGrid>
        <w:gridCol w:w="2873"/>
        <w:gridCol w:w="615"/>
        <w:gridCol w:w="1010"/>
        <w:gridCol w:w="1010"/>
        <w:gridCol w:w="1401"/>
        <w:gridCol w:w="827"/>
        <w:gridCol w:w="1290"/>
      </w:tblGrid>
      <w:tr w:rsidR="00435047" w:rsidRPr="002E6BC6" w:rsidTr="00F44F5F">
        <w:trPr>
          <w:trHeight w:val="465"/>
        </w:trPr>
        <w:tc>
          <w:tcPr>
            <w:tcW w:w="1594" w:type="pct"/>
            <w:tcBorders>
              <w:bottom w:val="single" w:sz="4" w:space="0" w:color="auto"/>
            </w:tcBorders>
          </w:tcPr>
          <w:p w:rsidR="00435047" w:rsidRPr="002E6BC6" w:rsidRDefault="00435047"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Name, Restriction,</w:t>
            </w:r>
          </w:p>
          <w:p w:rsidR="00435047" w:rsidRPr="002E6BC6" w:rsidRDefault="00435047"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Manner of administration and form</w:t>
            </w:r>
          </w:p>
        </w:tc>
        <w:tc>
          <w:tcPr>
            <w:tcW w:w="343" w:type="pct"/>
            <w:tcBorders>
              <w:bottom w:val="single" w:sz="4" w:space="0" w:color="auto"/>
            </w:tcBorders>
          </w:tcPr>
          <w:p w:rsidR="00435047" w:rsidRPr="002E6BC6" w:rsidRDefault="00435047"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Max.</w:t>
            </w:r>
          </w:p>
          <w:p w:rsidR="00435047" w:rsidRPr="002E6BC6" w:rsidRDefault="00435047" w:rsidP="00F44F5F">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Qty</w:t>
            </w:r>
            <w:proofErr w:type="spellEnd"/>
          </w:p>
        </w:tc>
        <w:tc>
          <w:tcPr>
            <w:tcW w:w="561" w:type="pct"/>
            <w:tcBorders>
              <w:bottom w:val="single" w:sz="4" w:space="0" w:color="auto"/>
            </w:tcBorders>
          </w:tcPr>
          <w:p w:rsidR="00435047" w:rsidRPr="002E6BC6" w:rsidRDefault="00435047" w:rsidP="00F44F5F">
            <w:pPr>
              <w:keepNext/>
              <w:spacing w:before="40" w:after="40"/>
              <w:jc w:val="both"/>
              <w:rPr>
                <w:rFonts w:ascii="Arial Narrow" w:hAnsi="Arial Narrow" w:cs="Arial"/>
                <w:b/>
                <w:sz w:val="20"/>
                <w:szCs w:val="20"/>
              </w:rPr>
            </w:pPr>
          </w:p>
        </w:tc>
        <w:tc>
          <w:tcPr>
            <w:tcW w:w="561" w:type="pct"/>
            <w:tcBorders>
              <w:bottom w:val="single" w:sz="4" w:space="0" w:color="auto"/>
            </w:tcBorders>
          </w:tcPr>
          <w:p w:rsidR="00435047" w:rsidRPr="002E6BC6" w:rsidRDefault="00435047"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№.of</w:t>
            </w:r>
          </w:p>
          <w:p w:rsidR="00435047" w:rsidRPr="002E6BC6" w:rsidRDefault="00435047" w:rsidP="00F44F5F">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Rpts</w:t>
            </w:r>
            <w:proofErr w:type="spellEnd"/>
          </w:p>
        </w:tc>
        <w:tc>
          <w:tcPr>
            <w:tcW w:w="778" w:type="pct"/>
            <w:tcBorders>
              <w:bottom w:val="single" w:sz="4" w:space="0" w:color="auto"/>
            </w:tcBorders>
          </w:tcPr>
          <w:p w:rsidR="00435047" w:rsidRPr="002E6BC6" w:rsidRDefault="00435047"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 xml:space="preserve">Dispensed Price for Max. </w:t>
            </w:r>
            <w:proofErr w:type="spellStart"/>
            <w:r w:rsidRPr="002E6BC6">
              <w:rPr>
                <w:rFonts w:ascii="Arial Narrow" w:hAnsi="Arial Narrow" w:cs="Arial"/>
                <w:b/>
                <w:sz w:val="20"/>
                <w:szCs w:val="20"/>
              </w:rPr>
              <w:t>Qty</w:t>
            </w:r>
            <w:proofErr w:type="spellEnd"/>
          </w:p>
        </w:tc>
        <w:tc>
          <w:tcPr>
            <w:tcW w:w="1163" w:type="pct"/>
            <w:gridSpan w:val="2"/>
            <w:tcBorders>
              <w:bottom w:val="single" w:sz="4" w:space="0" w:color="auto"/>
            </w:tcBorders>
          </w:tcPr>
          <w:p w:rsidR="00435047" w:rsidRPr="00037C20" w:rsidRDefault="00435047"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Proprietary Name and Manufacturer</w:t>
            </w:r>
          </w:p>
        </w:tc>
      </w:tr>
      <w:tr w:rsidR="00435047" w:rsidRPr="002E6BC6" w:rsidTr="00F44F5F">
        <w:trPr>
          <w:trHeight w:val="567"/>
        </w:trPr>
        <w:tc>
          <w:tcPr>
            <w:tcW w:w="1594" w:type="pct"/>
          </w:tcPr>
          <w:p w:rsidR="00435047" w:rsidRPr="002E6BC6" w:rsidRDefault="00435047" w:rsidP="00F44F5F">
            <w:pPr>
              <w:keepNext/>
              <w:spacing w:before="40" w:after="40"/>
              <w:jc w:val="both"/>
              <w:rPr>
                <w:rFonts w:ascii="Arial Narrow" w:hAnsi="Arial Narrow" w:cs="Arial"/>
                <w:sz w:val="20"/>
                <w:szCs w:val="20"/>
              </w:rPr>
            </w:pPr>
            <w:r w:rsidRPr="002E6BC6">
              <w:rPr>
                <w:rFonts w:ascii="Arial Narrow" w:hAnsi="Arial Narrow" w:cs="Arial"/>
                <w:smallCaps/>
                <w:sz w:val="20"/>
                <w:szCs w:val="20"/>
              </w:rPr>
              <w:t xml:space="preserve">TOCILIZUMAB </w:t>
            </w:r>
          </w:p>
          <w:p w:rsidR="00435047" w:rsidRPr="002E6BC6" w:rsidRDefault="00435047" w:rsidP="00F44F5F">
            <w:pPr>
              <w:keepNext/>
              <w:spacing w:before="40" w:after="40"/>
              <w:jc w:val="both"/>
              <w:rPr>
                <w:rFonts w:ascii="Arial Narrow" w:hAnsi="Arial Narrow" w:cs="Arial"/>
                <w:sz w:val="20"/>
                <w:szCs w:val="20"/>
              </w:rPr>
            </w:pPr>
            <w:r w:rsidRPr="002E6BC6">
              <w:rPr>
                <w:rFonts w:ascii="Arial Narrow" w:hAnsi="Arial Narrow" w:cs="Arial"/>
                <w:sz w:val="20"/>
                <w:szCs w:val="20"/>
              </w:rPr>
              <w:t>162 mg/0.9 mL, 4 x 0.9 mL</w:t>
            </w:r>
          </w:p>
          <w:p w:rsidR="00435047" w:rsidRPr="002E6BC6" w:rsidRDefault="00435047" w:rsidP="00F44F5F">
            <w:pPr>
              <w:keepNext/>
              <w:spacing w:before="40" w:after="40"/>
              <w:jc w:val="both"/>
              <w:rPr>
                <w:rFonts w:ascii="Arial Narrow" w:hAnsi="Arial Narrow" w:cs="Arial"/>
                <w:sz w:val="20"/>
                <w:szCs w:val="20"/>
              </w:rPr>
            </w:pPr>
            <w:r w:rsidRPr="002E6BC6">
              <w:rPr>
                <w:rFonts w:ascii="Arial Narrow" w:hAnsi="Arial Narrow" w:cs="Arial"/>
                <w:sz w:val="20"/>
                <w:szCs w:val="20"/>
              </w:rPr>
              <w:t>auto-injector</w:t>
            </w:r>
          </w:p>
          <w:p w:rsidR="00435047" w:rsidRPr="002E6BC6" w:rsidRDefault="00435047" w:rsidP="00F44F5F">
            <w:pPr>
              <w:keepNext/>
              <w:spacing w:before="40" w:after="40"/>
              <w:jc w:val="both"/>
              <w:rPr>
                <w:rFonts w:ascii="Arial Narrow" w:hAnsi="Arial Narrow" w:cs="Arial"/>
                <w:sz w:val="20"/>
                <w:szCs w:val="20"/>
              </w:rPr>
            </w:pPr>
            <w:r w:rsidRPr="002E6BC6">
              <w:rPr>
                <w:rFonts w:ascii="Arial Narrow" w:hAnsi="Arial Narrow" w:cs="Arial"/>
                <w:sz w:val="20"/>
                <w:szCs w:val="20"/>
              </w:rPr>
              <w:t>162 mg/0.9 mL, 4 x 0.9 mL</w:t>
            </w:r>
          </w:p>
          <w:p w:rsidR="00435047" w:rsidRPr="002E6BC6" w:rsidRDefault="00435047" w:rsidP="00F44F5F">
            <w:pPr>
              <w:keepNext/>
              <w:spacing w:before="40" w:after="40"/>
              <w:jc w:val="both"/>
              <w:rPr>
                <w:rFonts w:ascii="Arial Narrow" w:hAnsi="Arial Narrow" w:cs="Arial"/>
                <w:sz w:val="20"/>
                <w:szCs w:val="20"/>
              </w:rPr>
            </w:pPr>
            <w:r w:rsidRPr="002E6BC6">
              <w:rPr>
                <w:rFonts w:ascii="Arial Narrow" w:hAnsi="Arial Narrow" w:cs="Arial"/>
                <w:sz w:val="20"/>
                <w:szCs w:val="20"/>
              </w:rPr>
              <w:t>syringe</w:t>
            </w:r>
          </w:p>
        </w:tc>
        <w:tc>
          <w:tcPr>
            <w:tcW w:w="343" w:type="pct"/>
          </w:tcPr>
          <w:p w:rsidR="00435047" w:rsidRPr="002E6BC6" w:rsidRDefault="00435047" w:rsidP="00F44F5F">
            <w:pPr>
              <w:keepNext/>
              <w:spacing w:before="40" w:after="40"/>
              <w:jc w:val="both"/>
              <w:rPr>
                <w:rFonts w:ascii="Arial Narrow" w:hAnsi="Arial Narrow" w:cs="Arial"/>
                <w:strike/>
                <w:sz w:val="20"/>
                <w:szCs w:val="20"/>
              </w:rPr>
            </w:pPr>
          </w:p>
          <w:p w:rsidR="00435047" w:rsidRPr="002E6BC6" w:rsidRDefault="00435047" w:rsidP="00F44F5F">
            <w:pPr>
              <w:keepNext/>
              <w:spacing w:before="40" w:after="40"/>
              <w:jc w:val="both"/>
              <w:rPr>
                <w:rFonts w:ascii="Arial Narrow" w:hAnsi="Arial Narrow" w:cs="Arial"/>
                <w:strike/>
                <w:sz w:val="20"/>
                <w:szCs w:val="20"/>
              </w:rPr>
            </w:pPr>
            <w:r w:rsidRPr="002E6BC6">
              <w:rPr>
                <w:rFonts w:ascii="Arial Narrow" w:hAnsi="Arial Narrow" w:cs="Arial"/>
                <w:strike/>
                <w:sz w:val="20"/>
                <w:szCs w:val="20"/>
              </w:rPr>
              <w:t>1</w:t>
            </w:r>
          </w:p>
          <w:p w:rsidR="00435047" w:rsidRPr="002E6BC6" w:rsidRDefault="00435047" w:rsidP="00F44F5F">
            <w:pPr>
              <w:keepNext/>
              <w:spacing w:before="40" w:after="40"/>
              <w:jc w:val="both"/>
              <w:rPr>
                <w:rFonts w:ascii="Arial Narrow" w:hAnsi="Arial Narrow" w:cs="Arial"/>
                <w:strike/>
                <w:sz w:val="20"/>
                <w:szCs w:val="20"/>
              </w:rPr>
            </w:pPr>
          </w:p>
          <w:p w:rsidR="00435047" w:rsidRPr="002E6BC6" w:rsidRDefault="00435047" w:rsidP="00F44F5F">
            <w:pPr>
              <w:keepNext/>
              <w:spacing w:before="40" w:after="40"/>
              <w:jc w:val="both"/>
              <w:rPr>
                <w:rFonts w:ascii="Arial Narrow" w:hAnsi="Arial Narrow" w:cs="Arial"/>
                <w:strike/>
                <w:sz w:val="20"/>
                <w:szCs w:val="20"/>
              </w:rPr>
            </w:pPr>
            <w:r w:rsidRPr="002E6BC6">
              <w:rPr>
                <w:rFonts w:ascii="Arial Narrow" w:hAnsi="Arial Narrow" w:cs="Arial"/>
                <w:strike/>
                <w:sz w:val="20"/>
                <w:szCs w:val="20"/>
              </w:rPr>
              <w:t>1</w:t>
            </w:r>
          </w:p>
        </w:tc>
        <w:tc>
          <w:tcPr>
            <w:tcW w:w="561" w:type="pct"/>
          </w:tcPr>
          <w:p w:rsidR="00435047" w:rsidRPr="002E6BC6" w:rsidRDefault="00435047" w:rsidP="00F44F5F">
            <w:pPr>
              <w:keepNext/>
              <w:spacing w:before="40" w:after="40"/>
              <w:jc w:val="both"/>
              <w:rPr>
                <w:rFonts w:ascii="Arial Narrow" w:hAnsi="Arial Narrow" w:cs="Arial"/>
                <w:strike/>
                <w:sz w:val="20"/>
                <w:szCs w:val="20"/>
              </w:rPr>
            </w:pPr>
          </w:p>
        </w:tc>
        <w:tc>
          <w:tcPr>
            <w:tcW w:w="561" w:type="pct"/>
          </w:tcPr>
          <w:p w:rsidR="00435047" w:rsidRPr="002E6BC6" w:rsidRDefault="00435047" w:rsidP="00F44F5F">
            <w:pPr>
              <w:keepNext/>
              <w:spacing w:before="40" w:after="40"/>
              <w:jc w:val="both"/>
              <w:rPr>
                <w:rFonts w:ascii="Arial Narrow" w:hAnsi="Arial Narrow" w:cs="Arial"/>
                <w:strike/>
                <w:sz w:val="20"/>
                <w:szCs w:val="20"/>
              </w:rPr>
            </w:pPr>
          </w:p>
          <w:p w:rsidR="00435047" w:rsidRPr="002E6BC6" w:rsidRDefault="00435047" w:rsidP="00F44F5F">
            <w:pPr>
              <w:keepNext/>
              <w:spacing w:before="40" w:after="40"/>
              <w:jc w:val="both"/>
              <w:rPr>
                <w:rFonts w:ascii="Arial Narrow" w:hAnsi="Arial Narrow" w:cs="Arial"/>
                <w:strike/>
                <w:sz w:val="20"/>
                <w:szCs w:val="20"/>
              </w:rPr>
            </w:pPr>
            <w:r w:rsidRPr="002E6BC6">
              <w:rPr>
                <w:rFonts w:ascii="Arial Narrow" w:hAnsi="Arial Narrow" w:cs="Arial"/>
                <w:strike/>
                <w:sz w:val="20"/>
                <w:szCs w:val="20"/>
              </w:rPr>
              <w:t>1</w:t>
            </w:r>
          </w:p>
          <w:p w:rsidR="00435047" w:rsidRPr="002E6BC6" w:rsidRDefault="00435047" w:rsidP="00F44F5F">
            <w:pPr>
              <w:keepNext/>
              <w:spacing w:before="40" w:after="40"/>
              <w:jc w:val="both"/>
              <w:rPr>
                <w:rFonts w:ascii="Arial Narrow" w:hAnsi="Arial Narrow" w:cs="Arial"/>
                <w:strike/>
                <w:sz w:val="20"/>
                <w:szCs w:val="20"/>
              </w:rPr>
            </w:pPr>
          </w:p>
          <w:p w:rsidR="00435047" w:rsidRPr="002E6BC6" w:rsidRDefault="00435047" w:rsidP="00F44F5F">
            <w:pPr>
              <w:keepNext/>
              <w:spacing w:before="40" w:after="40"/>
              <w:jc w:val="both"/>
              <w:rPr>
                <w:rFonts w:ascii="Arial Narrow" w:hAnsi="Arial Narrow" w:cs="Arial"/>
                <w:strike/>
                <w:sz w:val="20"/>
                <w:szCs w:val="20"/>
              </w:rPr>
            </w:pPr>
            <w:r w:rsidRPr="002E6BC6">
              <w:rPr>
                <w:rFonts w:ascii="Arial Narrow" w:hAnsi="Arial Narrow" w:cs="Arial"/>
                <w:strike/>
                <w:sz w:val="20"/>
                <w:szCs w:val="20"/>
              </w:rPr>
              <w:t>1</w:t>
            </w:r>
          </w:p>
        </w:tc>
        <w:tc>
          <w:tcPr>
            <w:tcW w:w="778" w:type="pct"/>
          </w:tcPr>
          <w:p w:rsidR="00435047" w:rsidRPr="002E6BC6" w:rsidRDefault="00435047" w:rsidP="00F44F5F">
            <w:pPr>
              <w:keepNext/>
              <w:spacing w:before="40" w:after="40"/>
              <w:jc w:val="both"/>
              <w:rPr>
                <w:rFonts w:ascii="Arial Narrow" w:hAnsi="Arial Narrow" w:cs="Arial"/>
                <w:sz w:val="20"/>
                <w:szCs w:val="20"/>
              </w:rPr>
            </w:pPr>
          </w:p>
          <w:p w:rsidR="00435047" w:rsidRPr="002E6BC6" w:rsidRDefault="00435047" w:rsidP="00F44F5F">
            <w:pPr>
              <w:keepNext/>
              <w:spacing w:before="40" w:after="40"/>
              <w:jc w:val="both"/>
              <w:rPr>
                <w:rFonts w:ascii="Arial Narrow" w:hAnsi="Arial Narrow" w:cs="Arial"/>
                <w:sz w:val="20"/>
                <w:szCs w:val="20"/>
              </w:rPr>
            </w:pPr>
            <w:r w:rsidRPr="002E6BC6">
              <w:rPr>
                <w:rFonts w:ascii="Arial Narrow" w:hAnsi="Arial Narrow" w:cs="Arial"/>
                <w:sz w:val="20"/>
                <w:szCs w:val="20"/>
              </w:rPr>
              <w:t>$</w:t>
            </w:r>
            <w:r w:rsidR="003E2B64">
              <w:rPr>
                <w:rFonts w:ascii="Arial Narrow" w:hAnsi="Arial Narrow" w:cs="Arial"/>
                <w:noProof/>
                <w:color w:val="000000"/>
                <w:sz w:val="20"/>
                <w:szCs w:val="20"/>
                <w:highlight w:val="black"/>
              </w:rPr>
              <w:t>'''''''''''''''''''''</w:t>
            </w:r>
          </w:p>
        </w:tc>
        <w:tc>
          <w:tcPr>
            <w:tcW w:w="447" w:type="pct"/>
          </w:tcPr>
          <w:p w:rsidR="00435047" w:rsidRPr="002E6BC6" w:rsidRDefault="00435047" w:rsidP="00F44F5F">
            <w:pPr>
              <w:keepNext/>
              <w:spacing w:before="40" w:after="40"/>
              <w:jc w:val="both"/>
              <w:rPr>
                <w:rFonts w:ascii="Arial Narrow" w:hAnsi="Arial Narrow" w:cs="Arial"/>
                <w:sz w:val="20"/>
                <w:szCs w:val="20"/>
              </w:rPr>
            </w:pPr>
          </w:p>
          <w:p w:rsidR="00435047" w:rsidRPr="002E6BC6" w:rsidRDefault="00435047" w:rsidP="00F44F5F">
            <w:pPr>
              <w:keepNext/>
              <w:spacing w:before="40" w:after="40"/>
              <w:jc w:val="both"/>
              <w:rPr>
                <w:rFonts w:ascii="Arial Narrow" w:hAnsi="Arial Narrow" w:cs="Arial"/>
                <w:sz w:val="20"/>
                <w:szCs w:val="20"/>
              </w:rPr>
            </w:pPr>
            <w:proofErr w:type="spellStart"/>
            <w:r w:rsidRPr="002E6BC6">
              <w:rPr>
                <w:rFonts w:ascii="Arial Narrow" w:hAnsi="Arial Narrow" w:cs="Arial"/>
                <w:sz w:val="20"/>
                <w:szCs w:val="20"/>
              </w:rPr>
              <w:t>Actemra</w:t>
            </w:r>
            <w:proofErr w:type="spellEnd"/>
          </w:p>
        </w:tc>
        <w:tc>
          <w:tcPr>
            <w:tcW w:w="716" w:type="pct"/>
          </w:tcPr>
          <w:p w:rsidR="00435047" w:rsidRPr="002E6BC6" w:rsidRDefault="00435047" w:rsidP="00F44F5F">
            <w:pPr>
              <w:keepNext/>
              <w:spacing w:before="40" w:after="40"/>
              <w:jc w:val="both"/>
              <w:rPr>
                <w:rFonts w:ascii="Arial Narrow" w:hAnsi="Arial Narrow" w:cs="Arial"/>
                <w:sz w:val="20"/>
                <w:szCs w:val="20"/>
              </w:rPr>
            </w:pPr>
          </w:p>
          <w:p w:rsidR="00435047" w:rsidRPr="002E6BC6" w:rsidRDefault="00435047" w:rsidP="00F44F5F">
            <w:pPr>
              <w:keepNext/>
              <w:spacing w:before="40" w:after="40"/>
              <w:jc w:val="both"/>
              <w:rPr>
                <w:rFonts w:ascii="Arial Narrow" w:hAnsi="Arial Narrow" w:cs="Arial"/>
                <w:sz w:val="20"/>
                <w:szCs w:val="20"/>
              </w:rPr>
            </w:pPr>
            <w:r w:rsidRPr="002E6BC6">
              <w:rPr>
                <w:rFonts w:ascii="Arial Narrow" w:hAnsi="Arial Narrow" w:cs="Arial"/>
                <w:sz w:val="20"/>
                <w:szCs w:val="20"/>
              </w:rPr>
              <w:t>Roche Products</w:t>
            </w:r>
          </w:p>
        </w:tc>
      </w:tr>
    </w:tbl>
    <w:p w:rsidR="00435047" w:rsidRPr="002E6BC6" w:rsidRDefault="00435047" w:rsidP="00435047">
      <w:pPr>
        <w:keepNext/>
        <w:spacing w:after="120"/>
        <w:rPr>
          <w:rFonts w:ascii="Arial Narrow" w:eastAsiaTheme="minorHAnsi" w:hAnsi="Arial Narrow" w:cstheme="minorBidi"/>
          <w:sz w:val="20"/>
          <w:szCs w:val="22"/>
          <w:u w:val="single"/>
        </w:rPr>
      </w:pPr>
    </w:p>
    <w:tbl>
      <w:tblPr>
        <w:tblW w:w="5000" w:type="pct"/>
        <w:tblLook w:val="0000" w:firstRow="0" w:lastRow="0" w:firstColumn="0" w:lastColumn="0" w:noHBand="0" w:noVBand="0"/>
      </w:tblPr>
      <w:tblGrid>
        <w:gridCol w:w="2873"/>
        <w:gridCol w:w="616"/>
        <w:gridCol w:w="1009"/>
        <w:gridCol w:w="1009"/>
        <w:gridCol w:w="1401"/>
        <w:gridCol w:w="827"/>
        <w:gridCol w:w="1291"/>
      </w:tblGrid>
      <w:tr w:rsidR="00F44F5F" w:rsidRPr="002E6BC6" w:rsidTr="00744CF6">
        <w:trPr>
          <w:trHeight w:val="465"/>
        </w:trPr>
        <w:tc>
          <w:tcPr>
            <w:tcW w:w="1592" w:type="pct"/>
            <w:tcBorders>
              <w:bottom w:val="single" w:sz="4" w:space="0" w:color="auto"/>
            </w:tcBorders>
          </w:tcPr>
          <w:p w:rsidR="00F44F5F" w:rsidRPr="002E6BC6" w:rsidRDefault="00F44F5F"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Name, Restriction,</w:t>
            </w:r>
          </w:p>
          <w:p w:rsidR="00F44F5F" w:rsidRPr="002E6BC6" w:rsidRDefault="00F44F5F"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Manner of administration and form</w:t>
            </w:r>
          </w:p>
        </w:tc>
        <w:tc>
          <w:tcPr>
            <w:tcW w:w="341" w:type="pct"/>
            <w:tcBorders>
              <w:bottom w:val="single" w:sz="4" w:space="0" w:color="auto"/>
            </w:tcBorders>
          </w:tcPr>
          <w:p w:rsidR="00F44F5F" w:rsidRPr="002E6BC6" w:rsidRDefault="00F44F5F"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Max.</w:t>
            </w:r>
          </w:p>
          <w:p w:rsidR="00F44F5F" w:rsidRPr="002E6BC6" w:rsidRDefault="00F44F5F" w:rsidP="00F44F5F">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Qty</w:t>
            </w:r>
            <w:proofErr w:type="spellEnd"/>
          </w:p>
        </w:tc>
        <w:tc>
          <w:tcPr>
            <w:tcW w:w="559" w:type="pct"/>
            <w:tcBorders>
              <w:bottom w:val="single" w:sz="4" w:space="0" w:color="auto"/>
            </w:tcBorders>
          </w:tcPr>
          <w:p w:rsidR="00F44F5F" w:rsidRPr="002E6BC6" w:rsidRDefault="00F44F5F" w:rsidP="00F44F5F">
            <w:pPr>
              <w:keepNext/>
              <w:spacing w:before="40" w:after="40"/>
              <w:jc w:val="both"/>
              <w:rPr>
                <w:rFonts w:ascii="Arial Narrow" w:hAnsi="Arial Narrow" w:cs="Arial"/>
                <w:b/>
                <w:sz w:val="20"/>
                <w:szCs w:val="20"/>
              </w:rPr>
            </w:pPr>
          </w:p>
        </w:tc>
        <w:tc>
          <w:tcPr>
            <w:tcW w:w="559" w:type="pct"/>
            <w:tcBorders>
              <w:bottom w:val="single" w:sz="4" w:space="0" w:color="auto"/>
            </w:tcBorders>
          </w:tcPr>
          <w:p w:rsidR="00F44F5F" w:rsidRPr="002E6BC6" w:rsidRDefault="00F44F5F"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№.of</w:t>
            </w:r>
          </w:p>
          <w:p w:rsidR="00F44F5F" w:rsidRPr="002E6BC6" w:rsidRDefault="00F44F5F" w:rsidP="00F44F5F">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Rpts</w:t>
            </w:r>
            <w:proofErr w:type="spellEnd"/>
          </w:p>
        </w:tc>
        <w:tc>
          <w:tcPr>
            <w:tcW w:w="776" w:type="pct"/>
            <w:tcBorders>
              <w:bottom w:val="single" w:sz="4" w:space="0" w:color="auto"/>
            </w:tcBorders>
          </w:tcPr>
          <w:p w:rsidR="00F44F5F" w:rsidRPr="002E6BC6" w:rsidRDefault="00F44F5F"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 xml:space="preserve">Dispensed Price for Max. </w:t>
            </w:r>
            <w:proofErr w:type="spellStart"/>
            <w:r w:rsidRPr="002E6BC6">
              <w:rPr>
                <w:rFonts w:ascii="Arial Narrow" w:hAnsi="Arial Narrow" w:cs="Arial"/>
                <w:b/>
                <w:sz w:val="20"/>
                <w:szCs w:val="20"/>
              </w:rPr>
              <w:t>Qty</w:t>
            </w:r>
            <w:proofErr w:type="spellEnd"/>
          </w:p>
        </w:tc>
        <w:tc>
          <w:tcPr>
            <w:tcW w:w="1173" w:type="pct"/>
            <w:gridSpan w:val="2"/>
            <w:tcBorders>
              <w:bottom w:val="single" w:sz="4" w:space="0" w:color="auto"/>
            </w:tcBorders>
          </w:tcPr>
          <w:p w:rsidR="00F44F5F" w:rsidRPr="00037C20" w:rsidRDefault="00F44F5F" w:rsidP="00F44F5F">
            <w:pPr>
              <w:keepNext/>
              <w:spacing w:before="40" w:after="40"/>
              <w:jc w:val="both"/>
              <w:rPr>
                <w:rFonts w:ascii="Arial Narrow" w:hAnsi="Arial Narrow" w:cs="Arial"/>
                <w:b/>
                <w:sz w:val="20"/>
                <w:szCs w:val="20"/>
              </w:rPr>
            </w:pPr>
            <w:r w:rsidRPr="002E6BC6">
              <w:rPr>
                <w:rFonts w:ascii="Arial Narrow" w:hAnsi="Arial Narrow" w:cs="Arial"/>
                <w:b/>
                <w:sz w:val="20"/>
                <w:szCs w:val="20"/>
              </w:rPr>
              <w:t>Proprietary Name and Manufacturer</w:t>
            </w:r>
          </w:p>
        </w:tc>
      </w:tr>
      <w:tr w:rsidR="00F44F5F" w:rsidRPr="002E6BC6" w:rsidTr="00744CF6">
        <w:trPr>
          <w:trHeight w:val="567"/>
        </w:trPr>
        <w:tc>
          <w:tcPr>
            <w:tcW w:w="1592" w:type="pct"/>
          </w:tcPr>
          <w:p w:rsidR="00F44F5F" w:rsidRPr="002E6BC6" w:rsidRDefault="00F44F5F" w:rsidP="00F44F5F">
            <w:pPr>
              <w:keepNext/>
              <w:spacing w:before="40" w:after="40"/>
              <w:jc w:val="both"/>
              <w:rPr>
                <w:rFonts w:ascii="Arial Narrow" w:hAnsi="Arial Narrow" w:cs="Arial"/>
                <w:sz w:val="20"/>
                <w:szCs w:val="20"/>
              </w:rPr>
            </w:pPr>
            <w:r w:rsidRPr="002E6BC6">
              <w:rPr>
                <w:rFonts w:ascii="Arial Narrow" w:hAnsi="Arial Narrow" w:cs="Arial"/>
                <w:smallCaps/>
                <w:sz w:val="20"/>
                <w:szCs w:val="20"/>
              </w:rPr>
              <w:t xml:space="preserve">TOCILIZUMAB </w:t>
            </w:r>
          </w:p>
          <w:p w:rsidR="00F44F5F" w:rsidRPr="002E6BC6" w:rsidRDefault="00F44F5F" w:rsidP="00F44F5F">
            <w:pPr>
              <w:keepNext/>
              <w:spacing w:before="40" w:after="40"/>
              <w:jc w:val="both"/>
              <w:rPr>
                <w:rFonts w:ascii="Arial Narrow" w:hAnsi="Arial Narrow" w:cs="Arial"/>
                <w:sz w:val="20"/>
                <w:szCs w:val="20"/>
              </w:rPr>
            </w:pPr>
            <w:r w:rsidRPr="002E6BC6">
              <w:rPr>
                <w:rFonts w:ascii="Arial Narrow" w:hAnsi="Arial Narrow" w:cs="Arial"/>
                <w:sz w:val="20"/>
                <w:szCs w:val="20"/>
              </w:rPr>
              <w:t>162 mg/0.9 mL, 4 x 0.9 mL</w:t>
            </w:r>
          </w:p>
          <w:p w:rsidR="00F44F5F" w:rsidRPr="002E6BC6" w:rsidRDefault="00F44F5F" w:rsidP="00F44F5F">
            <w:pPr>
              <w:keepNext/>
              <w:spacing w:before="40" w:after="40"/>
              <w:jc w:val="both"/>
              <w:rPr>
                <w:rFonts w:ascii="Arial Narrow" w:hAnsi="Arial Narrow" w:cs="Arial"/>
                <w:sz w:val="20"/>
                <w:szCs w:val="20"/>
              </w:rPr>
            </w:pPr>
            <w:r w:rsidRPr="002E6BC6">
              <w:rPr>
                <w:rFonts w:ascii="Arial Narrow" w:hAnsi="Arial Narrow" w:cs="Arial"/>
                <w:sz w:val="20"/>
                <w:szCs w:val="20"/>
              </w:rPr>
              <w:t>auto-injector</w:t>
            </w:r>
          </w:p>
          <w:p w:rsidR="00F44F5F" w:rsidRPr="002E6BC6" w:rsidRDefault="00F44F5F" w:rsidP="00F44F5F">
            <w:pPr>
              <w:keepNext/>
              <w:spacing w:before="40" w:after="40"/>
              <w:jc w:val="both"/>
              <w:rPr>
                <w:rFonts w:ascii="Arial Narrow" w:hAnsi="Arial Narrow" w:cs="Arial"/>
                <w:sz w:val="20"/>
                <w:szCs w:val="20"/>
              </w:rPr>
            </w:pPr>
            <w:r w:rsidRPr="002E6BC6">
              <w:rPr>
                <w:rFonts w:ascii="Arial Narrow" w:hAnsi="Arial Narrow" w:cs="Arial"/>
                <w:sz w:val="20"/>
                <w:szCs w:val="20"/>
              </w:rPr>
              <w:t>162 mg/0.9 mL, 4 x 0.9 mL</w:t>
            </w:r>
          </w:p>
          <w:p w:rsidR="00F44F5F" w:rsidRPr="002E6BC6" w:rsidRDefault="00F44F5F" w:rsidP="00F44F5F">
            <w:pPr>
              <w:keepNext/>
              <w:spacing w:before="40" w:after="40"/>
              <w:jc w:val="both"/>
              <w:rPr>
                <w:rFonts w:ascii="Arial Narrow" w:hAnsi="Arial Narrow" w:cs="Arial"/>
                <w:sz w:val="20"/>
                <w:szCs w:val="20"/>
              </w:rPr>
            </w:pPr>
            <w:r w:rsidRPr="002E6BC6">
              <w:rPr>
                <w:rFonts w:ascii="Arial Narrow" w:hAnsi="Arial Narrow" w:cs="Arial"/>
                <w:sz w:val="20"/>
                <w:szCs w:val="20"/>
              </w:rPr>
              <w:t>syringe</w:t>
            </w:r>
          </w:p>
        </w:tc>
        <w:tc>
          <w:tcPr>
            <w:tcW w:w="341" w:type="pct"/>
          </w:tcPr>
          <w:p w:rsidR="00F44F5F" w:rsidRPr="002E6BC6" w:rsidRDefault="00F44F5F" w:rsidP="00F44F5F">
            <w:pPr>
              <w:keepNext/>
              <w:spacing w:before="40" w:after="40"/>
              <w:jc w:val="both"/>
              <w:rPr>
                <w:rFonts w:ascii="Arial Narrow" w:hAnsi="Arial Narrow" w:cs="Arial"/>
                <w:i/>
                <w:sz w:val="20"/>
                <w:szCs w:val="20"/>
              </w:rPr>
            </w:pPr>
          </w:p>
          <w:p w:rsidR="00F44F5F" w:rsidRPr="002E6BC6" w:rsidRDefault="00F44F5F" w:rsidP="00F44F5F">
            <w:pPr>
              <w:keepNext/>
              <w:spacing w:before="40" w:after="40"/>
              <w:jc w:val="both"/>
              <w:rPr>
                <w:rFonts w:ascii="Arial Narrow" w:hAnsi="Arial Narrow" w:cs="Arial"/>
                <w:i/>
                <w:sz w:val="20"/>
                <w:szCs w:val="20"/>
              </w:rPr>
            </w:pPr>
            <w:r w:rsidRPr="002E6BC6">
              <w:rPr>
                <w:rFonts w:ascii="Arial Narrow" w:hAnsi="Arial Narrow" w:cs="Arial"/>
                <w:i/>
                <w:sz w:val="20"/>
                <w:szCs w:val="20"/>
              </w:rPr>
              <w:t>1</w:t>
            </w:r>
          </w:p>
          <w:p w:rsidR="00F44F5F" w:rsidRPr="002E6BC6" w:rsidRDefault="00F44F5F" w:rsidP="00F44F5F">
            <w:pPr>
              <w:keepNext/>
              <w:spacing w:before="40" w:after="40"/>
              <w:jc w:val="both"/>
              <w:rPr>
                <w:rFonts w:ascii="Arial Narrow" w:hAnsi="Arial Narrow" w:cs="Arial"/>
                <w:i/>
                <w:sz w:val="20"/>
                <w:szCs w:val="20"/>
              </w:rPr>
            </w:pPr>
          </w:p>
          <w:p w:rsidR="00F44F5F" w:rsidRPr="002E6BC6" w:rsidRDefault="00F44F5F" w:rsidP="00F44F5F">
            <w:pPr>
              <w:keepNext/>
              <w:spacing w:before="40" w:after="40"/>
              <w:jc w:val="both"/>
              <w:rPr>
                <w:rFonts w:ascii="Arial Narrow" w:hAnsi="Arial Narrow" w:cs="Arial"/>
                <w:i/>
                <w:sz w:val="20"/>
                <w:szCs w:val="20"/>
              </w:rPr>
            </w:pPr>
            <w:r w:rsidRPr="002E6BC6">
              <w:rPr>
                <w:rFonts w:ascii="Arial Narrow" w:hAnsi="Arial Narrow" w:cs="Arial"/>
                <w:i/>
                <w:sz w:val="20"/>
                <w:szCs w:val="20"/>
              </w:rPr>
              <w:t>1</w:t>
            </w:r>
          </w:p>
        </w:tc>
        <w:tc>
          <w:tcPr>
            <w:tcW w:w="559" w:type="pct"/>
          </w:tcPr>
          <w:p w:rsidR="00F44F5F" w:rsidRPr="002E6BC6" w:rsidRDefault="00F44F5F" w:rsidP="00F44F5F">
            <w:pPr>
              <w:keepNext/>
              <w:spacing w:before="40" w:after="40"/>
              <w:jc w:val="both"/>
              <w:rPr>
                <w:rFonts w:ascii="Arial Narrow" w:hAnsi="Arial Narrow" w:cs="Arial"/>
                <w:i/>
                <w:sz w:val="20"/>
                <w:szCs w:val="20"/>
              </w:rPr>
            </w:pPr>
          </w:p>
        </w:tc>
        <w:tc>
          <w:tcPr>
            <w:tcW w:w="559" w:type="pct"/>
          </w:tcPr>
          <w:p w:rsidR="00F44F5F" w:rsidRPr="002E6BC6" w:rsidRDefault="00F44F5F" w:rsidP="00F44F5F">
            <w:pPr>
              <w:keepNext/>
              <w:spacing w:before="40" w:after="40"/>
              <w:jc w:val="both"/>
              <w:rPr>
                <w:rFonts w:ascii="Arial Narrow" w:hAnsi="Arial Narrow" w:cs="Arial"/>
                <w:i/>
                <w:sz w:val="20"/>
                <w:szCs w:val="20"/>
              </w:rPr>
            </w:pPr>
          </w:p>
          <w:p w:rsidR="00F44F5F" w:rsidRPr="002E6BC6" w:rsidRDefault="00A42D9F" w:rsidP="00F44F5F">
            <w:pPr>
              <w:keepNext/>
              <w:spacing w:before="40" w:after="40"/>
              <w:jc w:val="both"/>
              <w:rPr>
                <w:rFonts w:ascii="Arial Narrow" w:hAnsi="Arial Narrow" w:cs="Arial"/>
                <w:i/>
                <w:sz w:val="20"/>
                <w:szCs w:val="20"/>
              </w:rPr>
            </w:pPr>
            <w:r w:rsidRPr="002E6BC6">
              <w:rPr>
                <w:rFonts w:ascii="Arial Narrow" w:hAnsi="Arial Narrow" w:cs="Arial"/>
                <w:i/>
                <w:sz w:val="20"/>
                <w:szCs w:val="20"/>
              </w:rPr>
              <w:t>0</w:t>
            </w:r>
          </w:p>
          <w:p w:rsidR="00F44F5F" w:rsidRPr="002E6BC6" w:rsidRDefault="00F44F5F" w:rsidP="00F44F5F">
            <w:pPr>
              <w:keepNext/>
              <w:spacing w:before="40" w:after="40"/>
              <w:jc w:val="both"/>
              <w:rPr>
                <w:rFonts w:ascii="Arial Narrow" w:hAnsi="Arial Narrow" w:cs="Arial"/>
                <w:i/>
                <w:sz w:val="20"/>
                <w:szCs w:val="20"/>
              </w:rPr>
            </w:pPr>
          </w:p>
          <w:p w:rsidR="00F44F5F" w:rsidRPr="002E6BC6" w:rsidRDefault="00A42D9F" w:rsidP="00F44F5F">
            <w:pPr>
              <w:keepNext/>
              <w:spacing w:before="40" w:after="40"/>
              <w:jc w:val="both"/>
              <w:rPr>
                <w:rFonts w:ascii="Arial Narrow" w:hAnsi="Arial Narrow" w:cs="Arial"/>
                <w:i/>
                <w:sz w:val="20"/>
                <w:szCs w:val="20"/>
              </w:rPr>
            </w:pPr>
            <w:r w:rsidRPr="002E6BC6">
              <w:rPr>
                <w:rFonts w:ascii="Arial Narrow" w:hAnsi="Arial Narrow" w:cs="Arial"/>
                <w:i/>
                <w:sz w:val="20"/>
                <w:szCs w:val="20"/>
              </w:rPr>
              <w:t>0</w:t>
            </w:r>
          </w:p>
        </w:tc>
        <w:tc>
          <w:tcPr>
            <w:tcW w:w="776" w:type="pct"/>
          </w:tcPr>
          <w:p w:rsidR="00F44F5F" w:rsidRPr="002E6BC6" w:rsidRDefault="00F44F5F" w:rsidP="00F44F5F">
            <w:pPr>
              <w:keepNext/>
              <w:spacing w:before="40" w:after="40"/>
              <w:jc w:val="both"/>
              <w:rPr>
                <w:rFonts w:ascii="Arial Narrow" w:hAnsi="Arial Narrow" w:cs="Arial"/>
                <w:sz w:val="20"/>
                <w:szCs w:val="20"/>
              </w:rPr>
            </w:pPr>
          </w:p>
          <w:p w:rsidR="00F44F5F" w:rsidRPr="002E6BC6" w:rsidRDefault="00F44F5F" w:rsidP="00F44F5F">
            <w:pPr>
              <w:keepNext/>
              <w:spacing w:before="40" w:after="40"/>
              <w:jc w:val="both"/>
              <w:rPr>
                <w:rFonts w:ascii="Arial Narrow" w:hAnsi="Arial Narrow" w:cs="Arial"/>
                <w:sz w:val="20"/>
                <w:szCs w:val="20"/>
              </w:rPr>
            </w:pPr>
            <w:r w:rsidRPr="002E6BC6">
              <w:rPr>
                <w:rFonts w:ascii="Arial Narrow" w:hAnsi="Arial Narrow" w:cs="Arial"/>
                <w:sz w:val="20"/>
                <w:szCs w:val="20"/>
              </w:rPr>
              <w:t>$</w:t>
            </w:r>
            <w:r w:rsidR="003E2B64">
              <w:rPr>
                <w:rFonts w:ascii="Arial Narrow" w:hAnsi="Arial Narrow" w:cs="Arial"/>
                <w:noProof/>
                <w:color w:val="000000"/>
                <w:sz w:val="20"/>
                <w:szCs w:val="20"/>
                <w:highlight w:val="black"/>
              </w:rPr>
              <w:t>'''''''''''''''''''''</w:t>
            </w:r>
          </w:p>
        </w:tc>
        <w:tc>
          <w:tcPr>
            <w:tcW w:w="458" w:type="pct"/>
          </w:tcPr>
          <w:p w:rsidR="00F44F5F" w:rsidRPr="002E6BC6" w:rsidRDefault="00F44F5F" w:rsidP="00F44F5F">
            <w:pPr>
              <w:keepNext/>
              <w:spacing w:before="40" w:after="40"/>
              <w:jc w:val="both"/>
              <w:rPr>
                <w:rFonts w:ascii="Arial Narrow" w:hAnsi="Arial Narrow" w:cs="Arial"/>
                <w:sz w:val="20"/>
                <w:szCs w:val="20"/>
              </w:rPr>
            </w:pPr>
          </w:p>
          <w:p w:rsidR="00F44F5F" w:rsidRPr="002E6BC6" w:rsidRDefault="00F44F5F" w:rsidP="00F44F5F">
            <w:pPr>
              <w:keepNext/>
              <w:spacing w:before="40" w:after="40"/>
              <w:jc w:val="both"/>
              <w:rPr>
                <w:rFonts w:ascii="Arial Narrow" w:hAnsi="Arial Narrow" w:cs="Arial"/>
                <w:sz w:val="20"/>
                <w:szCs w:val="20"/>
              </w:rPr>
            </w:pPr>
            <w:proofErr w:type="spellStart"/>
            <w:r w:rsidRPr="002E6BC6">
              <w:rPr>
                <w:rFonts w:ascii="Arial Narrow" w:hAnsi="Arial Narrow" w:cs="Arial"/>
                <w:sz w:val="20"/>
                <w:szCs w:val="20"/>
              </w:rPr>
              <w:t>Actemra</w:t>
            </w:r>
            <w:proofErr w:type="spellEnd"/>
          </w:p>
        </w:tc>
        <w:tc>
          <w:tcPr>
            <w:tcW w:w="715" w:type="pct"/>
          </w:tcPr>
          <w:p w:rsidR="00F44F5F" w:rsidRPr="002E6BC6" w:rsidRDefault="00F44F5F" w:rsidP="00F44F5F">
            <w:pPr>
              <w:keepNext/>
              <w:spacing w:before="40" w:after="40"/>
              <w:jc w:val="both"/>
              <w:rPr>
                <w:rFonts w:ascii="Arial Narrow" w:hAnsi="Arial Narrow" w:cs="Arial"/>
                <w:sz w:val="20"/>
                <w:szCs w:val="20"/>
              </w:rPr>
            </w:pPr>
          </w:p>
          <w:p w:rsidR="00F44F5F" w:rsidRPr="002E6BC6" w:rsidRDefault="00F44F5F" w:rsidP="00F44F5F">
            <w:pPr>
              <w:keepNext/>
              <w:spacing w:before="40" w:after="40"/>
              <w:jc w:val="both"/>
              <w:rPr>
                <w:rFonts w:ascii="Arial Narrow" w:hAnsi="Arial Narrow" w:cs="Arial"/>
                <w:sz w:val="20"/>
                <w:szCs w:val="20"/>
              </w:rPr>
            </w:pPr>
            <w:r w:rsidRPr="002E6BC6">
              <w:rPr>
                <w:rFonts w:ascii="Arial Narrow" w:hAnsi="Arial Narrow" w:cs="Arial"/>
                <w:sz w:val="20"/>
                <w:szCs w:val="20"/>
              </w:rPr>
              <w:t>Roche Products</w:t>
            </w:r>
          </w:p>
        </w:tc>
      </w:tr>
    </w:tbl>
    <w:p w:rsidR="00744CF6" w:rsidRPr="002E6BC6" w:rsidRDefault="00744CF6" w:rsidP="00F44F5F">
      <w:pPr>
        <w:spacing w:after="120"/>
        <w:rPr>
          <w:rFonts w:asciiTheme="minorHAnsi" w:eastAsiaTheme="minorHAnsi" w:hAnsiTheme="minorHAnsi" w:cstheme="minorBidi"/>
          <w:szCs w:val="22"/>
        </w:rPr>
      </w:pPr>
    </w:p>
    <w:p w:rsidR="00744CF6" w:rsidRPr="002E6BC6" w:rsidRDefault="00744CF6">
      <w:pPr>
        <w:rPr>
          <w:rFonts w:asciiTheme="minorHAnsi" w:eastAsiaTheme="minorHAnsi" w:hAnsiTheme="minorHAnsi" w:cstheme="minorBidi"/>
          <w:szCs w:val="22"/>
        </w:rPr>
      </w:pPr>
      <w:r w:rsidRPr="002E6BC6">
        <w:rPr>
          <w:rFonts w:asciiTheme="minorHAnsi" w:eastAsiaTheme="minorHAnsi" w:hAnsiTheme="minorHAnsi" w:cstheme="minorBidi"/>
          <w:szCs w:val="22"/>
        </w:rPr>
        <w:br w:type="page"/>
      </w:r>
    </w:p>
    <w:tbl>
      <w:tblPr>
        <w:tblW w:w="5000" w:type="pct"/>
        <w:tblLook w:val="0000" w:firstRow="0" w:lastRow="0" w:firstColumn="0" w:lastColumn="0" w:noHBand="0" w:noVBand="0"/>
      </w:tblPr>
      <w:tblGrid>
        <w:gridCol w:w="1917"/>
        <w:gridCol w:w="7099"/>
      </w:tblGrid>
      <w:tr w:rsidR="00826F6D" w:rsidRPr="002E6BC6" w:rsidTr="00A42D9F">
        <w:trPr>
          <w:cantSplit/>
          <w:trHeight w:val="360"/>
        </w:trPr>
        <w:tc>
          <w:tcPr>
            <w:tcW w:w="1063" w:type="pct"/>
            <w:tcBorders>
              <w:top w:val="single" w:sz="4" w:space="0" w:color="auto"/>
              <w:left w:val="single" w:sz="4" w:space="0" w:color="auto"/>
              <w:bottom w:val="single" w:sz="4" w:space="0" w:color="auto"/>
              <w:right w:val="single" w:sz="4" w:space="0" w:color="auto"/>
            </w:tcBorders>
          </w:tcPr>
          <w:p w:rsidR="00826F6D" w:rsidRPr="002E6BC6" w:rsidRDefault="00826F6D" w:rsidP="00EB0B63">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 xml:space="preserve">Category / </w:t>
            </w:r>
          </w:p>
          <w:p w:rsidR="00826F6D" w:rsidRPr="002E6BC6" w:rsidRDefault="00826F6D" w:rsidP="00EB0B63">
            <w:pPr>
              <w:spacing w:before="40" w:after="40"/>
              <w:jc w:val="both"/>
              <w:rPr>
                <w:rFonts w:ascii="Arial Narrow" w:hAnsi="Arial Narrow" w:cs="Arial"/>
                <w:b/>
                <w:sz w:val="20"/>
                <w:szCs w:val="20"/>
              </w:rPr>
            </w:pPr>
            <w:r w:rsidRPr="002E6BC6">
              <w:rPr>
                <w:rFonts w:ascii="Arial Narrow" w:hAnsi="Arial Narrow" w:cs="Arial"/>
                <w:b/>
                <w:sz w:val="20"/>
                <w:szCs w:val="20"/>
              </w:rPr>
              <w:t>Program</w:t>
            </w:r>
          </w:p>
        </w:tc>
        <w:tc>
          <w:tcPr>
            <w:tcW w:w="3937" w:type="pct"/>
            <w:tcBorders>
              <w:top w:val="single" w:sz="4" w:space="0" w:color="auto"/>
              <w:left w:val="single" w:sz="4" w:space="0" w:color="auto"/>
              <w:bottom w:val="single" w:sz="4" w:space="0" w:color="auto"/>
              <w:right w:val="single" w:sz="4" w:space="0" w:color="auto"/>
            </w:tcBorders>
          </w:tcPr>
          <w:p w:rsidR="00826F6D" w:rsidRPr="002E6BC6" w:rsidRDefault="00826F6D" w:rsidP="00EB0B63">
            <w:pPr>
              <w:spacing w:before="40" w:after="40"/>
              <w:rPr>
                <w:rFonts w:ascii="Arial Narrow" w:hAnsi="Arial Narrow" w:cs="Arial"/>
                <w:sz w:val="20"/>
                <w:szCs w:val="20"/>
              </w:rPr>
            </w:pPr>
            <w:r w:rsidRPr="002E6BC6">
              <w:rPr>
                <w:rFonts w:ascii="Arial Narrow" w:hAnsi="Arial Narrow" w:cs="Arial"/>
                <w:sz w:val="20"/>
                <w:szCs w:val="20"/>
              </w:rPr>
              <w:t>GENERAL – General Schedule (Code GE)</w:t>
            </w:r>
          </w:p>
          <w:p w:rsidR="00826F6D" w:rsidRPr="002E6BC6" w:rsidRDefault="00826F6D" w:rsidP="00EB0B63">
            <w:pPr>
              <w:spacing w:before="40" w:after="40"/>
              <w:rPr>
                <w:rFonts w:ascii="Arial Narrow" w:hAnsi="Arial Narrow" w:cs="Arial"/>
                <w:sz w:val="20"/>
                <w:szCs w:val="20"/>
              </w:rPr>
            </w:pPr>
          </w:p>
        </w:tc>
      </w:tr>
      <w:tr w:rsidR="00826F6D" w:rsidRPr="002E6BC6" w:rsidTr="00A42D9F">
        <w:trPr>
          <w:cantSplit/>
          <w:trHeight w:val="360"/>
        </w:trPr>
        <w:tc>
          <w:tcPr>
            <w:tcW w:w="1063" w:type="pct"/>
            <w:tcBorders>
              <w:top w:val="single" w:sz="4" w:space="0" w:color="auto"/>
              <w:left w:val="single" w:sz="4" w:space="0" w:color="auto"/>
              <w:bottom w:val="single" w:sz="4" w:space="0" w:color="auto"/>
              <w:right w:val="single" w:sz="4" w:space="0" w:color="auto"/>
            </w:tcBorders>
          </w:tcPr>
          <w:p w:rsidR="00826F6D" w:rsidRPr="002E6BC6" w:rsidRDefault="00826F6D" w:rsidP="00EB0B63">
            <w:pPr>
              <w:spacing w:before="40" w:after="40"/>
              <w:jc w:val="both"/>
              <w:rPr>
                <w:rFonts w:ascii="Arial Narrow" w:hAnsi="Arial Narrow" w:cs="Arial"/>
                <w:b/>
                <w:sz w:val="20"/>
                <w:szCs w:val="20"/>
              </w:rPr>
            </w:pPr>
            <w:r w:rsidRPr="002E6BC6">
              <w:rPr>
                <w:rFonts w:ascii="Arial Narrow" w:hAnsi="Arial Narrow" w:cs="Arial"/>
                <w:b/>
                <w:sz w:val="20"/>
                <w:szCs w:val="20"/>
              </w:rPr>
              <w:t>Prescriber type:</w:t>
            </w:r>
          </w:p>
        </w:tc>
        <w:tc>
          <w:tcPr>
            <w:tcW w:w="3937" w:type="pct"/>
            <w:tcBorders>
              <w:top w:val="single" w:sz="4" w:space="0" w:color="auto"/>
              <w:left w:val="single" w:sz="4" w:space="0" w:color="auto"/>
              <w:bottom w:val="single" w:sz="4" w:space="0" w:color="auto"/>
              <w:right w:val="single" w:sz="4" w:space="0" w:color="auto"/>
            </w:tcBorders>
          </w:tcPr>
          <w:p w:rsidR="00826F6D" w:rsidRPr="002E6BC6" w:rsidRDefault="00826F6D" w:rsidP="00EB0B63">
            <w:pPr>
              <w:spacing w:before="40" w:after="40"/>
              <w:rPr>
                <w:rFonts w:ascii="Arial Narrow" w:hAnsi="Arial Narrow" w:cs="Arial"/>
                <w:sz w:val="20"/>
                <w:szCs w:val="20"/>
              </w:rPr>
            </w:pPr>
            <w:r w:rsidRPr="00037C20">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 xml:space="preserve">Dental  </w:t>
            </w:r>
            <w:r w:rsidR="00677461" w:rsidRPr="00037C20">
              <w:rPr>
                <w:rFonts w:ascii="Arial Narrow" w:hAnsi="Arial Narrow" w:cs="Arial"/>
                <w:sz w:val="20"/>
                <w:szCs w:val="20"/>
              </w:rPr>
              <w:fldChar w:fldCharType="begin">
                <w:ffData>
                  <w:name w:val=""/>
                  <w:enabled/>
                  <w:calcOnExit w:val="0"/>
                  <w:checkBox>
                    <w:sizeAuto/>
                    <w:default w:val="1"/>
                  </w:checkBox>
                </w:ffData>
              </w:fldChar>
            </w:r>
            <w:r w:rsidR="00677461"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00677461" w:rsidRPr="00037C20">
              <w:rPr>
                <w:rFonts w:ascii="Arial Narrow" w:hAnsi="Arial Narrow" w:cs="Arial"/>
                <w:sz w:val="20"/>
                <w:szCs w:val="20"/>
              </w:rPr>
              <w:fldChar w:fldCharType="end"/>
            </w:r>
            <w:r w:rsidRPr="002E6BC6">
              <w:rPr>
                <w:rFonts w:ascii="Arial Narrow" w:hAnsi="Arial Narrow" w:cs="Arial"/>
                <w:sz w:val="20"/>
                <w:szCs w:val="20"/>
              </w:rPr>
              <w:t xml:space="preserve">Medical Practitioners  </w:t>
            </w:r>
            <w:r w:rsidRPr="00037C20">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 xml:space="preserve">Nurse practitioners  </w:t>
            </w:r>
            <w:r w:rsidRPr="00037C20">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Optometrists</w:t>
            </w:r>
          </w:p>
          <w:p w:rsidR="00826F6D" w:rsidRPr="002E6BC6" w:rsidRDefault="00826F6D" w:rsidP="00EB0B63">
            <w:pPr>
              <w:spacing w:before="40" w:after="40"/>
              <w:rPr>
                <w:rFonts w:ascii="Arial Narrow" w:hAnsi="Arial Narrow" w:cs="Arial"/>
                <w:sz w:val="20"/>
                <w:szCs w:val="20"/>
              </w:rPr>
            </w:pPr>
            <w:r w:rsidRPr="00037C20">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Midwives</w:t>
            </w:r>
          </w:p>
        </w:tc>
      </w:tr>
      <w:tr w:rsidR="00826F6D" w:rsidRPr="002E6BC6" w:rsidTr="00A42D9F">
        <w:trPr>
          <w:cantSplit/>
          <w:trHeight w:val="360"/>
        </w:trPr>
        <w:tc>
          <w:tcPr>
            <w:tcW w:w="1063" w:type="pct"/>
            <w:tcBorders>
              <w:top w:val="single" w:sz="4" w:space="0" w:color="auto"/>
              <w:left w:val="single" w:sz="4" w:space="0" w:color="auto"/>
              <w:bottom w:val="single" w:sz="4" w:space="0" w:color="auto"/>
              <w:right w:val="single" w:sz="4" w:space="0" w:color="auto"/>
            </w:tcBorders>
          </w:tcPr>
          <w:p w:rsidR="00826F6D" w:rsidRPr="002E6BC6" w:rsidRDefault="00826F6D" w:rsidP="00EB0B63">
            <w:pPr>
              <w:spacing w:before="40" w:after="40"/>
              <w:jc w:val="both"/>
              <w:rPr>
                <w:rFonts w:ascii="Arial Narrow" w:hAnsi="Arial Narrow" w:cs="Arial"/>
                <w:b/>
                <w:sz w:val="20"/>
                <w:szCs w:val="20"/>
              </w:rPr>
            </w:pPr>
            <w:r w:rsidRPr="002E6BC6">
              <w:rPr>
                <w:rFonts w:ascii="Arial Narrow" w:hAnsi="Arial Narrow" w:cs="Arial"/>
                <w:b/>
                <w:sz w:val="20"/>
                <w:szCs w:val="20"/>
              </w:rPr>
              <w:t>Condition:</w:t>
            </w:r>
          </w:p>
        </w:tc>
        <w:tc>
          <w:tcPr>
            <w:tcW w:w="3937" w:type="pct"/>
            <w:tcBorders>
              <w:top w:val="single" w:sz="4" w:space="0" w:color="auto"/>
              <w:left w:val="single" w:sz="4" w:space="0" w:color="auto"/>
              <w:bottom w:val="single" w:sz="4" w:space="0" w:color="auto"/>
              <w:right w:val="single" w:sz="4" w:space="0" w:color="auto"/>
            </w:tcBorders>
          </w:tcPr>
          <w:p w:rsidR="00826F6D" w:rsidRPr="002E6BC6" w:rsidRDefault="00CD0BBF" w:rsidP="00EB0B63">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826F6D" w:rsidRPr="002E6BC6" w:rsidTr="00A42D9F">
        <w:trPr>
          <w:cantSplit/>
          <w:trHeight w:val="360"/>
        </w:trPr>
        <w:tc>
          <w:tcPr>
            <w:tcW w:w="1063" w:type="pct"/>
            <w:tcBorders>
              <w:top w:val="single" w:sz="4" w:space="0" w:color="auto"/>
              <w:left w:val="single" w:sz="4" w:space="0" w:color="auto"/>
              <w:bottom w:val="single" w:sz="4" w:space="0" w:color="auto"/>
              <w:right w:val="single" w:sz="4" w:space="0" w:color="auto"/>
            </w:tcBorders>
          </w:tcPr>
          <w:p w:rsidR="00826F6D" w:rsidRPr="002E6BC6" w:rsidRDefault="00826F6D" w:rsidP="00EB0B63">
            <w:pPr>
              <w:spacing w:before="40" w:after="40"/>
              <w:jc w:val="both"/>
              <w:rPr>
                <w:rFonts w:ascii="Arial Narrow" w:hAnsi="Arial Narrow" w:cs="Arial"/>
                <w:b/>
                <w:sz w:val="20"/>
                <w:szCs w:val="20"/>
              </w:rPr>
            </w:pPr>
            <w:r w:rsidRPr="002E6BC6">
              <w:rPr>
                <w:rFonts w:ascii="Arial Narrow" w:hAnsi="Arial Narrow" w:cs="Arial"/>
                <w:b/>
                <w:sz w:val="20"/>
                <w:szCs w:val="20"/>
              </w:rPr>
              <w:t>PBS Indication:</w:t>
            </w:r>
          </w:p>
        </w:tc>
        <w:tc>
          <w:tcPr>
            <w:tcW w:w="3937" w:type="pct"/>
            <w:tcBorders>
              <w:top w:val="single" w:sz="4" w:space="0" w:color="auto"/>
              <w:left w:val="single" w:sz="4" w:space="0" w:color="auto"/>
              <w:bottom w:val="single" w:sz="4" w:space="0" w:color="auto"/>
              <w:right w:val="single" w:sz="4" w:space="0" w:color="auto"/>
            </w:tcBorders>
          </w:tcPr>
          <w:p w:rsidR="00826F6D" w:rsidRPr="002E6BC6" w:rsidRDefault="00CD0BBF" w:rsidP="00EB0B63">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826F6D" w:rsidRPr="002E6BC6" w:rsidTr="00A42D9F">
        <w:trPr>
          <w:cantSplit/>
          <w:trHeight w:val="360"/>
        </w:trPr>
        <w:tc>
          <w:tcPr>
            <w:tcW w:w="1063" w:type="pct"/>
            <w:tcBorders>
              <w:top w:val="single" w:sz="4" w:space="0" w:color="auto"/>
              <w:left w:val="single" w:sz="4" w:space="0" w:color="auto"/>
              <w:bottom w:val="single" w:sz="4" w:space="0" w:color="auto"/>
              <w:right w:val="single" w:sz="4" w:space="0" w:color="auto"/>
            </w:tcBorders>
          </w:tcPr>
          <w:p w:rsidR="00826F6D" w:rsidRPr="002E6BC6" w:rsidRDefault="00826F6D" w:rsidP="00EB0B63">
            <w:pPr>
              <w:spacing w:before="40" w:after="40"/>
              <w:jc w:val="both"/>
              <w:rPr>
                <w:rFonts w:ascii="Arial Narrow" w:hAnsi="Arial Narrow" w:cs="Arial"/>
                <w:b/>
                <w:sz w:val="20"/>
                <w:szCs w:val="20"/>
              </w:rPr>
            </w:pPr>
            <w:r w:rsidRPr="002E6BC6">
              <w:rPr>
                <w:rFonts w:ascii="Arial Narrow" w:hAnsi="Arial Narrow" w:cs="Arial"/>
                <w:b/>
                <w:sz w:val="20"/>
                <w:szCs w:val="20"/>
              </w:rPr>
              <w:t>Treatment phase:</w:t>
            </w:r>
          </w:p>
          <w:p w:rsidR="00826F6D" w:rsidRPr="002E6BC6" w:rsidRDefault="00826F6D" w:rsidP="00EB0B63">
            <w:pPr>
              <w:spacing w:before="40" w:after="40"/>
              <w:jc w:val="both"/>
              <w:rPr>
                <w:rFonts w:ascii="Arial Narrow" w:hAnsi="Arial Narrow" w:cs="Arial"/>
                <w:i/>
                <w:sz w:val="20"/>
                <w:szCs w:val="20"/>
              </w:rPr>
            </w:pPr>
          </w:p>
        </w:tc>
        <w:tc>
          <w:tcPr>
            <w:tcW w:w="3937" w:type="pct"/>
            <w:tcBorders>
              <w:top w:val="single" w:sz="4" w:space="0" w:color="auto"/>
              <w:left w:val="single" w:sz="4" w:space="0" w:color="auto"/>
              <w:bottom w:val="single" w:sz="4" w:space="0" w:color="auto"/>
              <w:right w:val="single" w:sz="4" w:space="0" w:color="auto"/>
            </w:tcBorders>
          </w:tcPr>
          <w:p w:rsidR="00826F6D" w:rsidRPr="002E6BC6" w:rsidRDefault="00CD0BBF" w:rsidP="00EB0B63">
            <w:pPr>
              <w:spacing w:before="40" w:after="40"/>
              <w:rPr>
                <w:rFonts w:ascii="Arial Narrow" w:hAnsi="Arial Narrow" w:cs="Arial"/>
                <w:sz w:val="20"/>
                <w:szCs w:val="20"/>
              </w:rPr>
            </w:pPr>
            <w:r w:rsidRPr="002E6BC6">
              <w:rPr>
                <w:rFonts w:ascii="Arial Narrow" w:hAnsi="Arial Narrow" w:cs="Arial"/>
                <w:sz w:val="20"/>
                <w:szCs w:val="20"/>
              </w:rPr>
              <w:t>Initial treatment - Initial 1 (new patient or patient recommencing treatment after a break of more than 12 months)</w:t>
            </w:r>
          </w:p>
          <w:p w:rsidR="00CD0BBF" w:rsidRPr="002E6BC6" w:rsidRDefault="00CD0BBF" w:rsidP="00EB0B63">
            <w:pPr>
              <w:spacing w:before="40" w:after="40"/>
              <w:rPr>
                <w:rFonts w:ascii="Arial Narrow" w:hAnsi="Arial Narrow" w:cs="Arial"/>
                <w:sz w:val="20"/>
                <w:szCs w:val="20"/>
              </w:rPr>
            </w:pPr>
            <w:r w:rsidRPr="002E6BC6">
              <w:rPr>
                <w:rFonts w:ascii="Arial Narrow" w:hAnsi="Arial Narrow" w:cs="Arial"/>
                <w:sz w:val="20"/>
                <w:szCs w:val="20"/>
              </w:rPr>
              <w:t>Initial treatment - Initial 2 (change or recommencement of treatment after break of less than 12 months)</w:t>
            </w:r>
          </w:p>
        </w:tc>
      </w:tr>
      <w:tr w:rsidR="00826F6D" w:rsidRPr="002E6BC6" w:rsidTr="00A42D9F">
        <w:trPr>
          <w:cantSplit/>
          <w:trHeight w:val="360"/>
        </w:trPr>
        <w:tc>
          <w:tcPr>
            <w:tcW w:w="1063" w:type="pct"/>
            <w:tcBorders>
              <w:top w:val="single" w:sz="4" w:space="0" w:color="auto"/>
              <w:left w:val="single" w:sz="4" w:space="0" w:color="auto"/>
              <w:bottom w:val="single" w:sz="4" w:space="0" w:color="auto"/>
              <w:right w:val="single" w:sz="4" w:space="0" w:color="auto"/>
            </w:tcBorders>
          </w:tcPr>
          <w:p w:rsidR="00826F6D" w:rsidRPr="002E6BC6" w:rsidRDefault="00826F6D" w:rsidP="00EB0B63">
            <w:pPr>
              <w:spacing w:before="40" w:after="40"/>
              <w:jc w:val="both"/>
              <w:rPr>
                <w:rFonts w:ascii="Arial Narrow" w:hAnsi="Arial Narrow" w:cs="Arial"/>
                <w:b/>
                <w:sz w:val="20"/>
                <w:szCs w:val="20"/>
              </w:rPr>
            </w:pPr>
            <w:r w:rsidRPr="002E6BC6">
              <w:rPr>
                <w:rFonts w:ascii="Arial Narrow" w:hAnsi="Arial Narrow" w:cs="Arial"/>
                <w:b/>
                <w:sz w:val="20"/>
                <w:szCs w:val="20"/>
              </w:rPr>
              <w:t>Restriction Level / Method:</w:t>
            </w:r>
          </w:p>
          <w:p w:rsidR="00826F6D" w:rsidRPr="002E6BC6" w:rsidRDefault="00826F6D" w:rsidP="00EB0B63">
            <w:pPr>
              <w:spacing w:before="40" w:after="40"/>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826F6D" w:rsidRPr="002E6BC6" w:rsidRDefault="00826F6D" w:rsidP="00EB0B63">
            <w:pPr>
              <w:spacing w:before="40" w:after="40"/>
              <w:rPr>
                <w:rFonts w:ascii="Arial Narrow" w:hAnsi="Arial Narrow" w:cs="Arial"/>
                <w:sz w:val="20"/>
                <w:szCs w:val="20"/>
              </w:rPr>
            </w:pPr>
            <w:r w:rsidRPr="00037C20">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Restricted benefit</w:t>
            </w:r>
          </w:p>
          <w:p w:rsidR="00826F6D" w:rsidRPr="002E6BC6" w:rsidRDefault="00742D31" w:rsidP="00EB0B63">
            <w:pPr>
              <w:spacing w:before="40" w:after="40"/>
              <w:rPr>
                <w:rFonts w:ascii="Arial Narrow" w:hAnsi="Arial Narrow" w:cs="Arial"/>
                <w:sz w:val="20"/>
                <w:szCs w:val="20"/>
              </w:rPr>
            </w:pPr>
            <w:r w:rsidRPr="00037C20">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00826F6D" w:rsidRPr="002E6BC6">
              <w:rPr>
                <w:rFonts w:ascii="Arial Narrow" w:hAnsi="Arial Narrow" w:cs="Arial"/>
                <w:sz w:val="20"/>
                <w:szCs w:val="20"/>
              </w:rPr>
              <w:t>Authority Required - In Writing</w:t>
            </w:r>
          </w:p>
          <w:p w:rsidR="00826F6D" w:rsidRPr="002E6BC6" w:rsidRDefault="00826F6D" w:rsidP="00EB0B63">
            <w:pPr>
              <w:spacing w:before="40" w:after="40"/>
              <w:rPr>
                <w:rFonts w:ascii="Arial Narrow" w:hAnsi="Arial Narrow" w:cs="Arial"/>
                <w:sz w:val="20"/>
                <w:szCs w:val="20"/>
              </w:rPr>
            </w:pPr>
            <w:r w:rsidRPr="00037C20">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Authority Required - Telephone</w:t>
            </w:r>
          </w:p>
          <w:p w:rsidR="00826F6D" w:rsidRPr="002E6BC6" w:rsidRDefault="00826F6D" w:rsidP="00EB0B63">
            <w:pPr>
              <w:spacing w:before="40" w:after="40"/>
              <w:rPr>
                <w:rFonts w:ascii="Arial Narrow" w:hAnsi="Arial Narrow" w:cs="Arial"/>
                <w:sz w:val="20"/>
                <w:szCs w:val="20"/>
              </w:rPr>
            </w:pPr>
            <w:r w:rsidRPr="00037C20">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Authority Required – Emergency</w:t>
            </w:r>
          </w:p>
          <w:p w:rsidR="00826F6D" w:rsidRPr="002E6BC6" w:rsidRDefault="00826F6D" w:rsidP="00EB0B63">
            <w:pPr>
              <w:spacing w:before="40" w:after="40"/>
              <w:rPr>
                <w:rFonts w:ascii="Arial Narrow" w:hAnsi="Arial Narrow" w:cs="Arial"/>
                <w:sz w:val="20"/>
                <w:szCs w:val="20"/>
              </w:rPr>
            </w:pPr>
            <w:r w:rsidRPr="00037C20">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Authority Required - Electronic</w:t>
            </w:r>
          </w:p>
          <w:p w:rsidR="00826F6D" w:rsidRPr="002E6BC6" w:rsidRDefault="00826F6D" w:rsidP="00EB0B63">
            <w:pPr>
              <w:spacing w:before="40" w:after="40"/>
              <w:rPr>
                <w:rFonts w:ascii="Arial Narrow" w:hAnsi="Arial Narrow" w:cs="Arial"/>
                <w:sz w:val="20"/>
                <w:szCs w:val="20"/>
              </w:rPr>
            </w:pPr>
            <w:r w:rsidRPr="00037C20">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Streamlined</w:t>
            </w:r>
          </w:p>
        </w:tc>
      </w:tr>
      <w:tr w:rsidR="00826F6D" w:rsidRPr="002E6BC6" w:rsidTr="00A42D9F">
        <w:trPr>
          <w:cantSplit/>
          <w:trHeight w:val="360"/>
        </w:trPr>
        <w:tc>
          <w:tcPr>
            <w:tcW w:w="1063" w:type="pct"/>
            <w:tcBorders>
              <w:top w:val="single" w:sz="4" w:space="0" w:color="auto"/>
              <w:left w:val="single" w:sz="4" w:space="0" w:color="auto"/>
              <w:bottom w:val="single" w:sz="4" w:space="0" w:color="auto"/>
              <w:right w:val="single" w:sz="4" w:space="0" w:color="auto"/>
            </w:tcBorders>
          </w:tcPr>
          <w:p w:rsidR="00826F6D" w:rsidRPr="002E6BC6" w:rsidRDefault="00826F6D" w:rsidP="00EB0B63">
            <w:pPr>
              <w:spacing w:before="40" w:after="40"/>
              <w:jc w:val="both"/>
              <w:rPr>
                <w:rFonts w:ascii="Arial Narrow" w:hAnsi="Arial Narrow" w:cs="Arial"/>
                <w:b/>
                <w:sz w:val="20"/>
                <w:szCs w:val="20"/>
              </w:rPr>
            </w:pPr>
            <w:r w:rsidRPr="002E6BC6">
              <w:rPr>
                <w:rFonts w:ascii="Arial Narrow" w:hAnsi="Arial Narrow" w:cs="Arial"/>
                <w:b/>
                <w:sz w:val="20"/>
                <w:szCs w:val="20"/>
              </w:rPr>
              <w:t>Clinical criteria:</w:t>
            </w:r>
          </w:p>
          <w:p w:rsidR="00826F6D" w:rsidRPr="002E6BC6" w:rsidRDefault="00826F6D" w:rsidP="00742D31">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826F6D" w:rsidRPr="002E6BC6" w:rsidRDefault="0089521C" w:rsidP="00EB0B63">
            <w:pPr>
              <w:spacing w:before="40" w:after="40"/>
              <w:rPr>
                <w:rFonts w:ascii="Arial Narrow" w:hAnsi="Arial Narrow" w:cs="Arial"/>
                <w:strike/>
                <w:sz w:val="20"/>
                <w:szCs w:val="20"/>
              </w:rPr>
            </w:pPr>
            <w:r w:rsidRPr="002E6BC6">
              <w:rPr>
                <w:rFonts w:ascii="Arial Narrow" w:hAnsi="Arial Narrow" w:cs="Arial"/>
                <w:strike/>
                <w:sz w:val="20"/>
                <w:szCs w:val="20"/>
              </w:rPr>
              <w:t>Patient must not receive more than 16 weeks of treatment under this restriction.</w:t>
            </w:r>
          </w:p>
          <w:p w:rsidR="00826F6D" w:rsidRPr="002E6BC6" w:rsidRDefault="00826F6D" w:rsidP="00EB0B63">
            <w:pPr>
              <w:spacing w:before="40" w:after="40"/>
              <w:jc w:val="both"/>
              <w:rPr>
                <w:rFonts w:ascii="Arial Narrow" w:hAnsi="Arial Narrow" w:cs="Arial"/>
                <w:sz w:val="20"/>
                <w:szCs w:val="20"/>
              </w:rPr>
            </w:pPr>
          </w:p>
        </w:tc>
      </w:tr>
      <w:tr w:rsidR="00826F6D" w:rsidRPr="002E6BC6" w:rsidTr="00A42D9F">
        <w:trPr>
          <w:cantSplit/>
          <w:trHeight w:val="360"/>
        </w:trPr>
        <w:tc>
          <w:tcPr>
            <w:tcW w:w="1063" w:type="pct"/>
            <w:tcBorders>
              <w:top w:val="single" w:sz="4" w:space="0" w:color="auto"/>
              <w:left w:val="single" w:sz="4" w:space="0" w:color="auto"/>
              <w:bottom w:val="single" w:sz="4" w:space="0" w:color="auto"/>
              <w:right w:val="single" w:sz="4" w:space="0" w:color="auto"/>
            </w:tcBorders>
          </w:tcPr>
          <w:p w:rsidR="00826F6D" w:rsidRPr="002E6BC6" w:rsidRDefault="00826F6D" w:rsidP="00EB0B63">
            <w:pPr>
              <w:spacing w:before="40" w:after="40"/>
              <w:jc w:val="both"/>
              <w:rPr>
                <w:rFonts w:ascii="Arial Narrow" w:hAnsi="Arial Narrow" w:cs="Arial"/>
                <w:b/>
                <w:sz w:val="20"/>
                <w:szCs w:val="20"/>
              </w:rPr>
            </w:pPr>
            <w:r w:rsidRPr="002E6BC6">
              <w:rPr>
                <w:rFonts w:ascii="Arial Narrow" w:hAnsi="Arial Narrow" w:cs="Arial"/>
                <w:b/>
                <w:sz w:val="20"/>
                <w:szCs w:val="20"/>
              </w:rPr>
              <w:t>Prescriber Instructions</w:t>
            </w:r>
          </w:p>
          <w:p w:rsidR="00826F6D" w:rsidRPr="002E6BC6" w:rsidRDefault="00826F6D" w:rsidP="00742D31">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826F6D" w:rsidRPr="002E6BC6" w:rsidRDefault="0089521C" w:rsidP="00EB0B63">
            <w:pPr>
              <w:spacing w:before="40" w:after="40"/>
              <w:rPr>
                <w:rFonts w:ascii="Arial Narrow" w:hAnsi="Arial Narrow" w:cs="Arial"/>
                <w:strike/>
                <w:sz w:val="20"/>
                <w:szCs w:val="20"/>
              </w:rPr>
            </w:pPr>
            <w:r w:rsidRPr="002E6BC6">
              <w:rPr>
                <w:rFonts w:ascii="Arial Narrow" w:hAnsi="Arial Narrow" w:cs="Arial"/>
                <w:strike/>
                <w:sz w:val="20"/>
                <w:szCs w:val="20"/>
              </w:rPr>
              <w:t xml:space="preserve">At the time of authority application, medical practitioners must request the appropriate number of vials of appropriate strength to provide sufficient drug, based on the weight of the patient, for one infusion. A separate authority prescription form </w:t>
            </w:r>
            <w:proofErr w:type="gramStart"/>
            <w:r w:rsidRPr="002E6BC6">
              <w:rPr>
                <w:rFonts w:ascii="Arial Narrow" w:hAnsi="Arial Narrow" w:cs="Arial"/>
                <w:strike/>
                <w:sz w:val="20"/>
                <w:szCs w:val="20"/>
              </w:rPr>
              <w:t>must be completed</w:t>
            </w:r>
            <w:proofErr w:type="gramEnd"/>
            <w:r w:rsidRPr="002E6BC6">
              <w:rPr>
                <w:rFonts w:ascii="Arial Narrow" w:hAnsi="Arial Narrow" w:cs="Arial"/>
                <w:strike/>
                <w:sz w:val="20"/>
                <w:szCs w:val="20"/>
              </w:rPr>
              <w:t xml:space="preserve"> for each strength requested. Up to a maximum of 3 repeats will be authorised.</w:t>
            </w:r>
          </w:p>
          <w:p w:rsidR="0089521C" w:rsidRPr="002E6BC6" w:rsidRDefault="0089521C" w:rsidP="00EB0B63">
            <w:pPr>
              <w:spacing w:before="40" w:after="40"/>
              <w:rPr>
                <w:rFonts w:ascii="Arial Narrow" w:hAnsi="Arial Narrow" w:cs="Arial"/>
                <w:sz w:val="20"/>
                <w:szCs w:val="20"/>
              </w:rPr>
            </w:pPr>
          </w:p>
          <w:p w:rsidR="00AA61F5" w:rsidRPr="002E6BC6" w:rsidRDefault="0089521C" w:rsidP="0098321D">
            <w:pPr>
              <w:spacing w:before="40" w:after="40"/>
              <w:rPr>
                <w:rFonts w:ascii="Arial Narrow" w:hAnsi="Arial Narrow" w:cs="Arial"/>
                <w:i/>
                <w:sz w:val="20"/>
                <w:szCs w:val="20"/>
              </w:rPr>
            </w:pPr>
            <w:r w:rsidRPr="002E6BC6">
              <w:rPr>
                <w:rFonts w:ascii="Arial Narrow" w:hAnsi="Arial Narrow" w:cs="Arial"/>
                <w:i/>
                <w:sz w:val="20"/>
                <w:szCs w:val="20"/>
              </w:rPr>
              <w:t xml:space="preserve">At the time of </w:t>
            </w:r>
            <w:r w:rsidR="00DC4F25" w:rsidRPr="002E6BC6">
              <w:rPr>
                <w:rFonts w:ascii="Arial Narrow" w:hAnsi="Arial Narrow" w:cs="Arial"/>
                <w:i/>
                <w:sz w:val="20"/>
                <w:szCs w:val="20"/>
              </w:rPr>
              <w:t xml:space="preserve">initial </w:t>
            </w:r>
            <w:r w:rsidRPr="002E6BC6">
              <w:rPr>
                <w:rFonts w:ascii="Arial Narrow" w:hAnsi="Arial Narrow" w:cs="Arial"/>
                <w:i/>
                <w:sz w:val="20"/>
                <w:szCs w:val="20"/>
              </w:rPr>
              <w:t>authority application, medical practitioners must request the approp</w:t>
            </w:r>
            <w:r w:rsidR="00AA61F5" w:rsidRPr="002E6BC6">
              <w:rPr>
                <w:rFonts w:ascii="Arial Narrow" w:hAnsi="Arial Narrow" w:cs="Arial"/>
                <w:i/>
                <w:sz w:val="20"/>
                <w:szCs w:val="20"/>
              </w:rPr>
              <w:t>riate number of repeat</w:t>
            </w:r>
            <w:r w:rsidR="00FA54E1" w:rsidRPr="002E6BC6">
              <w:rPr>
                <w:rFonts w:ascii="Arial Narrow" w:hAnsi="Arial Narrow" w:cs="Arial"/>
                <w:i/>
                <w:sz w:val="20"/>
                <w:szCs w:val="20"/>
              </w:rPr>
              <w:t>s</w:t>
            </w:r>
            <w:r w:rsidRPr="002E6BC6">
              <w:rPr>
                <w:rFonts w:ascii="Arial Narrow" w:hAnsi="Arial Narrow" w:cs="Arial"/>
                <w:i/>
                <w:sz w:val="20"/>
                <w:szCs w:val="20"/>
              </w:rPr>
              <w:t>, based on the weight o</w:t>
            </w:r>
            <w:r w:rsidR="00FA54E1" w:rsidRPr="002E6BC6">
              <w:rPr>
                <w:rFonts w:ascii="Arial Narrow" w:hAnsi="Arial Narrow" w:cs="Arial"/>
                <w:i/>
                <w:sz w:val="20"/>
                <w:szCs w:val="20"/>
              </w:rPr>
              <w:t xml:space="preserve">f the patient as follows: for the patients under 30 kg the </w:t>
            </w:r>
            <w:r w:rsidR="001928D9" w:rsidRPr="002E6BC6">
              <w:rPr>
                <w:rFonts w:ascii="Arial Narrow" w:hAnsi="Arial Narrow" w:cs="Arial"/>
                <w:i/>
                <w:sz w:val="20"/>
                <w:szCs w:val="20"/>
              </w:rPr>
              <w:t xml:space="preserve">162 mg dose every 3 weeks, to provide a sufficient amount for up to </w:t>
            </w:r>
            <w:r w:rsidR="0098321D" w:rsidRPr="002E6BC6">
              <w:rPr>
                <w:rFonts w:ascii="Arial Narrow" w:hAnsi="Arial Narrow" w:cs="Arial"/>
                <w:i/>
                <w:sz w:val="20"/>
                <w:szCs w:val="20"/>
              </w:rPr>
              <w:t>2</w:t>
            </w:r>
            <w:r w:rsidR="00037C20">
              <w:rPr>
                <w:rFonts w:ascii="Arial Narrow" w:hAnsi="Arial Narrow" w:cs="Arial"/>
                <w:i/>
                <w:sz w:val="20"/>
                <w:szCs w:val="20"/>
              </w:rPr>
              <w:t>4</w:t>
            </w:r>
            <w:r w:rsidR="0098321D" w:rsidRPr="002E6BC6">
              <w:rPr>
                <w:rFonts w:ascii="Arial Narrow" w:hAnsi="Arial Narrow" w:cs="Arial"/>
                <w:i/>
                <w:sz w:val="20"/>
                <w:szCs w:val="20"/>
              </w:rPr>
              <w:t xml:space="preserve"> </w:t>
            </w:r>
            <w:r w:rsidR="001928D9" w:rsidRPr="002E6BC6">
              <w:rPr>
                <w:rFonts w:ascii="Arial Narrow" w:hAnsi="Arial Narrow" w:cs="Arial"/>
                <w:i/>
                <w:sz w:val="20"/>
                <w:szCs w:val="20"/>
              </w:rPr>
              <w:t xml:space="preserve">weeks of treatment. For the patients of 30 kg or over the 162 mg dose every 2 weeks, to provide sufficient amount for up to </w:t>
            </w:r>
            <w:r w:rsidR="0098321D" w:rsidRPr="002E6BC6">
              <w:rPr>
                <w:rFonts w:ascii="Arial Narrow" w:hAnsi="Arial Narrow" w:cs="Arial"/>
                <w:i/>
                <w:sz w:val="20"/>
                <w:szCs w:val="20"/>
              </w:rPr>
              <w:t xml:space="preserve">16 </w:t>
            </w:r>
            <w:r w:rsidR="001928D9" w:rsidRPr="002E6BC6">
              <w:rPr>
                <w:rFonts w:ascii="Arial Narrow" w:hAnsi="Arial Narrow" w:cs="Arial"/>
                <w:i/>
                <w:sz w:val="20"/>
                <w:szCs w:val="20"/>
              </w:rPr>
              <w:t xml:space="preserve">weeks of treatment. </w:t>
            </w:r>
          </w:p>
        </w:tc>
      </w:tr>
    </w:tbl>
    <w:p w:rsidR="001928D9" w:rsidRPr="002E6BC6" w:rsidRDefault="001928D9" w:rsidP="002D4543">
      <w:pPr>
        <w:rPr>
          <w:szCs w:val="22"/>
        </w:rPr>
      </w:pPr>
    </w:p>
    <w:tbl>
      <w:tblPr>
        <w:tblW w:w="5000" w:type="pct"/>
        <w:tblLook w:val="0000" w:firstRow="0" w:lastRow="0" w:firstColumn="0" w:lastColumn="0" w:noHBand="0" w:noVBand="0"/>
      </w:tblPr>
      <w:tblGrid>
        <w:gridCol w:w="1919"/>
        <w:gridCol w:w="7097"/>
      </w:tblGrid>
      <w:tr w:rsidR="001928D9" w:rsidRPr="002E6BC6" w:rsidTr="006E5550">
        <w:trPr>
          <w:cantSplit/>
          <w:trHeight w:val="360"/>
        </w:trPr>
        <w:tc>
          <w:tcPr>
            <w:tcW w:w="1064" w:type="pct"/>
            <w:tcBorders>
              <w:top w:val="single" w:sz="4" w:space="0" w:color="auto"/>
              <w:left w:val="single" w:sz="4" w:space="0" w:color="auto"/>
              <w:bottom w:val="single" w:sz="4" w:space="0" w:color="auto"/>
              <w:right w:val="single" w:sz="4" w:space="0" w:color="auto"/>
            </w:tcBorders>
          </w:tcPr>
          <w:p w:rsidR="001928D9" w:rsidRPr="002E6BC6" w:rsidRDefault="001928D9" w:rsidP="001928D9">
            <w:pPr>
              <w:spacing w:before="40" w:after="40"/>
              <w:jc w:val="both"/>
              <w:rPr>
                <w:rFonts w:ascii="Arial Narrow" w:hAnsi="Arial Narrow" w:cs="Arial"/>
                <w:b/>
                <w:sz w:val="20"/>
                <w:szCs w:val="20"/>
              </w:rPr>
            </w:pPr>
            <w:r w:rsidRPr="002E6BC6">
              <w:rPr>
                <w:rFonts w:ascii="Arial Narrow" w:hAnsi="Arial Narrow" w:cs="Arial"/>
                <w:b/>
                <w:sz w:val="20"/>
                <w:szCs w:val="20"/>
              </w:rPr>
              <w:t xml:space="preserve">Category / </w:t>
            </w:r>
          </w:p>
          <w:p w:rsidR="001928D9" w:rsidRPr="002E6BC6" w:rsidRDefault="001928D9" w:rsidP="001928D9">
            <w:pPr>
              <w:spacing w:before="40" w:after="40"/>
              <w:jc w:val="both"/>
              <w:rPr>
                <w:rFonts w:ascii="Arial Narrow" w:hAnsi="Arial Narrow" w:cs="Arial"/>
                <w:b/>
                <w:sz w:val="20"/>
                <w:szCs w:val="20"/>
              </w:rPr>
            </w:pPr>
            <w:r w:rsidRPr="002E6BC6">
              <w:rPr>
                <w:rFonts w:ascii="Arial Narrow" w:hAnsi="Arial Narrow" w:cs="Arial"/>
                <w:b/>
                <w:sz w:val="20"/>
                <w:szCs w:val="20"/>
              </w:rPr>
              <w:t>Program</w:t>
            </w:r>
          </w:p>
        </w:tc>
        <w:tc>
          <w:tcPr>
            <w:tcW w:w="3936" w:type="pct"/>
            <w:tcBorders>
              <w:top w:val="single" w:sz="4" w:space="0" w:color="auto"/>
              <w:left w:val="single" w:sz="4" w:space="0" w:color="auto"/>
              <w:bottom w:val="single" w:sz="4" w:space="0" w:color="auto"/>
              <w:right w:val="single" w:sz="4" w:space="0" w:color="auto"/>
            </w:tcBorders>
          </w:tcPr>
          <w:p w:rsidR="001928D9" w:rsidRPr="002E6BC6" w:rsidRDefault="001928D9" w:rsidP="001928D9">
            <w:pPr>
              <w:spacing w:before="40" w:after="40"/>
              <w:rPr>
                <w:rFonts w:ascii="Arial Narrow" w:hAnsi="Arial Narrow" w:cs="Arial"/>
                <w:sz w:val="20"/>
                <w:szCs w:val="20"/>
              </w:rPr>
            </w:pPr>
            <w:r w:rsidRPr="002E6BC6">
              <w:rPr>
                <w:rFonts w:ascii="Arial Narrow" w:hAnsi="Arial Narrow" w:cs="Arial"/>
                <w:sz w:val="20"/>
                <w:szCs w:val="20"/>
              </w:rPr>
              <w:t>GENERAL – General Schedule (Code GE)</w:t>
            </w:r>
          </w:p>
          <w:p w:rsidR="001928D9" w:rsidRPr="002E6BC6" w:rsidRDefault="001928D9" w:rsidP="001928D9">
            <w:pPr>
              <w:spacing w:before="40" w:after="40"/>
              <w:rPr>
                <w:rFonts w:ascii="Arial Narrow" w:hAnsi="Arial Narrow" w:cs="Arial"/>
                <w:sz w:val="20"/>
                <w:szCs w:val="20"/>
              </w:rPr>
            </w:pPr>
          </w:p>
        </w:tc>
      </w:tr>
      <w:tr w:rsidR="001928D9" w:rsidRPr="002E6BC6" w:rsidTr="006E5550">
        <w:trPr>
          <w:cantSplit/>
          <w:trHeight w:val="360"/>
        </w:trPr>
        <w:tc>
          <w:tcPr>
            <w:tcW w:w="1064" w:type="pct"/>
            <w:tcBorders>
              <w:top w:val="single" w:sz="4" w:space="0" w:color="auto"/>
              <w:left w:val="single" w:sz="4" w:space="0" w:color="auto"/>
              <w:bottom w:val="single" w:sz="4" w:space="0" w:color="auto"/>
              <w:right w:val="single" w:sz="4" w:space="0" w:color="auto"/>
            </w:tcBorders>
          </w:tcPr>
          <w:p w:rsidR="001928D9" w:rsidRPr="002E6BC6" w:rsidRDefault="001928D9" w:rsidP="001928D9">
            <w:pPr>
              <w:spacing w:before="40" w:after="40"/>
              <w:jc w:val="both"/>
              <w:rPr>
                <w:rFonts w:ascii="Arial Narrow" w:hAnsi="Arial Narrow" w:cs="Arial"/>
                <w:b/>
                <w:sz w:val="20"/>
                <w:szCs w:val="20"/>
              </w:rPr>
            </w:pPr>
            <w:r w:rsidRPr="002E6BC6">
              <w:rPr>
                <w:rFonts w:ascii="Arial Narrow" w:hAnsi="Arial Narrow" w:cs="Arial"/>
                <w:b/>
                <w:sz w:val="20"/>
                <w:szCs w:val="20"/>
              </w:rPr>
              <w:t>Prescriber type:</w:t>
            </w:r>
          </w:p>
        </w:tc>
        <w:tc>
          <w:tcPr>
            <w:tcW w:w="3936" w:type="pct"/>
            <w:tcBorders>
              <w:top w:val="single" w:sz="4" w:space="0" w:color="auto"/>
              <w:left w:val="single" w:sz="4" w:space="0" w:color="auto"/>
              <w:bottom w:val="single" w:sz="4" w:space="0" w:color="auto"/>
              <w:right w:val="single" w:sz="4" w:space="0" w:color="auto"/>
            </w:tcBorders>
          </w:tcPr>
          <w:p w:rsidR="001928D9" w:rsidRPr="002E6BC6" w:rsidRDefault="001928D9" w:rsidP="001928D9">
            <w:pPr>
              <w:spacing w:before="40" w:after="40"/>
              <w:rPr>
                <w:rFonts w:ascii="Arial Narrow" w:hAnsi="Arial Narrow" w:cs="Arial"/>
                <w:sz w:val="20"/>
                <w:szCs w:val="20"/>
              </w:rPr>
            </w:pPr>
            <w:r w:rsidRPr="00037C20">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 xml:space="preserve">Dental  </w:t>
            </w:r>
            <w:r w:rsidRPr="00037C20">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 xml:space="preserve">Medical Practitioners  </w:t>
            </w:r>
            <w:r w:rsidRPr="00037C20">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 xml:space="preserve">Nurse practitioners  </w:t>
            </w:r>
            <w:r w:rsidRPr="00037C20">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Optometrists</w:t>
            </w:r>
          </w:p>
          <w:p w:rsidR="001928D9" w:rsidRPr="002E6BC6" w:rsidRDefault="001928D9" w:rsidP="001928D9">
            <w:pPr>
              <w:spacing w:before="40" w:after="40"/>
              <w:rPr>
                <w:rFonts w:ascii="Arial Narrow" w:hAnsi="Arial Narrow" w:cs="Arial"/>
                <w:sz w:val="20"/>
                <w:szCs w:val="20"/>
              </w:rPr>
            </w:pPr>
            <w:r w:rsidRPr="00037C20">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Midwives</w:t>
            </w:r>
          </w:p>
        </w:tc>
      </w:tr>
      <w:tr w:rsidR="001928D9" w:rsidRPr="002E6BC6" w:rsidTr="006E5550">
        <w:trPr>
          <w:cantSplit/>
          <w:trHeight w:val="360"/>
        </w:trPr>
        <w:tc>
          <w:tcPr>
            <w:tcW w:w="1064" w:type="pct"/>
            <w:tcBorders>
              <w:top w:val="single" w:sz="4" w:space="0" w:color="auto"/>
              <w:left w:val="single" w:sz="4" w:space="0" w:color="auto"/>
              <w:bottom w:val="single" w:sz="4" w:space="0" w:color="auto"/>
              <w:right w:val="single" w:sz="4" w:space="0" w:color="auto"/>
            </w:tcBorders>
          </w:tcPr>
          <w:p w:rsidR="001928D9" w:rsidRPr="002E6BC6" w:rsidRDefault="001928D9" w:rsidP="001928D9">
            <w:pPr>
              <w:spacing w:before="40" w:after="40"/>
              <w:jc w:val="both"/>
              <w:rPr>
                <w:rFonts w:ascii="Arial Narrow" w:hAnsi="Arial Narrow" w:cs="Arial"/>
                <w:b/>
                <w:sz w:val="20"/>
                <w:szCs w:val="20"/>
              </w:rPr>
            </w:pPr>
            <w:r w:rsidRPr="002E6BC6">
              <w:rPr>
                <w:rFonts w:ascii="Arial Narrow" w:hAnsi="Arial Narrow" w:cs="Arial"/>
                <w:b/>
                <w:sz w:val="20"/>
                <w:szCs w:val="20"/>
              </w:rPr>
              <w:t>Condition:</w:t>
            </w:r>
          </w:p>
        </w:tc>
        <w:tc>
          <w:tcPr>
            <w:tcW w:w="3936" w:type="pct"/>
            <w:tcBorders>
              <w:top w:val="single" w:sz="4" w:space="0" w:color="auto"/>
              <w:left w:val="single" w:sz="4" w:space="0" w:color="auto"/>
              <w:bottom w:val="single" w:sz="4" w:space="0" w:color="auto"/>
              <w:right w:val="single" w:sz="4" w:space="0" w:color="auto"/>
            </w:tcBorders>
          </w:tcPr>
          <w:p w:rsidR="001928D9" w:rsidRPr="002E6BC6" w:rsidRDefault="001928D9" w:rsidP="001928D9">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1928D9" w:rsidRPr="002E6BC6" w:rsidTr="006E5550">
        <w:trPr>
          <w:cantSplit/>
          <w:trHeight w:val="360"/>
        </w:trPr>
        <w:tc>
          <w:tcPr>
            <w:tcW w:w="1064" w:type="pct"/>
            <w:tcBorders>
              <w:top w:val="single" w:sz="4" w:space="0" w:color="auto"/>
              <w:left w:val="single" w:sz="4" w:space="0" w:color="auto"/>
              <w:bottom w:val="single" w:sz="4" w:space="0" w:color="auto"/>
              <w:right w:val="single" w:sz="4" w:space="0" w:color="auto"/>
            </w:tcBorders>
          </w:tcPr>
          <w:p w:rsidR="001928D9" w:rsidRPr="002E6BC6" w:rsidRDefault="001928D9" w:rsidP="001928D9">
            <w:pPr>
              <w:spacing w:before="40" w:after="40"/>
              <w:jc w:val="both"/>
              <w:rPr>
                <w:rFonts w:ascii="Arial Narrow" w:hAnsi="Arial Narrow" w:cs="Arial"/>
                <w:b/>
                <w:sz w:val="20"/>
                <w:szCs w:val="20"/>
              </w:rPr>
            </w:pPr>
            <w:r w:rsidRPr="002E6BC6">
              <w:rPr>
                <w:rFonts w:ascii="Arial Narrow" w:hAnsi="Arial Narrow" w:cs="Arial"/>
                <w:b/>
                <w:sz w:val="20"/>
                <w:szCs w:val="20"/>
              </w:rPr>
              <w:t>PBS Indication:</w:t>
            </w:r>
          </w:p>
        </w:tc>
        <w:tc>
          <w:tcPr>
            <w:tcW w:w="3936" w:type="pct"/>
            <w:tcBorders>
              <w:top w:val="single" w:sz="4" w:space="0" w:color="auto"/>
              <w:left w:val="single" w:sz="4" w:space="0" w:color="auto"/>
              <w:bottom w:val="single" w:sz="4" w:space="0" w:color="auto"/>
              <w:right w:val="single" w:sz="4" w:space="0" w:color="auto"/>
            </w:tcBorders>
          </w:tcPr>
          <w:p w:rsidR="001928D9" w:rsidRPr="002E6BC6" w:rsidRDefault="001928D9" w:rsidP="001928D9">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1928D9" w:rsidRPr="002E6BC6" w:rsidTr="006E5550">
        <w:trPr>
          <w:cantSplit/>
          <w:trHeight w:val="360"/>
        </w:trPr>
        <w:tc>
          <w:tcPr>
            <w:tcW w:w="1064" w:type="pct"/>
            <w:tcBorders>
              <w:top w:val="single" w:sz="4" w:space="0" w:color="auto"/>
              <w:left w:val="single" w:sz="4" w:space="0" w:color="auto"/>
              <w:bottom w:val="single" w:sz="4" w:space="0" w:color="auto"/>
              <w:right w:val="single" w:sz="4" w:space="0" w:color="auto"/>
            </w:tcBorders>
          </w:tcPr>
          <w:p w:rsidR="001928D9" w:rsidRPr="002E6BC6" w:rsidRDefault="001928D9" w:rsidP="001928D9">
            <w:pPr>
              <w:spacing w:before="40" w:after="40"/>
              <w:jc w:val="both"/>
              <w:rPr>
                <w:rFonts w:ascii="Arial Narrow" w:hAnsi="Arial Narrow" w:cs="Arial"/>
                <w:b/>
                <w:sz w:val="20"/>
                <w:szCs w:val="20"/>
              </w:rPr>
            </w:pPr>
            <w:r w:rsidRPr="002E6BC6">
              <w:rPr>
                <w:rFonts w:ascii="Arial Narrow" w:hAnsi="Arial Narrow" w:cs="Arial"/>
                <w:b/>
                <w:sz w:val="20"/>
                <w:szCs w:val="20"/>
              </w:rPr>
              <w:t>Treatment phase:</w:t>
            </w:r>
          </w:p>
          <w:p w:rsidR="001928D9" w:rsidRPr="002E6BC6" w:rsidRDefault="001928D9" w:rsidP="001928D9">
            <w:pPr>
              <w:spacing w:before="40" w:after="40"/>
              <w:jc w:val="both"/>
              <w:rPr>
                <w:rFonts w:ascii="Arial Narrow" w:hAnsi="Arial Narrow" w:cs="Arial"/>
                <w:i/>
                <w:sz w:val="20"/>
                <w:szCs w:val="20"/>
              </w:rPr>
            </w:pPr>
          </w:p>
        </w:tc>
        <w:tc>
          <w:tcPr>
            <w:tcW w:w="3936" w:type="pct"/>
            <w:tcBorders>
              <w:top w:val="single" w:sz="4" w:space="0" w:color="auto"/>
              <w:left w:val="single" w:sz="4" w:space="0" w:color="auto"/>
              <w:bottom w:val="single" w:sz="4" w:space="0" w:color="auto"/>
              <w:right w:val="single" w:sz="4" w:space="0" w:color="auto"/>
            </w:tcBorders>
          </w:tcPr>
          <w:p w:rsidR="001928D9" w:rsidRPr="002E6BC6" w:rsidRDefault="001928D9" w:rsidP="001928D9">
            <w:pPr>
              <w:spacing w:before="40" w:after="40"/>
              <w:rPr>
                <w:rFonts w:ascii="Arial Narrow" w:hAnsi="Arial Narrow" w:cs="Arial"/>
                <w:sz w:val="20"/>
                <w:szCs w:val="20"/>
              </w:rPr>
            </w:pPr>
            <w:r w:rsidRPr="002E6BC6">
              <w:rPr>
                <w:rFonts w:ascii="Arial Narrow" w:hAnsi="Arial Narrow" w:cs="Arial"/>
                <w:sz w:val="20"/>
                <w:szCs w:val="20"/>
              </w:rPr>
              <w:t>Continuing treatment</w:t>
            </w:r>
          </w:p>
          <w:p w:rsidR="00F44F5F" w:rsidRPr="002E6BC6" w:rsidRDefault="00F44F5F" w:rsidP="001928D9">
            <w:pPr>
              <w:spacing w:before="40" w:after="40"/>
              <w:rPr>
                <w:rFonts w:ascii="Arial Narrow" w:hAnsi="Arial Narrow" w:cs="Arial"/>
                <w:sz w:val="20"/>
                <w:szCs w:val="20"/>
              </w:rPr>
            </w:pPr>
            <w:r w:rsidRPr="002E6BC6">
              <w:rPr>
                <w:rFonts w:ascii="Arial Narrow" w:hAnsi="Arial Narrow" w:cs="Arial"/>
                <w:sz w:val="20"/>
                <w:szCs w:val="20"/>
              </w:rPr>
              <w:t xml:space="preserve">Continuing treatment – balance of supply </w:t>
            </w:r>
          </w:p>
        </w:tc>
      </w:tr>
      <w:tr w:rsidR="001928D9" w:rsidRPr="002E6BC6" w:rsidTr="006E5550">
        <w:trPr>
          <w:cantSplit/>
          <w:trHeight w:val="360"/>
        </w:trPr>
        <w:tc>
          <w:tcPr>
            <w:tcW w:w="1064" w:type="pct"/>
            <w:tcBorders>
              <w:top w:val="single" w:sz="4" w:space="0" w:color="auto"/>
              <w:left w:val="single" w:sz="4" w:space="0" w:color="auto"/>
              <w:bottom w:val="single" w:sz="4" w:space="0" w:color="auto"/>
              <w:right w:val="single" w:sz="4" w:space="0" w:color="auto"/>
            </w:tcBorders>
          </w:tcPr>
          <w:p w:rsidR="001928D9" w:rsidRPr="002E6BC6" w:rsidRDefault="001928D9" w:rsidP="001928D9">
            <w:pPr>
              <w:spacing w:before="40" w:after="40"/>
              <w:jc w:val="both"/>
              <w:rPr>
                <w:rFonts w:ascii="Arial Narrow" w:hAnsi="Arial Narrow" w:cs="Arial"/>
                <w:b/>
                <w:sz w:val="20"/>
                <w:szCs w:val="20"/>
              </w:rPr>
            </w:pPr>
            <w:r w:rsidRPr="002E6BC6">
              <w:rPr>
                <w:rFonts w:ascii="Arial Narrow" w:hAnsi="Arial Narrow" w:cs="Arial"/>
                <w:b/>
                <w:sz w:val="20"/>
                <w:szCs w:val="20"/>
              </w:rPr>
              <w:t>Restriction Level / Method:</w:t>
            </w:r>
          </w:p>
          <w:p w:rsidR="001928D9" w:rsidRPr="002E6BC6" w:rsidRDefault="001928D9" w:rsidP="001928D9">
            <w:pPr>
              <w:spacing w:before="40" w:after="40"/>
              <w:rPr>
                <w:rFonts w:ascii="Arial Narrow" w:hAnsi="Arial Narrow" w:cs="Arial"/>
                <w:sz w:val="20"/>
                <w:szCs w:val="20"/>
              </w:rPr>
            </w:pPr>
          </w:p>
        </w:tc>
        <w:tc>
          <w:tcPr>
            <w:tcW w:w="3936" w:type="pct"/>
            <w:tcBorders>
              <w:top w:val="single" w:sz="4" w:space="0" w:color="auto"/>
              <w:left w:val="single" w:sz="4" w:space="0" w:color="auto"/>
              <w:bottom w:val="single" w:sz="4" w:space="0" w:color="auto"/>
              <w:right w:val="single" w:sz="4" w:space="0" w:color="auto"/>
            </w:tcBorders>
          </w:tcPr>
          <w:p w:rsidR="001928D9" w:rsidRPr="002E6BC6" w:rsidRDefault="001928D9" w:rsidP="001928D9">
            <w:pPr>
              <w:spacing w:before="40" w:after="40"/>
              <w:rPr>
                <w:rFonts w:ascii="Arial Narrow" w:hAnsi="Arial Narrow" w:cs="Arial"/>
                <w:sz w:val="20"/>
                <w:szCs w:val="20"/>
              </w:rPr>
            </w:pPr>
            <w:r w:rsidRPr="00037C20">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Restricted benefit</w:t>
            </w:r>
          </w:p>
          <w:p w:rsidR="001928D9" w:rsidRPr="002E6BC6" w:rsidRDefault="001928D9" w:rsidP="001928D9">
            <w:pPr>
              <w:spacing w:before="40" w:after="40"/>
              <w:rPr>
                <w:rFonts w:ascii="Arial Narrow" w:hAnsi="Arial Narrow" w:cs="Arial"/>
                <w:sz w:val="20"/>
                <w:szCs w:val="20"/>
              </w:rPr>
            </w:pPr>
            <w:r w:rsidRPr="00037C20">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Authority Required - In Writing</w:t>
            </w:r>
          </w:p>
          <w:p w:rsidR="001928D9" w:rsidRPr="002E6BC6" w:rsidRDefault="001928D9" w:rsidP="001928D9">
            <w:pPr>
              <w:spacing w:before="40" w:after="40"/>
              <w:rPr>
                <w:rFonts w:ascii="Arial Narrow" w:hAnsi="Arial Narrow" w:cs="Arial"/>
                <w:sz w:val="20"/>
                <w:szCs w:val="20"/>
              </w:rPr>
            </w:pPr>
            <w:r w:rsidRPr="00037C20">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Authority Required - Telephone</w:t>
            </w:r>
          </w:p>
          <w:p w:rsidR="001928D9" w:rsidRPr="002E6BC6" w:rsidRDefault="001928D9" w:rsidP="001928D9">
            <w:pPr>
              <w:spacing w:before="40" w:after="40"/>
              <w:rPr>
                <w:rFonts w:ascii="Arial Narrow" w:hAnsi="Arial Narrow" w:cs="Arial"/>
                <w:sz w:val="20"/>
                <w:szCs w:val="20"/>
              </w:rPr>
            </w:pPr>
            <w:r w:rsidRPr="00037C20">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Authority Required – Emergency</w:t>
            </w:r>
          </w:p>
          <w:p w:rsidR="001928D9" w:rsidRPr="002E6BC6" w:rsidRDefault="001928D9" w:rsidP="001928D9">
            <w:pPr>
              <w:spacing w:before="40" w:after="40"/>
              <w:rPr>
                <w:rFonts w:ascii="Arial Narrow" w:hAnsi="Arial Narrow" w:cs="Arial"/>
                <w:sz w:val="20"/>
                <w:szCs w:val="20"/>
              </w:rPr>
            </w:pPr>
            <w:r w:rsidRPr="00037C20">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Authority Required - Electronic</w:t>
            </w:r>
          </w:p>
          <w:p w:rsidR="001928D9" w:rsidRPr="002E6BC6" w:rsidRDefault="001928D9" w:rsidP="001928D9">
            <w:pPr>
              <w:spacing w:before="40" w:after="40"/>
              <w:rPr>
                <w:rFonts w:ascii="Arial Narrow" w:hAnsi="Arial Narrow" w:cs="Arial"/>
                <w:sz w:val="20"/>
                <w:szCs w:val="20"/>
              </w:rPr>
            </w:pPr>
            <w:r w:rsidRPr="00037C20">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037C20">
              <w:rPr>
                <w:rFonts w:ascii="Arial Narrow" w:hAnsi="Arial Narrow" w:cs="Arial"/>
                <w:sz w:val="20"/>
                <w:szCs w:val="20"/>
              </w:rPr>
              <w:fldChar w:fldCharType="end"/>
            </w:r>
            <w:r w:rsidRPr="002E6BC6">
              <w:rPr>
                <w:rFonts w:ascii="Arial Narrow" w:hAnsi="Arial Narrow" w:cs="Arial"/>
                <w:sz w:val="20"/>
                <w:szCs w:val="20"/>
              </w:rPr>
              <w:t>Streamlined</w:t>
            </w:r>
          </w:p>
        </w:tc>
      </w:tr>
      <w:tr w:rsidR="001928D9" w:rsidRPr="002E6BC6" w:rsidTr="006E5550">
        <w:trPr>
          <w:cantSplit/>
          <w:trHeight w:val="360"/>
        </w:trPr>
        <w:tc>
          <w:tcPr>
            <w:tcW w:w="1064" w:type="pct"/>
            <w:tcBorders>
              <w:top w:val="single" w:sz="4" w:space="0" w:color="auto"/>
              <w:left w:val="single" w:sz="4" w:space="0" w:color="auto"/>
              <w:bottom w:val="single" w:sz="4" w:space="0" w:color="auto"/>
              <w:right w:val="single" w:sz="4" w:space="0" w:color="auto"/>
            </w:tcBorders>
          </w:tcPr>
          <w:p w:rsidR="001928D9" w:rsidRPr="002E6BC6" w:rsidRDefault="001928D9" w:rsidP="001928D9">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Prescriber Instructions</w:t>
            </w:r>
          </w:p>
          <w:p w:rsidR="001928D9" w:rsidRPr="002E6BC6" w:rsidRDefault="001928D9" w:rsidP="001928D9">
            <w:pPr>
              <w:spacing w:before="40" w:after="40"/>
              <w:jc w:val="both"/>
              <w:rPr>
                <w:rFonts w:ascii="Arial Narrow" w:hAnsi="Arial Narrow" w:cs="Arial"/>
                <w:sz w:val="20"/>
                <w:szCs w:val="20"/>
              </w:rPr>
            </w:pPr>
          </w:p>
        </w:tc>
        <w:tc>
          <w:tcPr>
            <w:tcW w:w="3936" w:type="pct"/>
            <w:tcBorders>
              <w:top w:val="single" w:sz="4" w:space="0" w:color="auto"/>
              <w:left w:val="single" w:sz="4" w:space="0" w:color="auto"/>
              <w:bottom w:val="single" w:sz="4" w:space="0" w:color="auto"/>
              <w:right w:val="single" w:sz="4" w:space="0" w:color="auto"/>
            </w:tcBorders>
          </w:tcPr>
          <w:p w:rsidR="001928D9" w:rsidRPr="002E6BC6" w:rsidRDefault="001928D9" w:rsidP="001928D9">
            <w:pPr>
              <w:spacing w:before="40" w:after="40"/>
              <w:rPr>
                <w:rFonts w:ascii="Arial Narrow" w:hAnsi="Arial Narrow" w:cs="Arial"/>
                <w:strike/>
                <w:sz w:val="20"/>
                <w:szCs w:val="20"/>
              </w:rPr>
            </w:pPr>
            <w:r w:rsidRPr="002E6BC6">
              <w:rPr>
                <w:rFonts w:ascii="Arial Narrow" w:hAnsi="Arial Narrow" w:cs="Arial"/>
                <w:strike/>
                <w:sz w:val="20"/>
                <w:szCs w:val="20"/>
              </w:rPr>
              <w:t xml:space="preserve">At the time of authority application, medical practitioners must request the appropriate number of vials of appropriate strength to provide sufficient drug, based on the weight of the patient, for one infusion. A separate authority prescription form </w:t>
            </w:r>
            <w:proofErr w:type="gramStart"/>
            <w:r w:rsidRPr="002E6BC6">
              <w:rPr>
                <w:rFonts w:ascii="Arial Narrow" w:hAnsi="Arial Narrow" w:cs="Arial"/>
                <w:strike/>
                <w:sz w:val="20"/>
                <w:szCs w:val="20"/>
              </w:rPr>
              <w:t>must be completed</w:t>
            </w:r>
            <w:proofErr w:type="gramEnd"/>
            <w:r w:rsidRPr="002E6BC6">
              <w:rPr>
                <w:rFonts w:ascii="Arial Narrow" w:hAnsi="Arial Narrow" w:cs="Arial"/>
                <w:strike/>
                <w:sz w:val="20"/>
                <w:szCs w:val="20"/>
              </w:rPr>
              <w:t xml:space="preserve"> for each strength requested. Up to a maximum of 3 repeats will be authorised.</w:t>
            </w:r>
          </w:p>
          <w:p w:rsidR="001928D9" w:rsidRPr="002E6BC6" w:rsidRDefault="00DC4F25" w:rsidP="001928D9">
            <w:pPr>
              <w:spacing w:before="40" w:after="40"/>
              <w:rPr>
                <w:rFonts w:ascii="Arial Narrow" w:hAnsi="Arial Narrow" w:cs="Arial"/>
                <w:i/>
                <w:sz w:val="20"/>
                <w:szCs w:val="20"/>
              </w:rPr>
            </w:pPr>
            <w:proofErr w:type="gramStart"/>
            <w:r w:rsidRPr="002E6BC6">
              <w:rPr>
                <w:rFonts w:ascii="Arial Narrow" w:hAnsi="Arial Narrow" w:cs="Arial"/>
                <w:i/>
                <w:sz w:val="20"/>
                <w:szCs w:val="20"/>
              </w:rPr>
              <w:t>At the time of continuing authority application, medical practitioners must request the appropriate number of repeats, based on the weight of the patient as follows: for the patients under 30 kg the 162 mg dose every 3 weeks, and for the patients of 30 kg or over the 162 mg dose every 2 weeks to provide a sufficient amount for up to 24 weeks of treatment.</w:t>
            </w:r>
            <w:proofErr w:type="gramEnd"/>
          </w:p>
          <w:p w:rsidR="001928D9" w:rsidRPr="002E6BC6" w:rsidRDefault="001928D9" w:rsidP="001928D9">
            <w:pPr>
              <w:spacing w:before="40" w:after="40"/>
              <w:rPr>
                <w:rFonts w:ascii="Arial Narrow" w:hAnsi="Arial Narrow" w:cs="Arial"/>
                <w:i/>
                <w:sz w:val="20"/>
                <w:szCs w:val="20"/>
              </w:rPr>
            </w:pPr>
          </w:p>
        </w:tc>
      </w:tr>
    </w:tbl>
    <w:p w:rsidR="00060708" w:rsidRPr="002E6BC6" w:rsidRDefault="002775AA" w:rsidP="000334C9">
      <w:pPr>
        <w:pStyle w:val="ListParagraph"/>
        <w:widowControl/>
        <w:numPr>
          <w:ilvl w:val="1"/>
          <w:numId w:val="14"/>
        </w:numPr>
        <w:spacing w:before="120" w:after="120"/>
        <w:contextualSpacing w:val="0"/>
        <w:rPr>
          <w:rFonts w:asciiTheme="minorHAnsi" w:eastAsiaTheme="minorHAnsi" w:hAnsiTheme="minorHAnsi" w:cstheme="minorBidi"/>
          <w:szCs w:val="22"/>
        </w:rPr>
      </w:pPr>
      <w:r w:rsidRPr="002E6BC6">
        <w:rPr>
          <w:rFonts w:asciiTheme="minorHAnsi" w:eastAsiaTheme="minorHAnsi" w:hAnsiTheme="minorHAnsi" w:cstheme="minorBidi"/>
          <w:snapToGrid/>
          <w:sz w:val="24"/>
          <w:szCs w:val="22"/>
        </w:rPr>
        <w:t>The p</w:t>
      </w:r>
      <w:r w:rsidR="00C23E3E" w:rsidRPr="002E6BC6">
        <w:rPr>
          <w:rFonts w:asciiTheme="minorHAnsi" w:eastAsiaTheme="minorHAnsi" w:hAnsiTheme="minorHAnsi" w:cstheme="minorBidi"/>
          <w:snapToGrid/>
          <w:sz w:val="24"/>
          <w:szCs w:val="22"/>
        </w:rPr>
        <w:t xml:space="preserve">re-PBAC response </w:t>
      </w:r>
      <w:r w:rsidR="002E38BF" w:rsidRPr="002E6BC6">
        <w:rPr>
          <w:rFonts w:asciiTheme="minorHAnsi" w:eastAsiaTheme="minorHAnsi" w:hAnsiTheme="minorHAnsi" w:cstheme="minorBidi"/>
          <w:snapToGrid/>
          <w:sz w:val="24"/>
          <w:szCs w:val="22"/>
        </w:rPr>
        <w:t>requested changing</w:t>
      </w:r>
      <w:r w:rsidR="00C246EA" w:rsidRPr="002E6BC6">
        <w:rPr>
          <w:rFonts w:asciiTheme="minorHAnsi" w:eastAsiaTheme="minorHAnsi" w:hAnsiTheme="minorHAnsi" w:cstheme="minorBidi"/>
          <w:snapToGrid/>
          <w:sz w:val="24"/>
          <w:szCs w:val="22"/>
        </w:rPr>
        <w:t xml:space="preserve"> the</w:t>
      </w:r>
      <w:r w:rsidRPr="002E6BC6">
        <w:rPr>
          <w:rFonts w:asciiTheme="minorHAnsi" w:eastAsiaTheme="minorHAnsi" w:hAnsiTheme="minorHAnsi" w:cstheme="minorBidi"/>
          <w:snapToGrid/>
          <w:sz w:val="24"/>
          <w:szCs w:val="22"/>
        </w:rPr>
        <w:t xml:space="preserve"> maximum quantity and</w:t>
      </w:r>
      <w:r w:rsidR="00C246EA" w:rsidRPr="002E6BC6">
        <w:rPr>
          <w:rFonts w:asciiTheme="minorHAnsi" w:eastAsiaTheme="minorHAnsi" w:hAnsiTheme="minorHAnsi" w:cstheme="minorBidi"/>
          <w:snapToGrid/>
          <w:sz w:val="24"/>
          <w:szCs w:val="22"/>
        </w:rPr>
        <w:t xml:space="preserve"> number of repeats </w:t>
      </w:r>
      <w:r w:rsidRPr="002E6BC6">
        <w:rPr>
          <w:rFonts w:asciiTheme="minorHAnsi" w:eastAsiaTheme="minorHAnsi" w:hAnsiTheme="minorHAnsi" w:cstheme="minorBidi"/>
          <w:snapToGrid/>
          <w:sz w:val="24"/>
          <w:szCs w:val="22"/>
        </w:rPr>
        <w:t xml:space="preserve">from the </w:t>
      </w:r>
      <w:proofErr w:type="gramStart"/>
      <w:r w:rsidRPr="002E6BC6">
        <w:rPr>
          <w:rFonts w:asciiTheme="minorHAnsi" w:eastAsiaTheme="minorHAnsi" w:hAnsiTheme="minorHAnsi" w:cstheme="minorBidi"/>
          <w:snapToGrid/>
          <w:sz w:val="24"/>
          <w:szCs w:val="22"/>
        </w:rPr>
        <w:t>Secretariat’s</w:t>
      </w:r>
      <w:proofErr w:type="gramEnd"/>
      <w:r w:rsidRPr="002E6BC6">
        <w:rPr>
          <w:rFonts w:asciiTheme="minorHAnsi" w:eastAsiaTheme="minorHAnsi" w:hAnsiTheme="minorHAnsi" w:cstheme="minorBidi"/>
          <w:snapToGrid/>
          <w:sz w:val="24"/>
          <w:szCs w:val="22"/>
        </w:rPr>
        <w:t xml:space="preserve"> proposed</w:t>
      </w:r>
      <w:r w:rsidR="00C246EA" w:rsidRPr="002E6BC6">
        <w:rPr>
          <w:rFonts w:asciiTheme="minorHAnsi" w:eastAsiaTheme="minorHAnsi" w:hAnsiTheme="minorHAnsi" w:cstheme="minorBidi"/>
          <w:snapToGrid/>
          <w:sz w:val="24"/>
          <w:szCs w:val="22"/>
        </w:rPr>
        <w:t xml:space="preserve"> </w:t>
      </w:r>
      <w:r w:rsidR="002E38BF" w:rsidRPr="002E6BC6">
        <w:rPr>
          <w:rFonts w:asciiTheme="minorHAnsi" w:eastAsiaTheme="minorHAnsi" w:hAnsiTheme="minorHAnsi" w:cstheme="minorBidi"/>
          <w:snapToGrid/>
          <w:sz w:val="24"/>
          <w:szCs w:val="22"/>
        </w:rPr>
        <w:t>maximum quantity of 1 with 0 repeats</w:t>
      </w:r>
      <w:r w:rsidRPr="002E6BC6">
        <w:rPr>
          <w:rFonts w:asciiTheme="minorHAnsi" w:eastAsiaTheme="minorHAnsi" w:hAnsiTheme="minorHAnsi" w:cstheme="minorBidi"/>
          <w:snapToGrid/>
          <w:sz w:val="24"/>
          <w:szCs w:val="22"/>
        </w:rPr>
        <w:t xml:space="preserve"> to </w:t>
      </w:r>
      <w:r w:rsidR="002E38BF" w:rsidRPr="002E6BC6">
        <w:rPr>
          <w:rFonts w:asciiTheme="minorHAnsi" w:eastAsiaTheme="minorHAnsi" w:hAnsiTheme="minorHAnsi" w:cstheme="minorBidi"/>
          <w:snapToGrid/>
          <w:sz w:val="24"/>
          <w:szCs w:val="22"/>
        </w:rPr>
        <w:t xml:space="preserve">a maximum quantity of </w:t>
      </w:r>
      <w:r w:rsidRPr="002E6BC6">
        <w:rPr>
          <w:rFonts w:asciiTheme="minorHAnsi" w:eastAsiaTheme="minorHAnsi" w:hAnsiTheme="minorHAnsi" w:cstheme="minorBidi"/>
          <w:snapToGrid/>
          <w:sz w:val="24"/>
          <w:szCs w:val="22"/>
        </w:rPr>
        <w:t>1</w:t>
      </w:r>
      <w:r w:rsidR="002E38BF" w:rsidRPr="002E6BC6">
        <w:rPr>
          <w:rFonts w:asciiTheme="minorHAnsi" w:eastAsiaTheme="minorHAnsi" w:hAnsiTheme="minorHAnsi" w:cstheme="minorBidi"/>
          <w:snapToGrid/>
          <w:sz w:val="24"/>
          <w:szCs w:val="22"/>
        </w:rPr>
        <w:t xml:space="preserve"> with</w:t>
      </w:r>
      <w:r w:rsidRPr="002E6BC6">
        <w:rPr>
          <w:rFonts w:asciiTheme="minorHAnsi" w:eastAsiaTheme="minorHAnsi" w:hAnsiTheme="minorHAnsi" w:cstheme="minorBidi"/>
          <w:snapToGrid/>
          <w:sz w:val="24"/>
          <w:szCs w:val="22"/>
        </w:rPr>
        <w:t xml:space="preserve"> 1</w:t>
      </w:r>
      <w:r w:rsidR="002E38BF" w:rsidRPr="002E6BC6">
        <w:rPr>
          <w:rFonts w:asciiTheme="minorHAnsi" w:eastAsiaTheme="minorHAnsi" w:hAnsiTheme="minorHAnsi" w:cstheme="minorBidi"/>
          <w:snapToGrid/>
          <w:sz w:val="24"/>
          <w:szCs w:val="22"/>
        </w:rPr>
        <w:t xml:space="preserve"> repeat</w:t>
      </w:r>
      <w:r w:rsidRPr="002E6BC6">
        <w:rPr>
          <w:rFonts w:asciiTheme="minorHAnsi" w:eastAsiaTheme="minorHAnsi" w:hAnsiTheme="minorHAnsi" w:cstheme="minorBidi"/>
          <w:snapToGrid/>
          <w:sz w:val="24"/>
          <w:szCs w:val="22"/>
        </w:rPr>
        <w:t>.</w:t>
      </w:r>
      <w:r w:rsidR="00BC7A1B" w:rsidRPr="002E6BC6">
        <w:rPr>
          <w:rFonts w:asciiTheme="minorHAnsi" w:eastAsiaTheme="minorHAnsi" w:hAnsiTheme="minorHAnsi" w:cstheme="minorBidi"/>
          <w:snapToGrid/>
          <w:sz w:val="24"/>
          <w:szCs w:val="22"/>
        </w:rPr>
        <w:t xml:space="preserve"> The pre-PBAC response indicated that this</w:t>
      </w:r>
      <w:r w:rsidR="00C246EA" w:rsidRPr="002E6BC6">
        <w:rPr>
          <w:rFonts w:asciiTheme="minorHAnsi" w:eastAsiaTheme="minorHAnsi" w:hAnsiTheme="minorHAnsi" w:cstheme="minorBidi"/>
          <w:snapToGrid/>
          <w:sz w:val="24"/>
          <w:szCs w:val="22"/>
        </w:rPr>
        <w:t xml:space="preserve"> </w:t>
      </w:r>
      <w:r w:rsidR="00BC7A1B" w:rsidRPr="002E6BC6">
        <w:rPr>
          <w:rFonts w:asciiTheme="minorHAnsi" w:eastAsiaTheme="minorHAnsi" w:hAnsiTheme="minorHAnsi" w:cstheme="minorBidi"/>
          <w:snapToGrid/>
          <w:sz w:val="24"/>
          <w:szCs w:val="22"/>
        </w:rPr>
        <w:t xml:space="preserve">would reduce the number of requests for additional repeats by prescribers. </w:t>
      </w:r>
    </w:p>
    <w:p w:rsidR="00B16D9C" w:rsidRPr="002E6BC6" w:rsidRDefault="00A537F3" w:rsidP="000334C9">
      <w:pPr>
        <w:spacing w:before="120" w:after="120"/>
        <w:rPr>
          <w:rFonts w:asciiTheme="minorHAnsi" w:hAnsiTheme="minorHAnsi"/>
          <w:i/>
        </w:rPr>
      </w:pPr>
      <w:r>
        <w:rPr>
          <w:rFonts w:asciiTheme="minorHAnsi" w:eastAsiaTheme="minorHAnsi" w:hAnsiTheme="minorHAnsi" w:cstheme="minorBidi"/>
          <w:szCs w:val="22"/>
        </w:rPr>
        <w:tab/>
      </w:r>
      <w:r w:rsidR="00B16D9C" w:rsidRPr="002E6BC6">
        <w:rPr>
          <w:rFonts w:asciiTheme="minorHAnsi" w:hAnsiTheme="minorHAnsi"/>
          <w:i/>
        </w:rPr>
        <w:t>For more deta</w:t>
      </w:r>
      <w:r w:rsidR="00BC7A1B" w:rsidRPr="002E6BC6">
        <w:rPr>
          <w:rFonts w:asciiTheme="minorHAnsi" w:hAnsiTheme="minorHAnsi"/>
          <w:i/>
        </w:rPr>
        <w:t>il on PBAC’s view, see section 6</w:t>
      </w:r>
      <w:r w:rsidR="00B16D9C" w:rsidRPr="002E6BC6">
        <w:rPr>
          <w:rFonts w:asciiTheme="minorHAnsi" w:hAnsiTheme="minorHAnsi"/>
          <w:i/>
        </w:rPr>
        <w:t xml:space="preserve"> PBAC outcome.</w:t>
      </w:r>
    </w:p>
    <w:p w:rsidR="00C603D4" w:rsidRPr="002E6BC6" w:rsidRDefault="00CE10C4" w:rsidP="000334C9">
      <w:pPr>
        <w:pStyle w:val="PBACHeading1"/>
        <w:spacing w:before="120" w:after="120"/>
        <w:ind w:left="709" w:hanging="709"/>
        <w:rPr>
          <w:rFonts w:asciiTheme="minorHAnsi" w:hAnsiTheme="minorHAnsi"/>
          <w:sz w:val="32"/>
          <w:szCs w:val="32"/>
        </w:rPr>
      </w:pPr>
      <w:r w:rsidRPr="002E6BC6">
        <w:rPr>
          <w:rFonts w:asciiTheme="minorHAnsi" w:hAnsiTheme="minorHAnsi"/>
          <w:sz w:val="32"/>
          <w:szCs w:val="32"/>
        </w:rPr>
        <w:t>Background</w:t>
      </w:r>
    </w:p>
    <w:p w:rsidR="006B0D94" w:rsidRPr="002E6BC6" w:rsidRDefault="001F5133" w:rsidP="000334C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proofErr w:type="spellStart"/>
      <w:r w:rsidRPr="002E6BC6">
        <w:rPr>
          <w:rFonts w:asciiTheme="minorHAnsi" w:eastAsiaTheme="minorHAnsi" w:hAnsiTheme="minorHAnsi" w:cstheme="minorBidi"/>
          <w:snapToGrid/>
          <w:sz w:val="24"/>
          <w:szCs w:val="22"/>
        </w:rPr>
        <w:t>T</w:t>
      </w:r>
      <w:r w:rsidR="00516910" w:rsidRPr="002E6BC6">
        <w:rPr>
          <w:rFonts w:asciiTheme="minorHAnsi" w:eastAsiaTheme="minorHAnsi" w:hAnsiTheme="minorHAnsi" w:cstheme="minorBidi"/>
          <w:snapToGrid/>
          <w:sz w:val="24"/>
          <w:szCs w:val="22"/>
        </w:rPr>
        <w:t>ocilizu</w:t>
      </w:r>
      <w:r w:rsidR="004451C8" w:rsidRPr="002E6BC6">
        <w:rPr>
          <w:rFonts w:asciiTheme="minorHAnsi" w:eastAsiaTheme="minorHAnsi" w:hAnsiTheme="minorHAnsi" w:cstheme="minorBidi"/>
          <w:snapToGrid/>
          <w:sz w:val="24"/>
          <w:szCs w:val="22"/>
        </w:rPr>
        <w:t>mab</w:t>
      </w:r>
      <w:proofErr w:type="spellEnd"/>
      <w:r w:rsidR="004451C8" w:rsidRPr="002E6BC6">
        <w:rPr>
          <w:rFonts w:asciiTheme="minorHAnsi" w:eastAsiaTheme="minorHAnsi" w:hAnsiTheme="minorHAnsi" w:cstheme="minorBidi"/>
          <w:snapToGrid/>
          <w:sz w:val="24"/>
          <w:szCs w:val="22"/>
        </w:rPr>
        <w:t xml:space="preserve"> </w:t>
      </w:r>
      <w:r w:rsidRPr="002E6BC6">
        <w:rPr>
          <w:rFonts w:asciiTheme="minorHAnsi" w:eastAsiaTheme="minorHAnsi" w:hAnsiTheme="minorHAnsi" w:cstheme="minorBidi"/>
          <w:snapToGrid/>
          <w:sz w:val="24"/>
          <w:szCs w:val="22"/>
        </w:rPr>
        <w:t xml:space="preserve">SC </w:t>
      </w:r>
      <w:r w:rsidR="004451C8" w:rsidRPr="002E6BC6">
        <w:rPr>
          <w:rFonts w:asciiTheme="minorHAnsi" w:eastAsiaTheme="minorHAnsi" w:hAnsiTheme="minorHAnsi" w:cstheme="minorBidi"/>
          <w:snapToGrid/>
          <w:sz w:val="24"/>
          <w:szCs w:val="22"/>
        </w:rPr>
        <w:t>was</w:t>
      </w:r>
      <w:r w:rsidR="00311B77" w:rsidRPr="002E6BC6">
        <w:rPr>
          <w:rFonts w:asciiTheme="minorHAnsi" w:eastAsiaTheme="minorHAnsi" w:hAnsiTheme="minorHAnsi" w:cstheme="minorBidi"/>
          <w:snapToGrid/>
          <w:sz w:val="24"/>
          <w:szCs w:val="22"/>
        </w:rPr>
        <w:t xml:space="preserve"> TGA registered</w:t>
      </w:r>
      <w:r w:rsidR="004451C8" w:rsidRPr="002E6BC6">
        <w:rPr>
          <w:rFonts w:asciiTheme="minorHAnsi" w:eastAsiaTheme="minorHAnsi" w:hAnsiTheme="minorHAnsi" w:cstheme="minorBidi"/>
          <w:snapToGrid/>
          <w:sz w:val="24"/>
          <w:szCs w:val="22"/>
        </w:rPr>
        <w:t xml:space="preserve"> </w:t>
      </w:r>
      <w:r w:rsidR="00516910" w:rsidRPr="002E6BC6">
        <w:rPr>
          <w:rFonts w:asciiTheme="minorHAnsi" w:eastAsiaTheme="minorHAnsi" w:hAnsiTheme="minorHAnsi" w:cstheme="minorBidi"/>
          <w:snapToGrid/>
          <w:sz w:val="24"/>
          <w:szCs w:val="22"/>
        </w:rPr>
        <w:t xml:space="preserve">on 19 November 2018 </w:t>
      </w:r>
      <w:r w:rsidR="00311B77" w:rsidRPr="002E6BC6">
        <w:rPr>
          <w:rFonts w:asciiTheme="minorHAnsi" w:eastAsiaTheme="minorHAnsi" w:hAnsiTheme="minorHAnsi" w:cstheme="minorBidi"/>
          <w:snapToGrid/>
          <w:sz w:val="24"/>
          <w:szCs w:val="22"/>
        </w:rPr>
        <w:t>for</w:t>
      </w:r>
      <w:r w:rsidR="00CA022E" w:rsidRPr="002E6BC6">
        <w:rPr>
          <w:rFonts w:asciiTheme="minorHAnsi" w:eastAsiaTheme="minorHAnsi" w:hAnsiTheme="minorHAnsi" w:cstheme="minorBidi"/>
          <w:snapToGrid/>
          <w:sz w:val="24"/>
          <w:szCs w:val="22"/>
        </w:rPr>
        <w:t xml:space="preserve"> the treatment of </w:t>
      </w:r>
      <w:proofErr w:type="spellStart"/>
      <w:r w:rsidR="00CA022E" w:rsidRPr="002E6BC6">
        <w:rPr>
          <w:rFonts w:asciiTheme="minorHAnsi" w:eastAsiaTheme="minorHAnsi" w:hAnsiTheme="minorHAnsi" w:cstheme="minorBidi"/>
          <w:snapToGrid/>
          <w:sz w:val="24"/>
          <w:szCs w:val="22"/>
        </w:rPr>
        <w:t>polyarticular</w:t>
      </w:r>
      <w:proofErr w:type="spellEnd"/>
      <w:r w:rsidR="00516910" w:rsidRPr="002E6BC6">
        <w:rPr>
          <w:rFonts w:asciiTheme="minorHAnsi" w:eastAsiaTheme="minorHAnsi" w:hAnsiTheme="minorHAnsi" w:cstheme="minorBidi"/>
          <w:snapToGrid/>
          <w:sz w:val="24"/>
          <w:szCs w:val="22"/>
        </w:rPr>
        <w:t xml:space="preserve"> </w:t>
      </w:r>
      <w:r w:rsidR="00EC0654" w:rsidRPr="002E6BC6">
        <w:rPr>
          <w:rFonts w:asciiTheme="minorHAnsi" w:eastAsiaTheme="minorHAnsi" w:hAnsiTheme="minorHAnsi" w:cstheme="minorBidi"/>
          <w:snapToGrid/>
          <w:sz w:val="24"/>
          <w:szCs w:val="22"/>
        </w:rPr>
        <w:t>JIA</w:t>
      </w:r>
      <w:r w:rsidR="00516910" w:rsidRPr="002E6BC6">
        <w:rPr>
          <w:rFonts w:asciiTheme="minorHAnsi" w:eastAsiaTheme="minorHAnsi" w:hAnsiTheme="minorHAnsi" w:cstheme="minorBidi"/>
          <w:snapToGrid/>
          <w:sz w:val="24"/>
          <w:szCs w:val="22"/>
        </w:rPr>
        <w:t xml:space="preserve">. </w:t>
      </w:r>
    </w:p>
    <w:p w:rsidR="005D6781" w:rsidRPr="002E6BC6" w:rsidRDefault="005D6781" w:rsidP="000334C9">
      <w:pPr>
        <w:pStyle w:val="ListParagraph"/>
        <w:numPr>
          <w:ilvl w:val="1"/>
          <w:numId w:val="14"/>
        </w:numPr>
        <w:spacing w:before="120" w:after="120"/>
        <w:contextualSpacing w:val="0"/>
        <w:rPr>
          <w:rFonts w:asciiTheme="minorHAnsi" w:eastAsiaTheme="minorHAnsi" w:hAnsiTheme="minorHAnsi" w:cstheme="minorBidi"/>
          <w:snapToGrid/>
          <w:sz w:val="24"/>
          <w:szCs w:val="22"/>
        </w:rPr>
      </w:pPr>
      <w:r w:rsidRPr="002E6BC6">
        <w:rPr>
          <w:rFonts w:asciiTheme="minorHAnsi" w:eastAsiaTheme="minorHAnsi" w:hAnsiTheme="minorHAnsi" w:cstheme="minorBidi"/>
          <w:snapToGrid/>
          <w:sz w:val="24"/>
          <w:szCs w:val="22"/>
        </w:rPr>
        <w:t xml:space="preserve">The auto-injector presentation of </w:t>
      </w:r>
      <w:proofErr w:type="spellStart"/>
      <w:r w:rsidRPr="002E6BC6">
        <w:rPr>
          <w:rFonts w:asciiTheme="minorHAnsi" w:eastAsiaTheme="minorHAnsi" w:hAnsiTheme="minorHAnsi" w:cstheme="minorBidi"/>
          <w:snapToGrid/>
          <w:sz w:val="24"/>
          <w:szCs w:val="22"/>
        </w:rPr>
        <w:t>tocilizumab</w:t>
      </w:r>
      <w:proofErr w:type="spellEnd"/>
      <w:r w:rsidRPr="002E6BC6">
        <w:rPr>
          <w:rFonts w:asciiTheme="minorHAnsi" w:eastAsiaTheme="minorHAnsi" w:hAnsiTheme="minorHAnsi" w:cstheme="minorBidi"/>
          <w:snapToGrid/>
          <w:sz w:val="24"/>
          <w:szCs w:val="22"/>
        </w:rPr>
        <w:t xml:space="preserve"> SC </w:t>
      </w:r>
      <w:proofErr w:type="gramStart"/>
      <w:r w:rsidRPr="002E6BC6">
        <w:rPr>
          <w:rFonts w:asciiTheme="minorHAnsi" w:eastAsiaTheme="minorHAnsi" w:hAnsiTheme="minorHAnsi" w:cstheme="minorBidi"/>
          <w:snapToGrid/>
          <w:sz w:val="24"/>
          <w:szCs w:val="22"/>
        </w:rPr>
        <w:t>was recommended</w:t>
      </w:r>
      <w:proofErr w:type="gramEnd"/>
      <w:r w:rsidRPr="002E6BC6">
        <w:rPr>
          <w:rFonts w:asciiTheme="minorHAnsi" w:eastAsiaTheme="minorHAnsi" w:hAnsiTheme="minorHAnsi" w:cstheme="minorBidi"/>
          <w:snapToGrid/>
          <w:sz w:val="24"/>
          <w:szCs w:val="22"/>
        </w:rPr>
        <w:t xml:space="preserve"> by the PBAC for the treatment of severe active rheumatoid arthritis in July 2018. </w:t>
      </w:r>
    </w:p>
    <w:p w:rsidR="00CA022E" w:rsidRPr="002E6BC6" w:rsidRDefault="00CA022E" w:rsidP="000334C9">
      <w:pPr>
        <w:pStyle w:val="ListParagraph"/>
        <w:numPr>
          <w:ilvl w:val="1"/>
          <w:numId w:val="14"/>
        </w:numPr>
        <w:spacing w:before="120" w:after="120"/>
        <w:rPr>
          <w:rFonts w:asciiTheme="minorHAnsi" w:eastAsiaTheme="minorHAnsi" w:hAnsiTheme="minorHAnsi" w:cstheme="minorBidi"/>
          <w:snapToGrid/>
          <w:sz w:val="24"/>
          <w:szCs w:val="22"/>
        </w:rPr>
      </w:pPr>
      <w:r w:rsidRPr="002E6BC6">
        <w:rPr>
          <w:rFonts w:asciiTheme="minorHAnsi" w:eastAsiaTheme="minorHAnsi" w:hAnsiTheme="minorHAnsi" w:cstheme="minorBidi"/>
          <w:snapToGrid/>
          <w:sz w:val="24"/>
          <w:szCs w:val="22"/>
        </w:rPr>
        <w:t xml:space="preserve">The pre-filled syringe presentation </w:t>
      </w:r>
      <w:r w:rsidR="00B954F6" w:rsidRPr="002E6BC6">
        <w:rPr>
          <w:rFonts w:asciiTheme="minorHAnsi" w:eastAsiaTheme="minorHAnsi" w:hAnsiTheme="minorHAnsi" w:cstheme="minorBidi"/>
          <w:snapToGrid/>
          <w:sz w:val="24"/>
          <w:szCs w:val="22"/>
        </w:rPr>
        <w:t xml:space="preserve">of </w:t>
      </w:r>
      <w:proofErr w:type="spellStart"/>
      <w:r w:rsidR="00B954F6" w:rsidRPr="002E6BC6">
        <w:rPr>
          <w:rFonts w:asciiTheme="minorHAnsi" w:eastAsiaTheme="minorHAnsi" w:hAnsiTheme="minorHAnsi" w:cstheme="minorBidi"/>
          <w:snapToGrid/>
          <w:sz w:val="24"/>
          <w:szCs w:val="22"/>
        </w:rPr>
        <w:t>tocilizumab</w:t>
      </w:r>
      <w:proofErr w:type="spellEnd"/>
      <w:r w:rsidR="00B954F6" w:rsidRPr="002E6BC6">
        <w:rPr>
          <w:rFonts w:asciiTheme="minorHAnsi" w:eastAsiaTheme="minorHAnsi" w:hAnsiTheme="minorHAnsi" w:cstheme="minorBidi"/>
          <w:snapToGrid/>
          <w:sz w:val="24"/>
          <w:szCs w:val="22"/>
        </w:rPr>
        <w:t xml:space="preserve"> </w:t>
      </w:r>
      <w:r w:rsidR="001F5133" w:rsidRPr="002E6BC6">
        <w:rPr>
          <w:rFonts w:asciiTheme="minorHAnsi" w:eastAsiaTheme="minorHAnsi" w:hAnsiTheme="minorHAnsi" w:cstheme="minorBidi"/>
          <w:snapToGrid/>
          <w:sz w:val="24"/>
          <w:szCs w:val="22"/>
        </w:rPr>
        <w:t xml:space="preserve">SC </w:t>
      </w:r>
      <w:proofErr w:type="gramStart"/>
      <w:r w:rsidRPr="002E6BC6">
        <w:rPr>
          <w:rFonts w:asciiTheme="minorHAnsi" w:eastAsiaTheme="minorHAnsi" w:hAnsiTheme="minorHAnsi" w:cstheme="minorBidi"/>
          <w:snapToGrid/>
          <w:sz w:val="24"/>
          <w:szCs w:val="22"/>
        </w:rPr>
        <w:t>was recommended</w:t>
      </w:r>
      <w:proofErr w:type="gramEnd"/>
      <w:r w:rsidR="00D96AAD" w:rsidRPr="002E6BC6">
        <w:rPr>
          <w:rFonts w:asciiTheme="minorHAnsi" w:eastAsiaTheme="minorHAnsi" w:hAnsiTheme="minorHAnsi" w:cstheme="minorBidi"/>
          <w:snapToGrid/>
          <w:sz w:val="24"/>
          <w:szCs w:val="22"/>
        </w:rPr>
        <w:t xml:space="preserve"> by the PBAC</w:t>
      </w:r>
      <w:r w:rsidRPr="002E6BC6">
        <w:rPr>
          <w:rFonts w:asciiTheme="minorHAnsi" w:eastAsiaTheme="minorHAnsi" w:hAnsiTheme="minorHAnsi" w:cstheme="minorBidi"/>
          <w:snapToGrid/>
          <w:sz w:val="24"/>
          <w:szCs w:val="22"/>
        </w:rPr>
        <w:t xml:space="preserve"> for </w:t>
      </w:r>
      <w:r w:rsidR="00D96AAD" w:rsidRPr="002E6BC6">
        <w:rPr>
          <w:rFonts w:asciiTheme="minorHAnsi" w:eastAsiaTheme="minorHAnsi" w:hAnsiTheme="minorHAnsi" w:cstheme="minorBidi"/>
          <w:snapToGrid/>
          <w:sz w:val="24"/>
          <w:szCs w:val="22"/>
        </w:rPr>
        <w:t xml:space="preserve">the treatment of </w:t>
      </w:r>
      <w:r w:rsidRPr="002E6BC6">
        <w:rPr>
          <w:rFonts w:asciiTheme="minorHAnsi" w:eastAsiaTheme="minorHAnsi" w:hAnsiTheme="minorHAnsi" w:cstheme="minorBidi"/>
          <w:snapToGrid/>
          <w:sz w:val="24"/>
          <w:szCs w:val="22"/>
        </w:rPr>
        <w:t>patients with prior DMARD inadequate response</w:t>
      </w:r>
      <w:r w:rsidR="00D96AAD" w:rsidRPr="002E6BC6">
        <w:rPr>
          <w:rFonts w:asciiTheme="minorHAnsi" w:eastAsiaTheme="minorHAnsi" w:hAnsiTheme="minorHAnsi" w:cstheme="minorBidi"/>
          <w:snapToGrid/>
          <w:sz w:val="24"/>
          <w:szCs w:val="22"/>
        </w:rPr>
        <w:t xml:space="preserve"> as monotherapy or in combination with methotrexate</w:t>
      </w:r>
      <w:r w:rsidR="008D2FBC" w:rsidRPr="002E6BC6">
        <w:rPr>
          <w:rFonts w:asciiTheme="minorHAnsi" w:eastAsiaTheme="minorHAnsi" w:hAnsiTheme="minorHAnsi" w:cstheme="minorBidi"/>
          <w:snapToGrid/>
          <w:sz w:val="24"/>
          <w:szCs w:val="22"/>
        </w:rPr>
        <w:t xml:space="preserve"> (MTX)</w:t>
      </w:r>
      <w:r w:rsidRPr="002E6BC6">
        <w:rPr>
          <w:rFonts w:asciiTheme="minorHAnsi" w:eastAsiaTheme="minorHAnsi" w:hAnsiTheme="minorHAnsi" w:cstheme="minorBidi"/>
          <w:snapToGrid/>
          <w:sz w:val="24"/>
          <w:szCs w:val="22"/>
        </w:rPr>
        <w:t xml:space="preserve">, on a cost-minimisation basis with other </w:t>
      </w:r>
      <w:proofErr w:type="spellStart"/>
      <w:r w:rsidRPr="002E6BC6">
        <w:rPr>
          <w:rFonts w:asciiTheme="minorHAnsi" w:eastAsiaTheme="minorHAnsi" w:hAnsiTheme="minorHAnsi" w:cstheme="minorBidi"/>
          <w:snapToGrid/>
          <w:sz w:val="24"/>
          <w:szCs w:val="22"/>
        </w:rPr>
        <w:t>bDMARDs</w:t>
      </w:r>
      <w:proofErr w:type="spellEnd"/>
      <w:r w:rsidRPr="002E6BC6">
        <w:rPr>
          <w:rFonts w:asciiTheme="minorHAnsi" w:eastAsiaTheme="minorHAnsi" w:hAnsiTheme="minorHAnsi" w:cstheme="minorBidi"/>
          <w:snapToGrid/>
          <w:sz w:val="24"/>
          <w:szCs w:val="22"/>
        </w:rPr>
        <w:t xml:space="preserve"> in March 2016.</w:t>
      </w:r>
    </w:p>
    <w:p w:rsidR="00EC0654" w:rsidRPr="002E6BC6" w:rsidRDefault="00EC0654" w:rsidP="000334C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2E6BC6">
        <w:rPr>
          <w:rFonts w:asciiTheme="minorHAnsi" w:eastAsiaTheme="minorHAnsi" w:hAnsiTheme="minorHAnsi" w:cstheme="minorBidi"/>
          <w:snapToGrid/>
          <w:sz w:val="24"/>
          <w:szCs w:val="22"/>
        </w:rPr>
        <w:t xml:space="preserve">The IV presentation of </w:t>
      </w:r>
      <w:proofErr w:type="spellStart"/>
      <w:r w:rsidR="00021047" w:rsidRPr="002E6BC6">
        <w:rPr>
          <w:rFonts w:asciiTheme="minorHAnsi" w:eastAsiaTheme="minorHAnsi" w:hAnsiTheme="minorHAnsi" w:cstheme="minorBidi"/>
          <w:snapToGrid/>
          <w:sz w:val="24"/>
          <w:szCs w:val="22"/>
        </w:rPr>
        <w:t>tocili</w:t>
      </w:r>
      <w:r w:rsidR="00CA022E" w:rsidRPr="002E6BC6">
        <w:rPr>
          <w:rFonts w:asciiTheme="minorHAnsi" w:eastAsiaTheme="minorHAnsi" w:hAnsiTheme="minorHAnsi" w:cstheme="minorBidi"/>
          <w:snapToGrid/>
          <w:sz w:val="24"/>
          <w:szCs w:val="22"/>
        </w:rPr>
        <w:t>zumab</w:t>
      </w:r>
      <w:proofErr w:type="spellEnd"/>
      <w:r w:rsidR="00CA022E" w:rsidRPr="002E6BC6">
        <w:rPr>
          <w:rFonts w:asciiTheme="minorHAnsi" w:eastAsiaTheme="minorHAnsi" w:hAnsiTheme="minorHAnsi" w:cstheme="minorBidi"/>
          <w:snapToGrid/>
          <w:sz w:val="24"/>
          <w:szCs w:val="22"/>
        </w:rPr>
        <w:t xml:space="preserve"> </w:t>
      </w:r>
      <w:proofErr w:type="gramStart"/>
      <w:r w:rsidRPr="002E6BC6">
        <w:rPr>
          <w:rFonts w:asciiTheme="minorHAnsi" w:eastAsiaTheme="minorHAnsi" w:hAnsiTheme="minorHAnsi" w:cstheme="minorBidi"/>
          <w:snapToGrid/>
          <w:sz w:val="24"/>
          <w:szCs w:val="22"/>
        </w:rPr>
        <w:t>was recommended</w:t>
      </w:r>
      <w:proofErr w:type="gramEnd"/>
      <w:r w:rsidRPr="002E6BC6">
        <w:rPr>
          <w:rFonts w:asciiTheme="minorHAnsi" w:eastAsiaTheme="minorHAnsi" w:hAnsiTheme="minorHAnsi" w:cstheme="minorBidi"/>
          <w:snapToGrid/>
          <w:sz w:val="24"/>
          <w:szCs w:val="22"/>
        </w:rPr>
        <w:t xml:space="preserve"> by the PBAC </w:t>
      </w:r>
      <w:r w:rsidR="00CA022E" w:rsidRPr="002E6BC6">
        <w:rPr>
          <w:rFonts w:asciiTheme="minorHAnsi" w:eastAsiaTheme="minorHAnsi" w:hAnsiTheme="minorHAnsi" w:cstheme="minorBidi"/>
          <w:snapToGrid/>
          <w:sz w:val="24"/>
          <w:szCs w:val="22"/>
        </w:rPr>
        <w:t>for</w:t>
      </w:r>
      <w:r w:rsidR="00E6310D" w:rsidRPr="002E6BC6">
        <w:rPr>
          <w:rFonts w:asciiTheme="minorHAnsi" w:eastAsiaTheme="minorHAnsi" w:hAnsiTheme="minorHAnsi" w:cstheme="minorBidi"/>
          <w:snapToGrid/>
          <w:sz w:val="24"/>
          <w:szCs w:val="22"/>
        </w:rPr>
        <w:t xml:space="preserve"> the treatment of active </w:t>
      </w:r>
      <w:proofErr w:type="spellStart"/>
      <w:r w:rsidR="00E6310D" w:rsidRPr="002E6BC6">
        <w:rPr>
          <w:rFonts w:asciiTheme="minorHAnsi" w:eastAsiaTheme="minorHAnsi" w:hAnsiTheme="minorHAnsi" w:cstheme="minorBidi"/>
          <w:snapToGrid/>
          <w:sz w:val="24"/>
          <w:szCs w:val="22"/>
        </w:rPr>
        <w:t>polyarticular</w:t>
      </w:r>
      <w:proofErr w:type="spellEnd"/>
      <w:r w:rsidR="00E6310D" w:rsidRPr="002E6BC6">
        <w:rPr>
          <w:rFonts w:asciiTheme="minorHAnsi" w:eastAsiaTheme="minorHAnsi" w:hAnsiTheme="minorHAnsi" w:cstheme="minorBidi"/>
          <w:snapToGrid/>
          <w:sz w:val="24"/>
          <w:szCs w:val="22"/>
        </w:rPr>
        <w:t xml:space="preserve"> course</w:t>
      </w:r>
      <w:r w:rsidR="00CA022E" w:rsidRPr="002E6BC6">
        <w:rPr>
          <w:rFonts w:asciiTheme="minorHAnsi" w:eastAsiaTheme="minorHAnsi" w:hAnsiTheme="minorHAnsi" w:cstheme="minorBidi"/>
          <w:snapToGrid/>
          <w:sz w:val="24"/>
          <w:szCs w:val="22"/>
        </w:rPr>
        <w:t xml:space="preserve"> </w:t>
      </w:r>
      <w:r w:rsidRPr="002E6BC6">
        <w:rPr>
          <w:rFonts w:asciiTheme="minorHAnsi" w:eastAsiaTheme="minorHAnsi" w:hAnsiTheme="minorHAnsi" w:cstheme="minorBidi"/>
          <w:snapToGrid/>
          <w:sz w:val="24"/>
          <w:szCs w:val="22"/>
        </w:rPr>
        <w:t xml:space="preserve">JIA </w:t>
      </w:r>
      <w:r w:rsidR="00021047" w:rsidRPr="002E6BC6">
        <w:rPr>
          <w:rFonts w:asciiTheme="minorHAnsi" w:eastAsiaTheme="minorHAnsi" w:hAnsiTheme="minorHAnsi" w:cstheme="minorBidi"/>
          <w:snapToGrid/>
          <w:sz w:val="24"/>
          <w:szCs w:val="22"/>
        </w:rPr>
        <w:t xml:space="preserve">as a single agent or in combination with MTX </w:t>
      </w:r>
      <w:r w:rsidR="00E6310D" w:rsidRPr="002E6BC6">
        <w:rPr>
          <w:rFonts w:asciiTheme="minorHAnsi" w:eastAsiaTheme="minorHAnsi" w:hAnsiTheme="minorHAnsi" w:cstheme="minorBidi"/>
          <w:snapToGrid/>
          <w:sz w:val="24"/>
          <w:szCs w:val="22"/>
        </w:rPr>
        <w:t xml:space="preserve">on a cost-minimisation basis compared with </w:t>
      </w:r>
      <w:proofErr w:type="spellStart"/>
      <w:r w:rsidR="00E6310D" w:rsidRPr="002E6BC6">
        <w:rPr>
          <w:rFonts w:asciiTheme="minorHAnsi" w:eastAsiaTheme="minorHAnsi" w:hAnsiTheme="minorHAnsi" w:cstheme="minorBidi"/>
          <w:snapToGrid/>
          <w:sz w:val="24"/>
          <w:szCs w:val="22"/>
        </w:rPr>
        <w:t>etanercept</w:t>
      </w:r>
      <w:proofErr w:type="spellEnd"/>
      <w:r w:rsidR="00E6310D" w:rsidRPr="002E6BC6">
        <w:rPr>
          <w:rFonts w:asciiTheme="minorHAnsi" w:eastAsiaTheme="minorHAnsi" w:hAnsiTheme="minorHAnsi" w:cstheme="minorBidi"/>
          <w:snapToGrid/>
          <w:sz w:val="24"/>
          <w:szCs w:val="22"/>
        </w:rPr>
        <w:t xml:space="preserve"> and </w:t>
      </w:r>
      <w:proofErr w:type="spellStart"/>
      <w:r w:rsidR="00E6310D" w:rsidRPr="002E6BC6">
        <w:rPr>
          <w:rFonts w:asciiTheme="minorHAnsi" w:eastAsiaTheme="minorHAnsi" w:hAnsiTheme="minorHAnsi" w:cstheme="minorBidi"/>
          <w:snapToGrid/>
          <w:sz w:val="24"/>
          <w:szCs w:val="22"/>
        </w:rPr>
        <w:t>adalimumab</w:t>
      </w:r>
      <w:proofErr w:type="spellEnd"/>
      <w:r w:rsidR="00E6310D" w:rsidRPr="002E6BC6">
        <w:rPr>
          <w:rFonts w:asciiTheme="minorHAnsi" w:eastAsiaTheme="minorHAnsi" w:hAnsiTheme="minorHAnsi" w:cstheme="minorBidi"/>
          <w:snapToGrid/>
          <w:sz w:val="24"/>
          <w:szCs w:val="22"/>
        </w:rPr>
        <w:t xml:space="preserve"> </w:t>
      </w:r>
      <w:r w:rsidR="00021047" w:rsidRPr="002E6BC6">
        <w:rPr>
          <w:rFonts w:asciiTheme="minorHAnsi" w:eastAsiaTheme="minorHAnsi" w:hAnsiTheme="minorHAnsi" w:cstheme="minorBidi"/>
          <w:snapToGrid/>
          <w:sz w:val="24"/>
          <w:szCs w:val="22"/>
        </w:rPr>
        <w:t xml:space="preserve">at its November 2013 meeting. </w:t>
      </w:r>
    </w:p>
    <w:p w:rsidR="005A3173" w:rsidRPr="002E6BC6" w:rsidRDefault="005A3173" w:rsidP="000334C9">
      <w:pPr>
        <w:pStyle w:val="PBACHeading1"/>
        <w:spacing w:before="120" w:after="120"/>
        <w:ind w:left="709" w:hanging="709"/>
        <w:rPr>
          <w:rFonts w:asciiTheme="minorHAnsi" w:hAnsiTheme="minorHAnsi"/>
          <w:sz w:val="32"/>
          <w:szCs w:val="32"/>
        </w:rPr>
      </w:pPr>
      <w:r w:rsidRPr="002E6BC6">
        <w:rPr>
          <w:rFonts w:asciiTheme="minorHAnsi" w:hAnsiTheme="minorHAnsi"/>
          <w:sz w:val="32"/>
          <w:szCs w:val="32"/>
        </w:rPr>
        <w:t>Comparator</w:t>
      </w:r>
    </w:p>
    <w:p w:rsidR="00C35996" w:rsidRPr="002E6BC6" w:rsidRDefault="00FF2801" w:rsidP="000334C9">
      <w:pPr>
        <w:pStyle w:val="ListParagraph"/>
        <w:widowControl/>
        <w:numPr>
          <w:ilvl w:val="1"/>
          <w:numId w:val="14"/>
        </w:numPr>
        <w:spacing w:before="120" w:after="120"/>
        <w:rPr>
          <w:rFonts w:asciiTheme="minorHAnsi" w:eastAsiaTheme="minorHAnsi" w:hAnsiTheme="minorHAnsi" w:cstheme="minorBidi"/>
          <w:snapToGrid/>
          <w:sz w:val="24"/>
          <w:szCs w:val="22"/>
        </w:rPr>
      </w:pPr>
      <w:r w:rsidRPr="002E6BC6">
        <w:rPr>
          <w:rFonts w:asciiTheme="minorHAnsi" w:eastAsiaTheme="minorHAnsi" w:hAnsiTheme="minorHAnsi" w:cstheme="minorBidi"/>
          <w:snapToGrid/>
          <w:sz w:val="24"/>
          <w:szCs w:val="22"/>
        </w:rPr>
        <w:t>The minor submission nominate</w:t>
      </w:r>
      <w:r w:rsidR="0012245B" w:rsidRPr="002E6BC6">
        <w:rPr>
          <w:rFonts w:asciiTheme="minorHAnsi" w:eastAsiaTheme="minorHAnsi" w:hAnsiTheme="minorHAnsi" w:cstheme="minorBidi"/>
          <w:snapToGrid/>
          <w:sz w:val="24"/>
          <w:szCs w:val="22"/>
        </w:rPr>
        <w:t xml:space="preserve">d </w:t>
      </w:r>
      <w:r w:rsidR="00DC756F" w:rsidRPr="002E6BC6">
        <w:rPr>
          <w:rFonts w:asciiTheme="minorHAnsi" w:eastAsiaTheme="minorHAnsi" w:hAnsiTheme="minorHAnsi" w:cstheme="minorBidi"/>
          <w:snapToGrid/>
          <w:sz w:val="24"/>
          <w:szCs w:val="22"/>
        </w:rPr>
        <w:t xml:space="preserve">IV </w:t>
      </w:r>
      <w:proofErr w:type="spellStart"/>
      <w:r w:rsidR="0012245B" w:rsidRPr="002E6BC6">
        <w:rPr>
          <w:rFonts w:asciiTheme="minorHAnsi" w:eastAsiaTheme="minorHAnsi" w:hAnsiTheme="minorHAnsi" w:cstheme="minorBidi"/>
          <w:snapToGrid/>
          <w:sz w:val="24"/>
          <w:szCs w:val="22"/>
        </w:rPr>
        <w:t>tocilizumab</w:t>
      </w:r>
      <w:proofErr w:type="spellEnd"/>
      <w:r w:rsidR="0012245B" w:rsidRPr="002E6BC6">
        <w:rPr>
          <w:rFonts w:asciiTheme="minorHAnsi" w:eastAsiaTheme="minorHAnsi" w:hAnsiTheme="minorHAnsi" w:cstheme="minorBidi"/>
          <w:snapToGrid/>
          <w:sz w:val="24"/>
          <w:szCs w:val="22"/>
        </w:rPr>
        <w:t xml:space="preserve"> </w:t>
      </w:r>
      <w:r w:rsidR="00DC756F" w:rsidRPr="002E6BC6">
        <w:rPr>
          <w:rFonts w:asciiTheme="minorHAnsi" w:eastAsiaTheme="minorHAnsi" w:hAnsiTheme="minorHAnsi" w:cstheme="minorBidi"/>
          <w:snapToGrid/>
          <w:sz w:val="24"/>
          <w:szCs w:val="22"/>
        </w:rPr>
        <w:t xml:space="preserve">as its main comparator. </w:t>
      </w:r>
      <w:r w:rsidR="002B33DB" w:rsidRPr="002E6BC6">
        <w:rPr>
          <w:rFonts w:asciiTheme="minorHAnsi" w:eastAsiaTheme="minorHAnsi" w:hAnsiTheme="minorHAnsi" w:cstheme="minorBidi"/>
          <w:snapToGrid/>
          <w:sz w:val="24"/>
          <w:szCs w:val="22"/>
        </w:rPr>
        <w:t xml:space="preserve">This </w:t>
      </w:r>
      <w:r w:rsidR="00644242" w:rsidRPr="002E6BC6">
        <w:rPr>
          <w:rFonts w:asciiTheme="minorHAnsi" w:eastAsiaTheme="minorHAnsi" w:hAnsiTheme="minorHAnsi" w:cstheme="minorBidi"/>
          <w:snapToGrid/>
          <w:sz w:val="24"/>
          <w:szCs w:val="22"/>
        </w:rPr>
        <w:t>was appropriate</w:t>
      </w:r>
      <w:r w:rsidR="002B33DB" w:rsidRPr="002E6BC6">
        <w:rPr>
          <w:rFonts w:asciiTheme="minorHAnsi" w:eastAsiaTheme="minorHAnsi" w:hAnsiTheme="minorHAnsi" w:cstheme="minorBidi"/>
          <w:snapToGrid/>
          <w:sz w:val="24"/>
          <w:szCs w:val="22"/>
        </w:rPr>
        <w:t>.</w:t>
      </w:r>
      <w:r w:rsidR="004106F5" w:rsidRPr="002E6BC6">
        <w:rPr>
          <w:rFonts w:asciiTheme="minorHAnsi" w:eastAsiaTheme="minorHAnsi" w:hAnsiTheme="minorHAnsi" w:cstheme="minorBidi"/>
          <w:snapToGrid/>
          <w:sz w:val="24"/>
          <w:szCs w:val="22"/>
        </w:rPr>
        <w:t xml:space="preserve"> </w:t>
      </w:r>
      <w:proofErr w:type="spellStart"/>
      <w:r w:rsidR="004106F5" w:rsidRPr="002E6BC6">
        <w:rPr>
          <w:rFonts w:asciiTheme="minorHAnsi" w:eastAsiaTheme="minorHAnsi" w:hAnsiTheme="minorHAnsi" w:cstheme="minorBidi"/>
          <w:snapToGrid/>
          <w:sz w:val="24"/>
          <w:szCs w:val="22"/>
        </w:rPr>
        <w:t>Etanercept</w:t>
      </w:r>
      <w:proofErr w:type="spellEnd"/>
      <w:r w:rsidR="004106F5" w:rsidRPr="002E6BC6">
        <w:rPr>
          <w:rFonts w:asciiTheme="minorHAnsi" w:eastAsiaTheme="minorHAnsi" w:hAnsiTheme="minorHAnsi" w:cstheme="minorBidi"/>
          <w:snapToGrid/>
          <w:sz w:val="24"/>
          <w:szCs w:val="22"/>
        </w:rPr>
        <w:t xml:space="preserve"> and </w:t>
      </w:r>
      <w:proofErr w:type="spellStart"/>
      <w:r w:rsidR="004106F5" w:rsidRPr="002E6BC6">
        <w:rPr>
          <w:rFonts w:asciiTheme="minorHAnsi" w:eastAsiaTheme="minorHAnsi" w:hAnsiTheme="minorHAnsi" w:cstheme="minorBidi"/>
          <w:snapToGrid/>
          <w:sz w:val="24"/>
          <w:szCs w:val="22"/>
        </w:rPr>
        <w:t>adalimumab</w:t>
      </w:r>
      <w:proofErr w:type="spellEnd"/>
      <w:r w:rsidR="004106F5" w:rsidRPr="002E6BC6">
        <w:rPr>
          <w:rFonts w:asciiTheme="minorHAnsi" w:eastAsiaTheme="minorHAnsi" w:hAnsiTheme="minorHAnsi" w:cstheme="minorBidi"/>
          <w:snapToGrid/>
          <w:sz w:val="24"/>
          <w:szCs w:val="22"/>
        </w:rPr>
        <w:t xml:space="preserve"> are also </w:t>
      </w:r>
      <w:r w:rsidR="008D2FBC" w:rsidRPr="002E6BC6">
        <w:rPr>
          <w:rFonts w:asciiTheme="minorHAnsi" w:eastAsiaTheme="minorHAnsi" w:hAnsiTheme="minorHAnsi" w:cstheme="minorBidi"/>
          <w:snapToGrid/>
          <w:sz w:val="24"/>
          <w:szCs w:val="22"/>
        </w:rPr>
        <w:t>appropriate comparators.</w:t>
      </w:r>
    </w:p>
    <w:p w:rsidR="001D1447" w:rsidRPr="002E6BC6" w:rsidRDefault="001D1447" w:rsidP="000334C9">
      <w:pPr>
        <w:pStyle w:val="ListParagraph"/>
        <w:spacing w:before="120" w:after="120"/>
        <w:ind w:left="709"/>
        <w:rPr>
          <w:rFonts w:asciiTheme="minorHAnsi" w:hAnsiTheme="minorHAnsi"/>
          <w:i/>
        </w:rPr>
      </w:pPr>
    </w:p>
    <w:p w:rsidR="00B16D9C" w:rsidRPr="002E6BC6" w:rsidRDefault="00B16D9C" w:rsidP="000334C9">
      <w:pPr>
        <w:pStyle w:val="ListParagraph"/>
        <w:spacing w:before="120" w:after="120"/>
        <w:ind w:left="709"/>
        <w:rPr>
          <w:rFonts w:asciiTheme="minorHAnsi" w:hAnsiTheme="minorHAnsi"/>
          <w:i/>
          <w:sz w:val="24"/>
        </w:rPr>
      </w:pPr>
      <w:r w:rsidRPr="002E6BC6">
        <w:rPr>
          <w:rFonts w:asciiTheme="minorHAnsi" w:hAnsiTheme="minorHAnsi"/>
          <w:i/>
          <w:sz w:val="24"/>
        </w:rPr>
        <w:t>For more deta</w:t>
      </w:r>
      <w:r w:rsidR="00DC6970" w:rsidRPr="002E6BC6">
        <w:rPr>
          <w:rFonts w:asciiTheme="minorHAnsi" w:hAnsiTheme="minorHAnsi"/>
          <w:i/>
          <w:sz w:val="24"/>
        </w:rPr>
        <w:t>il on PBAC’s view, see section 6</w:t>
      </w:r>
      <w:r w:rsidRPr="002E6BC6">
        <w:rPr>
          <w:rFonts w:asciiTheme="minorHAnsi" w:hAnsiTheme="minorHAnsi"/>
          <w:i/>
          <w:sz w:val="24"/>
        </w:rPr>
        <w:t xml:space="preserve"> PBAC outcome.</w:t>
      </w:r>
    </w:p>
    <w:p w:rsidR="000B558D" w:rsidRPr="002E6BC6" w:rsidRDefault="008D7A41" w:rsidP="000334C9">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2E6BC6">
        <w:rPr>
          <w:rFonts w:asciiTheme="minorHAnsi" w:hAnsiTheme="minorHAnsi"/>
          <w:sz w:val="32"/>
          <w:szCs w:val="32"/>
        </w:rPr>
        <w:t>C</w:t>
      </w:r>
      <w:r w:rsidR="00D84934" w:rsidRPr="002E6BC6">
        <w:rPr>
          <w:rFonts w:asciiTheme="minorHAnsi" w:hAnsiTheme="minorHAnsi"/>
          <w:sz w:val="32"/>
          <w:szCs w:val="32"/>
        </w:rPr>
        <w:t>onsideration of the evidence</w:t>
      </w:r>
    </w:p>
    <w:p w:rsidR="00364C9B" w:rsidRPr="00332751" w:rsidRDefault="00364C9B" w:rsidP="00332751">
      <w:pPr>
        <w:pStyle w:val="Heading2"/>
        <w:keepLines/>
        <w:spacing w:before="120" w:after="120"/>
        <w:rPr>
          <w:rFonts w:asciiTheme="minorHAnsi" w:eastAsiaTheme="majorEastAsia" w:hAnsiTheme="minorHAnsi" w:cstheme="majorBidi"/>
          <w:sz w:val="28"/>
          <w:szCs w:val="28"/>
          <w:lang w:eastAsia="en-US"/>
        </w:rPr>
      </w:pPr>
      <w:r w:rsidRPr="00332751">
        <w:rPr>
          <w:rFonts w:asciiTheme="minorHAnsi" w:eastAsiaTheme="majorEastAsia" w:hAnsiTheme="minorHAnsi" w:cstheme="majorBidi"/>
          <w:sz w:val="28"/>
          <w:szCs w:val="28"/>
          <w:lang w:eastAsia="en-US"/>
        </w:rPr>
        <w:t>Sponsor hearing</w:t>
      </w:r>
    </w:p>
    <w:p w:rsidR="00FE5442" w:rsidRPr="002E6BC6" w:rsidRDefault="00364C9B" w:rsidP="000334C9">
      <w:pPr>
        <w:widowControl w:val="0"/>
        <w:numPr>
          <w:ilvl w:val="1"/>
          <w:numId w:val="5"/>
        </w:numPr>
        <w:spacing w:before="120" w:after="120"/>
        <w:jc w:val="both"/>
        <w:rPr>
          <w:rFonts w:asciiTheme="minorHAnsi" w:hAnsiTheme="minorHAnsi" w:cs="Arial"/>
          <w:bCs/>
          <w:snapToGrid w:val="0"/>
        </w:rPr>
      </w:pPr>
      <w:r w:rsidRPr="002E6BC6">
        <w:rPr>
          <w:rFonts w:asciiTheme="minorHAnsi" w:hAnsiTheme="minorHAnsi" w:cs="Arial"/>
          <w:bCs/>
          <w:snapToGrid w:val="0"/>
        </w:rPr>
        <w:t>There was no hearing for this item as it was a minor submission.</w:t>
      </w:r>
    </w:p>
    <w:p w:rsidR="00FE5442" w:rsidRPr="00332751" w:rsidRDefault="00FE5442" w:rsidP="00332751">
      <w:pPr>
        <w:pStyle w:val="Heading2"/>
        <w:keepLines/>
        <w:spacing w:before="120" w:after="120"/>
        <w:rPr>
          <w:rFonts w:asciiTheme="minorHAnsi" w:eastAsiaTheme="majorEastAsia" w:hAnsiTheme="minorHAnsi" w:cstheme="majorBidi"/>
          <w:sz w:val="28"/>
          <w:szCs w:val="28"/>
          <w:lang w:eastAsia="en-US"/>
        </w:rPr>
      </w:pPr>
      <w:r w:rsidRPr="00332751">
        <w:rPr>
          <w:rFonts w:asciiTheme="minorHAnsi" w:eastAsiaTheme="majorEastAsia" w:hAnsiTheme="minorHAnsi" w:cstheme="majorBidi"/>
          <w:sz w:val="28"/>
          <w:szCs w:val="28"/>
          <w:lang w:eastAsia="en-US"/>
        </w:rPr>
        <w:t>Consumer comments</w:t>
      </w:r>
    </w:p>
    <w:p w:rsidR="00364C9B" w:rsidRPr="002E6BC6" w:rsidRDefault="00FE5442" w:rsidP="000334C9">
      <w:pPr>
        <w:widowControl w:val="0"/>
        <w:numPr>
          <w:ilvl w:val="1"/>
          <w:numId w:val="5"/>
        </w:numPr>
        <w:spacing w:before="120" w:after="120"/>
        <w:jc w:val="both"/>
        <w:rPr>
          <w:rFonts w:asciiTheme="minorHAnsi" w:hAnsiTheme="minorHAnsi" w:cs="Arial"/>
          <w:bCs/>
          <w:snapToGrid w:val="0"/>
        </w:rPr>
      </w:pPr>
      <w:r w:rsidRPr="002E6BC6">
        <w:rPr>
          <w:rFonts w:asciiTheme="minorHAnsi" w:hAnsiTheme="minorHAnsi" w:cs="Arial"/>
          <w:bCs/>
          <w:snapToGrid w:val="0"/>
        </w:rPr>
        <w:t xml:space="preserve">The PBAC noted that no consumer comments </w:t>
      </w:r>
      <w:proofErr w:type="gramStart"/>
      <w:r w:rsidRPr="002E6BC6">
        <w:rPr>
          <w:rFonts w:asciiTheme="minorHAnsi" w:hAnsiTheme="minorHAnsi" w:cs="Arial"/>
          <w:bCs/>
          <w:snapToGrid w:val="0"/>
        </w:rPr>
        <w:t>were received</w:t>
      </w:r>
      <w:proofErr w:type="gramEnd"/>
      <w:r w:rsidRPr="002E6BC6">
        <w:rPr>
          <w:rFonts w:asciiTheme="minorHAnsi" w:hAnsiTheme="minorHAnsi" w:cs="Arial"/>
          <w:bCs/>
          <w:snapToGrid w:val="0"/>
        </w:rPr>
        <w:t xml:space="preserve"> for this item. </w:t>
      </w:r>
    </w:p>
    <w:p w:rsidR="00D84934" w:rsidRPr="002E6BC6" w:rsidRDefault="00D84934" w:rsidP="000334C9">
      <w:pPr>
        <w:pStyle w:val="Heading2"/>
        <w:keepLines/>
        <w:spacing w:before="120" w:after="120"/>
        <w:rPr>
          <w:rFonts w:asciiTheme="minorHAnsi" w:eastAsiaTheme="majorEastAsia" w:hAnsiTheme="minorHAnsi" w:cstheme="majorBidi"/>
          <w:sz w:val="28"/>
          <w:szCs w:val="28"/>
          <w:lang w:eastAsia="en-US"/>
        </w:rPr>
      </w:pPr>
      <w:r w:rsidRPr="002E6BC6">
        <w:rPr>
          <w:rFonts w:asciiTheme="minorHAnsi" w:eastAsiaTheme="majorEastAsia" w:hAnsiTheme="minorHAnsi" w:cstheme="majorBidi"/>
          <w:sz w:val="28"/>
          <w:szCs w:val="28"/>
          <w:lang w:eastAsia="en-US"/>
        </w:rPr>
        <w:lastRenderedPageBreak/>
        <w:t>Clinical trials</w:t>
      </w:r>
    </w:p>
    <w:p w:rsidR="0076420C" w:rsidRPr="002E6BC6" w:rsidRDefault="00DC756F" w:rsidP="000334C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2E6BC6">
        <w:rPr>
          <w:rFonts w:asciiTheme="minorHAnsi" w:eastAsiaTheme="minorHAnsi" w:hAnsiTheme="minorHAnsi" w:cstheme="minorBidi"/>
          <w:snapToGrid/>
          <w:sz w:val="24"/>
          <w:szCs w:val="22"/>
        </w:rPr>
        <w:t>The minor submission presented</w:t>
      </w:r>
      <w:r w:rsidR="008D2FBC" w:rsidRPr="002E6BC6">
        <w:rPr>
          <w:rFonts w:asciiTheme="minorHAnsi" w:eastAsiaTheme="minorHAnsi" w:hAnsiTheme="minorHAnsi" w:cstheme="minorBidi"/>
          <w:snapToGrid/>
          <w:sz w:val="24"/>
          <w:szCs w:val="22"/>
        </w:rPr>
        <w:t xml:space="preserve"> data from the</w:t>
      </w:r>
      <w:r w:rsidRPr="002E6BC6">
        <w:rPr>
          <w:rFonts w:asciiTheme="minorHAnsi" w:eastAsiaTheme="minorHAnsi" w:hAnsiTheme="minorHAnsi" w:cstheme="minorBidi"/>
          <w:snapToGrid/>
          <w:sz w:val="24"/>
          <w:szCs w:val="22"/>
        </w:rPr>
        <w:t xml:space="preserve"> JIGSAW 117</w:t>
      </w:r>
      <w:r w:rsidR="008D2FBC" w:rsidRPr="002E6BC6">
        <w:rPr>
          <w:rFonts w:asciiTheme="minorHAnsi" w:eastAsiaTheme="minorHAnsi" w:hAnsiTheme="minorHAnsi" w:cstheme="minorBidi"/>
          <w:snapToGrid/>
          <w:sz w:val="24"/>
          <w:szCs w:val="22"/>
        </w:rPr>
        <w:t xml:space="preserve"> trial,</w:t>
      </w:r>
      <w:r w:rsidRPr="002E6BC6">
        <w:rPr>
          <w:rFonts w:asciiTheme="minorHAnsi" w:eastAsiaTheme="minorHAnsi" w:hAnsiTheme="minorHAnsi" w:cstheme="minorBidi"/>
          <w:snapToGrid/>
          <w:sz w:val="24"/>
          <w:szCs w:val="22"/>
        </w:rPr>
        <w:t xml:space="preserve"> a phase 1b, single-arm, open-label, multicentre trial</w:t>
      </w:r>
      <w:r w:rsidR="001B6D1C" w:rsidRPr="002E6BC6">
        <w:rPr>
          <w:rFonts w:asciiTheme="minorHAnsi" w:eastAsiaTheme="minorHAnsi" w:hAnsiTheme="minorHAnsi" w:cstheme="minorBidi"/>
          <w:snapToGrid/>
          <w:sz w:val="24"/>
          <w:szCs w:val="22"/>
        </w:rPr>
        <w:t xml:space="preserve"> designed to investigate the pharmacokinetics, pharmacodynamics and safety of </w:t>
      </w:r>
      <w:proofErr w:type="spellStart"/>
      <w:r w:rsidR="001B6D1C" w:rsidRPr="002E6BC6">
        <w:rPr>
          <w:rFonts w:asciiTheme="minorHAnsi" w:eastAsiaTheme="minorHAnsi" w:hAnsiTheme="minorHAnsi" w:cstheme="minorBidi"/>
          <w:snapToGrid/>
          <w:sz w:val="24"/>
          <w:szCs w:val="22"/>
        </w:rPr>
        <w:t>tocilizumab</w:t>
      </w:r>
      <w:proofErr w:type="spellEnd"/>
      <w:r w:rsidR="001B6D1C" w:rsidRPr="002E6BC6">
        <w:rPr>
          <w:rFonts w:asciiTheme="minorHAnsi" w:eastAsiaTheme="minorHAnsi" w:hAnsiTheme="minorHAnsi" w:cstheme="minorBidi"/>
          <w:snapToGrid/>
          <w:sz w:val="24"/>
          <w:szCs w:val="22"/>
        </w:rPr>
        <w:t xml:space="preserve"> SC</w:t>
      </w:r>
      <w:r w:rsidRPr="002E6BC6">
        <w:rPr>
          <w:rFonts w:asciiTheme="minorHAnsi" w:eastAsiaTheme="minorHAnsi" w:hAnsiTheme="minorHAnsi" w:cstheme="minorBidi"/>
          <w:snapToGrid/>
          <w:sz w:val="24"/>
          <w:szCs w:val="22"/>
        </w:rPr>
        <w:t xml:space="preserve"> in paediatric patients</w:t>
      </w:r>
      <w:r w:rsidR="001B6D1C" w:rsidRPr="002E6BC6">
        <w:rPr>
          <w:rFonts w:asciiTheme="minorHAnsi" w:eastAsiaTheme="minorHAnsi" w:hAnsiTheme="minorHAnsi" w:cstheme="minorBidi"/>
          <w:snapToGrid/>
          <w:sz w:val="24"/>
          <w:szCs w:val="22"/>
        </w:rPr>
        <w:t xml:space="preserve"> who had an inadequate response to or were</w:t>
      </w:r>
      <w:r w:rsidRPr="002E6BC6">
        <w:rPr>
          <w:rFonts w:asciiTheme="minorHAnsi" w:eastAsiaTheme="minorHAnsi" w:hAnsiTheme="minorHAnsi" w:cstheme="minorBidi"/>
          <w:snapToGrid/>
          <w:sz w:val="24"/>
          <w:szCs w:val="22"/>
        </w:rPr>
        <w:t xml:space="preserve"> intolerant to MTX.</w:t>
      </w:r>
      <w:r w:rsidR="001B6D1C" w:rsidRPr="002E6BC6">
        <w:rPr>
          <w:rFonts w:asciiTheme="minorHAnsi" w:eastAsiaTheme="minorHAnsi" w:hAnsiTheme="minorHAnsi" w:cstheme="minorBidi"/>
          <w:snapToGrid/>
          <w:sz w:val="24"/>
          <w:szCs w:val="22"/>
        </w:rPr>
        <w:t xml:space="preserve"> The efficacy of </w:t>
      </w:r>
      <w:proofErr w:type="spellStart"/>
      <w:r w:rsidR="001B6D1C" w:rsidRPr="002E6BC6">
        <w:rPr>
          <w:rFonts w:asciiTheme="minorHAnsi" w:eastAsiaTheme="minorHAnsi" w:hAnsiTheme="minorHAnsi" w:cstheme="minorBidi"/>
          <w:snapToGrid/>
          <w:sz w:val="24"/>
          <w:szCs w:val="22"/>
        </w:rPr>
        <w:t>tocilizumab</w:t>
      </w:r>
      <w:proofErr w:type="spellEnd"/>
      <w:r w:rsidR="001B6D1C" w:rsidRPr="002E6BC6">
        <w:rPr>
          <w:rFonts w:asciiTheme="minorHAnsi" w:eastAsiaTheme="minorHAnsi" w:hAnsiTheme="minorHAnsi" w:cstheme="minorBidi"/>
          <w:snapToGrid/>
          <w:sz w:val="24"/>
          <w:szCs w:val="22"/>
        </w:rPr>
        <w:t xml:space="preserve"> SC was an exploratory outcome of the trial.</w:t>
      </w:r>
      <w:r w:rsidRPr="002E6BC6">
        <w:rPr>
          <w:rFonts w:asciiTheme="minorHAnsi" w:eastAsiaTheme="minorHAnsi" w:hAnsiTheme="minorHAnsi" w:cstheme="minorBidi"/>
          <w:snapToGrid/>
          <w:sz w:val="24"/>
          <w:szCs w:val="22"/>
        </w:rPr>
        <w:t xml:space="preserve"> </w:t>
      </w:r>
      <w:r w:rsidR="001B6D1C" w:rsidRPr="002E6BC6">
        <w:rPr>
          <w:rFonts w:asciiTheme="minorHAnsi" w:eastAsiaTheme="minorHAnsi" w:hAnsiTheme="minorHAnsi" w:cstheme="minorBidi"/>
          <w:snapToGrid/>
          <w:sz w:val="24"/>
          <w:szCs w:val="22"/>
        </w:rPr>
        <w:t>The minor submission concluded the results of the study demonstrate</w:t>
      </w:r>
      <w:r w:rsidR="000077EC" w:rsidRPr="002E6BC6">
        <w:rPr>
          <w:rFonts w:asciiTheme="minorHAnsi" w:eastAsiaTheme="minorHAnsi" w:hAnsiTheme="minorHAnsi" w:cstheme="minorBidi"/>
          <w:snapToGrid/>
          <w:sz w:val="24"/>
          <w:szCs w:val="22"/>
        </w:rPr>
        <w:t>d</w:t>
      </w:r>
      <w:r w:rsidR="00B41420" w:rsidRPr="002E6BC6">
        <w:rPr>
          <w:rFonts w:asciiTheme="minorHAnsi" w:eastAsiaTheme="minorHAnsi" w:hAnsiTheme="minorHAnsi" w:cstheme="minorBidi"/>
          <w:snapToGrid/>
          <w:sz w:val="24"/>
          <w:szCs w:val="22"/>
        </w:rPr>
        <w:t xml:space="preserve"> adequate pharmacokinetic exposures and </w:t>
      </w:r>
      <w:proofErr w:type="spellStart"/>
      <w:r w:rsidR="00B41420" w:rsidRPr="002E6BC6">
        <w:rPr>
          <w:rFonts w:asciiTheme="minorHAnsi" w:eastAsiaTheme="minorHAnsi" w:hAnsiTheme="minorHAnsi" w:cstheme="minorBidi"/>
          <w:snapToGrid/>
          <w:sz w:val="24"/>
          <w:szCs w:val="22"/>
        </w:rPr>
        <w:t>pharmacodynamic</w:t>
      </w:r>
      <w:proofErr w:type="spellEnd"/>
      <w:r w:rsidR="00B41420" w:rsidRPr="002E6BC6">
        <w:rPr>
          <w:rFonts w:asciiTheme="minorHAnsi" w:eastAsiaTheme="minorHAnsi" w:hAnsiTheme="minorHAnsi" w:cstheme="minorBidi"/>
          <w:snapToGrid/>
          <w:sz w:val="24"/>
          <w:szCs w:val="22"/>
        </w:rPr>
        <w:t xml:space="preserve"> responses similar to those achieved with the </w:t>
      </w:r>
      <w:proofErr w:type="spellStart"/>
      <w:r w:rsidR="00B41420" w:rsidRPr="002E6BC6">
        <w:rPr>
          <w:rFonts w:asciiTheme="minorHAnsi" w:eastAsiaTheme="minorHAnsi" w:hAnsiTheme="minorHAnsi" w:cstheme="minorBidi"/>
          <w:snapToGrid/>
          <w:sz w:val="24"/>
          <w:szCs w:val="22"/>
        </w:rPr>
        <w:t>tocilizumab</w:t>
      </w:r>
      <w:proofErr w:type="spellEnd"/>
      <w:r w:rsidR="00B41420" w:rsidRPr="002E6BC6">
        <w:rPr>
          <w:rFonts w:asciiTheme="minorHAnsi" w:eastAsiaTheme="minorHAnsi" w:hAnsiTheme="minorHAnsi" w:cstheme="minorBidi"/>
          <w:snapToGrid/>
          <w:sz w:val="24"/>
          <w:szCs w:val="22"/>
        </w:rPr>
        <w:t xml:space="preserve"> IV dosing regimens for severe active JIA. The minor submission further noted that both </w:t>
      </w:r>
      <w:proofErr w:type="spellStart"/>
      <w:r w:rsidR="00B41420" w:rsidRPr="002E6BC6">
        <w:rPr>
          <w:rFonts w:asciiTheme="minorHAnsi" w:eastAsiaTheme="minorHAnsi" w:hAnsiTheme="minorHAnsi" w:cstheme="minorBidi"/>
          <w:snapToGrid/>
          <w:sz w:val="24"/>
          <w:szCs w:val="22"/>
        </w:rPr>
        <w:t>tocilizumab</w:t>
      </w:r>
      <w:proofErr w:type="spellEnd"/>
      <w:r w:rsidR="00B41420" w:rsidRPr="002E6BC6">
        <w:rPr>
          <w:rFonts w:asciiTheme="minorHAnsi" w:eastAsiaTheme="minorHAnsi" w:hAnsiTheme="minorHAnsi" w:cstheme="minorBidi"/>
          <w:snapToGrid/>
          <w:sz w:val="24"/>
          <w:szCs w:val="22"/>
        </w:rPr>
        <w:t xml:space="preserve"> regimens </w:t>
      </w:r>
      <w:proofErr w:type="gramStart"/>
      <w:r w:rsidR="00B41420" w:rsidRPr="002E6BC6">
        <w:rPr>
          <w:rFonts w:asciiTheme="minorHAnsi" w:eastAsiaTheme="minorHAnsi" w:hAnsiTheme="minorHAnsi" w:cstheme="minorBidi"/>
          <w:snapToGrid/>
          <w:sz w:val="24"/>
          <w:szCs w:val="22"/>
        </w:rPr>
        <w:t>were well tolerated</w:t>
      </w:r>
      <w:proofErr w:type="gramEnd"/>
      <w:r w:rsidR="00B41420" w:rsidRPr="002E6BC6">
        <w:rPr>
          <w:rFonts w:asciiTheme="minorHAnsi" w:eastAsiaTheme="minorHAnsi" w:hAnsiTheme="minorHAnsi" w:cstheme="minorBidi"/>
          <w:snapToGrid/>
          <w:sz w:val="24"/>
          <w:szCs w:val="22"/>
        </w:rPr>
        <w:t xml:space="preserve"> and that the types of adverse events observed were consistent with the known safety profile for </w:t>
      </w:r>
      <w:proofErr w:type="spellStart"/>
      <w:r w:rsidR="00B41420" w:rsidRPr="002E6BC6">
        <w:rPr>
          <w:rFonts w:asciiTheme="minorHAnsi" w:eastAsiaTheme="minorHAnsi" w:hAnsiTheme="minorHAnsi" w:cstheme="minorBidi"/>
          <w:snapToGrid/>
          <w:sz w:val="24"/>
          <w:szCs w:val="22"/>
        </w:rPr>
        <w:t>tocilizumab</w:t>
      </w:r>
      <w:proofErr w:type="spellEnd"/>
      <w:r w:rsidR="00B41420" w:rsidRPr="002E6BC6">
        <w:rPr>
          <w:rFonts w:asciiTheme="minorHAnsi" w:eastAsiaTheme="minorHAnsi" w:hAnsiTheme="minorHAnsi" w:cstheme="minorBidi"/>
          <w:snapToGrid/>
          <w:sz w:val="24"/>
          <w:szCs w:val="22"/>
        </w:rPr>
        <w:t xml:space="preserve"> IV in sever</w:t>
      </w:r>
      <w:r w:rsidR="000077EC" w:rsidRPr="002E6BC6">
        <w:rPr>
          <w:rFonts w:asciiTheme="minorHAnsi" w:eastAsiaTheme="minorHAnsi" w:hAnsiTheme="minorHAnsi" w:cstheme="minorBidi"/>
          <w:snapToGrid/>
          <w:sz w:val="24"/>
          <w:szCs w:val="22"/>
        </w:rPr>
        <w:t>e</w:t>
      </w:r>
      <w:r w:rsidR="00B41420" w:rsidRPr="002E6BC6">
        <w:rPr>
          <w:rFonts w:asciiTheme="minorHAnsi" w:eastAsiaTheme="minorHAnsi" w:hAnsiTheme="minorHAnsi" w:cstheme="minorBidi"/>
          <w:snapToGrid/>
          <w:sz w:val="24"/>
          <w:szCs w:val="22"/>
        </w:rPr>
        <w:t xml:space="preserve"> active JIA.</w:t>
      </w:r>
      <w:r w:rsidR="00F1423B" w:rsidRPr="002E6BC6">
        <w:rPr>
          <w:rFonts w:asciiTheme="minorHAnsi" w:eastAsiaTheme="minorHAnsi" w:hAnsiTheme="minorHAnsi" w:cstheme="minorBidi"/>
          <w:snapToGrid/>
          <w:sz w:val="24"/>
          <w:szCs w:val="22"/>
        </w:rPr>
        <w:t xml:space="preserve"> </w:t>
      </w:r>
    </w:p>
    <w:p w:rsidR="00FE5442" w:rsidRPr="002E6BC6" w:rsidRDefault="00FE5442" w:rsidP="000334C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2E6BC6">
        <w:rPr>
          <w:rFonts w:asciiTheme="minorHAnsi" w:eastAsiaTheme="minorHAnsi" w:hAnsiTheme="minorHAnsi" w:cstheme="minorBidi"/>
          <w:snapToGrid/>
          <w:sz w:val="24"/>
          <w:szCs w:val="22"/>
        </w:rPr>
        <w:t xml:space="preserve">As this was a minor submission, the </w:t>
      </w:r>
      <w:r w:rsidR="00BA4479" w:rsidRPr="002E6BC6">
        <w:rPr>
          <w:rFonts w:asciiTheme="minorHAnsi" w:eastAsiaTheme="minorHAnsi" w:hAnsiTheme="minorHAnsi" w:cstheme="minorBidi"/>
          <w:snapToGrid/>
          <w:sz w:val="24"/>
          <w:szCs w:val="22"/>
        </w:rPr>
        <w:t>data</w:t>
      </w:r>
      <w:r w:rsidRPr="002E6BC6">
        <w:rPr>
          <w:rFonts w:asciiTheme="minorHAnsi" w:eastAsiaTheme="minorHAnsi" w:hAnsiTheme="minorHAnsi" w:cstheme="minorBidi"/>
          <w:snapToGrid/>
          <w:sz w:val="24"/>
          <w:szCs w:val="22"/>
        </w:rPr>
        <w:t xml:space="preserve"> </w:t>
      </w:r>
      <w:r w:rsidR="005C7785" w:rsidRPr="002E6BC6">
        <w:rPr>
          <w:rFonts w:asciiTheme="minorHAnsi" w:eastAsiaTheme="minorHAnsi" w:hAnsiTheme="minorHAnsi" w:cstheme="minorBidi"/>
          <w:snapToGrid/>
          <w:sz w:val="24"/>
          <w:szCs w:val="22"/>
        </w:rPr>
        <w:t xml:space="preserve">was </w:t>
      </w:r>
      <w:proofErr w:type="gramStart"/>
      <w:r w:rsidR="005C7785" w:rsidRPr="002E6BC6">
        <w:rPr>
          <w:rFonts w:asciiTheme="minorHAnsi" w:eastAsiaTheme="minorHAnsi" w:hAnsiTheme="minorHAnsi" w:cstheme="minorBidi"/>
          <w:snapToGrid/>
          <w:sz w:val="24"/>
          <w:szCs w:val="22"/>
        </w:rPr>
        <w:t>not</w:t>
      </w:r>
      <w:r w:rsidRPr="002E6BC6">
        <w:rPr>
          <w:rFonts w:asciiTheme="minorHAnsi" w:eastAsiaTheme="minorHAnsi" w:hAnsiTheme="minorHAnsi" w:cstheme="minorBidi"/>
          <w:snapToGrid/>
          <w:sz w:val="24"/>
          <w:szCs w:val="22"/>
        </w:rPr>
        <w:t xml:space="preserve"> independently</w:t>
      </w:r>
      <w:proofErr w:type="gramEnd"/>
      <w:r w:rsidRPr="002E6BC6">
        <w:rPr>
          <w:rFonts w:asciiTheme="minorHAnsi" w:eastAsiaTheme="minorHAnsi" w:hAnsiTheme="minorHAnsi" w:cstheme="minorBidi"/>
          <w:snapToGrid/>
          <w:sz w:val="24"/>
          <w:szCs w:val="22"/>
        </w:rPr>
        <w:t xml:space="preserve"> evaluated. </w:t>
      </w:r>
    </w:p>
    <w:p w:rsidR="00A21DF5" w:rsidRPr="002E6BC6" w:rsidRDefault="00A21DF5" w:rsidP="000334C9">
      <w:pPr>
        <w:pStyle w:val="Heading2"/>
        <w:keepLines/>
        <w:spacing w:before="120" w:after="120"/>
        <w:rPr>
          <w:rFonts w:asciiTheme="minorHAnsi" w:eastAsiaTheme="majorEastAsia" w:hAnsiTheme="minorHAnsi" w:cstheme="majorBidi"/>
          <w:sz w:val="28"/>
          <w:szCs w:val="28"/>
          <w:lang w:eastAsia="en-US"/>
        </w:rPr>
      </w:pPr>
      <w:r w:rsidRPr="002E6BC6">
        <w:rPr>
          <w:rFonts w:asciiTheme="minorHAnsi" w:eastAsiaTheme="majorEastAsia" w:hAnsiTheme="minorHAnsi" w:cstheme="majorBidi"/>
          <w:sz w:val="28"/>
          <w:szCs w:val="28"/>
          <w:lang w:eastAsia="en-US"/>
        </w:rPr>
        <w:t xml:space="preserve">Clinical claim </w:t>
      </w:r>
    </w:p>
    <w:p w:rsidR="00364C9B" w:rsidRPr="002E6BC6" w:rsidRDefault="00A21DF5" w:rsidP="000334C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2E6BC6">
        <w:rPr>
          <w:rFonts w:asciiTheme="minorHAnsi" w:eastAsiaTheme="minorHAnsi" w:hAnsiTheme="minorHAnsi" w:cstheme="minorBidi"/>
          <w:snapToGrid/>
          <w:sz w:val="24"/>
          <w:szCs w:val="22"/>
        </w:rPr>
        <w:t xml:space="preserve">The minor submission claimed that based on data from the JIGSAW 117 trial, </w:t>
      </w:r>
      <w:proofErr w:type="spellStart"/>
      <w:r w:rsidR="00467C1A" w:rsidRPr="002E6BC6">
        <w:rPr>
          <w:rFonts w:asciiTheme="minorHAnsi" w:eastAsiaTheme="minorHAnsi" w:hAnsiTheme="minorHAnsi" w:cstheme="minorBidi"/>
          <w:snapToGrid/>
          <w:sz w:val="24"/>
          <w:szCs w:val="22"/>
        </w:rPr>
        <w:t>tocilizumab</w:t>
      </w:r>
      <w:proofErr w:type="spellEnd"/>
      <w:r w:rsidR="00467C1A" w:rsidRPr="002E6BC6">
        <w:rPr>
          <w:rFonts w:asciiTheme="minorHAnsi" w:eastAsiaTheme="minorHAnsi" w:hAnsiTheme="minorHAnsi" w:cstheme="minorBidi"/>
          <w:snapToGrid/>
          <w:sz w:val="24"/>
          <w:szCs w:val="22"/>
        </w:rPr>
        <w:t xml:space="preserve"> SC is equivalent in efficacy and safety to IV </w:t>
      </w:r>
      <w:proofErr w:type="spellStart"/>
      <w:r w:rsidR="00467C1A" w:rsidRPr="002E6BC6">
        <w:rPr>
          <w:rFonts w:asciiTheme="minorHAnsi" w:eastAsiaTheme="minorHAnsi" w:hAnsiTheme="minorHAnsi" w:cstheme="minorBidi"/>
          <w:snapToGrid/>
          <w:sz w:val="24"/>
          <w:szCs w:val="22"/>
        </w:rPr>
        <w:t>tocilizumab</w:t>
      </w:r>
      <w:proofErr w:type="spellEnd"/>
      <w:r w:rsidR="00467C1A" w:rsidRPr="002E6BC6">
        <w:rPr>
          <w:rFonts w:asciiTheme="minorHAnsi" w:eastAsiaTheme="minorHAnsi" w:hAnsiTheme="minorHAnsi" w:cstheme="minorBidi"/>
          <w:snapToGrid/>
          <w:sz w:val="24"/>
          <w:szCs w:val="22"/>
        </w:rPr>
        <w:t xml:space="preserve">. </w:t>
      </w:r>
    </w:p>
    <w:p w:rsidR="005A3173" w:rsidRPr="002E6BC6" w:rsidRDefault="005A3173" w:rsidP="000334C9">
      <w:pPr>
        <w:pStyle w:val="Heading2"/>
        <w:keepLines/>
        <w:spacing w:before="120" w:after="120"/>
        <w:rPr>
          <w:rFonts w:asciiTheme="minorHAnsi" w:eastAsiaTheme="majorEastAsia" w:hAnsiTheme="minorHAnsi" w:cstheme="majorBidi"/>
          <w:sz w:val="28"/>
          <w:szCs w:val="28"/>
          <w:lang w:eastAsia="en-US"/>
        </w:rPr>
      </w:pPr>
      <w:r w:rsidRPr="002E6BC6">
        <w:rPr>
          <w:rFonts w:asciiTheme="minorHAnsi" w:eastAsiaTheme="majorEastAsia" w:hAnsiTheme="minorHAnsi" w:cstheme="majorBidi"/>
          <w:sz w:val="28"/>
          <w:szCs w:val="28"/>
          <w:lang w:eastAsia="en-US"/>
        </w:rPr>
        <w:t>Economic analysis</w:t>
      </w:r>
    </w:p>
    <w:p w:rsidR="004E4B25" w:rsidRPr="002E6BC6" w:rsidRDefault="006775F6" w:rsidP="000334C9">
      <w:pPr>
        <w:pStyle w:val="ListParagraph"/>
        <w:widowControl/>
        <w:numPr>
          <w:ilvl w:val="1"/>
          <w:numId w:val="14"/>
        </w:numPr>
        <w:spacing w:before="120" w:after="120"/>
        <w:contextualSpacing w:val="0"/>
        <w:rPr>
          <w:rFonts w:asciiTheme="minorHAnsi" w:eastAsiaTheme="minorHAnsi" w:hAnsiTheme="minorHAnsi" w:cstheme="minorBidi"/>
          <w:snapToGrid/>
          <w:color w:val="000000" w:themeColor="text1"/>
          <w:sz w:val="24"/>
          <w:szCs w:val="22"/>
        </w:rPr>
      </w:pPr>
      <w:r w:rsidRPr="002E6BC6">
        <w:rPr>
          <w:rFonts w:asciiTheme="minorHAnsi" w:hAnsiTheme="minorHAnsi"/>
          <w:color w:val="000000" w:themeColor="text1"/>
          <w:sz w:val="24"/>
          <w:szCs w:val="24"/>
        </w:rPr>
        <w:t>The minor submission</w:t>
      </w:r>
      <w:r w:rsidR="00FF2801" w:rsidRPr="002E6BC6">
        <w:rPr>
          <w:rFonts w:asciiTheme="minorHAnsi" w:hAnsiTheme="minorHAnsi"/>
          <w:color w:val="000000" w:themeColor="text1"/>
          <w:sz w:val="24"/>
          <w:szCs w:val="24"/>
        </w:rPr>
        <w:t xml:space="preserve"> </w:t>
      </w:r>
      <w:r w:rsidR="00354A67" w:rsidRPr="002E6BC6">
        <w:rPr>
          <w:rFonts w:asciiTheme="minorHAnsi" w:hAnsiTheme="minorHAnsi"/>
          <w:color w:val="000000" w:themeColor="text1"/>
          <w:sz w:val="24"/>
          <w:szCs w:val="24"/>
        </w:rPr>
        <w:t xml:space="preserve">presented a </w:t>
      </w:r>
      <w:r w:rsidR="004F2102" w:rsidRPr="002E6BC6">
        <w:rPr>
          <w:rFonts w:asciiTheme="minorHAnsi" w:hAnsiTheme="minorHAnsi"/>
          <w:color w:val="000000" w:themeColor="text1"/>
          <w:sz w:val="24"/>
          <w:szCs w:val="24"/>
        </w:rPr>
        <w:t>cost-</w:t>
      </w:r>
      <w:r w:rsidRPr="002E6BC6">
        <w:rPr>
          <w:rFonts w:asciiTheme="minorHAnsi" w:hAnsiTheme="minorHAnsi"/>
          <w:color w:val="000000" w:themeColor="text1"/>
          <w:sz w:val="24"/>
          <w:szCs w:val="24"/>
        </w:rPr>
        <w:t xml:space="preserve">minimisation analysis </w:t>
      </w:r>
      <w:r w:rsidR="00AE16F7" w:rsidRPr="002E6BC6">
        <w:rPr>
          <w:rFonts w:asciiTheme="minorHAnsi" w:hAnsiTheme="minorHAnsi"/>
          <w:color w:val="000000" w:themeColor="text1"/>
          <w:sz w:val="24"/>
          <w:szCs w:val="24"/>
        </w:rPr>
        <w:t>against</w:t>
      </w:r>
      <w:r w:rsidRPr="002E6BC6">
        <w:rPr>
          <w:rFonts w:asciiTheme="minorHAnsi" w:hAnsiTheme="minorHAnsi"/>
          <w:color w:val="000000" w:themeColor="text1"/>
          <w:sz w:val="24"/>
          <w:szCs w:val="24"/>
        </w:rPr>
        <w:t xml:space="preserve"> </w:t>
      </w:r>
      <w:proofErr w:type="spellStart"/>
      <w:r w:rsidRPr="002E6BC6">
        <w:rPr>
          <w:rFonts w:asciiTheme="minorHAnsi" w:hAnsiTheme="minorHAnsi"/>
          <w:color w:val="000000" w:themeColor="text1"/>
          <w:sz w:val="24"/>
          <w:szCs w:val="24"/>
        </w:rPr>
        <w:t>tocilizumab</w:t>
      </w:r>
      <w:proofErr w:type="spellEnd"/>
      <w:r w:rsidR="00F8165D" w:rsidRPr="002E6BC6">
        <w:rPr>
          <w:rFonts w:asciiTheme="minorHAnsi" w:hAnsiTheme="minorHAnsi"/>
          <w:color w:val="000000" w:themeColor="text1"/>
          <w:sz w:val="24"/>
          <w:szCs w:val="24"/>
        </w:rPr>
        <w:t xml:space="preserve"> </w:t>
      </w:r>
      <w:r w:rsidR="00D83DB3" w:rsidRPr="002E6BC6">
        <w:rPr>
          <w:rFonts w:asciiTheme="minorHAnsi" w:hAnsiTheme="minorHAnsi"/>
          <w:color w:val="000000" w:themeColor="text1"/>
          <w:sz w:val="24"/>
          <w:szCs w:val="24"/>
        </w:rPr>
        <w:t xml:space="preserve">IV </w:t>
      </w:r>
      <w:r w:rsidR="00F8165D" w:rsidRPr="002E6BC6">
        <w:rPr>
          <w:rFonts w:asciiTheme="minorHAnsi" w:hAnsiTheme="minorHAnsi"/>
          <w:color w:val="000000" w:themeColor="text1"/>
          <w:sz w:val="24"/>
          <w:szCs w:val="24"/>
        </w:rPr>
        <w:t>over a 52-week period (Table 1 below)</w:t>
      </w:r>
      <w:r w:rsidR="00D83DB3" w:rsidRPr="002E6BC6">
        <w:rPr>
          <w:rFonts w:asciiTheme="minorHAnsi" w:hAnsiTheme="minorHAnsi"/>
          <w:color w:val="000000" w:themeColor="text1"/>
          <w:sz w:val="24"/>
          <w:szCs w:val="24"/>
        </w:rPr>
        <w:t>.</w:t>
      </w:r>
    </w:p>
    <w:p w:rsidR="009B0F67" w:rsidRPr="002E6BC6" w:rsidRDefault="00291491" w:rsidP="000334C9">
      <w:pPr>
        <w:pStyle w:val="ListParagraph"/>
        <w:widowControl/>
        <w:numPr>
          <w:ilvl w:val="1"/>
          <w:numId w:val="14"/>
        </w:numPr>
        <w:spacing w:before="120" w:after="120"/>
        <w:contextualSpacing w:val="0"/>
        <w:rPr>
          <w:rFonts w:asciiTheme="minorHAnsi" w:eastAsiaTheme="minorHAnsi" w:hAnsiTheme="minorHAnsi" w:cstheme="minorBidi"/>
          <w:snapToGrid/>
          <w:color w:val="000000" w:themeColor="text1"/>
          <w:sz w:val="24"/>
          <w:szCs w:val="22"/>
        </w:rPr>
      </w:pPr>
      <w:r w:rsidRPr="002E6BC6">
        <w:rPr>
          <w:rFonts w:asciiTheme="minorHAnsi" w:hAnsiTheme="minorHAnsi"/>
          <w:color w:val="000000" w:themeColor="text1"/>
          <w:sz w:val="24"/>
          <w:szCs w:val="24"/>
        </w:rPr>
        <w:t xml:space="preserve"> </w:t>
      </w:r>
      <w:r w:rsidR="00016FE1" w:rsidRPr="002E6BC6">
        <w:rPr>
          <w:rFonts w:asciiTheme="minorHAnsi" w:hAnsiTheme="minorHAnsi"/>
          <w:color w:val="000000" w:themeColor="text1"/>
          <w:sz w:val="24"/>
          <w:szCs w:val="24"/>
        </w:rPr>
        <w:t xml:space="preserve">The minor submission proposed the following </w:t>
      </w:r>
      <w:proofErr w:type="spellStart"/>
      <w:r w:rsidR="00016FE1" w:rsidRPr="002E6BC6">
        <w:rPr>
          <w:rFonts w:asciiTheme="minorHAnsi" w:hAnsiTheme="minorHAnsi"/>
          <w:color w:val="000000" w:themeColor="text1"/>
          <w:sz w:val="24"/>
          <w:szCs w:val="24"/>
        </w:rPr>
        <w:t>equi</w:t>
      </w:r>
      <w:proofErr w:type="spellEnd"/>
      <w:r w:rsidR="00016FE1" w:rsidRPr="002E6BC6">
        <w:rPr>
          <w:rFonts w:asciiTheme="minorHAnsi" w:hAnsiTheme="minorHAnsi"/>
          <w:color w:val="000000" w:themeColor="text1"/>
          <w:sz w:val="24"/>
          <w:szCs w:val="24"/>
        </w:rPr>
        <w:t>-effective doses:</w:t>
      </w:r>
    </w:p>
    <w:p w:rsidR="00016FE1" w:rsidRPr="002E6BC6" w:rsidRDefault="00016FE1" w:rsidP="000334C9">
      <w:pPr>
        <w:pStyle w:val="ListParagraph"/>
        <w:widowControl/>
        <w:numPr>
          <w:ilvl w:val="0"/>
          <w:numId w:val="16"/>
        </w:numPr>
        <w:spacing w:before="120" w:after="120"/>
        <w:contextualSpacing w:val="0"/>
        <w:rPr>
          <w:rFonts w:asciiTheme="minorHAnsi" w:eastAsiaTheme="minorHAnsi" w:hAnsiTheme="minorHAnsi" w:cstheme="minorBidi"/>
          <w:snapToGrid/>
          <w:color w:val="000000" w:themeColor="text1"/>
          <w:sz w:val="24"/>
          <w:szCs w:val="22"/>
        </w:rPr>
      </w:pPr>
      <w:proofErr w:type="spellStart"/>
      <w:r w:rsidRPr="002E6BC6">
        <w:rPr>
          <w:rFonts w:asciiTheme="minorHAnsi" w:eastAsiaTheme="minorHAnsi" w:hAnsiTheme="minorHAnsi" w:cstheme="minorBidi"/>
          <w:snapToGrid/>
          <w:color w:val="000000" w:themeColor="text1"/>
          <w:sz w:val="24"/>
          <w:szCs w:val="22"/>
        </w:rPr>
        <w:t>Tocilizumab</w:t>
      </w:r>
      <w:proofErr w:type="spellEnd"/>
      <w:r w:rsidRPr="002E6BC6">
        <w:rPr>
          <w:rFonts w:asciiTheme="minorHAnsi" w:eastAsiaTheme="minorHAnsi" w:hAnsiTheme="minorHAnsi" w:cstheme="minorBidi"/>
          <w:snapToGrid/>
          <w:color w:val="000000" w:themeColor="text1"/>
          <w:sz w:val="24"/>
          <w:szCs w:val="22"/>
        </w:rPr>
        <w:t xml:space="preserve"> 162 mg administered as SC injection</w:t>
      </w:r>
      <w:r w:rsidR="000E2294" w:rsidRPr="002E6BC6">
        <w:rPr>
          <w:rFonts w:asciiTheme="minorHAnsi" w:eastAsiaTheme="minorHAnsi" w:hAnsiTheme="minorHAnsi" w:cstheme="minorBidi"/>
          <w:snapToGrid/>
          <w:color w:val="000000" w:themeColor="text1"/>
          <w:sz w:val="24"/>
          <w:szCs w:val="22"/>
        </w:rPr>
        <w:t xml:space="preserve"> (Q</w:t>
      </w:r>
      <w:r w:rsidR="00534D52" w:rsidRPr="002E6BC6">
        <w:rPr>
          <w:rFonts w:asciiTheme="minorHAnsi" w:eastAsiaTheme="minorHAnsi" w:hAnsiTheme="minorHAnsi" w:cstheme="minorBidi"/>
          <w:snapToGrid/>
          <w:color w:val="000000" w:themeColor="text1"/>
          <w:sz w:val="24"/>
          <w:szCs w:val="22"/>
        </w:rPr>
        <w:t>3</w:t>
      </w:r>
      <w:r w:rsidR="000E2294" w:rsidRPr="002E6BC6">
        <w:rPr>
          <w:rFonts w:asciiTheme="minorHAnsi" w:eastAsiaTheme="minorHAnsi" w:hAnsiTheme="minorHAnsi" w:cstheme="minorBidi"/>
          <w:snapToGrid/>
          <w:color w:val="000000" w:themeColor="text1"/>
          <w:sz w:val="24"/>
          <w:szCs w:val="22"/>
        </w:rPr>
        <w:t>W for patients &lt; 30 kg or Q</w:t>
      </w:r>
      <w:r w:rsidR="00534D52" w:rsidRPr="002E6BC6">
        <w:rPr>
          <w:rFonts w:asciiTheme="minorHAnsi" w:eastAsiaTheme="minorHAnsi" w:hAnsiTheme="minorHAnsi" w:cstheme="minorBidi"/>
          <w:snapToGrid/>
          <w:color w:val="000000" w:themeColor="text1"/>
          <w:sz w:val="24"/>
          <w:szCs w:val="22"/>
        </w:rPr>
        <w:t>2</w:t>
      </w:r>
      <w:r w:rsidR="000E2294" w:rsidRPr="002E6BC6">
        <w:rPr>
          <w:rFonts w:asciiTheme="minorHAnsi" w:eastAsiaTheme="minorHAnsi" w:hAnsiTheme="minorHAnsi" w:cstheme="minorBidi"/>
          <w:snapToGrid/>
          <w:color w:val="000000" w:themeColor="text1"/>
          <w:sz w:val="24"/>
          <w:szCs w:val="22"/>
        </w:rPr>
        <w:t xml:space="preserve">W for patients </w:t>
      </w:r>
      <w:r w:rsidR="000E2294" w:rsidRPr="002E6BC6">
        <w:rPr>
          <w:rFonts w:asciiTheme="minorHAnsi" w:eastAsiaTheme="minorHAnsi" w:hAnsiTheme="minorHAnsi" w:cstheme="minorBidi"/>
          <w:snapToGrid/>
          <w:color w:val="000000" w:themeColor="text1"/>
          <w:sz w:val="24"/>
          <w:szCs w:val="22"/>
        </w:rPr>
        <w:sym w:font="Symbol" w:char="F0B3"/>
      </w:r>
      <w:r w:rsidR="000E2294" w:rsidRPr="002E6BC6">
        <w:rPr>
          <w:rFonts w:asciiTheme="minorHAnsi" w:eastAsiaTheme="minorHAnsi" w:hAnsiTheme="minorHAnsi" w:cstheme="minorBidi"/>
          <w:snapToGrid/>
          <w:color w:val="000000" w:themeColor="text1"/>
          <w:sz w:val="24"/>
          <w:szCs w:val="22"/>
        </w:rPr>
        <w:t xml:space="preserve"> 30 kg</w:t>
      </w:r>
      <w:r w:rsidR="00354A67" w:rsidRPr="002E6BC6">
        <w:rPr>
          <w:rFonts w:asciiTheme="minorHAnsi" w:eastAsiaTheme="minorHAnsi" w:hAnsiTheme="minorHAnsi" w:cstheme="minorBidi"/>
          <w:snapToGrid/>
          <w:color w:val="000000" w:themeColor="text1"/>
          <w:sz w:val="24"/>
          <w:szCs w:val="22"/>
        </w:rPr>
        <w:t>)</w:t>
      </w:r>
      <w:r w:rsidR="000E2294" w:rsidRPr="002E6BC6">
        <w:rPr>
          <w:rFonts w:asciiTheme="minorHAnsi" w:eastAsiaTheme="minorHAnsi" w:hAnsiTheme="minorHAnsi" w:cstheme="minorBidi"/>
          <w:snapToGrid/>
          <w:color w:val="000000" w:themeColor="text1"/>
          <w:sz w:val="24"/>
          <w:szCs w:val="22"/>
        </w:rPr>
        <w:t xml:space="preserve"> </w:t>
      </w:r>
    </w:p>
    <w:p w:rsidR="000334C9" w:rsidRDefault="00016FE1" w:rsidP="000334C9">
      <w:pPr>
        <w:pStyle w:val="ListParagraph"/>
        <w:widowControl/>
        <w:numPr>
          <w:ilvl w:val="0"/>
          <w:numId w:val="16"/>
        </w:numPr>
        <w:spacing w:before="120" w:after="120"/>
        <w:contextualSpacing w:val="0"/>
        <w:rPr>
          <w:rFonts w:asciiTheme="minorHAnsi" w:eastAsiaTheme="minorHAnsi" w:hAnsiTheme="minorHAnsi" w:cstheme="minorBidi"/>
          <w:snapToGrid/>
          <w:color w:val="000000" w:themeColor="text1"/>
          <w:sz w:val="24"/>
          <w:szCs w:val="22"/>
        </w:rPr>
      </w:pPr>
      <w:proofErr w:type="spellStart"/>
      <w:r w:rsidRPr="002E6BC6">
        <w:rPr>
          <w:rFonts w:asciiTheme="minorHAnsi" w:eastAsiaTheme="minorHAnsi" w:hAnsiTheme="minorHAnsi" w:cstheme="minorBidi"/>
          <w:snapToGrid/>
          <w:color w:val="000000" w:themeColor="text1"/>
          <w:sz w:val="24"/>
          <w:szCs w:val="22"/>
        </w:rPr>
        <w:t>Tocilizumab</w:t>
      </w:r>
      <w:proofErr w:type="spellEnd"/>
      <w:r w:rsidRPr="002E6BC6">
        <w:rPr>
          <w:rFonts w:asciiTheme="minorHAnsi" w:eastAsiaTheme="minorHAnsi" w:hAnsiTheme="minorHAnsi" w:cstheme="minorBidi"/>
          <w:snapToGrid/>
          <w:color w:val="000000" w:themeColor="text1"/>
          <w:sz w:val="24"/>
          <w:szCs w:val="22"/>
        </w:rPr>
        <w:t xml:space="preserve"> </w:t>
      </w:r>
      <w:r w:rsidR="00354A67" w:rsidRPr="002E6BC6">
        <w:rPr>
          <w:rFonts w:asciiTheme="minorHAnsi" w:eastAsiaTheme="minorHAnsi" w:hAnsiTheme="minorHAnsi" w:cstheme="minorBidi"/>
          <w:snapToGrid/>
          <w:color w:val="000000" w:themeColor="text1"/>
          <w:sz w:val="24"/>
          <w:szCs w:val="22"/>
        </w:rPr>
        <w:t>administered as an IV infusion Q</w:t>
      </w:r>
      <w:r w:rsidR="004C5BED" w:rsidRPr="002E6BC6">
        <w:rPr>
          <w:rFonts w:asciiTheme="minorHAnsi" w:eastAsiaTheme="minorHAnsi" w:hAnsiTheme="minorHAnsi" w:cstheme="minorBidi"/>
          <w:snapToGrid/>
          <w:color w:val="000000" w:themeColor="text1"/>
          <w:sz w:val="24"/>
          <w:szCs w:val="22"/>
        </w:rPr>
        <w:t>3</w:t>
      </w:r>
      <w:r w:rsidR="00354A67" w:rsidRPr="002E6BC6">
        <w:rPr>
          <w:rFonts w:asciiTheme="minorHAnsi" w:eastAsiaTheme="minorHAnsi" w:hAnsiTheme="minorHAnsi" w:cstheme="minorBidi"/>
          <w:snapToGrid/>
          <w:color w:val="000000" w:themeColor="text1"/>
          <w:sz w:val="24"/>
          <w:szCs w:val="22"/>
        </w:rPr>
        <w:t xml:space="preserve">W (10 mg/kg for patients &lt; 30 kg or 8 mg/kg for patients </w:t>
      </w:r>
      <w:r w:rsidR="00354A67" w:rsidRPr="002E6BC6">
        <w:rPr>
          <w:rFonts w:asciiTheme="minorHAnsi" w:eastAsiaTheme="minorHAnsi" w:hAnsiTheme="minorHAnsi" w:cstheme="minorBidi"/>
          <w:snapToGrid/>
          <w:color w:val="000000" w:themeColor="text1"/>
          <w:sz w:val="24"/>
          <w:szCs w:val="22"/>
        </w:rPr>
        <w:sym w:font="Symbol" w:char="F0B3"/>
      </w:r>
      <w:r w:rsidR="00354A67" w:rsidRPr="002E6BC6">
        <w:rPr>
          <w:rFonts w:asciiTheme="minorHAnsi" w:eastAsiaTheme="minorHAnsi" w:hAnsiTheme="minorHAnsi" w:cstheme="minorBidi"/>
          <w:snapToGrid/>
          <w:color w:val="000000" w:themeColor="text1"/>
          <w:sz w:val="24"/>
          <w:szCs w:val="22"/>
        </w:rPr>
        <w:t xml:space="preserve"> 30 kg)</w:t>
      </w:r>
    </w:p>
    <w:p w:rsidR="000334C9" w:rsidRDefault="000334C9" w:rsidP="000334C9">
      <w:pPr>
        <w:rPr>
          <w:rFonts w:eastAsiaTheme="minorHAnsi"/>
          <w:lang w:eastAsia="en-US"/>
        </w:rPr>
      </w:pPr>
      <w:r>
        <w:rPr>
          <w:rFonts w:eastAsiaTheme="minorHAnsi"/>
        </w:rPr>
        <w:br w:type="page"/>
      </w:r>
    </w:p>
    <w:p w:rsidR="0094100A" w:rsidRPr="002E6BC6" w:rsidRDefault="00973FBD" w:rsidP="007829AC">
      <w:pPr>
        <w:rPr>
          <w:rFonts w:ascii="Arial Narrow" w:eastAsiaTheme="minorHAnsi" w:hAnsi="Arial Narrow"/>
          <w:b/>
          <w:sz w:val="20"/>
        </w:rPr>
      </w:pPr>
      <w:r w:rsidRPr="002E6BC6">
        <w:rPr>
          <w:rFonts w:ascii="Arial Narrow" w:eastAsiaTheme="minorHAnsi" w:hAnsi="Arial Narrow"/>
          <w:b/>
          <w:sz w:val="20"/>
        </w:rPr>
        <w:lastRenderedPageBreak/>
        <w:t xml:space="preserve">Table 1: Cost-minimisation analysis against IV </w:t>
      </w:r>
      <w:proofErr w:type="spellStart"/>
      <w:r w:rsidRPr="002E6BC6">
        <w:rPr>
          <w:rFonts w:ascii="Arial Narrow" w:eastAsiaTheme="minorHAnsi" w:hAnsi="Arial Narrow"/>
          <w:b/>
          <w:sz w:val="20"/>
        </w:rPr>
        <w:t>tocilizumab</w:t>
      </w:r>
      <w:proofErr w:type="spellEnd"/>
      <w:r w:rsidRPr="002E6BC6">
        <w:rPr>
          <w:rFonts w:ascii="Arial Narrow" w:eastAsiaTheme="minorHAnsi" w:hAnsi="Arial Narrow"/>
          <w:b/>
          <w:sz w:val="20"/>
        </w:rPr>
        <w:t xml:space="preserve"> over 52 weeks</w:t>
      </w:r>
      <w:r w:rsidR="008E1A7D" w:rsidRPr="002E6BC6">
        <w:rPr>
          <w:rFonts w:ascii="Arial Narrow" w:eastAsiaTheme="minorHAnsi" w:hAnsi="Arial Narrow"/>
          <w:b/>
          <w:sz w:val="20"/>
        </w:rPr>
        <w:t xml:space="preserve"> (a year)</w:t>
      </w:r>
      <w:r w:rsidRPr="002E6BC6">
        <w:rPr>
          <w:rFonts w:ascii="Arial Narrow" w:eastAsiaTheme="minorHAnsi" w:hAnsi="Arial Narrow"/>
          <w:b/>
          <w:sz w:val="20"/>
        </w:rPr>
        <w:t xml:space="preserve"> </w:t>
      </w:r>
    </w:p>
    <w:tbl>
      <w:tblPr>
        <w:tblStyle w:val="TableGrid"/>
        <w:tblW w:w="5000" w:type="pct"/>
        <w:tblLook w:val="04A0" w:firstRow="1" w:lastRow="0" w:firstColumn="1" w:lastColumn="0" w:noHBand="0" w:noVBand="1"/>
        <w:tblCaption w:val="Cost-minimisation analysis against IV tocilizumab over 52 weeks (a year) "/>
      </w:tblPr>
      <w:tblGrid>
        <w:gridCol w:w="2256"/>
        <w:gridCol w:w="2256"/>
        <w:gridCol w:w="2252"/>
        <w:gridCol w:w="2252"/>
      </w:tblGrid>
      <w:tr w:rsidR="00FB3FBB" w:rsidRPr="002E6BC6" w:rsidTr="00A04DFC">
        <w:trPr>
          <w:tblHeader/>
        </w:trPr>
        <w:tc>
          <w:tcPr>
            <w:tcW w:w="2502" w:type="pct"/>
            <w:gridSpan w:val="2"/>
            <w:shd w:val="clear" w:color="auto" w:fill="BFBFBF" w:themeFill="background1" w:themeFillShade="BF"/>
          </w:tcPr>
          <w:p w:rsidR="00F8165D" w:rsidRPr="002E6BC6" w:rsidRDefault="00285543" w:rsidP="0094100A">
            <w:pPr>
              <w:pStyle w:val="PBACHeading1"/>
              <w:numPr>
                <w:ilvl w:val="0"/>
                <w:numId w:val="0"/>
              </w:numPr>
              <w:rPr>
                <w:rFonts w:ascii="Arial Narrow" w:eastAsiaTheme="minorHAnsi" w:hAnsi="Arial Narrow"/>
                <w:snapToGrid/>
                <w:sz w:val="20"/>
              </w:rPr>
            </w:pPr>
            <w:proofErr w:type="spellStart"/>
            <w:r w:rsidRPr="002E6BC6">
              <w:rPr>
                <w:rFonts w:ascii="Arial Narrow" w:eastAsiaTheme="minorHAnsi" w:hAnsi="Arial Narrow"/>
                <w:snapToGrid/>
                <w:sz w:val="20"/>
              </w:rPr>
              <w:t>Tocilizumab</w:t>
            </w:r>
            <w:proofErr w:type="spellEnd"/>
            <w:r w:rsidRPr="002E6BC6">
              <w:rPr>
                <w:rFonts w:ascii="Arial Narrow" w:eastAsiaTheme="minorHAnsi" w:hAnsi="Arial Narrow"/>
                <w:snapToGrid/>
                <w:sz w:val="20"/>
              </w:rPr>
              <w:t xml:space="preserve"> SC </w:t>
            </w:r>
          </w:p>
        </w:tc>
        <w:tc>
          <w:tcPr>
            <w:tcW w:w="2498" w:type="pct"/>
            <w:gridSpan w:val="2"/>
            <w:shd w:val="clear" w:color="auto" w:fill="BFBFBF" w:themeFill="background1" w:themeFillShade="BF"/>
          </w:tcPr>
          <w:p w:rsidR="00F8165D" w:rsidRPr="002E6BC6" w:rsidRDefault="00285543" w:rsidP="0094100A">
            <w:pPr>
              <w:pStyle w:val="PBACHeading1"/>
              <w:numPr>
                <w:ilvl w:val="0"/>
                <w:numId w:val="0"/>
              </w:numPr>
              <w:rPr>
                <w:rFonts w:ascii="Arial Narrow" w:eastAsiaTheme="minorHAnsi" w:hAnsi="Arial Narrow"/>
                <w:snapToGrid/>
                <w:sz w:val="20"/>
              </w:rPr>
            </w:pPr>
            <w:proofErr w:type="spellStart"/>
            <w:r w:rsidRPr="002E6BC6">
              <w:rPr>
                <w:rFonts w:ascii="Arial Narrow" w:eastAsiaTheme="minorHAnsi" w:hAnsi="Arial Narrow"/>
                <w:snapToGrid/>
                <w:sz w:val="20"/>
              </w:rPr>
              <w:t>Tocilizumab</w:t>
            </w:r>
            <w:proofErr w:type="spellEnd"/>
            <w:r w:rsidRPr="002E6BC6">
              <w:rPr>
                <w:rFonts w:ascii="Arial Narrow" w:eastAsiaTheme="minorHAnsi" w:hAnsi="Arial Narrow"/>
                <w:snapToGrid/>
                <w:sz w:val="20"/>
              </w:rPr>
              <w:t xml:space="preserve"> IV </w:t>
            </w:r>
          </w:p>
        </w:tc>
      </w:tr>
      <w:tr w:rsidR="00973FBD" w:rsidRPr="002E6BC6" w:rsidTr="00A04DFC">
        <w:trPr>
          <w:tblHeader/>
        </w:trPr>
        <w:tc>
          <w:tcPr>
            <w:tcW w:w="2502" w:type="pct"/>
            <w:gridSpan w:val="2"/>
          </w:tcPr>
          <w:p w:rsidR="00285543" w:rsidRPr="002E6BC6" w:rsidRDefault="00305983" w:rsidP="0094100A">
            <w:pPr>
              <w:pStyle w:val="PBACHeading1"/>
              <w:numPr>
                <w:ilvl w:val="0"/>
                <w:numId w:val="0"/>
              </w:numPr>
              <w:rPr>
                <w:rFonts w:ascii="Arial Narrow" w:eastAsiaTheme="minorHAnsi" w:hAnsi="Arial Narrow"/>
                <w:snapToGrid/>
                <w:sz w:val="20"/>
                <w:u w:val="single"/>
              </w:rPr>
            </w:pPr>
            <w:r w:rsidRPr="002E6BC6">
              <w:rPr>
                <w:rFonts w:ascii="Arial Narrow" w:eastAsiaTheme="minorHAnsi" w:hAnsi="Arial Narrow"/>
                <w:snapToGrid/>
                <w:sz w:val="20"/>
                <w:u w:val="single"/>
              </w:rPr>
              <w:t>Cost-minimised</w:t>
            </w:r>
            <w:r w:rsidR="00B765B3" w:rsidRPr="002E6BC6">
              <w:rPr>
                <w:rFonts w:ascii="Arial Narrow" w:eastAsiaTheme="minorHAnsi" w:hAnsi="Arial Narrow"/>
                <w:snapToGrid/>
                <w:sz w:val="20"/>
                <w:u w:val="single"/>
              </w:rPr>
              <w:t xml:space="preserve"> </w:t>
            </w:r>
            <w:r w:rsidR="00285543" w:rsidRPr="002E6BC6">
              <w:rPr>
                <w:rFonts w:ascii="Arial Narrow" w:eastAsiaTheme="minorHAnsi" w:hAnsi="Arial Narrow"/>
                <w:snapToGrid/>
                <w:sz w:val="20"/>
                <w:u w:val="single"/>
              </w:rPr>
              <w:t>AEMP</w:t>
            </w:r>
          </w:p>
          <w:p w:rsidR="00285543" w:rsidRPr="002E6BC6" w:rsidRDefault="00D83DB3" w:rsidP="0094100A">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162 mg (pack of 4):</w:t>
            </w:r>
            <w:r w:rsidR="00305983" w:rsidRPr="002E6BC6">
              <w:rPr>
                <w:rFonts w:ascii="Arial Narrow" w:eastAsiaTheme="minorHAnsi" w:hAnsi="Arial Narrow"/>
                <w:b w:val="0"/>
                <w:snapToGrid/>
                <w:sz w:val="20"/>
              </w:rPr>
              <w:t xml:space="preserve"> </w:t>
            </w:r>
            <w:r w:rsidR="00285543" w:rsidRPr="002E6BC6">
              <w:rPr>
                <w:rFonts w:ascii="Arial Narrow" w:eastAsiaTheme="minorHAnsi" w:hAnsi="Arial Narrow"/>
                <w:b w:val="0"/>
                <w:snapToGrid/>
                <w:sz w:val="20"/>
              </w:rPr>
              <w:t>$</w:t>
            </w:r>
            <w:r w:rsidR="003E2B64">
              <w:rPr>
                <w:rFonts w:ascii="Arial Narrow" w:eastAsiaTheme="minorHAnsi" w:hAnsi="Arial Narrow"/>
                <w:b w:val="0"/>
                <w:noProof/>
                <w:snapToGrid/>
                <w:color w:val="000000"/>
                <w:sz w:val="20"/>
                <w:highlight w:val="black"/>
              </w:rPr>
              <w:t>'''''''''''''''''''''''</w:t>
            </w:r>
          </w:p>
          <w:p w:rsidR="00F8165D" w:rsidRPr="002E6BC6" w:rsidRDefault="00D83DB3" w:rsidP="0094100A">
            <w:pPr>
              <w:pStyle w:val="PBACHeading1"/>
              <w:numPr>
                <w:ilvl w:val="0"/>
                <w:numId w:val="0"/>
              </w:numPr>
              <w:rPr>
                <w:rFonts w:ascii="Arial Narrow" w:eastAsiaTheme="minorHAnsi" w:hAnsi="Arial Narrow"/>
                <w:snapToGrid/>
                <w:sz w:val="20"/>
              </w:rPr>
            </w:pPr>
            <w:r w:rsidRPr="002E6BC6">
              <w:rPr>
                <w:rFonts w:ascii="Arial Narrow" w:eastAsiaTheme="minorHAnsi" w:hAnsi="Arial Narrow"/>
                <w:b w:val="0"/>
                <w:snapToGrid/>
                <w:sz w:val="20"/>
              </w:rPr>
              <w:t>162 mg (single syringe/pen):</w:t>
            </w:r>
            <w:r w:rsidR="00285543" w:rsidRPr="002E6BC6">
              <w:rPr>
                <w:rFonts w:ascii="Arial Narrow" w:eastAsiaTheme="minorHAnsi" w:hAnsi="Arial Narrow"/>
                <w:b w:val="0"/>
                <w:snapToGrid/>
                <w:sz w:val="20"/>
              </w:rPr>
              <w:t xml:space="preserve"> $</w:t>
            </w:r>
            <w:r w:rsidR="003E2B64">
              <w:rPr>
                <w:rFonts w:ascii="Arial Narrow" w:eastAsiaTheme="minorHAnsi" w:hAnsi="Arial Narrow"/>
                <w:b w:val="0"/>
                <w:noProof/>
                <w:snapToGrid/>
                <w:color w:val="000000"/>
                <w:sz w:val="20"/>
                <w:highlight w:val="black"/>
              </w:rPr>
              <w:t>''''''''''''''''</w:t>
            </w:r>
            <w:r w:rsidR="00B22D88" w:rsidRPr="002E6BC6">
              <w:rPr>
                <w:rFonts w:ascii="Arial Narrow" w:eastAsiaTheme="minorHAnsi" w:hAnsi="Arial Narrow"/>
                <w:snapToGrid/>
                <w:sz w:val="20"/>
              </w:rPr>
              <w:t xml:space="preserve"> </w:t>
            </w:r>
          </w:p>
          <w:p w:rsidR="00E42918" w:rsidRPr="002E6BC6" w:rsidRDefault="00E42918" w:rsidP="0094100A">
            <w:pPr>
              <w:pStyle w:val="PBACHeading1"/>
              <w:numPr>
                <w:ilvl w:val="0"/>
                <w:numId w:val="0"/>
              </w:numPr>
              <w:rPr>
                <w:rFonts w:ascii="Arial Narrow" w:eastAsiaTheme="minorHAnsi" w:hAnsi="Arial Narrow"/>
                <w:snapToGrid/>
                <w:sz w:val="20"/>
                <w:u w:val="single"/>
              </w:rPr>
            </w:pPr>
          </w:p>
          <w:p w:rsidR="00500C3E" w:rsidRPr="002E6BC6" w:rsidRDefault="00500C3E" w:rsidP="0094100A">
            <w:pPr>
              <w:pStyle w:val="PBACHeading1"/>
              <w:numPr>
                <w:ilvl w:val="0"/>
                <w:numId w:val="0"/>
              </w:numPr>
              <w:rPr>
                <w:rFonts w:ascii="Arial Narrow" w:eastAsiaTheme="minorHAnsi" w:hAnsi="Arial Narrow"/>
                <w:snapToGrid/>
                <w:sz w:val="20"/>
                <w:u w:val="single"/>
              </w:rPr>
            </w:pPr>
            <w:r w:rsidRPr="002E6BC6">
              <w:rPr>
                <w:rFonts w:ascii="Arial Narrow" w:eastAsiaTheme="minorHAnsi" w:hAnsi="Arial Narrow"/>
                <w:snapToGrid/>
                <w:sz w:val="20"/>
                <w:u w:val="single"/>
              </w:rPr>
              <w:t>Cost-minimised DPMQ</w:t>
            </w:r>
          </w:p>
          <w:p w:rsidR="00500C3E" w:rsidRPr="002E6BC6" w:rsidRDefault="00500C3E" w:rsidP="0094100A">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w:t>
            </w:r>
            <w:r w:rsidR="003E2B64">
              <w:rPr>
                <w:rFonts w:ascii="Arial Narrow" w:eastAsiaTheme="minorHAnsi" w:hAnsi="Arial Narrow"/>
                <w:b w:val="0"/>
                <w:noProof/>
                <w:snapToGrid/>
                <w:color w:val="000000"/>
                <w:sz w:val="20"/>
                <w:highlight w:val="black"/>
              </w:rPr>
              <w:t>'''''''''''''''''''''</w:t>
            </w:r>
          </w:p>
        </w:tc>
        <w:tc>
          <w:tcPr>
            <w:tcW w:w="2498" w:type="pct"/>
            <w:gridSpan w:val="2"/>
          </w:tcPr>
          <w:p w:rsidR="00F8165D" w:rsidRPr="002E6BC6" w:rsidRDefault="00B765B3" w:rsidP="0094100A">
            <w:pPr>
              <w:pStyle w:val="PBACHeading1"/>
              <w:numPr>
                <w:ilvl w:val="0"/>
                <w:numId w:val="0"/>
              </w:numPr>
              <w:rPr>
                <w:rFonts w:ascii="Arial Narrow" w:eastAsiaTheme="minorHAnsi" w:hAnsi="Arial Narrow"/>
                <w:snapToGrid/>
                <w:sz w:val="20"/>
                <w:u w:val="single"/>
              </w:rPr>
            </w:pPr>
            <w:r w:rsidRPr="002E6BC6">
              <w:rPr>
                <w:rFonts w:ascii="Arial Narrow" w:eastAsiaTheme="minorHAnsi" w:hAnsi="Arial Narrow"/>
                <w:snapToGrid/>
                <w:sz w:val="20"/>
                <w:u w:val="single"/>
              </w:rPr>
              <w:t xml:space="preserve">Effective </w:t>
            </w:r>
            <w:r w:rsidR="00285543" w:rsidRPr="002E6BC6">
              <w:rPr>
                <w:rFonts w:ascii="Arial Narrow" w:eastAsiaTheme="minorHAnsi" w:hAnsi="Arial Narrow"/>
                <w:snapToGrid/>
                <w:sz w:val="20"/>
                <w:u w:val="single"/>
              </w:rPr>
              <w:t>AEMP</w:t>
            </w:r>
          </w:p>
          <w:p w:rsidR="00285543" w:rsidRPr="002E6BC6" w:rsidRDefault="00D83DB3" w:rsidP="0094100A">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80 mg:</w:t>
            </w:r>
            <w:r w:rsidR="00285543" w:rsidRPr="002E6BC6">
              <w:rPr>
                <w:rFonts w:ascii="Arial Narrow" w:eastAsiaTheme="minorHAnsi" w:hAnsi="Arial Narrow"/>
                <w:b w:val="0"/>
                <w:snapToGrid/>
                <w:sz w:val="20"/>
              </w:rPr>
              <w:t xml:space="preserve"> $</w:t>
            </w:r>
            <w:r w:rsidR="003E2B64">
              <w:rPr>
                <w:rFonts w:ascii="Arial Narrow" w:eastAsiaTheme="minorHAnsi" w:hAnsi="Arial Narrow"/>
                <w:b w:val="0"/>
                <w:noProof/>
                <w:snapToGrid/>
                <w:color w:val="000000"/>
                <w:sz w:val="20"/>
                <w:highlight w:val="black"/>
              </w:rPr>
              <w:t>''''''''''''''''</w:t>
            </w:r>
          </w:p>
          <w:p w:rsidR="00285543" w:rsidRPr="002E6BC6" w:rsidRDefault="00D83DB3" w:rsidP="0094100A">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200 mg:</w:t>
            </w:r>
            <w:r w:rsidR="00285543" w:rsidRPr="002E6BC6">
              <w:rPr>
                <w:rFonts w:ascii="Arial Narrow" w:eastAsiaTheme="minorHAnsi" w:hAnsi="Arial Narrow"/>
                <w:b w:val="0"/>
                <w:snapToGrid/>
                <w:sz w:val="20"/>
              </w:rPr>
              <w:t xml:space="preserve"> $</w:t>
            </w:r>
            <w:r w:rsidR="003E2B64">
              <w:rPr>
                <w:rFonts w:ascii="Arial Narrow" w:eastAsiaTheme="minorHAnsi" w:hAnsi="Arial Narrow"/>
                <w:b w:val="0"/>
                <w:noProof/>
                <w:snapToGrid/>
                <w:color w:val="000000"/>
                <w:sz w:val="20"/>
                <w:highlight w:val="black"/>
              </w:rPr>
              <w:t>''''''''''''''''''</w:t>
            </w:r>
          </w:p>
          <w:p w:rsidR="00285543" w:rsidRPr="002E6BC6" w:rsidRDefault="00D83DB3" w:rsidP="0094100A">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400 mg:</w:t>
            </w:r>
            <w:r w:rsidR="00FB3264" w:rsidRPr="002E6BC6">
              <w:rPr>
                <w:rFonts w:ascii="Arial Narrow" w:eastAsiaTheme="minorHAnsi" w:hAnsi="Arial Narrow"/>
                <w:b w:val="0"/>
                <w:snapToGrid/>
                <w:sz w:val="20"/>
              </w:rPr>
              <w:t xml:space="preserve"> </w:t>
            </w:r>
            <w:r w:rsidR="00285543" w:rsidRPr="002E6BC6">
              <w:rPr>
                <w:rFonts w:ascii="Arial Narrow" w:eastAsiaTheme="minorHAnsi" w:hAnsi="Arial Narrow"/>
                <w:b w:val="0"/>
                <w:snapToGrid/>
                <w:sz w:val="20"/>
              </w:rPr>
              <w:t>$</w:t>
            </w:r>
            <w:r w:rsidR="003E2B64">
              <w:rPr>
                <w:rFonts w:ascii="Arial Narrow" w:eastAsiaTheme="minorHAnsi" w:hAnsi="Arial Narrow"/>
                <w:b w:val="0"/>
                <w:noProof/>
                <w:snapToGrid/>
                <w:color w:val="000000"/>
                <w:sz w:val="20"/>
                <w:highlight w:val="black"/>
              </w:rPr>
              <w:t>'''''''''''''''''</w:t>
            </w:r>
          </w:p>
          <w:p w:rsidR="004D46CA" w:rsidRPr="002E6BC6" w:rsidRDefault="004D46CA" w:rsidP="0094100A">
            <w:pPr>
              <w:pStyle w:val="PBACHeading1"/>
              <w:numPr>
                <w:ilvl w:val="0"/>
                <w:numId w:val="0"/>
              </w:numPr>
              <w:rPr>
                <w:rFonts w:ascii="Arial Narrow" w:eastAsiaTheme="minorHAnsi" w:hAnsi="Arial Narrow"/>
                <w:b w:val="0"/>
                <w:snapToGrid/>
                <w:sz w:val="20"/>
              </w:rPr>
            </w:pPr>
          </w:p>
          <w:p w:rsidR="004D46CA" w:rsidRPr="002E6BC6" w:rsidRDefault="004D46CA" w:rsidP="00AC6F81">
            <w:pPr>
              <w:pStyle w:val="PBACHeading1"/>
              <w:numPr>
                <w:ilvl w:val="0"/>
                <w:numId w:val="0"/>
              </w:numPr>
              <w:rPr>
                <w:rFonts w:ascii="Arial Narrow" w:eastAsiaTheme="minorHAnsi" w:hAnsi="Arial Narrow"/>
                <w:snapToGrid/>
                <w:sz w:val="20"/>
              </w:rPr>
            </w:pPr>
            <w:r w:rsidRPr="002E6BC6">
              <w:rPr>
                <w:rFonts w:ascii="Arial Narrow" w:eastAsiaTheme="minorHAnsi" w:hAnsi="Arial Narrow"/>
                <w:b w:val="0"/>
                <w:snapToGrid/>
                <w:sz w:val="20"/>
              </w:rPr>
              <w:t>*</w:t>
            </w:r>
            <w:r w:rsidR="00AC6F81" w:rsidRPr="002E6BC6">
              <w:rPr>
                <w:rFonts w:ascii="Arial Narrow" w:eastAsiaTheme="minorHAnsi" w:hAnsi="Arial Narrow"/>
                <w:b w:val="0"/>
                <w:snapToGrid/>
                <w:sz w:val="20"/>
              </w:rPr>
              <w:t xml:space="preserve">Prices above are indication specific </w:t>
            </w:r>
            <w:r w:rsidRPr="002E6BC6">
              <w:rPr>
                <w:rFonts w:ascii="Arial Narrow" w:eastAsiaTheme="minorHAnsi" w:hAnsi="Arial Narrow"/>
                <w:b w:val="0"/>
                <w:snapToGrid/>
                <w:sz w:val="20"/>
              </w:rPr>
              <w:t xml:space="preserve"> </w:t>
            </w:r>
          </w:p>
        </w:tc>
      </w:tr>
      <w:tr w:rsidR="00285543" w:rsidRPr="002E6BC6" w:rsidTr="00A04DFC">
        <w:trPr>
          <w:tblHeader/>
        </w:trPr>
        <w:tc>
          <w:tcPr>
            <w:tcW w:w="5000" w:type="pct"/>
            <w:gridSpan w:val="4"/>
            <w:shd w:val="clear" w:color="auto" w:fill="BFBFBF" w:themeFill="background1" w:themeFillShade="BF"/>
          </w:tcPr>
          <w:p w:rsidR="00285543" w:rsidRPr="002E6BC6" w:rsidRDefault="00E052B4" w:rsidP="00F515E0">
            <w:pPr>
              <w:pStyle w:val="PBACHeading1"/>
              <w:numPr>
                <w:ilvl w:val="0"/>
                <w:numId w:val="0"/>
              </w:numPr>
              <w:jc w:val="center"/>
              <w:rPr>
                <w:rFonts w:ascii="Arial Narrow" w:eastAsiaTheme="minorHAnsi" w:hAnsi="Arial Narrow"/>
                <w:snapToGrid/>
                <w:sz w:val="20"/>
              </w:rPr>
            </w:pPr>
            <w:r w:rsidRPr="002E6BC6">
              <w:rPr>
                <w:rFonts w:ascii="Arial Narrow" w:eastAsiaTheme="minorHAnsi" w:hAnsi="Arial Narrow"/>
                <w:snapToGrid/>
                <w:sz w:val="20"/>
              </w:rPr>
              <w:t xml:space="preserve">Mean body weight of </w:t>
            </w:r>
            <w:proofErr w:type="spellStart"/>
            <w:r w:rsidRPr="002E6BC6">
              <w:rPr>
                <w:rFonts w:ascii="Arial Narrow" w:eastAsiaTheme="minorHAnsi" w:hAnsi="Arial Narrow"/>
                <w:snapToGrid/>
                <w:sz w:val="20"/>
              </w:rPr>
              <w:t>patient</w:t>
            </w:r>
            <w:r w:rsidR="008825FA" w:rsidRPr="002E6BC6">
              <w:rPr>
                <w:rFonts w:ascii="Arial Narrow" w:eastAsiaTheme="minorHAnsi" w:hAnsi="Arial Narrow"/>
                <w:snapToGrid/>
                <w:sz w:val="20"/>
                <w:vertAlign w:val="superscript"/>
              </w:rPr>
              <w:t>a</w:t>
            </w:r>
            <w:proofErr w:type="spellEnd"/>
            <w:r w:rsidRPr="002E6BC6">
              <w:rPr>
                <w:rFonts w:ascii="Arial Narrow" w:eastAsiaTheme="minorHAnsi" w:hAnsi="Arial Narrow"/>
                <w:snapToGrid/>
                <w:sz w:val="20"/>
              </w:rPr>
              <w:t xml:space="preserve"> </w:t>
            </w:r>
          </w:p>
        </w:tc>
      </w:tr>
      <w:tr w:rsidR="00E052B4" w:rsidRPr="002E6BC6" w:rsidTr="00A04DFC">
        <w:trPr>
          <w:tblHeader/>
        </w:trPr>
        <w:tc>
          <w:tcPr>
            <w:tcW w:w="1251" w:type="pct"/>
          </w:tcPr>
          <w:p w:rsidR="00E052B4" w:rsidRPr="002E6BC6" w:rsidRDefault="00E052B4" w:rsidP="0094100A">
            <w:pPr>
              <w:pStyle w:val="PBACHeading1"/>
              <w:numPr>
                <w:ilvl w:val="0"/>
                <w:numId w:val="0"/>
              </w:numPr>
              <w:rPr>
                <w:rFonts w:ascii="Arial Narrow" w:eastAsiaTheme="minorHAnsi" w:hAnsi="Arial Narrow"/>
                <w:snapToGrid/>
                <w:sz w:val="20"/>
              </w:rPr>
            </w:pPr>
            <w:r w:rsidRPr="002E6BC6">
              <w:rPr>
                <w:rFonts w:ascii="Arial Narrow" w:eastAsiaTheme="minorHAnsi" w:hAnsi="Arial Narrow"/>
                <w:snapToGrid/>
                <w:sz w:val="20"/>
              </w:rPr>
              <w:t xml:space="preserve">&lt; 30 kg </w:t>
            </w:r>
          </w:p>
        </w:tc>
        <w:tc>
          <w:tcPr>
            <w:tcW w:w="1251" w:type="pct"/>
          </w:tcPr>
          <w:p w:rsidR="00E052B4" w:rsidRPr="002E6BC6" w:rsidRDefault="00E052B4" w:rsidP="0094100A">
            <w:pPr>
              <w:pStyle w:val="PBACHeading1"/>
              <w:numPr>
                <w:ilvl w:val="0"/>
                <w:numId w:val="0"/>
              </w:numPr>
              <w:rPr>
                <w:rFonts w:ascii="Arial Narrow" w:eastAsiaTheme="minorHAnsi" w:hAnsi="Arial Narrow"/>
                <w:snapToGrid/>
                <w:sz w:val="20"/>
              </w:rPr>
            </w:pPr>
            <w:r w:rsidRPr="002E6BC6">
              <w:rPr>
                <w:rFonts w:ascii="Arial Narrow" w:eastAsiaTheme="minorHAnsi" w:hAnsi="Arial Narrow"/>
                <w:snapToGrid/>
                <w:sz w:val="20"/>
              </w:rPr>
              <w:sym w:font="Symbol" w:char="F0B3"/>
            </w:r>
            <w:r w:rsidRPr="002E6BC6">
              <w:rPr>
                <w:rFonts w:ascii="Arial Narrow" w:eastAsiaTheme="minorHAnsi" w:hAnsi="Arial Narrow"/>
                <w:snapToGrid/>
                <w:sz w:val="20"/>
              </w:rPr>
              <w:t xml:space="preserve"> 30 kg</w:t>
            </w:r>
          </w:p>
        </w:tc>
        <w:tc>
          <w:tcPr>
            <w:tcW w:w="1249" w:type="pct"/>
          </w:tcPr>
          <w:p w:rsidR="00E052B4" w:rsidRPr="002E6BC6" w:rsidRDefault="00E052B4" w:rsidP="0094100A">
            <w:pPr>
              <w:pStyle w:val="PBACHeading1"/>
              <w:numPr>
                <w:ilvl w:val="0"/>
                <w:numId w:val="0"/>
              </w:numPr>
              <w:rPr>
                <w:rFonts w:ascii="Arial Narrow" w:eastAsiaTheme="minorHAnsi" w:hAnsi="Arial Narrow"/>
                <w:snapToGrid/>
                <w:sz w:val="20"/>
              </w:rPr>
            </w:pPr>
            <w:r w:rsidRPr="002E6BC6">
              <w:rPr>
                <w:rFonts w:ascii="Arial Narrow" w:eastAsiaTheme="minorHAnsi" w:hAnsi="Arial Narrow"/>
                <w:snapToGrid/>
                <w:sz w:val="20"/>
              </w:rPr>
              <w:t>&lt; 30 kg</w:t>
            </w:r>
          </w:p>
        </w:tc>
        <w:tc>
          <w:tcPr>
            <w:tcW w:w="1249" w:type="pct"/>
          </w:tcPr>
          <w:p w:rsidR="00E052B4" w:rsidRPr="002E6BC6" w:rsidRDefault="00E052B4" w:rsidP="0094100A">
            <w:pPr>
              <w:pStyle w:val="PBACHeading1"/>
              <w:numPr>
                <w:ilvl w:val="0"/>
                <w:numId w:val="0"/>
              </w:numPr>
              <w:rPr>
                <w:rFonts w:ascii="Arial Narrow" w:eastAsiaTheme="minorHAnsi" w:hAnsi="Arial Narrow"/>
                <w:snapToGrid/>
                <w:sz w:val="20"/>
              </w:rPr>
            </w:pPr>
            <w:r w:rsidRPr="002E6BC6">
              <w:rPr>
                <w:rFonts w:ascii="Arial Narrow" w:eastAsiaTheme="minorHAnsi" w:hAnsi="Arial Narrow"/>
                <w:snapToGrid/>
                <w:sz w:val="20"/>
              </w:rPr>
              <w:sym w:font="Symbol" w:char="F0B3"/>
            </w:r>
            <w:r w:rsidRPr="002E6BC6">
              <w:rPr>
                <w:rFonts w:ascii="Arial Narrow" w:eastAsiaTheme="minorHAnsi" w:hAnsi="Arial Narrow"/>
                <w:snapToGrid/>
                <w:sz w:val="20"/>
              </w:rPr>
              <w:t xml:space="preserve"> 30 kg</w:t>
            </w:r>
          </w:p>
        </w:tc>
      </w:tr>
      <w:tr w:rsidR="00E052B4" w:rsidRPr="002E6BC6" w:rsidTr="00A04DFC">
        <w:trPr>
          <w:tblHeader/>
        </w:trPr>
        <w:tc>
          <w:tcPr>
            <w:tcW w:w="1251" w:type="pct"/>
          </w:tcPr>
          <w:p w:rsidR="00E052B4" w:rsidRPr="002E6BC6" w:rsidRDefault="00E052B4" w:rsidP="00E052B4">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21.51 kg</w:t>
            </w:r>
          </w:p>
        </w:tc>
        <w:tc>
          <w:tcPr>
            <w:tcW w:w="1251" w:type="pct"/>
          </w:tcPr>
          <w:p w:rsidR="00E052B4" w:rsidRPr="002E6BC6" w:rsidRDefault="00E052B4" w:rsidP="00E052B4">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50.02 kg</w:t>
            </w:r>
          </w:p>
        </w:tc>
        <w:tc>
          <w:tcPr>
            <w:tcW w:w="1249" w:type="pct"/>
          </w:tcPr>
          <w:p w:rsidR="00E052B4" w:rsidRPr="002E6BC6" w:rsidRDefault="00E052B4" w:rsidP="0094100A">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21.51 kg</w:t>
            </w:r>
          </w:p>
        </w:tc>
        <w:tc>
          <w:tcPr>
            <w:tcW w:w="1249" w:type="pct"/>
          </w:tcPr>
          <w:p w:rsidR="00E052B4" w:rsidRPr="002E6BC6" w:rsidRDefault="00E052B4" w:rsidP="0094100A">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50.02 kg</w:t>
            </w:r>
          </w:p>
        </w:tc>
      </w:tr>
      <w:tr w:rsidR="00E052B4" w:rsidRPr="002E6BC6" w:rsidTr="00A04DFC">
        <w:trPr>
          <w:tblHeader/>
        </w:trPr>
        <w:tc>
          <w:tcPr>
            <w:tcW w:w="5000" w:type="pct"/>
            <w:gridSpan w:val="4"/>
            <w:shd w:val="clear" w:color="auto" w:fill="BFBFBF" w:themeFill="background1" w:themeFillShade="BF"/>
          </w:tcPr>
          <w:p w:rsidR="00E052B4" w:rsidRPr="002E6BC6" w:rsidRDefault="00E052B4" w:rsidP="00F515E0">
            <w:pPr>
              <w:pStyle w:val="PBACHeading1"/>
              <w:numPr>
                <w:ilvl w:val="0"/>
                <w:numId w:val="0"/>
              </w:numPr>
              <w:jc w:val="center"/>
              <w:rPr>
                <w:rFonts w:ascii="Arial Narrow" w:eastAsiaTheme="minorHAnsi" w:hAnsi="Arial Narrow"/>
                <w:snapToGrid/>
                <w:sz w:val="20"/>
              </w:rPr>
            </w:pPr>
            <w:r w:rsidRPr="002E6BC6">
              <w:rPr>
                <w:rFonts w:ascii="Arial Narrow" w:eastAsiaTheme="minorHAnsi" w:hAnsi="Arial Narrow"/>
                <w:snapToGrid/>
                <w:sz w:val="20"/>
              </w:rPr>
              <w:t xml:space="preserve">Dose per administration </w:t>
            </w:r>
          </w:p>
        </w:tc>
      </w:tr>
      <w:tr w:rsidR="00E052B4" w:rsidRPr="002E6BC6" w:rsidTr="00A04DFC">
        <w:trPr>
          <w:tblHeader/>
        </w:trPr>
        <w:tc>
          <w:tcPr>
            <w:tcW w:w="1251" w:type="pct"/>
          </w:tcPr>
          <w:p w:rsidR="00E052B4" w:rsidRPr="002E6BC6" w:rsidRDefault="00E052B4" w:rsidP="00E052B4">
            <w:pPr>
              <w:pStyle w:val="PBACHeading1"/>
              <w:numPr>
                <w:ilvl w:val="0"/>
                <w:numId w:val="0"/>
              </w:numPr>
              <w:rPr>
                <w:rFonts w:ascii="Arial Narrow" w:eastAsiaTheme="minorHAnsi" w:hAnsi="Arial Narrow"/>
                <w:snapToGrid/>
                <w:sz w:val="20"/>
              </w:rPr>
            </w:pPr>
            <w:r w:rsidRPr="002E6BC6">
              <w:rPr>
                <w:rFonts w:ascii="Arial Narrow" w:eastAsiaTheme="minorHAnsi" w:hAnsi="Arial Narrow"/>
                <w:snapToGrid/>
                <w:sz w:val="20"/>
              </w:rPr>
              <w:t>&lt; 30 kg</w:t>
            </w:r>
          </w:p>
        </w:tc>
        <w:tc>
          <w:tcPr>
            <w:tcW w:w="1251" w:type="pct"/>
          </w:tcPr>
          <w:p w:rsidR="00E052B4" w:rsidRPr="002E6BC6" w:rsidRDefault="00E052B4" w:rsidP="00E052B4">
            <w:pPr>
              <w:pStyle w:val="PBACHeading1"/>
              <w:numPr>
                <w:ilvl w:val="0"/>
                <w:numId w:val="0"/>
              </w:numPr>
              <w:rPr>
                <w:rFonts w:ascii="Arial Narrow" w:eastAsiaTheme="minorHAnsi" w:hAnsi="Arial Narrow"/>
                <w:snapToGrid/>
                <w:sz w:val="20"/>
              </w:rPr>
            </w:pPr>
            <w:r w:rsidRPr="002E6BC6">
              <w:rPr>
                <w:rFonts w:ascii="Arial Narrow" w:eastAsiaTheme="minorHAnsi" w:hAnsi="Arial Narrow"/>
                <w:snapToGrid/>
                <w:sz w:val="20"/>
              </w:rPr>
              <w:sym w:font="Symbol" w:char="F0B3"/>
            </w:r>
            <w:r w:rsidRPr="002E6BC6">
              <w:rPr>
                <w:rFonts w:ascii="Arial Narrow" w:eastAsiaTheme="minorHAnsi" w:hAnsi="Arial Narrow"/>
                <w:snapToGrid/>
                <w:sz w:val="20"/>
              </w:rPr>
              <w:t xml:space="preserve"> 30 kg</w:t>
            </w:r>
          </w:p>
        </w:tc>
        <w:tc>
          <w:tcPr>
            <w:tcW w:w="1249" w:type="pct"/>
          </w:tcPr>
          <w:p w:rsidR="00E052B4" w:rsidRPr="002E6BC6" w:rsidRDefault="00E052B4" w:rsidP="00E052B4">
            <w:pPr>
              <w:pStyle w:val="PBACHeading1"/>
              <w:numPr>
                <w:ilvl w:val="0"/>
                <w:numId w:val="0"/>
              </w:numPr>
              <w:rPr>
                <w:rFonts w:ascii="Arial Narrow" w:eastAsiaTheme="minorHAnsi" w:hAnsi="Arial Narrow"/>
                <w:snapToGrid/>
                <w:sz w:val="20"/>
              </w:rPr>
            </w:pPr>
            <w:r w:rsidRPr="002E6BC6">
              <w:rPr>
                <w:rFonts w:ascii="Arial Narrow" w:eastAsiaTheme="minorHAnsi" w:hAnsi="Arial Narrow"/>
                <w:snapToGrid/>
                <w:sz w:val="20"/>
              </w:rPr>
              <w:t>&lt; 30 kg</w:t>
            </w:r>
          </w:p>
        </w:tc>
        <w:tc>
          <w:tcPr>
            <w:tcW w:w="1249" w:type="pct"/>
          </w:tcPr>
          <w:p w:rsidR="00E052B4" w:rsidRPr="002E6BC6" w:rsidRDefault="00E052B4" w:rsidP="00E052B4">
            <w:pPr>
              <w:pStyle w:val="PBACHeading1"/>
              <w:numPr>
                <w:ilvl w:val="0"/>
                <w:numId w:val="0"/>
              </w:numPr>
              <w:rPr>
                <w:rFonts w:ascii="Arial Narrow" w:eastAsiaTheme="minorHAnsi" w:hAnsi="Arial Narrow"/>
                <w:snapToGrid/>
                <w:sz w:val="20"/>
              </w:rPr>
            </w:pPr>
            <w:r w:rsidRPr="002E6BC6">
              <w:rPr>
                <w:rFonts w:ascii="Arial Narrow" w:eastAsiaTheme="minorHAnsi" w:hAnsi="Arial Narrow"/>
                <w:snapToGrid/>
                <w:sz w:val="20"/>
              </w:rPr>
              <w:sym w:font="Symbol" w:char="F0B3"/>
            </w:r>
            <w:r w:rsidRPr="002E6BC6">
              <w:rPr>
                <w:rFonts w:ascii="Arial Narrow" w:eastAsiaTheme="minorHAnsi" w:hAnsi="Arial Narrow"/>
                <w:snapToGrid/>
                <w:sz w:val="20"/>
              </w:rPr>
              <w:t xml:space="preserve"> 30 kg</w:t>
            </w:r>
          </w:p>
        </w:tc>
      </w:tr>
      <w:tr w:rsidR="00E052B4" w:rsidRPr="002E6BC6" w:rsidTr="00A04DFC">
        <w:trPr>
          <w:tblHeader/>
        </w:trPr>
        <w:tc>
          <w:tcPr>
            <w:tcW w:w="1251" w:type="pct"/>
          </w:tcPr>
          <w:p w:rsidR="00E052B4" w:rsidRPr="002E6BC6" w:rsidRDefault="0056419E" w:rsidP="00E052B4">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 xml:space="preserve">162 mg </w:t>
            </w:r>
          </w:p>
        </w:tc>
        <w:tc>
          <w:tcPr>
            <w:tcW w:w="1251" w:type="pct"/>
          </w:tcPr>
          <w:p w:rsidR="00E052B4" w:rsidRPr="002E6BC6" w:rsidRDefault="0056419E" w:rsidP="00E052B4">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 xml:space="preserve">162 mg </w:t>
            </w:r>
          </w:p>
        </w:tc>
        <w:tc>
          <w:tcPr>
            <w:tcW w:w="1249" w:type="pct"/>
          </w:tcPr>
          <w:p w:rsidR="00E052B4" w:rsidRPr="002E6BC6" w:rsidRDefault="00E052B4" w:rsidP="00E052B4">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 xml:space="preserve">215.09 mg </w:t>
            </w:r>
          </w:p>
        </w:tc>
        <w:tc>
          <w:tcPr>
            <w:tcW w:w="1249" w:type="pct"/>
          </w:tcPr>
          <w:p w:rsidR="00E052B4" w:rsidRPr="002E6BC6" w:rsidRDefault="00E052B4" w:rsidP="00E052B4">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 xml:space="preserve">400.16 mg </w:t>
            </w:r>
          </w:p>
        </w:tc>
      </w:tr>
      <w:tr w:rsidR="0056419E" w:rsidRPr="002E6BC6" w:rsidTr="00A04DFC">
        <w:trPr>
          <w:tblHeader/>
        </w:trPr>
        <w:tc>
          <w:tcPr>
            <w:tcW w:w="5000" w:type="pct"/>
            <w:gridSpan w:val="4"/>
            <w:shd w:val="clear" w:color="auto" w:fill="BFBFBF" w:themeFill="background1" w:themeFillShade="BF"/>
          </w:tcPr>
          <w:p w:rsidR="0056419E" w:rsidRPr="002E6BC6" w:rsidRDefault="0056419E" w:rsidP="00FB3FBB">
            <w:pPr>
              <w:pStyle w:val="PBACHeading1"/>
              <w:numPr>
                <w:ilvl w:val="0"/>
                <w:numId w:val="0"/>
              </w:numPr>
              <w:jc w:val="center"/>
              <w:rPr>
                <w:rFonts w:ascii="Arial Narrow" w:eastAsiaTheme="minorHAnsi" w:hAnsi="Arial Narrow"/>
                <w:snapToGrid/>
                <w:sz w:val="20"/>
              </w:rPr>
            </w:pPr>
            <w:r w:rsidRPr="002E6BC6">
              <w:rPr>
                <w:rFonts w:ascii="Arial Narrow" w:eastAsiaTheme="minorHAnsi" w:hAnsi="Arial Narrow"/>
                <w:snapToGrid/>
                <w:sz w:val="20"/>
              </w:rPr>
              <w:t xml:space="preserve">AEMP per </w:t>
            </w:r>
            <w:r w:rsidR="00FB3FBB" w:rsidRPr="002E6BC6">
              <w:rPr>
                <w:rFonts w:ascii="Arial Narrow" w:eastAsiaTheme="minorHAnsi" w:hAnsi="Arial Narrow"/>
                <w:snapToGrid/>
                <w:sz w:val="20"/>
              </w:rPr>
              <w:t>administration</w:t>
            </w:r>
          </w:p>
        </w:tc>
      </w:tr>
      <w:tr w:rsidR="0056419E" w:rsidRPr="002E6BC6" w:rsidTr="00A04DFC">
        <w:trPr>
          <w:tblHeader/>
        </w:trPr>
        <w:tc>
          <w:tcPr>
            <w:tcW w:w="1251" w:type="pct"/>
          </w:tcPr>
          <w:p w:rsidR="0056419E" w:rsidRPr="002E6BC6" w:rsidRDefault="0056419E" w:rsidP="0056419E">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snapToGrid/>
                <w:sz w:val="20"/>
              </w:rPr>
              <w:t>&lt; 30 kg</w:t>
            </w:r>
          </w:p>
        </w:tc>
        <w:tc>
          <w:tcPr>
            <w:tcW w:w="1251" w:type="pct"/>
          </w:tcPr>
          <w:p w:rsidR="0056419E" w:rsidRPr="002E6BC6" w:rsidRDefault="0056419E" w:rsidP="0056419E">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snapToGrid/>
                <w:sz w:val="20"/>
              </w:rPr>
              <w:sym w:font="Symbol" w:char="F0B3"/>
            </w:r>
            <w:r w:rsidRPr="002E6BC6">
              <w:rPr>
                <w:rFonts w:ascii="Arial Narrow" w:eastAsiaTheme="minorHAnsi" w:hAnsi="Arial Narrow"/>
                <w:snapToGrid/>
                <w:sz w:val="20"/>
              </w:rPr>
              <w:t xml:space="preserve"> 30 kg</w:t>
            </w:r>
          </w:p>
        </w:tc>
        <w:tc>
          <w:tcPr>
            <w:tcW w:w="1249" w:type="pct"/>
          </w:tcPr>
          <w:p w:rsidR="0056419E" w:rsidRPr="002E6BC6" w:rsidRDefault="0056419E" w:rsidP="0056419E">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snapToGrid/>
                <w:sz w:val="20"/>
              </w:rPr>
              <w:t>&lt; 30 kg</w:t>
            </w:r>
          </w:p>
        </w:tc>
        <w:tc>
          <w:tcPr>
            <w:tcW w:w="1249" w:type="pct"/>
          </w:tcPr>
          <w:p w:rsidR="0056419E" w:rsidRPr="002E6BC6" w:rsidRDefault="0056419E" w:rsidP="0056419E">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snapToGrid/>
                <w:sz w:val="20"/>
              </w:rPr>
              <w:sym w:font="Symbol" w:char="F0B3"/>
            </w:r>
            <w:r w:rsidRPr="002E6BC6">
              <w:rPr>
                <w:rFonts w:ascii="Arial Narrow" w:eastAsiaTheme="minorHAnsi" w:hAnsi="Arial Narrow"/>
                <w:snapToGrid/>
                <w:sz w:val="20"/>
              </w:rPr>
              <w:t xml:space="preserve"> 30 kg</w:t>
            </w:r>
          </w:p>
        </w:tc>
      </w:tr>
      <w:tr w:rsidR="0056419E" w:rsidRPr="002E6BC6" w:rsidTr="00A04DFC">
        <w:trPr>
          <w:tblHeader/>
        </w:trPr>
        <w:tc>
          <w:tcPr>
            <w:tcW w:w="1251" w:type="pct"/>
          </w:tcPr>
          <w:p w:rsidR="0056419E" w:rsidRPr="002E6BC6" w:rsidRDefault="0056419E" w:rsidP="00E052B4">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w:t>
            </w:r>
            <w:r w:rsidR="003E2B64">
              <w:rPr>
                <w:rFonts w:ascii="Arial Narrow" w:eastAsiaTheme="minorHAnsi" w:hAnsi="Arial Narrow"/>
                <w:b w:val="0"/>
                <w:noProof/>
                <w:snapToGrid/>
                <w:color w:val="000000"/>
                <w:sz w:val="20"/>
                <w:highlight w:val="black"/>
              </w:rPr>
              <w:t>'''''''''''''''''</w:t>
            </w:r>
          </w:p>
        </w:tc>
        <w:tc>
          <w:tcPr>
            <w:tcW w:w="1251" w:type="pct"/>
          </w:tcPr>
          <w:p w:rsidR="0056419E" w:rsidRPr="002E6BC6" w:rsidRDefault="0056419E" w:rsidP="00E052B4">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w:t>
            </w:r>
            <w:r w:rsidR="003E2B64">
              <w:rPr>
                <w:rFonts w:ascii="Arial Narrow" w:eastAsiaTheme="minorHAnsi" w:hAnsi="Arial Narrow"/>
                <w:b w:val="0"/>
                <w:noProof/>
                <w:snapToGrid/>
                <w:color w:val="000000"/>
                <w:sz w:val="20"/>
                <w:highlight w:val="black"/>
              </w:rPr>
              <w:t>'''''''''''''''</w:t>
            </w:r>
          </w:p>
        </w:tc>
        <w:tc>
          <w:tcPr>
            <w:tcW w:w="1249" w:type="pct"/>
          </w:tcPr>
          <w:p w:rsidR="0056419E" w:rsidRPr="003E2B64" w:rsidRDefault="003E2B64" w:rsidP="00E052B4">
            <w:pPr>
              <w:pStyle w:val="PBACHeading1"/>
              <w:numPr>
                <w:ilvl w:val="0"/>
                <w:numId w:val="0"/>
              </w:numPr>
              <w:rPr>
                <w:rFonts w:ascii="Arial Narrow" w:eastAsiaTheme="minorHAnsi" w:hAnsi="Arial Narrow"/>
                <w:b w:val="0"/>
                <w:snapToGrid/>
                <w:sz w:val="20"/>
                <w:highlight w:val="black"/>
              </w:rPr>
            </w:pPr>
            <w:r>
              <w:rPr>
                <w:rFonts w:ascii="Arial Narrow" w:eastAsiaTheme="minorHAnsi" w:hAnsi="Arial Narrow"/>
                <w:b w:val="0"/>
                <w:noProof/>
                <w:snapToGrid/>
                <w:color w:val="000000"/>
                <w:sz w:val="20"/>
                <w:highlight w:val="black"/>
              </w:rPr>
              <w:t>''''''''''''''''''''</w:t>
            </w:r>
          </w:p>
        </w:tc>
        <w:tc>
          <w:tcPr>
            <w:tcW w:w="1249" w:type="pct"/>
          </w:tcPr>
          <w:p w:rsidR="0056419E" w:rsidRPr="003E2B64" w:rsidRDefault="003E2B64" w:rsidP="00E052B4">
            <w:pPr>
              <w:pStyle w:val="PBACHeading1"/>
              <w:numPr>
                <w:ilvl w:val="0"/>
                <w:numId w:val="0"/>
              </w:numPr>
              <w:rPr>
                <w:rFonts w:ascii="Arial Narrow" w:eastAsiaTheme="minorHAnsi" w:hAnsi="Arial Narrow"/>
                <w:b w:val="0"/>
                <w:snapToGrid/>
                <w:sz w:val="20"/>
                <w:highlight w:val="black"/>
              </w:rPr>
            </w:pPr>
            <w:r>
              <w:rPr>
                <w:rFonts w:ascii="Arial Narrow" w:eastAsiaTheme="minorHAnsi" w:hAnsi="Arial Narrow"/>
                <w:b w:val="0"/>
                <w:noProof/>
                <w:snapToGrid/>
                <w:color w:val="000000"/>
                <w:sz w:val="20"/>
                <w:highlight w:val="black"/>
              </w:rPr>
              <w:t xml:space="preserve">''''''''''''''''''' </w:t>
            </w:r>
          </w:p>
        </w:tc>
      </w:tr>
      <w:tr w:rsidR="00F515E0" w:rsidRPr="002E6BC6" w:rsidTr="00A04DFC">
        <w:trPr>
          <w:tblHeader/>
        </w:trPr>
        <w:tc>
          <w:tcPr>
            <w:tcW w:w="5000" w:type="pct"/>
            <w:gridSpan w:val="4"/>
            <w:shd w:val="clear" w:color="auto" w:fill="BFBFBF" w:themeFill="background1" w:themeFillShade="BF"/>
          </w:tcPr>
          <w:p w:rsidR="00F515E0" w:rsidRPr="002E6BC6" w:rsidRDefault="00F515E0" w:rsidP="00F515E0">
            <w:pPr>
              <w:pStyle w:val="PBACHeading1"/>
              <w:numPr>
                <w:ilvl w:val="0"/>
                <w:numId w:val="0"/>
              </w:numPr>
              <w:jc w:val="center"/>
              <w:rPr>
                <w:rFonts w:ascii="Arial Narrow" w:eastAsiaTheme="minorHAnsi" w:hAnsi="Arial Narrow"/>
                <w:snapToGrid/>
                <w:sz w:val="20"/>
              </w:rPr>
            </w:pPr>
            <w:r w:rsidRPr="002E6BC6">
              <w:rPr>
                <w:rFonts w:ascii="Arial Narrow" w:eastAsiaTheme="minorHAnsi" w:hAnsi="Arial Narrow"/>
                <w:snapToGrid/>
                <w:sz w:val="20"/>
              </w:rPr>
              <w:t xml:space="preserve">Number of </w:t>
            </w:r>
            <w:r w:rsidR="00E70CF0" w:rsidRPr="002E6BC6">
              <w:rPr>
                <w:rFonts w:ascii="Arial Narrow" w:eastAsiaTheme="minorHAnsi" w:hAnsi="Arial Narrow"/>
                <w:snapToGrid/>
                <w:sz w:val="20"/>
              </w:rPr>
              <w:t xml:space="preserve">administrations over 52 </w:t>
            </w:r>
            <w:r w:rsidRPr="002E6BC6">
              <w:rPr>
                <w:rFonts w:ascii="Arial Narrow" w:eastAsiaTheme="minorHAnsi" w:hAnsi="Arial Narrow"/>
                <w:snapToGrid/>
                <w:sz w:val="20"/>
              </w:rPr>
              <w:t>weeks</w:t>
            </w:r>
          </w:p>
        </w:tc>
      </w:tr>
      <w:tr w:rsidR="00F515E0" w:rsidRPr="002E6BC6" w:rsidTr="00A04DFC">
        <w:trPr>
          <w:tblHeader/>
        </w:trPr>
        <w:tc>
          <w:tcPr>
            <w:tcW w:w="1251" w:type="pct"/>
          </w:tcPr>
          <w:p w:rsidR="00F515E0" w:rsidRPr="002E6BC6" w:rsidRDefault="00F515E0" w:rsidP="00F515E0">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snapToGrid/>
                <w:sz w:val="20"/>
              </w:rPr>
              <w:t>&lt; 30 kg</w:t>
            </w:r>
          </w:p>
        </w:tc>
        <w:tc>
          <w:tcPr>
            <w:tcW w:w="1251" w:type="pct"/>
          </w:tcPr>
          <w:p w:rsidR="00F515E0" w:rsidRPr="002E6BC6" w:rsidRDefault="00F515E0" w:rsidP="00F515E0">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snapToGrid/>
                <w:sz w:val="20"/>
              </w:rPr>
              <w:sym w:font="Symbol" w:char="F0B3"/>
            </w:r>
            <w:r w:rsidRPr="002E6BC6">
              <w:rPr>
                <w:rFonts w:ascii="Arial Narrow" w:eastAsiaTheme="minorHAnsi" w:hAnsi="Arial Narrow"/>
                <w:snapToGrid/>
                <w:sz w:val="20"/>
              </w:rPr>
              <w:t xml:space="preserve"> 30 kg</w:t>
            </w:r>
          </w:p>
        </w:tc>
        <w:tc>
          <w:tcPr>
            <w:tcW w:w="1249" w:type="pct"/>
          </w:tcPr>
          <w:p w:rsidR="00F515E0" w:rsidRPr="002E6BC6" w:rsidRDefault="00F515E0" w:rsidP="00F515E0">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snapToGrid/>
                <w:sz w:val="20"/>
              </w:rPr>
              <w:t>&lt; 30 kg</w:t>
            </w:r>
          </w:p>
        </w:tc>
        <w:tc>
          <w:tcPr>
            <w:tcW w:w="1249" w:type="pct"/>
          </w:tcPr>
          <w:p w:rsidR="00F515E0" w:rsidRPr="002E6BC6" w:rsidRDefault="00F515E0" w:rsidP="00F515E0">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snapToGrid/>
                <w:sz w:val="20"/>
              </w:rPr>
              <w:sym w:font="Symbol" w:char="F0B3"/>
            </w:r>
            <w:r w:rsidRPr="002E6BC6">
              <w:rPr>
                <w:rFonts w:ascii="Arial Narrow" w:eastAsiaTheme="minorHAnsi" w:hAnsi="Arial Narrow"/>
                <w:snapToGrid/>
                <w:sz w:val="20"/>
              </w:rPr>
              <w:t xml:space="preserve"> 30 kg</w:t>
            </w:r>
          </w:p>
        </w:tc>
      </w:tr>
      <w:tr w:rsidR="00F515E0" w:rsidRPr="002E6BC6" w:rsidTr="00A04DFC">
        <w:trPr>
          <w:tblHeader/>
        </w:trPr>
        <w:tc>
          <w:tcPr>
            <w:tcW w:w="1251" w:type="pct"/>
          </w:tcPr>
          <w:p w:rsidR="00F515E0" w:rsidRPr="002E6BC6" w:rsidRDefault="00F515E0" w:rsidP="00E052B4">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17.33</w:t>
            </w:r>
          </w:p>
        </w:tc>
        <w:tc>
          <w:tcPr>
            <w:tcW w:w="1251" w:type="pct"/>
          </w:tcPr>
          <w:p w:rsidR="00F515E0" w:rsidRPr="002E6BC6" w:rsidRDefault="00F515E0" w:rsidP="00E052B4">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26.0</w:t>
            </w:r>
          </w:p>
        </w:tc>
        <w:tc>
          <w:tcPr>
            <w:tcW w:w="1249" w:type="pct"/>
          </w:tcPr>
          <w:p w:rsidR="00F515E0" w:rsidRPr="002E6BC6" w:rsidRDefault="00F515E0" w:rsidP="00E052B4">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13.0</w:t>
            </w:r>
          </w:p>
        </w:tc>
        <w:tc>
          <w:tcPr>
            <w:tcW w:w="1249" w:type="pct"/>
          </w:tcPr>
          <w:p w:rsidR="00F515E0" w:rsidRPr="002E6BC6" w:rsidRDefault="00F515E0" w:rsidP="00E052B4">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13.0</w:t>
            </w:r>
          </w:p>
        </w:tc>
      </w:tr>
      <w:tr w:rsidR="00F515E0" w:rsidRPr="002E6BC6" w:rsidTr="00A04DFC">
        <w:trPr>
          <w:tblHeader/>
        </w:trPr>
        <w:tc>
          <w:tcPr>
            <w:tcW w:w="5000" w:type="pct"/>
            <w:gridSpan w:val="4"/>
            <w:shd w:val="clear" w:color="auto" w:fill="BFBFBF" w:themeFill="background1" w:themeFillShade="BF"/>
          </w:tcPr>
          <w:p w:rsidR="00F515E0" w:rsidRPr="002E6BC6" w:rsidRDefault="00F515E0" w:rsidP="008C7770">
            <w:pPr>
              <w:pStyle w:val="PBACHeading1"/>
              <w:numPr>
                <w:ilvl w:val="0"/>
                <w:numId w:val="0"/>
              </w:numPr>
              <w:jc w:val="center"/>
              <w:rPr>
                <w:rFonts w:ascii="Arial Narrow" w:eastAsiaTheme="minorHAnsi" w:hAnsi="Arial Narrow"/>
                <w:snapToGrid/>
                <w:sz w:val="20"/>
              </w:rPr>
            </w:pPr>
            <w:r w:rsidRPr="002E6BC6">
              <w:rPr>
                <w:rFonts w:ascii="Arial Narrow" w:eastAsiaTheme="minorHAnsi" w:hAnsi="Arial Narrow"/>
                <w:snapToGrid/>
                <w:sz w:val="20"/>
              </w:rPr>
              <w:t xml:space="preserve">AEMP per patient </w:t>
            </w:r>
            <w:r w:rsidR="008C7770" w:rsidRPr="002E6BC6">
              <w:rPr>
                <w:rFonts w:ascii="Arial Narrow" w:eastAsiaTheme="minorHAnsi" w:hAnsi="Arial Narrow"/>
                <w:snapToGrid/>
                <w:sz w:val="20"/>
              </w:rPr>
              <w:t>over 52 weeks</w:t>
            </w:r>
          </w:p>
        </w:tc>
      </w:tr>
      <w:tr w:rsidR="008C7770" w:rsidRPr="002E6BC6" w:rsidTr="00A04DFC">
        <w:trPr>
          <w:tblHeader/>
        </w:trPr>
        <w:tc>
          <w:tcPr>
            <w:tcW w:w="1251" w:type="pct"/>
          </w:tcPr>
          <w:p w:rsidR="008C7770" w:rsidRPr="002E6BC6" w:rsidRDefault="008C7770" w:rsidP="008C7770">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snapToGrid/>
                <w:sz w:val="20"/>
              </w:rPr>
              <w:t>&lt; 30 kg</w:t>
            </w:r>
          </w:p>
        </w:tc>
        <w:tc>
          <w:tcPr>
            <w:tcW w:w="1251" w:type="pct"/>
          </w:tcPr>
          <w:p w:rsidR="008C7770" w:rsidRPr="002E6BC6" w:rsidRDefault="008C7770" w:rsidP="008C7770">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snapToGrid/>
                <w:sz w:val="20"/>
              </w:rPr>
              <w:sym w:font="Symbol" w:char="F0B3"/>
            </w:r>
            <w:r w:rsidRPr="002E6BC6">
              <w:rPr>
                <w:rFonts w:ascii="Arial Narrow" w:eastAsiaTheme="minorHAnsi" w:hAnsi="Arial Narrow"/>
                <w:snapToGrid/>
                <w:sz w:val="20"/>
              </w:rPr>
              <w:t xml:space="preserve"> 30 kg</w:t>
            </w:r>
          </w:p>
        </w:tc>
        <w:tc>
          <w:tcPr>
            <w:tcW w:w="1249" w:type="pct"/>
          </w:tcPr>
          <w:p w:rsidR="008C7770" w:rsidRPr="002E6BC6" w:rsidRDefault="008C7770" w:rsidP="008C7770">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snapToGrid/>
                <w:sz w:val="20"/>
              </w:rPr>
              <w:t>&lt; 30 kg</w:t>
            </w:r>
          </w:p>
        </w:tc>
        <w:tc>
          <w:tcPr>
            <w:tcW w:w="1249" w:type="pct"/>
          </w:tcPr>
          <w:p w:rsidR="008C7770" w:rsidRPr="002E6BC6" w:rsidRDefault="008C7770" w:rsidP="008C7770">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snapToGrid/>
                <w:sz w:val="20"/>
              </w:rPr>
              <w:sym w:font="Symbol" w:char="F0B3"/>
            </w:r>
            <w:r w:rsidRPr="002E6BC6">
              <w:rPr>
                <w:rFonts w:ascii="Arial Narrow" w:eastAsiaTheme="minorHAnsi" w:hAnsi="Arial Narrow"/>
                <w:snapToGrid/>
                <w:sz w:val="20"/>
              </w:rPr>
              <w:t xml:space="preserve"> 30 kg</w:t>
            </w:r>
          </w:p>
        </w:tc>
      </w:tr>
      <w:tr w:rsidR="008C7770" w:rsidRPr="002E6BC6" w:rsidTr="00A04DFC">
        <w:trPr>
          <w:tblHeader/>
        </w:trPr>
        <w:tc>
          <w:tcPr>
            <w:tcW w:w="1251" w:type="pct"/>
          </w:tcPr>
          <w:p w:rsidR="008C7770" w:rsidRPr="002E6BC6" w:rsidRDefault="008C7770" w:rsidP="00E052B4">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w:t>
            </w:r>
            <w:r w:rsidR="003E2B64">
              <w:rPr>
                <w:rFonts w:ascii="Arial Narrow" w:eastAsiaTheme="minorHAnsi" w:hAnsi="Arial Narrow"/>
                <w:b w:val="0"/>
                <w:noProof/>
                <w:snapToGrid/>
                <w:color w:val="000000"/>
                <w:sz w:val="20"/>
                <w:highlight w:val="black"/>
              </w:rPr>
              <w:t>'''''''''''''''''''</w:t>
            </w:r>
          </w:p>
        </w:tc>
        <w:tc>
          <w:tcPr>
            <w:tcW w:w="1251" w:type="pct"/>
          </w:tcPr>
          <w:p w:rsidR="008C7770" w:rsidRPr="002E6BC6" w:rsidRDefault="008C7770" w:rsidP="00E052B4">
            <w:pPr>
              <w:pStyle w:val="PBACHeading1"/>
              <w:numPr>
                <w:ilvl w:val="0"/>
                <w:numId w:val="0"/>
              </w:numPr>
              <w:rPr>
                <w:rFonts w:ascii="Arial Narrow" w:eastAsiaTheme="minorHAnsi" w:hAnsi="Arial Narrow"/>
                <w:b w:val="0"/>
                <w:snapToGrid/>
                <w:sz w:val="20"/>
              </w:rPr>
            </w:pPr>
            <w:r w:rsidRPr="002E6BC6">
              <w:rPr>
                <w:rFonts w:ascii="Arial Narrow" w:eastAsiaTheme="minorHAnsi" w:hAnsi="Arial Narrow"/>
                <w:b w:val="0"/>
                <w:snapToGrid/>
                <w:sz w:val="20"/>
              </w:rPr>
              <w:t>$</w:t>
            </w:r>
            <w:r w:rsidR="003E2B64">
              <w:rPr>
                <w:rFonts w:ascii="Arial Narrow" w:eastAsiaTheme="minorHAnsi" w:hAnsi="Arial Narrow"/>
                <w:b w:val="0"/>
                <w:noProof/>
                <w:snapToGrid/>
                <w:color w:val="000000"/>
                <w:sz w:val="20"/>
                <w:highlight w:val="black"/>
              </w:rPr>
              <w:t>'''''''''''''''''''</w:t>
            </w:r>
          </w:p>
        </w:tc>
        <w:tc>
          <w:tcPr>
            <w:tcW w:w="1249" w:type="pct"/>
          </w:tcPr>
          <w:p w:rsidR="008C7770" w:rsidRPr="003E2B64" w:rsidRDefault="003E2B64" w:rsidP="00E052B4">
            <w:pPr>
              <w:pStyle w:val="PBACHeading1"/>
              <w:numPr>
                <w:ilvl w:val="0"/>
                <w:numId w:val="0"/>
              </w:numPr>
              <w:rPr>
                <w:rFonts w:ascii="Arial Narrow" w:eastAsiaTheme="minorHAnsi" w:hAnsi="Arial Narrow"/>
                <w:b w:val="0"/>
                <w:snapToGrid/>
                <w:sz w:val="20"/>
                <w:highlight w:val="black"/>
              </w:rPr>
            </w:pPr>
            <w:r>
              <w:rPr>
                <w:rFonts w:ascii="Arial Narrow" w:eastAsiaTheme="minorHAnsi" w:hAnsi="Arial Narrow"/>
                <w:b w:val="0"/>
                <w:noProof/>
                <w:snapToGrid/>
                <w:color w:val="000000"/>
                <w:sz w:val="20"/>
                <w:highlight w:val="black"/>
              </w:rPr>
              <w:t>''''''''''''''''''''''''''</w:t>
            </w:r>
          </w:p>
        </w:tc>
        <w:tc>
          <w:tcPr>
            <w:tcW w:w="1249" w:type="pct"/>
          </w:tcPr>
          <w:p w:rsidR="008C7770" w:rsidRPr="003E2B64" w:rsidRDefault="003E2B64" w:rsidP="00E052B4">
            <w:pPr>
              <w:pStyle w:val="PBACHeading1"/>
              <w:numPr>
                <w:ilvl w:val="0"/>
                <w:numId w:val="0"/>
              </w:numPr>
              <w:rPr>
                <w:rFonts w:ascii="Arial Narrow" w:eastAsiaTheme="minorHAnsi" w:hAnsi="Arial Narrow"/>
                <w:b w:val="0"/>
                <w:snapToGrid/>
                <w:sz w:val="20"/>
                <w:highlight w:val="black"/>
              </w:rPr>
            </w:pPr>
            <w:r>
              <w:rPr>
                <w:rFonts w:ascii="Arial Narrow" w:eastAsiaTheme="minorHAnsi" w:hAnsi="Arial Narrow"/>
                <w:b w:val="0"/>
                <w:noProof/>
                <w:snapToGrid/>
                <w:color w:val="000000"/>
                <w:sz w:val="20"/>
                <w:highlight w:val="black"/>
              </w:rPr>
              <w:t>'''''''''''''''''''''''</w:t>
            </w:r>
          </w:p>
        </w:tc>
      </w:tr>
      <w:tr w:rsidR="00FB3FBB" w:rsidRPr="002E6BC6" w:rsidTr="00A04DFC">
        <w:trPr>
          <w:tblHeader/>
        </w:trPr>
        <w:tc>
          <w:tcPr>
            <w:tcW w:w="5000" w:type="pct"/>
            <w:gridSpan w:val="4"/>
            <w:shd w:val="clear" w:color="auto" w:fill="BFBFBF" w:themeFill="background1" w:themeFillShade="BF"/>
          </w:tcPr>
          <w:p w:rsidR="00FB3FBB" w:rsidRPr="002E6BC6" w:rsidRDefault="00FB3FBB" w:rsidP="00FB3FBB">
            <w:pPr>
              <w:pStyle w:val="PBACHeading1"/>
              <w:numPr>
                <w:ilvl w:val="0"/>
                <w:numId w:val="0"/>
              </w:numPr>
              <w:jc w:val="center"/>
              <w:rPr>
                <w:rFonts w:ascii="Arial Narrow" w:eastAsiaTheme="minorHAnsi" w:hAnsi="Arial Narrow"/>
                <w:snapToGrid/>
                <w:sz w:val="20"/>
                <w:vertAlign w:val="superscript"/>
              </w:rPr>
            </w:pPr>
            <w:r w:rsidRPr="002E6BC6">
              <w:rPr>
                <w:rFonts w:ascii="Arial Narrow" w:eastAsiaTheme="minorHAnsi" w:hAnsi="Arial Narrow"/>
                <w:snapToGrid/>
                <w:sz w:val="20"/>
              </w:rPr>
              <w:t xml:space="preserve">Weighted AEMP per patient over 52 </w:t>
            </w:r>
            <w:proofErr w:type="spellStart"/>
            <w:r w:rsidRPr="002E6BC6">
              <w:rPr>
                <w:rFonts w:ascii="Arial Narrow" w:eastAsiaTheme="minorHAnsi" w:hAnsi="Arial Narrow"/>
                <w:snapToGrid/>
                <w:sz w:val="20"/>
              </w:rPr>
              <w:t>weeks</w:t>
            </w:r>
            <w:r w:rsidR="00B765B3" w:rsidRPr="002E6BC6">
              <w:rPr>
                <w:rFonts w:ascii="Arial Narrow" w:eastAsiaTheme="minorHAnsi" w:hAnsi="Arial Narrow"/>
                <w:snapToGrid/>
                <w:sz w:val="20"/>
                <w:vertAlign w:val="superscript"/>
              </w:rPr>
              <w:t>b</w:t>
            </w:r>
            <w:proofErr w:type="spellEnd"/>
          </w:p>
        </w:tc>
      </w:tr>
      <w:tr w:rsidR="00F515E0" w:rsidRPr="002E6BC6" w:rsidTr="00A04DFC">
        <w:trPr>
          <w:tblHeader/>
        </w:trPr>
        <w:tc>
          <w:tcPr>
            <w:tcW w:w="2502" w:type="pct"/>
            <w:gridSpan w:val="2"/>
          </w:tcPr>
          <w:p w:rsidR="00F515E0" w:rsidRPr="002E6BC6" w:rsidRDefault="00FB3264" w:rsidP="005801EA">
            <w:pPr>
              <w:pStyle w:val="PBACHeading1"/>
              <w:numPr>
                <w:ilvl w:val="0"/>
                <w:numId w:val="0"/>
              </w:numPr>
              <w:jc w:val="center"/>
              <w:rPr>
                <w:rFonts w:ascii="Arial Narrow" w:eastAsiaTheme="minorHAnsi" w:hAnsi="Arial Narrow"/>
                <w:b w:val="0"/>
                <w:snapToGrid/>
                <w:sz w:val="20"/>
              </w:rPr>
            </w:pPr>
            <w:r w:rsidRPr="002E6BC6">
              <w:rPr>
                <w:rFonts w:ascii="Arial Narrow" w:eastAsiaTheme="minorHAnsi" w:hAnsi="Arial Narrow"/>
                <w:b w:val="0"/>
                <w:snapToGrid/>
                <w:sz w:val="20"/>
              </w:rPr>
              <w:t>$</w:t>
            </w:r>
            <w:r w:rsidR="003E2B64">
              <w:rPr>
                <w:rFonts w:ascii="Arial Narrow" w:eastAsiaTheme="minorHAnsi" w:hAnsi="Arial Narrow"/>
                <w:b w:val="0"/>
                <w:noProof/>
                <w:snapToGrid/>
                <w:color w:val="000000"/>
                <w:sz w:val="20"/>
                <w:highlight w:val="black"/>
              </w:rPr>
              <w:t>'''''''''''''''''''</w:t>
            </w:r>
          </w:p>
        </w:tc>
        <w:tc>
          <w:tcPr>
            <w:tcW w:w="2498" w:type="pct"/>
            <w:gridSpan w:val="2"/>
          </w:tcPr>
          <w:p w:rsidR="008C7770" w:rsidRPr="003E2B64" w:rsidRDefault="003E2B64" w:rsidP="008C7770">
            <w:pPr>
              <w:pStyle w:val="PBACHeading1"/>
              <w:numPr>
                <w:ilvl w:val="0"/>
                <w:numId w:val="0"/>
              </w:numPr>
              <w:jc w:val="center"/>
              <w:rPr>
                <w:rFonts w:ascii="Arial Narrow" w:eastAsiaTheme="minorHAnsi" w:hAnsi="Arial Narrow"/>
                <w:b w:val="0"/>
                <w:snapToGrid/>
                <w:sz w:val="20"/>
                <w:highlight w:val="black"/>
              </w:rPr>
            </w:pPr>
            <w:r>
              <w:rPr>
                <w:rFonts w:ascii="Arial Narrow" w:eastAsiaTheme="minorHAnsi" w:hAnsi="Arial Narrow"/>
                <w:b w:val="0"/>
                <w:noProof/>
                <w:snapToGrid/>
                <w:color w:val="000000"/>
                <w:sz w:val="20"/>
                <w:highlight w:val="black"/>
              </w:rPr>
              <w:t>''''''''''''''''''''''''''</w:t>
            </w:r>
          </w:p>
        </w:tc>
      </w:tr>
      <w:tr w:rsidR="00973FBD" w:rsidRPr="002E6BC6" w:rsidTr="00A04DFC">
        <w:trPr>
          <w:tblHeader/>
        </w:trPr>
        <w:tc>
          <w:tcPr>
            <w:tcW w:w="5000" w:type="pct"/>
            <w:gridSpan w:val="4"/>
            <w:shd w:val="clear" w:color="auto" w:fill="BFBFBF" w:themeFill="background1" w:themeFillShade="BF"/>
          </w:tcPr>
          <w:p w:rsidR="00973FBD" w:rsidRPr="002E6BC6" w:rsidRDefault="00973FBD" w:rsidP="008C7770">
            <w:pPr>
              <w:pStyle w:val="PBACHeading1"/>
              <w:numPr>
                <w:ilvl w:val="0"/>
                <w:numId w:val="0"/>
              </w:numPr>
              <w:jc w:val="center"/>
              <w:rPr>
                <w:rFonts w:ascii="Arial Narrow" w:eastAsiaTheme="minorHAnsi" w:hAnsi="Arial Narrow"/>
                <w:snapToGrid/>
                <w:sz w:val="20"/>
              </w:rPr>
            </w:pPr>
            <w:r w:rsidRPr="002E6BC6">
              <w:rPr>
                <w:rFonts w:ascii="Arial Narrow" w:eastAsiaTheme="minorHAnsi" w:hAnsi="Arial Narrow"/>
                <w:snapToGrid/>
                <w:sz w:val="20"/>
              </w:rPr>
              <w:t xml:space="preserve">AEMP per patient over 52 weeks weighted by public/private hospital </w:t>
            </w:r>
            <w:proofErr w:type="spellStart"/>
            <w:r w:rsidRPr="002E6BC6">
              <w:rPr>
                <w:rFonts w:ascii="Arial Narrow" w:eastAsiaTheme="minorHAnsi" w:hAnsi="Arial Narrow"/>
                <w:snapToGrid/>
                <w:sz w:val="20"/>
              </w:rPr>
              <w:t>usage</w:t>
            </w:r>
            <w:r w:rsidR="004D46CA" w:rsidRPr="002E6BC6">
              <w:rPr>
                <w:rFonts w:ascii="Arial Narrow" w:eastAsiaTheme="minorHAnsi" w:hAnsi="Arial Narrow"/>
                <w:snapToGrid/>
                <w:sz w:val="20"/>
                <w:vertAlign w:val="superscript"/>
              </w:rPr>
              <w:t>c</w:t>
            </w:r>
            <w:proofErr w:type="spellEnd"/>
            <w:r w:rsidRPr="002E6BC6">
              <w:rPr>
                <w:rFonts w:ascii="Arial Narrow" w:eastAsiaTheme="minorHAnsi" w:hAnsi="Arial Narrow"/>
                <w:snapToGrid/>
                <w:sz w:val="20"/>
              </w:rPr>
              <w:t xml:space="preserve"> </w:t>
            </w:r>
          </w:p>
        </w:tc>
      </w:tr>
      <w:tr w:rsidR="00973FBD" w:rsidRPr="002E6BC6" w:rsidTr="00A04DFC">
        <w:trPr>
          <w:tblHeader/>
        </w:trPr>
        <w:tc>
          <w:tcPr>
            <w:tcW w:w="2502" w:type="pct"/>
            <w:gridSpan w:val="2"/>
          </w:tcPr>
          <w:p w:rsidR="00973FBD" w:rsidRPr="002E6BC6" w:rsidRDefault="00973FBD" w:rsidP="005801EA">
            <w:pPr>
              <w:pStyle w:val="PBACHeading1"/>
              <w:numPr>
                <w:ilvl w:val="0"/>
                <w:numId w:val="0"/>
              </w:numPr>
              <w:jc w:val="center"/>
              <w:rPr>
                <w:rFonts w:ascii="Arial Narrow" w:eastAsiaTheme="minorHAnsi" w:hAnsi="Arial Narrow"/>
                <w:b w:val="0"/>
                <w:snapToGrid/>
                <w:sz w:val="20"/>
              </w:rPr>
            </w:pPr>
            <w:r w:rsidRPr="002E6BC6">
              <w:rPr>
                <w:rFonts w:ascii="Arial Narrow" w:eastAsiaTheme="minorHAnsi" w:hAnsi="Arial Narrow"/>
                <w:b w:val="0"/>
                <w:snapToGrid/>
                <w:sz w:val="20"/>
              </w:rPr>
              <w:t>-</w:t>
            </w:r>
          </w:p>
        </w:tc>
        <w:tc>
          <w:tcPr>
            <w:tcW w:w="2498" w:type="pct"/>
            <w:gridSpan w:val="2"/>
          </w:tcPr>
          <w:p w:rsidR="00973FBD" w:rsidRPr="003E2B64" w:rsidRDefault="003E2B64" w:rsidP="008C7770">
            <w:pPr>
              <w:pStyle w:val="PBACHeading1"/>
              <w:numPr>
                <w:ilvl w:val="0"/>
                <w:numId w:val="0"/>
              </w:numPr>
              <w:jc w:val="center"/>
              <w:rPr>
                <w:rFonts w:ascii="Arial Narrow" w:eastAsiaTheme="minorHAnsi" w:hAnsi="Arial Narrow"/>
                <w:b w:val="0"/>
                <w:snapToGrid/>
                <w:sz w:val="20"/>
                <w:highlight w:val="black"/>
              </w:rPr>
            </w:pPr>
            <w:r>
              <w:rPr>
                <w:rFonts w:ascii="Arial Narrow" w:eastAsiaTheme="minorHAnsi" w:hAnsi="Arial Narrow"/>
                <w:b w:val="0"/>
                <w:noProof/>
                <w:snapToGrid/>
                <w:color w:val="000000"/>
                <w:sz w:val="20"/>
                <w:highlight w:val="black"/>
              </w:rPr>
              <w:t>''''''''''''''''''''''''</w:t>
            </w:r>
          </w:p>
        </w:tc>
      </w:tr>
      <w:tr w:rsidR="005801EA" w:rsidRPr="002E6BC6" w:rsidTr="00A04DFC">
        <w:trPr>
          <w:tblHeader/>
        </w:trPr>
        <w:tc>
          <w:tcPr>
            <w:tcW w:w="5000" w:type="pct"/>
            <w:gridSpan w:val="4"/>
            <w:shd w:val="clear" w:color="auto" w:fill="BFBFBF" w:themeFill="background1" w:themeFillShade="BF"/>
          </w:tcPr>
          <w:p w:rsidR="005801EA" w:rsidRPr="002E6BC6" w:rsidRDefault="005801EA" w:rsidP="005801EA">
            <w:pPr>
              <w:pStyle w:val="PBACHeading1"/>
              <w:numPr>
                <w:ilvl w:val="0"/>
                <w:numId w:val="0"/>
              </w:numPr>
              <w:jc w:val="center"/>
              <w:rPr>
                <w:rFonts w:ascii="Arial Narrow" w:eastAsiaTheme="minorHAnsi" w:hAnsi="Arial Narrow"/>
                <w:snapToGrid/>
                <w:sz w:val="20"/>
              </w:rPr>
            </w:pPr>
            <w:r w:rsidRPr="002E6BC6">
              <w:rPr>
                <w:rFonts w:ascii="Arial Narrow" w:eastAsiaTheme="minorHAnsi" w:hAnsi="Arial Narrow"/>
                <w:snapToGrid/>
                <w:sz w:val="20"/>
              </w:rPr>
              <w:t xml:space="preserve">Administration costs over 52 </w:t>
            </w:r>
            <w:proofErr w:type="spellStart"/>
            <w:r w:rsidRPr="002E6BC6">
              <w:rPr>
                <w:rFonts w:ascii="Arial Narrow" w:eastAsiaTheme="minorHAnsi" w:hAnsi="Arial Narrow"/>
                <w:snapToGrid/>
                <w:sz w:val="20"/>
              </w:rPr>
              <w:t>weeks</w:t>
            </w:r>
            <w:r w:rsidR="007D4484" w:rsidRPr="002E6BC6">
              <w:rPr>
                <w:rFonts w:ascii="Arial Narrow" w:eastAsiaTheme="minorHAnsi" w:hAnsi="Arial Narrow"/>
                <w:snapToGrid/>
                <w:sz w:val="20"/>
                <w:vertAlign w:val="superscript"/>
              </w:rPr>
              <w:t>d</w:t>
            </w:r>
            <w:proofErr w:type="spellEnd"/>
          </w:p>
        </w:tc>
      </w:tr>
      <w:tr w:rsidR="008C7770" w:rsidRPr="002E6BC6" w:rsidTr="00A04DFC">
        <w:trPr>
          <w:tblHeader/>
        </w:trPr>
        <w:tc>
          <w:tcPr>
            <w:tcW w:w="2502" w:type="pct"/>
            <w:gridSpan w:val="2"/>
          </w:tcPr>
          <w:p w:rsidR="008C7770" w:rsidRPr="002E6BC6" w:rsidRDefault="005801EA" w:rsidP="005801EA">
            <w:pPr>
              <w:pStyle w:val="PBACHeading1"/>
              <w:numPr>
                <w:ilvl w:val="0"/>
                <w:numId w:val="0"/>
              </w:numPr>
              <w:jc w:val="center"/>
              <w:rPr>
                <w:rFonts w:ascii="Arial Narrow" w:eastAsiaTheme="minorHAnsi" w:hAnsi="Arial Narrow"/>
                <w:b w:val="0"/>
                <w:snapToGrid/>
                <w:sz w:val="20"/>
              </w:rPr>
            </w:pPr>
            <w:r w:rsidRPr="002E6BC6">
              <w:rPr>
                <w:rFonts w:ascii="Arial Narrow" w:eastAsiaTheme="minorHAnsi" w:hAnsi="Arial Narrow"/>
                <w:b w:val="0"/>
                <w:snapToGrid/>
                <w:sz w:val="20"/>
              </w:rPr>
              <w:t>-</w:t>
            </w:r>
          </w:p>
        </w:tc>
        <w:tc>
          <w:tcPr>
            <w:tcW w:w="2498" w:type="pct"/>
            <w:gridSpan w:val="2"/>
          </w:tcPr>
          <w:p w:rsidR="008C7770" w:rsidRPr="003E2B64" w:rsidRDefault="003E2B64" w:rsidP="005801EA">
            <w:pPr>
              <w:pStyle w:val="PBACHeading1"/>
              <w:numPr>
                <w:ilvl w:val="0"/>
                <w:numId w:val="0"/>
              </w:numPr>
              <w:jc w:val="center"/>
              <w:rPr>
                <w:rFonts w:ascii="Arial Narrow" w:eastAsiaTheme="minorHAnsi" w:hAnsi="Arial Narrow"/>
                <w:b w:val="0"/>
                <w:snapToGrid/>
                <w:sz w:val="20"/>
                <w:highlight w:val="black"/>
              </w:rPr>
            </w:pPr>
            <w:r>
              <w:rPr>
                <w:rFonts w:ascii="Arial Narrow" w:eastAsiaTheme="minorHAnsi" w:hAnsi="Arial Narrow"/>
                <w:b w:val="0"/>
                <w:noProof/>
                <w:snapToGrid/>
                <w:color w:val="000000"/>
                <w:sz w:val="20"/>
                <w:highlight w:val="black"/>
              </w:rPr>
              <w:t>'''''''''''''''''''''''</w:t>
            </w:r>
          </w:p>
        </w:tc>
      </w:tr>
      <w:tr w:rsidR="005801EA" w:rsidRPr="002E6BC6" w:rsidTr="00A04DFC">
        <w:trPr>
          <w:tblHeader/>
        </w:trPr>
        <w:tc>
          <w:tcPr>
            <w:tcW w:w="5000" w:type="pct"/>
            <w:gridSpan w:val="4"/>
            <w:shd w:val="clear" w:color="auto" w:fill="BFBFBF" w:themeFill="background1" w:themeFillShade="BF"/>
          </w:tcPr>
          <w:p w:rsidR="005801EA" w:rsidRPr="002E6BC6" w:rsidRDefault="005801EA" w:rsidP="005801EA">
            <w:pPr>
              <w:pStyle w:val="PBACHeading1"/>
              <w:numPr>
                <w:ilvl w:val="0"/>
                <w:numId w:val="0"/>
              </w:numPr>
              <w:jc w:val="center"/>
              <w:rPr>
                <w:rFonts w:ascii="Arial Narrow" w:eastAsiaTheme="minorHAnsi" w:hAnsi="Arial Narrow"/>
                <w:snapToGrid/>
                <w:sz w:val="20"/>
              </w:rPr>
            </w:pPr>
            <w:proofErr w:type="spellStart"/>
            <w:r w:rsidRPr="002E6BC6">
              <w:rPr>
                <w:rFonts w:ascii="Arial Narrow" w:eastAsiaTheme="minorHAnsi" w:hAnsi="Arial Narrow"/>
                <w:snapToGrid/>
                <w:sz w:val="20"/>
              </w:rPr>
              <w:t>Copayment</w:t>
            </w:r>
            <w:proofErr w:type="spellEnd"/>
            <w:r w:rsidRPr="002E6BC6">
              <w:rPr>
                <w:rFonts w:ascii="Arial Narrow" w:eastAsiaTheme="minorHAnsi" w:hAnsi="Arial Narrow"/>
                <w:snapToGrid/>
                <w:sz w:val="20"/>
              </w:rPr>
              <w:t xml:space="preserve"> over 52 weeks</w:t>
            </w:r>
          </w:p>
        </w:tc>
      </w:tr>
      <w:tr w:rsidR="005801EA" w:rsidRPr="002E6BC6" w:rsidTr="00A04DFC">
        <w:trPr>
          <w:tblHeader/>
        </w:trPr>
        <w:tc>
          <w:tcPr>
            <w:tcW w:w="2502" w:type="pct"/>
            <w:gridSpan w:val="2"/>
          </w:tcPr>
          <w:p w:rsidR="005801EA" w:rsidRPr="002E6BC6" w:rsidRDefault="005801EA" w:rsidP="005801EA">
            <w:pPr>
              <w:pStyle w:val="PBACHeading1"/>
              <w:numPr>
                <w:ilvl w:val="0"/>
                <w:numId w:val="0"/>
              </w:numPr>
              <w:jc w:val="center"/>
              <w:rPr>
                <w:rFonts w:ascii="Arial Narrow" w:eastAsiaTheme="minorHAnsi" w:hAnsi="Arial Narrow"/>
                <w:b w:val="0"/>
                <w:snapToGrid/>
                <w:sz w:val="20"/>
              </w:rPr>
            </w:pPr>
            <w:r w:rsidRPr="002E6BC6">
              <w:rPr>
                <w:rFonts w:ascii="Arial Narrow" w:eastAsiaTheme="minorHAnsi" w:hAnsi="Arial Narrow"/>
                <w:b w:val="0"/>
                <w:snapToGrid/>
                <w:sz w:val="20"/>
              </w:rPr>
              <w:t>$124.88</w:t>
            </w:r>
          </w:p>
        </w:tc>
        <w:tc>
          <w:tcPr>
            <w:tcW w:w="2498" w:type="pct"/>
            <w:gridSpan w:val="2"/>
          </w:tcPr>
          <w:p w:rsidR="005801EA" w:rsidRPr="003E2B64" w:rsidRDefault="003E2B64" w:rsidP="005801EA">
            <w:pPr>
              <w:pStyle w:val="PBACHeading1"/>
              <w:numPr>
                <w:ilvl w:val="0"/>
                <w:numId w:val="0"/>
              </w:numPr>
              <w:jc w:val="center"/>
              <w:rPr>
                <w:rFonts w:ascii="Arial Narrow" w:eastAsiaTheme="minorHAnsi" w:hAnsi="Arial Narrow"/>
                <w:b w:val="0"/>
                <w:snapToGrid/>
                <w:sz w:val="20"/>
                <w:highlight w:val="black"/>
              </w:rPr>
            </w:pPr>
            <w:r>
              <w:rPr>
                <w:rFonts w:ascii="Arial Narrow" w:eastAsiaTheme="minorHAnsi" w:hAnsi="Arial Narrow"/>
                <w:b w:val="0"/>
                <w:noProof/>
                <w:snapToGrid/>
                <w:color w:val="000000"/>
                <w:sz w:val="20"/>
                <w:highlight w:val="black"/>
              </w:rPr>
              <w:t>'''''''''''''''''</w:t>
            </w:r>
          </w:p>
        </w:tc>
      </w:tr>
      <w:tr w:rsidR="005801EA" w:rsidRPr="002E6BC6" w:rsidTr="00A04DFC">
        <w:trPr>
          <w:tblHeader/>
        </w:trPr>
        <w:tc>
          <w:tcPr>
            <w:tcW w:w="5000" w:type="pct"/>
            <w:gridSpan w:val="4"/>
            <w:shd w:val="clear" w:color="auto" w:fill="BFBFBF" w:themeFill="background1" w:themeFillShade="BF"/>
          </w:tcPr>
          <w:p w:rsidR="005801EA" w:rsidRPr="002E6BC6" w:rsidRDefault="00FB3FBB" w:rsidP="00FB3FBB">
            <w:pPr>
              <w:pStyle w:val="PBACHeading1"/>
              <w:numPr>
                <w:ilvl w:val="0"/>
                <w:numId w:val="0"/>
              </w:numPr>
              <w:jc w:val="center"/>
              <w:rPr>
                <w:rFonts w:ascii="Arial Narrow" w:eastAsiaTheme="minorHAnsi" w:hAnsi="Arial Narrow"/>
                <w:snapToGrid/>
                <w:sz w:val="20"/>
              </w:rPr>
            </w:pPr>
            <w:r w:rsidRPr="002E6BC6">
              <w:rPr>
                <w:rFonts w:ascii="Arial Narrow" w:eastAsiaTheme="minorHAnsi" w:hAnsi="Arial Narrow"/>
                <w:snapToGrid/>
                <w:sz w:val="20"/>
              </w:rPr>
              <w:t>Average net cost over 52 weeks</w:t>
            </w:r>
          </w:p>
        </w:tc>
      </w:tr>
      <w:tr w:rsidR="005801EA" w:rsidRPr="002E6BC6" w:rsidTr="00A04DFC">
        <w:trPr>
          <w:trHeight w:val="108"/>
          <w:tblHeader/>
        </w:trPr>
        <w:tc>
          <w:tcPr>
            <w:tcW w:w="2502" w:type="pct"/>
            <w:gridSpan w:val="2"/>
          </w:tcPr>
          <w:p w:rsidR="005801EA" w:rsidRPr="002E6BC6" w:rsidRDefault="00FB3FBB" w:rsidP="00FB3FBB">
            <w:pPr>
              <w:pStyle w:val="PBACHeading1"/>
              <w:numPr>
                <w:ilvl w:val="0"/>
                <w:numId w:val="0"/>
              </w:numPr>
              <w:jc w:val="center"/>
              <w:rPr>
                <w:rFonts w:ascii="Arial Narrow" w:eastAsiaTheme="minorHAnsi" w:hAnsi="Arial Narrow"/>
                <w:b w:val="0"/>
                <w:snapToGrid/>
                <w:sz w:val="20"/>
              </w:rPr>
            </w:pPr>
            <w:r w:rsidRPr="002E6BC6">
              <w:rPr>
                <w:rFonts w:ascii="Arial Narrow" w:eastAsiaTheme="minorHAnsi" w:hAnsi="Arial Narrow"/>
                <w:b w:val="0"/>
                <w:snapToGrid/>
                <w:sz w:val="20"/>
              </w:rPr>
              <w:t>$</w:t>
            </w:r>
            <w:r w:rsidR="003E2B64">
              <w:rPr>
                <w:rFonts w:ascii="Arial Narrow" w:eastAsiaTheme="minorHAnsi" w:hAnsi="Arial Narrow"/>
                <w:b w:val="0"/>
                <w:noProof/>
                <w:snapToGrid/>
                <w:color w:val="000000"/>
                <w:sz w:val="20"/>
                <w:highlight w:val="black"/>
              </w:rPr>
              <w:t>'''''''''''''''''''''</w:t>
            </w:r>
          </w:p>
        </w:tc>
        <w:tc>
          <w:tcPr>
            <w:tcW w:w="2498" w:type="pct"/>
            <w:gridSpan w:val="2"/>
          </w:tcPr>
          <w:p w:rsidR="005801EA" w:rsidRPr="003E2B64" w:rsidRDefault="003E2B64" w:rsidP="00FB3FBB">
            <w:pPr>
              <w:pStyle w:val="PBACHeading1"/>
              <w:numPr>
                <w:ilvl w:val="0"/>
                <w:numId w:val="0"/>
              </w:numPr>
              <w:jc w:val="center"/>
              <w:rPr>
                <w:rFonts w:ascii="Arial Narrow" w:eastAsiaTheme="minorHAnsi" w:hAnsi="Arial Narrow"/>
                <w:b w:val="0"/>
                <w:snapToGrid/>
                <w:sz w:val="20"/>
                <w:highlight w:val="black"/>
              </w:rPr>
            </w:pPr>
            <w:r>
              <w:rPr>
                <w:rFonts w:ascii="Arial Narrow" w:eastAsiaTheme="minorHAnsi" w:hAnsi="Arial Narrow"/>
                <w:b w:val="0"/>
                <w:noProof/>
                <w:snapToGrid/>
                <w:color w:val="000000"/>
                <w:sz w:val="20"/>
                <w:highlight w:val="black"/>
              </w:rPr>
              <w:t>'''''''''''''''''''''</w:t>
            </w:r>
          </w:p>
        </w:tc>
      </w:tr>
    </w:tbl>
    <w:p w:rsidR="0094100A" w:rsidRPr="002E6BC6" w:rsidRDefault="00077FC6" w:rsidP="007829AC">
      <w:pPr>
        <w:rPr>
          <w:rFonts w:ascii="Arial Narrow" w:eastAsiaTheme="minorHAnsi" w:hAnsi="Arial Narrow"/>
          <w:sz w:val="18"/>
        </w:rPr>
      </w:pPr>
      <w:r w:rsidRPr="002E6BC6">
        <w:rPr>
          <w:rFonts w:ascii="Arial Narrow" w:eastAsiaTheme="minorHAnsi" w:hAnsi="Arial Narrow"/>
          <w:sz w:val="18"/>
        </w:rPr>
        <w:t xml:space="preserve">Source: Table 3, p16 and Table 4 p17 of the minor submission </w:t>
      </w:r>
    </w:p>
    <w:p w:rsidR="00077FC6" w:rsidRPr="002E6BC6" w:rsidRDefault="00077FC6" w:rsidP="007829AC">
      <w:pPr>
        <w:rPr>
          <w:rFonts w:ascii="Arial Narrow" w:eastAsiaTheme="minorHAnsi" w:hAnsi="Arial Narrow"/>
          <w:sz w:val="18"/>
        </w:rPr>
      </w:pPr>
      <w:r w:rsidRPr="002E6BC6">
        <w:rPr>
          <w:rFonts w:ascii="Arial Narrow" w:eastAsiaTheme="minorHAnsi" w:hAnsi="Arial Narrow"/>
          <w:sz w:val="18"/>
        </w:rPr>
        <w:t>Abbreviations: AEMP: approved ex-manufacturer price, IV: intravenous, SC: subcutaneous</w:t>
      </w:r>
    </w:p>
    <w:p w:rsidR="00077FC6" w:rsidRPr="002E6BC6" w:rsidRDefault="00077FC6" w:rsidP="007829AC">
      <w:pPr>
        <w:rPr>
          <w:rFonts w:ascii="Arial Narrow" w:eastAsiaTheme="minorHAnsi" w:hAnsi="Arial Narrow"/>
          <w:sz w:val="18"/>
        </w:rPr>
      </w:pPr>
      <w:r w:rsidRPr="002E6BC6">
        <w:rPr>
          <w:rFonts w:ascii="Arial Narrow" w:eastAsiaTheme="minorHAnsi" w:hAnsi="Arial Narrow"/>
          <w:sz w:val="18"/>
        </w:rPr>
        <w:t xml:space="preserve">Notes: </w:t>
      </w:r>
      <w:r w:rsidR="008825FA" w:rsidRPr="002E6BC6">
        <w:rPr>
          <w:rFonts w:ascii="Arial Narrow" w:eastAsiaTheme="minorHAnsi" w:hAnsi="Arial Narrow"/>
          <w:sz w:val="18"/>
          <w:vertAlign w:val="superscript"/>
        </w:rPr>
        <w:t>a</w:t>
      </w:r>
      <w:r w:rsidR="008825FA" w:rsidRPr="002E6BC6">
        <w:rPr>
          <w:rFonts w:ascii="Arial Narrow" w:eastAsiaTheme="minorHAnsi" w:hAnsi="Arial Narrow"/>
          <w:sz w:val="18"/>
        </w:rPr>
        <w:t xml:space="preserve"> Based on data from the CHERISH trial comparing </w:t>
      </w:r>
      <w:proofErr w:type="spellStart"/>
      <w:r w:rsidR="008825FA" w:rsidRPr="002E6BC6">
        <w:rPr>
          <w:rFonts w:ascii="Arial Narrow" w:eastAsiaTheme="minorHAnsi" w:hAnsi="Arial Narrow"/>
          <w:sz w:val="18"/>
        </w:rPr>
        <w:t>tocilizumab</w:t>
      </w:r>
      <w:proofErr w:type="spellEnd"/>
      <w:r w:rsidR="008825FA" w:rsidRPr="002E6BC6">
        <w:rPr>
          <w:rFonts w:ascii="Arial Narrow" w:eastAsiaTheme="minorHAnsi" w:hAnsi="Arial Narrow"/>
          <w:sz w:val="18"/>
        </w:rPr>
        <w:t xml:space="preserve"> IV with placebo in patients with</w:t>
      </w:r>
      <w:r w:rsidR="00EC0BCC" w:rsidRPr="002E6BC6">
        <w:rPr>
          <w:rFonts w:ascii="Arial Narrow" w:eastAsiaTheme="minorHAnsi" w:hAnsi="Arial Narrow"/>
          <w:sz w:val="18"/>
        </w:rPr>
        <w:t xml:space="preserve"> </w:t>
      </w:r>
      <w:proofErr w:type="spellStart"/>
      <w:r w:rsidR="00EC0BCC" w:rsidRPr="002E6BC6">
        <w:rPr>
          <w:rFonts w:ascii="Arial Narrow" w:eastAsiaTheme="minorHAnsi" w:hAnsi="Arial Narrow"/>
          <w:sz w:val="18"/>
        </w:rPr>
        <w:t>polyarticular</w:t>
      </w:r>
      <w:proofErr w:type="spellEnd"/>
      <w:r w:rsidR="00EC0BCC" w:rsidRPr="002E6BC6">
        <w:rPr>
          <w:rFonts w:ascii="Arial Narrow" w:eastAsiaTheme="minorHAnsi" w:hAnsi="Arial Narrow"/>
          <w:sz w:val="18"/>
        </w:rPr>
        <w:t xml:space="preserve"> active course JIA</w:t>
      </w:r>
      <w:r w:rsidR="00467C1A" w:rsidRPr="002E6BC6">
        <w:rPr>
          <w:rFonts w:ascii="Arial Narrow" w:eastAsiaTheme="minorHAnsi" w:hAnsi="Arial Narrow"/>
          <w:sz w:val="18"/>
        </w:rPr>
        <w:t>;</w:t>
      </w:r>
      <w:r w:rsidR="00EC0BCC" w:rsidRPr="002E6BC6">
        <w:rPr>
          <w:rFonts w:ascii="Arial Narrow" w:eastAsiaTheme="minorHAnsi" w:hAnsi="Arial Narrow"/>
          <w:sz w:val="18"/>
        </w:rPr>
        <w:t xml:space="preserve"> </w:t>
      </w:r>
    </w:p>
    <w:p w:rsidR="007D4484" w:rsidRPr="002E6BC6" w:rsidRDefault="00B765B3" w:rsidP="007829AC">
      <w:pPr>
        <w:rPr>
          <w:rFonts w:ascii="Arial Narrow" w:eastAsiaTheme="minorHAnsi" w:hAnsi="Arial Narrow"/>
          <w:sz w:val="18"/>
        </w:rPr>
      </w:pPr>
      <w:proofErr w:type="gramStart"/>
      <w:r w:rsidRPr="002E6BC6">
        <w:rPr>
          <w:rFonts w:ascii="Arial Narrow" w:eastAsiaTheme="minorHAnsi" w:hAnsi="Arial Narrow"/>
          <w:sz w:val="18"/>
          <w:vertAlign w:val="superscript"/>
        </w:rPr>
        <w:t>b</w:t>
      </w:r>
      <w:proofErr w:type="gramEnd"/>
      <w:r w:rsidRPr="002E6BC6">
        <w:rPr>
          <w:rFonts w:ascii="Arial Narrow" w:eastAsiaTheme="minorHAnsi" w:hAnsi="Arial Narrow"/>
          <w:sz w:val="18"/>
        </w:rPr>
        <w:t xml:space="preserve"> Weighted </w:t>
      </w:r>
      <w:r w:rsidR="005C59BF" w:rsidRPr="002E6BC6">
        <w:rPr>
          <w:rFonts w:ascii="Arial Narrow" w:eastAsiaTheme="minorHAnsi" w:hAnsi="Arial Narrow"/>
          <w:sz w:val="18"/>
        </w:rPr>
        <w:t xml:space="preserve">AEMP </w:t>
      </w:r>
      <w:r w:rsidRPr="002E6BC6">
        <w:rPr>
          <w:rFonts w:ascii="Arial Narrow" w:eastAsiaTheme="minorHAnsi" w:hAnsi="Arial Narrow"/>
          <w:sz w:val="18"/>
        </w:rPr>
        <w:t>based on weight group pro</w:t>
      </w:r>
      <w:r w:rsidR="00467C1A" w:rsidRPr="002E6BC6">
        <w:rPr>
          <w:rFonts w:ascii="Arial Narrow" w:eastAsiaTheme="minorHAnsi" w:hAnsi="Arial Narrow"/>
          <w:sz w:val="18"/>
        </w:rPr>
        <w:t>portions from the CHERISH trial;</w:t>
      </w:r>
      <w:r w:rsidR="007D4484" w:rsidRPr="002E6BC6">
        <w:rPr>
          <w:rFonts w:ascii="Arial Narrow" w:eastAsiaTheme="minorHAnsi" w:hAnsi="Arial Narrow"/>
          <w:sz w:val="18"/>
        </w:rPr>
        <w:t xml:space="preserve"> </w:t>
      </w:r>
      <w:r w:rsidR="007D4484" w:rsidRPr="002E6BC6">
        <w:rPr>
          <w:rFonts w:ascii="Arial Narrow" w:eastAsiaTheme="minorHAnsi" w:hAnsi="Arial Narrow"/>
          <w:sz w:val="18"/>
          <w:vertAlign w:val="superscript"/>
        </w:rPr>
        <w:t>c</w:t>
      </w:r>
      <w:r w:rsidR="007D4484" w:rsidRPr="002E6BC6">
        <w:rPr>
          <w:rFonts w:ascii="Arial Narrow" w:eastAsiaTheme="minorHAnsi" w:hAnsi="Arial Narrow"/>
          <w:sz w:val="18"/>
        </w:rPr>
        <w:t xml:space="preserve"> Private/public hospital split of 18.2%/81.8% derived from </w:t>
      </w:r>
    </w:p>
    <w:p w:rsidR="007D4484" w:rsidRPr="002E6BC6" w:rsidRDefault="005C59BF" w:rsidP="009F4DCE">
      <w:pPr>
        <w:rPr>
          <w:rFonts w:eastAsiaTheme="minorHAnsi"/>
        </w:rPr>
      </w:pPr>
      <w:r w:rsidRPr="002E6BC6">
        <w:rPr>
          <w:rFonts w:ascii="Arial Narrow" w:eastAsiaTheme="minorHAnsi" w:hAnsi="Arial Narrow"/>
          <w:sz w:val="18"/>
        </w:rPr>
        <w:t>M</w:t>
      </w:r>
      <w:r w:rsidR="007D4484" w:rsidRPr="002E6BC6">
        <w:rPr>
          <w:rFonts w:ascii="Arial Narrow" w:eastAsiaTheme="minorHAnsi" w:hAnsi="Arial Narrow"/>
          <w:sz w:val="18"/>
        </w:rPr>
        <w:t>edicare statistics (PBS/RPBS items processed between September 2017 to October 2018)</w:t>
      </w:r>
      <w:r w:rsidR="00543A06" w:rsidRPr="002E6BC6">
        <w:rPr>
          <w:rFonts w:ascii="Arial Narrow" w:eastAsiaTheme="minorHAnsi" w:hAnsi="Arial Narrow"/>
          <w:sz w:val="18"/>
        </w:rPr>
        <w:t xml:space="preserve">; </w:t>
      </w:r>
      <w:r w:rsidR="007D4484" w:rsidRPr="002E6BC6">
        <w:rPr>
          <w:rFonts w:ascii="Arial Narrow" w:eastAsiaTheme="minorHAnsi" w:hAnsi="Arial Narrow"/>
          <w:sz w:val="18"/>
          <w:vertAlign w:val="superscript"/>
        </w:rPr>
        <w:t xml:space="preserve">d </w:t>
      </w:r>
      <w:r w:rsidR="00133520" w:rsidRPr="002E6BC6">
        <w:rPr>
          <w:rFonts w:ascii="Arial Narrow" w:eastAsiaTheme="minorHAnsi" w:hAnsi="Arial Narrow"/>
          <w:sz w:val="18"/>
        </w:rPr>
        <w:t>Based on MBS item 14245</w:t>
      </w:r>
    </w:p>
    <w:p w:rsidR="009559FB" w:rsidRPr="002E6BC6" w:rsidRDefault="009559FB" w:rsidP="000334C9">
      <w:pPr>
        <w:pStyle w:val="ListParagraph"/>
        <w:widowControl/>
        <w:numPr>
          <w:ilvl w:val="1"/>
          <w:numId w:val="14"/>
        </w:numPr>
        <w:spacing w:before="120" w:after="120"/>
        <w:contextualSpacing w:val="0"/>
        <w:rPr>
          <w:rFonts w:asciiTheme="minorHAnsi" w:eastAsiaTheme="minorHAnsi" w:hAnsiTheme="minorHAnsi" w:cstheme="minorBidi"/>
          <w:snapToGrid/>
          <w:color w:val="000000" w:themeColor="text1"/>
          <w:sz w:val="24"/>
          <w:szCs w:val="22"/>
        </w:rPr>
      </w:pPr>
      <w:r w:rsidRPr="002E6BC6">
        <w:rPr>
          <w:rFonts w:asciiTheme="minorHAnsi" w:hAnsiTheme="minorHAnsi"/>
          <w:color w:val="000000" w:themeColor="text1"/>
          <w:sz w:val="24"/>
          <w:szCs w:val="24"/>
        </w:rPr>
        <w:t>The minor submission utilised pati</w:t>
      </w:r>
      <w:r w:rsidR="000522FE" w:rsidRPr="002E6BC6">
        <w:rPr>
          <w:rFonts w:asciiTheme="minorHAnsi" w:hAnsiTheme="minorHAnsi"/>
          <w:color w:val="000000" w:themeColor="text1"/>
          <w:sz w:val="24"/>
          <w:szCs w:val="24"/>
        </w:rPr>
        <w:t>ent data from the CHERISH trial</w:t>
      </w:r>
      <w:r w:rsidR="00BB329B" w:rsidRPr="002E6BC6">
        <w:rPr>
          <w:rFonts w:asciiTheme="minorHAnsi" w:hAnsiTheme="minorHAnsi"/>
          <w:color w:val="000000" w:themeColor="text1"/>
          <w:sz w:val="24"/>
          <w:szCs w:val="24"/>
        </w:rPr>
        <w:t xml:space="preserve"> (which the November 2013 </w:t>
      </w:r>
      <w:proofErr w:type="spellStart"/>
      <w:r w:rsidR="00BB329B" w:rsidRPr="002E6BC6">
        <w:rPr>
          <w:rFonts w:asciiTheme="minorHAnsi" w:hAnsiTheme="minorHAnsi"/>
          <w:color w:val="000000" w:themeColor="text1"/>
          <w:sz w:val="24"/>
          <w:szCs w:val="24"/>
        </w:rPr>
        <w:t>tocilizumab</w:t>
      </w:r>
      <w:proofErr w:type="spellEnd"/>
      <w:r w:rsidR="005076C7" w:rsidRPr="002E6BC6">
        <w:rPr>
          <w:rFonts w:asciiTheme="minorHAnsi" w:hAnsiTheme="minorHAnsi"/>
          <w:color w:val="000000" w:themeColor="text1"/>
          <w:sz w:val="24"/>
          <w:szCs w:val="24"/>
        </w:rPr>
        <w:t xml:space="preserve"> IV</w:t>
      </w:r>
      <w:r w:rsidR="00BB329B" w:rsidRPr="002E6BC6">
        <w:rPr>
          <w:rFonts w:asciiTheme="minorHAnsi" w:hAnsiTheme="minorHAnsi"/>
          <w:color w:val="000000" w:themeColor="text1"/>
          <w:sz w:val="24"/>
          <w:szCs w:val="24"/>
        </w:rPr>
        <w:t xml:space="preserve"> submission was based on)</w:t>
      </w:r>
      <w:r w:rsidR="000522FE" w:rsidRPr="002E6BC6">
        <w:rPr>
          <w:rFonts w:asciiTheme="minorHAnsi" w:hAnsiTheme="minorHAnsi"/>
          <w:color w:val="000000" w:themeColor="text1"/>
          <w:sz w:val="24"/>
          <w:szCs w:val="24"/>
        </w:rPr>
        <w:t xml:space="preserve">, a phase III randomised double-blind placebo controlled trial comparing </w:t>
      </w:r>
      <w:proofErr w:type="spellStart"/>
      <w:r w:rsidR="000522FE" w:rsidRPr="002E6BC6">
        <w:rPr>
          <w:rFonts w:asciiTheme="minorHAnsi" w:hAnsiTheme="minorHAnsi"/>
          <w:color w:val="000000" w:themeColor="text1"/>
          <w:sz w:val="24"/>
          <w:szCs w:val="24"/>
        </w:rPr>
        <w:t>tocilizumab</w:t>
      </w:r>
      <w:proofErr w:type="spellEnd"/>
      <w:r w:rsidR="000522FE" w:rsidRPr="002E6BC6">
        <w:rPr>
          <w:rFonts w:asciiTheme="minorHAnsi" w:hAnsiTheme="minorHAnsi"/>
          <w:color w:val="000000" w:themeColor="text1"/>
          <w:sz w:val="24"/>
          <w:szCs w:val="24"/>
        </w:rPr>
        <w:t xml:space="preserve"> IV with placebo, to inform average body weight and </w:t>
      </w:r>
      <w:r w:rsidR="00B446A0" w:rsidRPr="002E6BC6">
        <w:rPr>
          <w:rFonts w:asciiTheme="minorHAnsi" w:hAnsiTheme="minorHAnsi"/>
          <w:color w:val="000000" w:themeColor="text1"/>
          <w:sz w:val="24"/>
          <w:szCs w:val="24"/>
        </w:rPr>
        <w:t>proportion of patients in the</w:t>
      </w:r>
      <w:r w:rsidR="000522FE" w:rsidRPr="002E6BC6">
        <w:rPr>
          <w:rFonts w:asciiTheme="minorHAnsi" w:hAnsiTheme="minorHAnsi"/>
          <w:color w:val="000000" w:themeColor="text1"/>
          <w:sz w:val="24"/>
          <w:szCs w:val="24"/>
        </w:rPr>
        <w:t xml:space="preserve"> &lt; 30 kg and </w:t>
      </w:r>
      <w:r w:rsidR="000522FE" w:rsidRPr="002E6BC6">
        <w:rPr>
          <w:rFonts w:asciiTheme="minorHAnsi" w:hAnsiTheme="minorHAnsi"/>
          <w:color w:val="000000" w:themeColor="text1"/>
          <w:sz w:val="24"/>
          <w:szCs w:val="24"/>
        </w:rPr>
        <w:sym w:font="Symbol" w:char="F0B3"/>
      </w:r>
      <w:r w:rsidR="000522FE" w:rsidRPr="002E6BC6">
        <w:rPr>
          <w:rFonts w:asciiTheme="minorHAnsi" w:hAnsiTheme="minorHAnsi"/>
          <w:color w:val="000000" w:themeColor="text1"/>
          <w:sz w:val="24"/>
          <w:szCs w:val="24"/>
        </w:rPr>
        <w:t xml:space="preserve"> 30 kg</w:t>
      </w:r>
      <w:r w:rsidR="00B446A0" w:rsidRPr="002E6BC6">
        <w:rPr>
          <w:rFonts w:asciiTheme="minorHAnsi" w:hAnsiTheme="minorHAnsi"/>
          <w:color w:val="000000" w:themeColor="text1"/>
          <w:sz w:val="24"/>
          <w:szCs w:val="24"/>
        </w:rPr>
        <w:t xml:space="preserve"> weight groups for the cost-minimisation analysis.</w:t>
      </w:r>
      <w:r w:rsidR="00E36B51" w:rsidRPr="002E6BC6">
        <w:rPr>
          <w:rFonts w:asciiTheme="minorHAnsi" w:hAnsiTheme="minorHAnsi"/>
          <w:color w:val="000000" w:themeColor="text1"/>
          <w:sz w:val="24"/>
          <w:szCs w:val="24"/>
        </w:rPr>
        <w:t xml:space="preserve"> The PBAC considered this was appropriate.</w:t>
      </w:r>
      <w:r w:rsidR="00BB329B" w:rsidRPr="002E6BC6">
        <w:rPr>
          <w:rFonts w:asciiTheme="minorHAnsi" w:hAnsiTheme="minorHAnsi"/>
          <w:i/>
          <w:color w:val="000000" w:themeColor="text1"/>
          <w:sz w:val="24"/>
          <w:szCs w:val="24"/>
        </w:rPr>
        <w:t xml:space="preserve"> </w:t>
      </w:r>
      <w:r w:rsidR="00B446A0" w:rsidRPr="002E6BC6">
        <w:rPr>
          <w:rFonts w:asciiTheme="minorHAnsi" w:hAnsiTheme="minorHAnsi"/>
          <w:color w:val="000000" w:themeColor="text1"/>
          <w:sz w:val="24"/>
          <w:szCs w:val="24"/>
        </w:rPr>
        <w:t xml:space="preserve">The minor submission deemed JIGSAW 117 insufficient to inform an economic evaluation </w:t>
      </w:r>
      <w:r w:rsidR="00BB329B" w:rsidRPr="002E6BC6">
        <w:rPr>
          <w:rFonts w:asciiTheme="minorHAnsi" w:hAnsiTheme="minorHAnsi"/>
          <w:color w:val="000000" w:themeColor="text1"/>
          <w:sz w:val="24"/>
          <w:szCs w:val="24"/>
        </w:rPr>
        <w:t xml:space="preserve">as there were less than 50 patients enrolled in the trial. </w:t>
      </w:r>
    </w:p>
    <w:p w:rsidR="00767908" w:rsidRPr="002E6BC6" w:rsidRDefault="00BB329B" w:rsidP="000334C9">
      <w:pPr>
        <w:pStyle w:val="ListParagraph"/>
        <w:widowControl/>
        <w:numPr>
          <w:ilvl w:val="1"/>
          <w:numId w:val="14"/>
        </w:numPr>
        <w:spacing w:before="120" w:after="120"/>
        <w:contextualSpacing w:val="0"/>
        <w:rPr>
          <w:rFonts w:asciiTheme="minorHAnsi" w:eastAsiaTheme="minorHAnsi" w:hAnsiTheme="minorHAnsi" w:cstheme="minorBidi"/>
          <w:snapToGrid/>
          <w:color w:val="000000" w:themeColor="text1"/>
          <w:sz w:val="24"/>
          <w:szCs w:val="22"/>
        </w:rPr>
      </w:pPr>
      <w:r w:rsidRPr="002E6BC6">
        <w:rPr>
          <w:rFonts w:asciiTheme="minorHAnsi" w:eastAsiaTheme="minorHAnsi" w:hAnsiTheme="minorHAnsi" w:cstheme="minorBidi"/>
          <w:snapToGrid/>
          <w:color w:val="000000" w:themeColor="text1"/>
          <w:sz w:val="24"/>
          <w:szCs w:val="22"/>
        </w:rPr>
        <w:t xml:space="preserve">The Product Information </w:t>
      </w:r>
      <w:r w:rsidR="005C59BF" w:rsidRPr="002E6BC6">
        <w:rPr>
          <w:rFonts w:asciiTheme="minorHAnsi" w:eastAsiaTheme="minorHAnsi" w:hAnsiTheme="minorHAnsi" w:cstheme="minorBidi"/>
          <w:snapToGrid/>
          <w:color w:val="000000" w:themeColor="text1"/>
          <w:sz w:val="24"/>
          <w:szCs w:val="22"/>
        </w:rPr>
        <w:t xml:space="preserve">(PI) </w:t>
      </w:r>
      <w:r w:rsidRPr="002E6BC6">
        <w:rPr>
          <w:rFonts w:asciiTheme="minorHAnsi" w:eastAsiaTheme="minorHAnsi" w:hAnsiTheme="minorHAnsi" w:cstheme="minorBidi"/>
          <w:snapToGrid/>
          <w:color w:val="000000" w:themeColor="text1"/>
          <w:sz w:val="24"/>
          <w:szCs w:val="22"/>
        </w:rPr>
        <w:t>specifie</w:t>
      </w:r>
      <w:r w:rsidR="005C7785" w:rsidRPr="002E6BC6">
        <w:rPr>
          <w:rFonts w:asciiTheme="minorHAnsi" w:eastAsiaTheme="minorHAnsi" w:hAnsiTheme="minorHAnsi" w:cstheme="minorBidi"/>
          <w:snapToGrid/>
          <w:color w:val="000000" w:themeColor="text1"/>
          <w:sz w:val="24"/>
          <w:szCs w:val="22"/>
        </w:rPr>
        <w:t>d</w:t>
      </w:r>
      <w:r w:rsidRPr="002E6BC6">
        <w:rPr>
          <w:rFonts w:asciiTheme="minorHAnsi" w:eastAsiaTheme="minorHAnsi" w:hAnsiTheme="minorHAnsi" w:cstheme="minorBidi"/>
          <w:snapToGrid/>
          <w:color w:val="000000" w:themeColor="text1"/>
          <w:sz w:val="24"/>
          <w:szCs w:val="22"/>
        </w:rPr>
        <w:t xml:space="preserve"> that at least the first injection of </w:t>
      </w:r>
      <w:proofErr w:type="spellStart"/>
      <w:r w:rsidRPr="002E6BC6">
        <w:rPr>
          <w:rFonts w:asciiTheme="minorHAnsi" w:eastAsiaTheme="minorHAnsi" w:hAnsiTheme="minorHAnsi" w:cstheme="minorBidi"/>
          <w:snapToGrid/>
          <w:color w:val="000000" w:themeColor="text1"/>
          <w:sz w:val="24"/>
          <w:szCs w:val="22"/>
        </w:rPr>
        <w:t>tocilizumab</w:t>
      </w:r>
      <w:proofErr w:type="spellEnd"/>
      <w:r w:rsidRPr="002E6BC6">
        <w:rPr>
          <w:rFonts w:asciiTheme="minorHAnsi" w:eastAsiaTheme="minorHAnsi" w:hAnsiTheme="minorHAnsi" w:cstheme="minorBidi"/>
          <w:snapToGrid/>
          <w:color w:val="000000" w:themeColor="text1"/>
          <w:sz w:val="24"/>
          <w:szCs w:val="22"/>
        </w:rPr>
        <w:t xml:space="preserve"> SC </w:t>
      </w:r>
      <w:r w:rsidR="009E45AD" w:rsidRPr="002E6BC6">
        <w:rPr>
          <w:rFonts w:asciiTheme="minorHAnsi" w:eastAsiaTheme="minorHAnsi" w:hAnsiTheme="minorHAnsi" w:cstheme="minorBidi"/>
          <w:snapToGrid/>
          <w:color w:val="000000" w:themeColor="text1"/>
          <w:sz w:val="24"/>
          <w:szCs w:val="22"/>
        </w:rPr>
        <w:t>must be performed under the supervision of a qualified healthcare professional, in a healthcare facility with the necessary medical treatment available (including resuscitation equipment, protocols and appropriately trained personnel) in case of the need to initiate management of serious hypersensitivity reactions, including anaphylaxis (</w:t>
      </w:r>
      <w:proofErr w:type="spellStart"/>
      <w:r w:rsidR="009E45AD" w:rsidRPr="002E6BC6">
        <w:rPr>
          <w:rFonts w:asciiTheme="minorHAnsi" w:eastAsiaTheme="minorHAnsi" w:hAnsiTheme="minorHAnsi" w:cstheme="minorBidi"/>
          <w:snapToGrid/>
          <w:color w:val="000000" w:themeColor="text1"/>
          <w:sz w:val="24"/>
          <w:szCs w:val="22"/>
        </w:rPr>
        <w:t>tocilizumab</w:t>
      </w:r>
      <w:proofErr w:type="spellEnd"/>
      <w:r w:rsidR="009E45AD" w:rsidRPr="002E6BC6">
        <w:rPr>
          <w:rFonts w:asciiTheme="minorHAnsi" w:eastAsiaTheme="minorHAnsi" w:hAnsiTheme="minorHAnsi" w:cstheme="minorBidi"/>
          <w:snapToGrid/>
          <w:color w:val="000000" w:themeColor="text1"/>
          <w:sz w:val="24"/>
          <w:szCs w:val="22"/>
        </w:rPr>
        <w:t xml:space="preserve"> PI, p3). A consultation item fee has not been included in the </w:t>
      </w:r>
      <w:proofErr w:type="spellStart"/>
      <w:r w:rsidR="009E45AD" w:rsidRPr="002E6BC6">
        <w:rPr>
          <w:rFonts w:asciiTheme="minorHAnsi" w:eastAsiaTheme="minorHAnsi" w:hAnsiTheme="minorHAnsi" w:cstheme="minorBidi"/>
          <w:snapToGrid/>
          <w:color w:val="000000" w:themeColor="text1"/>
          <w:sz w:val="24"/>
          <w:szCs w:val="22"/>
        </w:rPr>
        <w:lastRenderedPageBreak/>
        <w:t>tocilizumab</w:t>
      </w:r>
      <w:proofErr w:type="spellEnd"/>
      <w:r w:rsidR="009E45AD" w:rsidRPr="002E6BC6">
        <w:rPr>
          <w:rFonts w:asciiTheme="minorHAnsi" w:eastAsiaTheme="minorHAnsi" w:hAnsiTheme="minorHAnsi" w:cstheme="minorBidi"/>
          <w:snapToGrid/>
          <w:color w:val="000000" w:themeColor="text1"/>
          <w:sz w:val="24"/>
          <w:szCs w:val="22"/>
        </w:rPr>
        <w:t xml:space="preserve"> SC arm of the cost-minimisation analysis</w:t>
      </w:r>
      <w:r w:rsidR="00107DD6" w:rsidRPr="002E6BC6">
        <w:rPr>
          <w:rFonts w:asciiTheme="minorHAnsi" w:eastAsiaTheme="minorHAnsi" w:hAnsiTheme="minorHAnsi" w:cstheme="minorBidi"/>
          <w:snapToGrid/>
          <w:color w:val="000000" w:themeColor="text1"/>
          <w:sz w:val="24"/>
          <w:szCs w:val="22"/>
        </w:rPr>
        <w:t xml:space="preserve">. </w:t>
      </w:r>
      <w:r w:rsidR="00767908" w:rsidRPr="002E6BC6">
        <w:rPr>
          <w:rFonts w:asciiTheme="minorHAnsi" w:eastAsiaTheme="minorHAnsi" w:hAnsiTheme="minorHAnsi" w:cstheme="minorBidi"/>
          <w:snapToGrid/>
          <w:color w:val="000000" w:themeColor="text1"/>
          <w:sz w:val="24"/>
          <w:szCs w:val="22"/>
        </w:rPr>
        <w:t>T</w:t>
      </w:r>
      <w:r w:rsidR="00AD507C" w:rsidRPr="002E6BC6">
        <w:rPr>
          <w:rFonts w:asciiTheme="minorHAnsi" w:eastAsiaTheme="minorHAnsi" w:hAnsiTheme="minorHAnsi" w:cstheme="minorBidi"/>
          <w:snapToGrid/>
          <w:color w:val="000000" w:themeColor="text1"/>
          <w:sz w:val="24"/>
          <w:szCs w:val="22"/>
        </w:rPr>
        <w:t>he p</w:t>
      </w:r>
      <w:r w:rsidR="00767908" w:rsidRPr="002E6BC6">
        <w:rPr>
          <w:rFonts w:asciiTheme="minorHAnsi" w:eastAsiaTheme="minorHAnsi" w:hAnsiTheme="minorHAnsi" w:cstheme="minorBidi"/>
          <w:snapToGrid/>
          <w:color w:val="000000" w:themeColor="text1"/>
          <w:sz w:val="24"/>
          <w:szCs w:val="22"/>
        </w:rPr>
        <w:t xml:space="preserve">re-PBAC response </w:t>
      </w:r>
      <w:r w:rsidR="003B5B57" w:rsidRPr="002E6BC6">
        <w:rPr>
          <w:rFonts w:asciiTheme="minorHAnsi" w:eastAsiaTheme="minorHAnsi" w:hAnsiTheme="minorHAnsi" w:cstheme="minorBidi"/>
          <w:snapToGrid/>
          <w:color w:val="000000" w:themeColor="text1"/>
          <w:sz w:val="24"/>
          <w:szCs w:val="22"/>
        </w:rPr>
        <w:t>claimed</w:t>
      </w:r>
      <w:r w:rsidR="00767908" w:rsidRPr="002E6BC6">
        <w:rPr>
          <w:rFonts w:asciiTheme="minorHAnsi" w:eastAsiaTheme="minorHAnsi" w:hAnsiTheme="minorHAnsi" w:cstheme="minorBidi"/>
          <w:snapToGrid/>
          <w:color w:val="000000" w:themeColor="text1"/>
          <w:sz w:val="24"/>
          <w:szCs w:val="22"/>
        </w:rPr>
        <w:t xml:space="preserve"> it </w:t>
      </w:r>
      <w:r w:rsidR="003B5B57" w:rsidRPr="002E6BC6">
        <w:rPr>
          <w:rFonts w:asciiTheme="minorHAnsi" w:eastAsiaTheme="minorHAnsi" w:hAnsiTheme="minorHAnsi" w:cstheme="minorBidi"/>
          <w:snapToGrid/>
          <w:color w:val="000000" w:themeColor="text1"/>
          <w:sz w:val="24"/>
          <w:szCs w:val="22"/>
        </w:rPr>
        <w:t xml:space="preserve">is </w:t>
      </w:r>
      <w:r w:rsidR="00767908" w:rsidRPr="002E6BC6">
        <w:rPr>
          <w:rFonts w:asciiTheme="minorHAnsi" w:eastAsiaTheme="minorHAnsi" w:hAnsiTheme="minorHAnsi" w:cstheme="minorBidi"/>
          <w:snapToGrid/>
          <w:color w:val="000000" w:themeColor="text1"/>
          <w:sz w:val="24"/>
          <w:szCs w:val="22"/>
        </w:rPr>
        <w:t>standard practice to administer</w:t>
      </w:r>
      <w:r w:rsidR="00E36B51" w:rsidRPr="002E6BC6">
        <w:rPr>
          <w:rFonts w:asciiTheme="minorHAnsi" w:eastAsiaTheme="minorHAnsi" w:hAnsiTheme="minorHAnsi" w:cstheme="minorBidi"/>
          <w:snapToGrid/>
          <w:color w:val="000000" w:themeColor="text1"/>
          <w:sz w:val="24"/>
          <w:szCs w:val="22"/>
        </w:rPr>
        <w:t xml:space="preserve"> the</w:t>
      </w:r>
      <w:r w:rsidR="00767908" w:rsidRPr="002E6BC6">
        <w:rPr>
          <w:rFonts w:asciiTheme="minorHAnsi" w:eastAsiaTheme="minorHAnsi" w:hAnsiTheme="minorHAnsi" w:cstheme="minorBidi"/>
          <w:snapToGrid/>
          <w:color w:val="000000" w:themeColor="text1"/>
          <w:sz w:val="24"/>
          <w:szCs w:val="22"/>
        </w:rPr>
        <w:t xml:space="preserve"> initial dose of </w:t>
      </w:r>
      <w:proofErr w:type="spellStart"/>
      <w:r w:rsidR="00767908" w:rsidRPr="002E6BC6">
        <w:rPr>
          <w:rFonts w:asciiTheme="minorHAnsi" w:eastAsiaTheme="minorHAnsi" w:hAnsiTheme="minorHAnsi" w:cstheme="minorBidi"/>
          <w:snapToGrid/>
          <w:color w:val="000000" w:themeColor="text1"/>
          <w:sz w:val="24"/>
          <w:szCs w:val="22"/>
        </w:rPr>
        <w:t>tocilizumab</w:t>
      </w:r>
      <w:proofErr w:type="spellEnd"/>
      <w:r w:rsidR="00767908" w:rsidRPr="002E6BC6">
        <w:rPr>
          <w:rFonts w:asciiTheme="minorHAnsi" w:eastAsiaTheme="minorHAnsi" w:hAnsiTheme="minorHAnsi" w:cstheme="minorBidi"/>
          <w:snapToGrid/>
          <w:color w:val="000000" w:themeColor="text1"/>
          <w:sz w:val="24"/>
          <w:szCs w:val="22"/>
        </w:rPr>
        <w:t xml:space="preserve"> SC </w:t>
      </w:r>
      <w:r w:rsidR="003B5B57" w:rsidRPr="002E6BC6">
        <w:rPr>
          <w:rFonts w:asciiTheme="minorHAnsi" w:eastAsiaTheme="minorHAnsi" w:hAnsiTheme="minorHAnsi" w:cstheme="minorBidi"/>
          <w:snapToGrid/>
          <w:color w:val="000000" w:themeColor="text1"/>
          <w:sz w:val="24"/>
          <w:szCs w:val="22"/>
        </w:rPr>
        <w:t xml:space="preserve">at the time of prescribing and that this practice </w:t>
      </w:r>
      <w:proofErr w:type="gramStart"/>
      <w:r w:rsidR="003B5B57" w:rsidRPr="002E6BC6">
        <w:rPr>
          <w:rFonts w:asciiTheme="minorHAnsi" w:eastAsiaTheme="minorHAnsi" w:hAnsiTheme="minorHAnsi" w:cstheme="minorBidi"/>
          <w:snapToGrid/>
          <w:color w:val="000000" w:themeColor="text1"/>
          <w:sz w:val="24"/>
          <w:szCs w:val="22"/>
        </w:rPr>
        <w:t>is</w:t>
      </w:r>
      <w:r w:rsidR="00767908" w:rsidRPr="002E6BC6">
        <w:rPr>
          <w:rFonts w:asciiTheme="minorHAnsi" w:eastAsiaTheme="minorHAnsi" w:hAnsiTheme="minorHAnsi" w:cstheme="minorBidi"/>
          <w:snapToGrid/>
          <w:color w:val="000000" w:themeColor="text1"/>
          <w:sz w:val="24"/>
          <w:szCs w:val="22"/>
        </w:rPr>
        <w:t xml:space="preserve"> facilitated</w:t>
      </w:r>
      <w:proofErr w:type="gramEnd"/>
      <w:r w:rsidR="003B5B57" w:rsidRPr="002E6BC6">
        <w:rPr>
          <w:rFonts w:asciiTheme="minorHAnsi" w:eastAsiaTheme="minorHAnsi" w:hAnsiTheme="minorHAnsi" w:cstheme="minorBidi"/>
          <w:snapToGrid/>
          <w:color w:val="000000" w:themeColor="text1"/>
          <w:sz w:val="24"/>
          <w:szCs w:val="22"/>
        </w:rPr>
        <w:t xml:space="preserve"> by </w:t>
      </w:r>
      <w:r w:rsidR="00767908" w:rsidRPr="002E6BC6">
        <w:rPr>
          <w:rFonts w:asciiTheme="minorHAnsi" w:eastAsiaTheme="minorHAnsi" w:hAnsiTheme="minorHAnsi" w:cstheme="minorBidi"/>
          <w:snapToGrid/>
          <w:color w:val="000000" w:themeColor="text1"/>
          <w:sz w:val="24"/>
          <w:szCs w:val="22"/>
        </w:rPr>
        <w:t xml:space="preserve">a </w:t>
      </w:r>
      <w:r w:rsidR="003B5B57" w:rsidRPr="002E6BC6">
        <w:rPr>
          <w:rFonts w:asciiTheme="minorHAnsi" w:eastAsiaTheme="minorHAnsi" w:hAnsiTheme="minorHAnsi" w:cstheme="minorBidi"/>
          <w:snapToGrid/>
          <w:color w:val="000000" w:themeColor="text1"/>
          <w:sz w:val="24"/>
          <w:szCs w:val="22"/>
        </w:rPr>
        <w:t>S</w:t>
      </w:r>
      <w:r w:rsidR="00767908" w:rsidRPr="002E6BC6">
        <w:rPr>
          <w:rFonts w:asciiTheme="minorHAnsi" w:eastAsiaTheme="minorHAnsi" w:hAnsiTheme="minorHAnsi" w:cstheme="minorBidi"/>
          <w:snapToGrid/>
          <w:color w:val="000000" w:themeColor="text1"/>
          <w:sz w:val="24"/>
          <w:szCs w:val="22"/>
        </w:rPr>
        <w:t>ampling Program</w:t>
      </w:r>
      <w:r w:rsidR="003B5B57" w:rsidRPr="002E6BC6">
        <w:rPr>
          <w:rFonts w:asciiTheme="minorHAnsi" w:eastAsiaTheme="minorHAnsi" w:hAnsiTheme="minorHAnsi" w:cstheme="minorBidi"/>
          <w:snapToGrid/>
          <w:color w:val="000000" w:themeColor="text1"/>
          <w:sz w:val="24"/>
          <w:szCs w:val="22"/>
        </w:rPr>
        <w:t xml:space="preserve"> run by the </w:t>
      </w:r>
      <w:r w:rsidR="002E6BC6" w:rsidRPr="002E6BC6">
        <w:rPr>
          <w:rFonts w:asciiTheme="minorHAnsi" w:eastAsiaTheme="minorHAnsi" w:hAnsiTheme="minorHAnsi" w:cstheme="minorBidi"/>
          <w:snapToGrid/>
          <w:color w:val="000000" w:themeColor="text1"/>
          <w:sz w:val="24"/>
          <w:szCs w:val="22"/>
        </w:rPr>
        <w:t>sponsor that</w:t>
      </w:r>
      <w:r w:rsidR="00767908" w:rsidRPr="002E6BC6">
        <w:rPr>
          <w:rFonts w:asciiTheme="minorHAnsi" w:eastAsiaTheme="minorHAnsi" w:hAnsiTheme="minorHAnsi" w:cstheme="minorBidi"/>
          <w:snapToGrid/>
          <w:color w:val="000000" w:themeColor="text1"/>
          <w:sz w:val="24"/>
          <w:szCs w:val="22"/>
        </w:rPr>
        <w:t xml:space="preserve"> provides the prescriber with free </w:t>
      </w:r>
      <w:proofErr w:type="spellStart"/>
      <w:r w:rsidR="00767908" w:rsidRPr="002E6BC6">
        <w:rPr>
          <w:rFonts w:asciiTheme="minorHAnsi" w:eastAsiaTheme="minorHAnsi" w:hAnsiTheme="minorHAnsi" w:cstheme="minorBidi"/>
          <w:snapToGrid/>
          <w:color w:val="000000" w:themeColor="text1"/>
          <w:sz w:val="24"/>
          <w:szCs w:val="22"/>
        </w:rPr>
        <w:t>tocilizumab</w:t>
      </w:r>
      <w:proofErr w:type="spellEnd"/>
      <w:r w:rsidR="00767908" w:rsidRPr="002E6BC6">
        <w:rPr>
          <w:rFonts w:asciiTheme="minorHAnsi" w:eastAsiaTheme="minorHAnsi" w:hAnsiTheme="minorHAnsi" w:cstheme="minorBidi"/>
          <w:snapToGrid/>
          <w:color w:val="000000" w:themeColor="text1"/>
          <w:sz w:val="24"/>
          <w:szCs w:val="22"/>
        </w:rPr>
        <w:t xml:space="preserve"> SC </w:t>
      </w:r>
      <w:r w:rsidR="002E6BC6" w:rsidRPr="002E6BC6">
        <w:rPr>
          <w:rFonts w:asciiTheme="minorHAnsi" w:eastAsiaTheme="minorHAnsi" w:hAnsiTheme="minorHAnsi" w:cstheme="minorBidi"/>
          <w:snapToGrid/>
          <w:color w:val="000000" w:themeColor="text1"/>
          <w:sz w:val="24"/>
          <w:szCs w:val="22"/>
        </w:rPr>
        <w:t>that</w:t>
      </w:r>
      <w:r w:rsidR="00767908" w:rsidRPr="002E6BC6">
        <w:rPr>
          <w:rFonts w:asciiTheme="minorHAnsi" w:eastAsiaTheme="minorHAnsi" w:hAnsiTheme="minorHAnsi" w:cstheme="minorBidi"/>
          <w:snapToGrid/>
          <w:color w:val="000000" w:themeColor="text1"/>
          <w:sz w:val="24"/>
          <w:szCs w:val="22"/>
        </w:rPr>
        <w:t xml:space="preserve"> can be administered at the time of prescribing.</w:t>
      </w:r>
      <w:r w:rsidR="003B5B57" w:rsidRPr="002E6BC6">
        <w:rPr>
          <w:rFonts w:asciiTheme="minorHAnsi" w:eastAsiaTheme="minorHAnsi" w:hAnsiTheme="minorHAnsi" w:cstheme="minorBidi"/>
          <w:snapToGrid/>
          <w:color w:val="000000" w:themeColor="text1"/>
          <w:sz w:val="24"/>
          <w:szCs w:val="22"/>
        </w:rPr>
        <w:t xml:space="preserve"> As such, the </w:t>
      </w:r>
      <w:r w:rsidR="002A0B4C">
        <w:rPr>
          <w:rFonts w:asciiTheme="minorHAnsi" w:eastAsiaTheme="minorHAnsi" w:hAnsiTheme="minorHAnsi" w:cstheme="minorBidi"/>
          <w:snapToGrid/>
          <w:color w:val="000000" w:themeColor="text1"/>
          <w:sz w:val="24"/>
          <w:szCs w:val="22"/>
        </w:rPr>
        <w:t>p</w:t>
      </w:r>
      <w:r w:rsidR="002A0B4C" w:rsidRPr="002E6BC6">
        <w:rPr>
          <w:rFonts w:asciiTheme="minorHAnsi" w:eastAsiaTheme="minorHAnsi" w:hAnsiTheme="minorHAnsi" w:cstheme="minorBidi"/>
          <w:snapToGrid/>
          <w:color w:val="000000" w:themeColor="text1"/>
          <w:sz w:val="24"/>
          <w:szCs w:val="22"/>
        </w:rPr>
        <w:t>re</w:t>
      </w:r>
      <w:r w:rsidR="003B5B57" w:rsidRPr="002E6BC6">
        <w:rPr>
          <w:rFonts w:asciiTheme="minorHAnsi" w:eastAsiaTheme="minorHAnsi" w:hAnsiTheme="minorHAnsi" w:cstheme="minorBidi"/>
          <w:snapToGrid/>
          <w:color w:val="000000" w:themeColor="text1"/>
          <w:sz w:val="24"/>
          <w:szCs w:val="22"/>
        </w:rPr>
        <w:t>-PB</w:t>
      </w:r>
      <w:r w:rsidR="005F2EF4" w:rsidRPr="002E6BC6">
        <w:rPr>
          <w:rFonts w:asciiTheme="minorHAnsi" w:eastAsiaTheme="minorHAnsi" w:hAnsiTheme="minorHAnsi" w:cstheme="minorBidi"/>
          <w:snapToGrid/>
          <w:color w:val="000000" w:themeColor="text1"/>
          <w:sz w:val="24"/>
          <w:szCs w:val="22"/>
        </w:rPr>
        <w:t xml:space="preserve">AC response argued that the consultation fees applicable when prescribing both IV and SC formulations </w:t>
      </w:r>
      <w:proofErr w:type="gramStart"/>
      <w:r w:rsidR="005F2EF4" w:rsidRPr="002E6BC6">
        <w:rPr>
          <w:rFonts w:asciiTheme="minorHAnsi" w:eastAsiaTheme="minorHAnsi" w:hAnsiTheme="minorHAnsi" w:cstheme="minorBidi"/>
          <w:snapToGrid/>
          <w:color w:val="000000" w:themeColor="text1"/>
          <w:sz w:val="24"/>
          <w:szCs w:val="22"/>
        </w:rPr>
        <w:t>are effectively offset and therefore excluded from the cost-minimisation analysis</w:t>
      </w:r>
      <w:proofErr w:type="gramEnd"/>
      <w:r w:rsidR="002E6BC6">
        <w:rPr>
          <w:rFonts w:asciiTheme="minorHAnsi" w:eastAsiaTheme="minorHAnsi" w:hAnsiTheme="minorHAnsi" w:cstheme="minorBidi"/>
          <w:snapToGrid/>
          <w:color w:val="000000" w:themeColor="text1"/>
          <w:sz w:val="24"/>
          <w:szCs w:val="22"/>
        </w:rPr>
        <w:t>.</w:t>
      </w:r>
      <w:r w:rsidR="00146AD7">
        <w:rPr>
          <w:rFonts w:asciiTheme="minorHAnsi" w:eastAsiaTheme="minorHAnsi" w:hAnsiTheme="minorHAnsi" w:cstheme="minorBidi"/>
          <w:snapToGrid/>
          <w:color w:val="000000" w:themeColor="text1"/>
          <w:sz w:val="24"/>
          <w:szCs w:val="22"/>
        </w:rPr>
        <w:t xml:space="preserve"> The PBAC noted that free samples </w:t>
      </w:r>
      <w:proofErr w:type="gramStart"/>
      <w:r w:rsidR="00146AD7">
        <w:rPr>
          <w:rFonts w:asciiTheme="minorHAnsi" w:eastAsiaTheme="minorHAnsi" w:hAnsiTheme="minorHAnsi" w:cstheme="minorBidi"/>
          <w:snapToGrid/>
          <w:color w:val="000000" w:themeColor="text1"/>
          <w:sz w:val="24"/>
          <w:szCs w:val="22"/>
        </w:rPr>
        <w:t xml:space="preserve">would not be </w:t>
      </w:r>
      <w:r w:rsidR="00DC400F">
        <w:rPr>
          <w:rFonts w:asciiTheme="minorHAnsi" w:eastAsiaTheme="minorHAnsi" w:hAnsiTheme="minorHAnsi" w:cstheme="minorBidi"/>
          <w:snapToGrid/>
          <w:color w:val="000000" w:themeColor="text1"/>
          <w:sz w:val="24"/>
          <w:szCs w:val="22"/>
        </w:rPr>
        <w:t>permitted</w:t>
      </w:r>
      <w:proofErr w:type="gramEnd"/>
      <w:r w:rsidR="00DC400F">
        <w:rPr>
          <w:rFonts w:asciiTheme="minorHAnsi" w:eastAsiaTheme="minorHAnsi" w:hAnsiTheme="minorHAnsi" w:cstheme="minorBidi"/>
          <w:snapToGrid/>
          <w:color w:val="000000" w:themeColor="text1"/>
          <w:sz w:val="24"/>
          <w:szCs w:val="22"/>
        </w:rPr>
        <w:t xml:space="preserve"> in all hospitals.</w:t>
      </w:r>
    </w:p>
    <w:p w:rsidR="003C2FB5" w:rsidRPr="002E6BC6" w:rsidRDefault="00A55FEE" w:rsidP="000334C9">
      <w:pPr>
        <w:pStyle w:val="Heading2"/>
        <w:keepLines/>
        <w:spacing w:before="120" w:after="120"/>
        <w:rPr>
          <w:rFonts w:asciiTheme="minorHAnsi" w:eastAsiaTheme="majorEastAsia" w:hAnsiTheme="minorHAnsi" w:cstheme="majorBidi"/>
          <w:sz w:val="28"/>
          <w:szCs w:val="28"/>
          <w:lang w:eastAsia="en-US"/>
        </w:rPr>
      </w:pPr>
      <w:r w:rsidRPr="002E6BC6">
        <w:rPr>
          <w:rFonts w:asciiTheme="minorHAnsi" w:eastAsiaTheme="majorEastAsia" w:hAnsiTheme="minorHAnsi" w:cstheme="majorBidi"/>
          <w:sz w:val="28"/>
          <w:szCs w:val="28"/>
          <w:lang w:eastAsia="en-US"/>
        </w:rPr>
        <w:t>Drug c</w:t>
      </w:r>
      <w:r w:rsidR="004F2102" w:rsidRPr="002E6BC6">
        <w:rPr>
          <w:rFonts w:asciiTheme="minorHAnsi" w:eastAsiaTheme="majorEastAsia" w:hAnsiTheme="minorHAnsi" w:cstheme="majorBidi"/>
          <w:sz w:val="28"/>
          <w:szCs w:val="28"/>
          <w:lang w:eastAsia="en-US"/>
        </w:rPr>
        <w:t>ost/patient/year</w:t>
      </w:r>
      <w:r w:rsidR="00AD3FC2" w:rsidRPr="002E6BC6">
        <w:rPr>
          <w:rFonts w:asciiTheme="minorHAnsi" w:eastAsiaTheme="majorEastAsia" w:hAnsiTheme="minorHAnsi" w:cstheme="majorBidi"/>
          <w:sz w:val="28"/>
          <w:szCs w:val="28"/>
          <w:lang w:eastAsia="en-US"/>
        </w:rPr>
        <w:t xml:space="preserve"> (52 weeks)</w:t>
      </w:r>
      <w:r w:rsidR="004F2102" w:rsidRPr="002E6BC6">
        <w:rPr>
          <w:rFonts w:asciiTheme="minorHAnsi" w:eastAsiaTheme="majorEastAsia" w:hAnsiTheme="minorHAnsi" w:cstheme="majorBidi"/>
          <w:sz w:val="28"/>
          <w:szCs w:val="28"/>
          <w:lang w:eastAsia="en-US"/>
        </w:rPr>
        <w:t>: $</w:t>
      </w:r>
      <w:r w:rsidR="003E2B64">
        <w:rPr>
          <w:rFonts w:asciiTheme="minorHAnsi" w:eastAsiaTheme="majorEastAsia" w:hAnsiTheme="minorHAnsi" w:cstheme="majorBidi"/>
          <w:noProof/>
          <w:color w:val="000000"/>
          <w:sz w:val="28"/>
          <w:szCs w:val="28"/>
          <w:highlight w:val="black"/>
          <w:lang w:eastAsia="en-US"/>
        </w:rPr>
        <w:t xml:space="preserve">'''''''''''''''' </w:t>
      </w:r>
    </w:p>
    <w:p w:rsidR="00A55FEE" w:rsidRPr="002E6BC6" w:rsidRDefault="00A05352" w:rsidP="000334C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2E6BC6">
        <w:rPr>
          <w:rFonts w:asciiTheme="minorHAnsi" w:eastAsiaTheme="minorHAnsi" w:hAnsiTheme="minorHAnsi" w:cstheme="minorBidi"/>
          <w:snapToGrid/>
          <w:sz w:val="24"/>
          <w:szCs w:val="22"/>
        </w:rPr>
        <w:t xml:space="preserve">The </w:t>
      </w:r>
      <w:r w:rsidR="00AD3FC2" w:rsidRPr="002E6BC6">
        <w:rPr>
          <w:rFonts w:asciiTheme="minorHAnsi" w:eastAsiaTheme="minorHAnsi" w:hAnsiTheme="minorHAnsi" w:cstheme="minorBidi"/>
          <w:snapToGrid/>
          <w:sz w:val="24"/>
          <w:szCs w:val="22"/>
        </w:rPr>
        <w:t>minor submission estimated the cost of treatment over</w:t>
      </w:r>
      <w:r w:rsidRPr="002E6BC6">
        <w:rPr>
          <w:rFonts w:asciiTheme="minorHAnsi" w:eastAsiaTheme="minorHAnsi" w:hAnsiTheme="minorHAnsi" w:cstheme="minorBidi"/>
          <w:snapToGrid/>
          <w:sz w:val="24"/>
          <w:szCs w:val="22"/>
        </w:rPr>
        <w:t xml:space="preserve"> 52 week</w:t>
      </w:r>
      <w:r w:rsidR="00AD3FC2" w:rsidRPr="002E6BC6">
        <w:rPr>
          <w:rFonts w:asciiTheme="minorHAnsi" w:eastAsiaTheme="minorHAnsi" w:hAnsiTheme="minorHAnsi" w:cstheme="minorBidi"/>
          <w:snapToGrid/>
          <w:sz w:val="24"/>
          <w:szCs w:val="22"/>
        </w:rPr>
        <w:t>s</w:t>
      </w:r>
      <w:r w:rsidRPr="002E6BC6">
        <w:rPr>
          <w:rFonts w:asciiTheme="minorHAnsi" w:eastAsiaTheme="minorHAnsi" w:hAnsiTheme="minorHAnsi" w:cstheme="minorBidi"/>
          <w:snapToGrid/>
          <w:sz w:val="24"/>
          <w:szCs w:val="22"/>
        </w:rPr>
        <w:t xml:space="preserve"> </w:t>
      </w:r>
      <w:r w:rsidR="00AD3FC2" w:rsidRPr="002E6BC6">
        <w:rPr>
          <w:rFonts w:asciiTheme="minorHAnsi" w:eastAsiaTheme="minorHAnsi" w:hAnsiTheme="minorHAnsi" w:cstheme="minorBidi"/>
          <w:snapToGrid/>
          <w:sz w:val="24"/>
          <w:szCs w:val="22"/>
        </w:rPr>
        <w:t>t</w:t>
      </w:r>
      <w:r w:rsidR="000633F5" w:rsidRPr="002E6BC6">
        <w:rPr>
          <w:rFonts w:asciiTheme="minorHAnsi" w:eastAsiaTheme="minorHAnsi" w:hAnsiTheme="minorHAnsi" w:cstheme="minorBidi"/>
          <w:snapToGrid/>
          <w:sz w:val="24"/>
          <w:szCs w:val="22"/>
        </w:rPr>
        <w:t>o be $</w:t>
      </w:r>
      <w:r w:rsidR="003E2B64">
        <w:rPr>
          <w:rFonts w:asciiTheme="minorHAnsi" w:eastAsiaTheme="minorHAnsi" w:hAnsiTheme="minorHAnsi" w:cstheme="minorBidi"/>
          <w:noProof/>
          <w:snapToGrid/>
          <w:color w:val="000000"/>
          <w:sz w:val="24"/>
          <w:szCs w:val="22"/>
          <w:highlight w:val="black"/>
        </w:rPr>
        <w:t>'''''''''''''''''</w:t>
      </w:r>
      <w:r w:rsidR="000904DD" w:rsidRPr="002E6BC6">
        <w:rPr>
          <w:rFonts w:asciiTheme="minorHAnsi" w:eastAsiaTheme="minorHAnsi" w:hAnsiTheme="minorHAnsi" w:cstheme="minorBidi"/>
          <w:snapToGrid/>
          <w:sz w:val="24"/>
          <w:szCs w:val="22"/>
        </w:rPr>
        <w:t>,</w:t>
      </w:r>
      <w:r w:rsidR="000633F5" w:rsidRPr="002E6BC6">
        <w:rPr>
          <w:rFonts w:asciiTheme="minorHAnsi" w:eastAsiaTheme="minorHAnsi" w:hAnsiTheme="minorHAnsi" w:cstheme="minorBidi"/>
          <w:snapToGrid/>
          <w:sz w:val="24"/>
          <w:szCs w:val="22"/>
        </w:rPr>
        <w:t xml:space="preserve"> based on </w:t>
      </w:r>
      <w:r w:rsidR="0032132B" w:rsidRPr="002E6BC6">
        <w:rPr>
          <w:rFonts w:asciiTheme="minorHAnsi" w:eastAsiaTheme="minorHAnsi" w:hAnsiTheme="minorHAnsi" w:cstheme="minorBidi"/>
          <w:snapToGrid/>
          <w:sz w:val="24"/>
          <w:szCs w:val="22"/>
        </w:rPr>
        <w:t>the cost-minimised AEMP of $</w:t>
      </w:r>
      <w:r w:rsidR="003E2B64">
        <w:rPr>
          <w:rFonts w:asciiTheme="minorHAnsi" w:eastAsiaTheme="minorHAnsi" w:hAnsiTheme="minorHAnsi" w:cstheme="minorBidi"/>
          <w:noProof/>
          <w:snapToGrid/>
          <w:color w:val="000000"/>
          <w:sz w:val="24"/>
          <w:szCs w:val="22"/>
          <w:highlight w:val="black"/>
        </w:rPr>
        <w:t>''''''''''''''''''</w:t>
      </w:r>
      <w:r w:rsidR="0032132B" w:rsidRPr="002E6BC6">
        <w:rPr>
          <w:rFonts w:asciiTheme="minorHAnsi" w:eastAsiaTheme="minorHAnsi" w:hAnsiTheme="minorHAnsi" w:cstheme="minorBidi"/>
          <w:snapToGrid/>
          <w:sz w:val="24"/>
          <w:szCs w:val="22"/>
        </w:rPr>
        <w:t xml:space="preserve"> for a pack of </w:t>
      </w:r>
      <w:proofErr w:type="gramStart"/>
      <w:r w:rsidR="0032132B" w:rsidRPr="002E6BC6">
        <w:rPr>
          <w:rFonts w:asciiTheme="minorHAnsi" w:eastAsiaTheme="minorHAnsi" w:hAnsiTheme="minorHAnsi" w:cstheme="minorBidi"/>
          <w:snapToGrid/>
          <w:sz w:val="24"/>
          <w:szCs w:val="22"/>
        </w:rPr>
        <w:t>4</w:t>
      </w:r>
      <w:proofErr w:type="gramEnd"/>
      <w:r w:rsidR="0032132B" w:rsidRPr="002E6BC6">
        <w:rPr>
          <w:rFonts w:asciiTheme="minorHAnsi" w:eastAsiaTheme="minorHAnsi" w:hAnsiTheme="minorHAnsi" w:cstheme="minorBidi"/>
          <w:snapToGrid/>
          <w:sz w:val="24"/>
          <w:szCs w:val="22"/>
        </w:rPr>
        <w:t xml:space="preserve"> syringes/pens.</w:t>
      </w:r>
    </w:p>
    <w:p w:rsidR="005A3173" w:rsidRPr="002E6BC6" w:rsidRDefault="005A3173" w:rsidP="000334C9">
      <w:pPr>
        <w:pStyle w:val="Heading2"/>
        <w:keepLines/>
        <w:spacing w:before="120" w:after="120"/>
        <w:rPr>
          <w:rFonts w:asciiTheme="minorHAnsi" w:eastAsiaTheme="majorEastAsia" w:hAnsiTheme="minorHAnsi" w:cstheme="majorBidi"/>
          <w:sz w:val="28"/>
          <w:szCs w:val="28"/>
          <w:lang w:eastAsia="en-US"/>
        </w:rPr>
      </w:pPr>
      <w:r w:rsidRPr="002E6BC6">
        <w:rPr>
          <w:rFonts w:asciiTheme="minorHAnsi" w:eastAsiaTheme="majorEastAsia" w:hAnsiTheme="minorHAnsi" w:cstheme="majorBidi"/>
          <w:sz w:val="28"/>
          <w:szCs w:val="28"/>
          <w:lang w:eastAsia="en-US"/>
        </w:rPr>
        <w:t>Estimated PBS usage &amp; financial implications</w:t>
      </w:r>
    </w:p>
    <w:p w:rsidR="00F64CC1" w:rsidRPr="002E6BC6" w:rsidRDefault="00A93975" w:rsidP="000334C9">
      <w:pPr>
        <w:pStyle w:val="ListParagraph"/>
        <w:numPr>
          <w:ilvl w:val="1"/>
          <w:numId w:val="14"/>
        </w:numPr>
        <w:spacing w:before="120" w:after="120"/>
        <w:rPr>
          <w:rFonts w:asciiTheme="minorHAnsi" w:hAnsiTheme="minorHAnsi"/>
          <w:color w:val="000000" w:themeColor="text1"/>
          <w:sz w:val="24"/>
        </w:rPr>
      </w:pPr>
      <w:r w:rsidRPr="002E6BC6">
        <w:rPr>
          <w:rFonts w:asciiTheme="minorHAnsi" w:hAnsiTheme="minorHAnsi"/>
          <w:color w:val="000000" w:themeColor="text1"/>
          <w:sz w:val="24"/>
        </w:rPr>
        <w:t xml:space="preserve">The minor submission </w:t>
      </w:r>
      <w:r w:rsidR="00F70B96" w:rsidRPr="002E6BC6">
        <w:rPr>
          <w:rFonts w:asciiTheme="minorHAnsi" w:hAnsiTheme="minorHAnsi"/>
          <w:color w:val="000000" w:themeColor="text1"/>
          <w:sz w:val="24"/>
        </w:rPr>
        <w:t xml:space="preserve">claimed that </w:t>
      </w:r>
      <w:r w:rsidRPr="002E6BC6">
        <w:rPr>
          <w:rFonts w:asciiTheme="minorHAnsi" w:hAnsiTheme="minorHAnsi"/>
          <w:color w:val="000000" w:themeColor="text1"/>
          <w:sz w:val="24"/>
        </w:rPr>
        <w:t xml:space="preserve">the listing of </w:t>
      </w:r>
      <w:proofErr w:type="spellStart"/>
      <w:r w:rsidRPr="002E6BC6">
        <w:rPr>
          <w:rFonts w:asciiTheme="minorHAnsi" w:hAnsiTheme="minorHAnsi"/>
          <w:color w:val="000000" w:themeColor="text1"/>
          <w:sz w:val="24"/>
        </w:rPr>
        <w:t>tocilizumab</w:t>
      </w:r>
      <w:proofErr w:type="spellEnd"/>
      <w:r w:rsidRPr="002E6BC6">
        <w:rPr>
          <w:rFonts w:asciiTheme="minorHAnsi" w:hAnsiTheme="minorHAnsi"/>
          <w:color w:val="000000" w:themeColor="text1"/>
          <w:sz w:val="24"/>
        </w:rPr>
        <w:t xml:space="preserve"> for severe active JIA </w:t>
      </w:r>
      <w:r w:rsidR="00F70B96" w:rsidRPr="002E6BC6">
        <w:rPr>
          <w:rFonts w:asciiTheme="minorHAnsi" w:hAnsiTheme="minorHAnsi"/>
          <w:color w:val="000000" w:themeColor="text1"/>
          <w:sz w:val="24"/>
        </w:rPr>
        <w:t>would</w:t>
      </w:r>
      <w:r w:rsidRPr="002E6BC6">
        <w:rPr>
          <w:rFonts w:asciiTheme="minorHAnsi" w:hAnsiTheme="minorHAnsi"/>
          <w:color w:val="000000" w:themeColor="text1"/>
          <w:sz w:val="24"/>
        </w:rPr>
        <w:t xml:space="preserve"> </w:t>
      </w:r>
      <w:r w:rsidR="00F70B96" w:rsidRPr="002E6BC6">
        <w:rPr>
          <w:rFonts w:asciiTheme="minorHAnsi" w:hAnsiTheme="minorHAnsi"/>
          <w:color w:val="000000" w:themeColor="text1"/>
          <w:sz w:val="24"/>
        </w:rPr>
        <w:t xml:space="preserve">have </w:t>
      </w:r>
      <w:r w:rsidRPr="002E6BC6">
        <w:rPr>
          <w:rFonts w:asciiTheme="minorHAnsi" w:hAnsiTheme="minorHAnsi"/>
          <w:color w:val="000000" w:themeColor="text1"/>
          <w:sz w:val="24"/>
        </w:rPr>
        <w:t xml:space="preserve">no financial impact </w:t>
      </w:r>
      <w:r w:rsidR="00F70B96" w:rsidRPr="002E6BC6">
        <w:rPr>
          <w:rFonts w:asciiTheme="minorHAnsi" w:hAnsiTheme="minorHAnsi"/>
          <w:color w:val="000000" w:themeColor="text1"/>
          <w:sz w:val="24"/>
        </w:rPr>
        <w:t xml:space="preserve">to </w:t>
      </w:r>
      <w:r w:rsidRPr="002E6BC6">
        <w:rPr>
          <w:rFonts w:asciiTheme="minorHAnsi" w:hAnsiTheme="minorHAnsi"/>
          <w:color w:val="000000" w:themeColor="text1"/>
          <w:sz w:val="24"/>
        </w:rPr>
        <w:t>the PBS.</w:t>
      </w:r>
      <w:r w:rsidR="00682808" w:rsidRPr="002E6BC6">
        <w:rPr>
          <w:rFonts w:asciiTheme="minorHAnsi" w:hAnsiTheme="minorHAnsi"/>
          <w:color w:val="000000" w:themeColor="text1"/>
          <w:sz w:val="24"/>
        </w:rPr>
        <w:t xml:space="preserve"> The minor submission stated that</w:t>
      </w:r>
      <w:r w:rsidRPr="002E6BC6">
        <w:rPr>
          <w:rFonts w:asciiTheme="minorHAnsi" w:hAnsiTheme="minorHAnsi"/>
          <w:color w:val="000000" w:themeColor="text1"/>
          <w:sz w:val="24"/>
        </w:rPr>
        <w:t xml:space="preserve"> </w:t>
      </w:r>
      <w:r w:rsidR="00682808" w:rsidRPr="002E6BC6">
        <w:rPr>
          <w:rFonts w:asciiTheme="minorHAnsi" w:hAnsiTheme="minorHAnsi"/>
          <w:color w:val="000000" w:themeColor="text1"/>
          <w:sz w:val="24"/>
        </w:rPr>
        <w:t xml:space="preserve">the </w:t>
      </w:r>
      <w:r w:rsidRPr="002E6BC6">
        <w:rPr>
          <w:rFonts w:asciiTheme="minorHAnsi" w:hAnsiTheme="minorHAnsi"/>
          <w:color w:val="000000" w:themeColor="text1"/>
          <w:sz w:val="24"/>
        </w:rPr>
        <w:t xml:space="preserve">SC presentation </w:t>
      </w:r>
      <w:proofErr w:type="gramStart"/>
      <w:r w:rsidRPr="002E6BC6">
        <w:rPr>
          <w:rFonts w:asciiTheme="minorHAnsi" w:hAnsiTheme="minorHAnsi"/>
          <w:color w:val="000000" w:themeColor="text1"/>
          <w:sz w:val="24"/>
        </w:rPr>
        <w:t>was expected</w:t>
      </w:r>
      <w:proofErr w:type="gramEnd"/>
      <w:r w:rsidRPr="002E6BC6">
        <w:rPr>
          <w:rFonts w:asciiTheme="minorHAnsi" w:hAnsiTheme="minorHAnsi"/>
          <w:color w:val="000000" w:themeColor="text1"/>
          <w:sz w:val="24"/>
        </w:rPr>
        <w:t xml:space="preserve"> to substitute for the existing IV presentation and not change the number of patients accessing </w:t>
      </w:r>
      <w:proofErr w:type="spellStart"/>
      <w:r w:rsidRPr="002E6BC6">
        <w:rPr>
          <w:rFonts w:asciiTheme="minorHAnsi" w:hAnsiTheme="minorHAnsi"/>
          <w:color w:val="000000" w:themeColor="text1"/>
          <w:sz w:val="24"/>
        </w:rPr>
        <w:t>tocilizumab</w:t>
      </w:r>
      <w:proofErr w:type="spellEnd"/>
      <w:r w:rsidRPr="002E6BC6">
        <w:rPr>
          <w:rFonts w:asciiTheme="minorHAnsi" w:hAnsiTheme="minorHAnsi"/>
          <w:color w:val="000000" w:themeColor="text1"/>
          <w:sz w:val="24"/>
        </w:rPr>
        <w:t xml:space="preserve">. As such, the sponsor did not expect there to be a financial impact to Government and hence a Section 4 workbook was not completed. While it is true that the SC listing </w:t>
      </w:r>
      <w:r w:rsidR="004F0753" w:rsidRPr="002E6BC6">
        <w:rPr>
          <w:rFonts w:asciiTheme="minorHAnsi" w:hAnsiTheme="minorHAnsi"/>
          <w:color w:val="000000" w:themeColor="text1"/>
          <w:sz w:val="24"/>
        </w:rPr>
        <w:t xml:space="preserve">may </w:t>
      </w:r>
      <w:r w:rsidRPr="002E6BC6">
        <w:rPr>
          <w:rFonts w:asciiTheme="minorHAnsi" w:hAnsiTheme="minorHAnsi"/>
          <w:color w:val="000000" w:themeColor="text1"/>
          <w:sz w:val="24"/>
        </w:rPr>
        <w:t>not result in a</w:t>
      </w:r>
      <w:r w:rsidR="004F0753" w:rsidRPr="002E6BC6">
        <w:rPr>
          <w:rFonts w:asciiTheme="minorHAnsi" w:hAnsiTheme="minorHAnsi"/>
          <w:color w:val="000000" w:themeColor="text1"/>
          <w:sz w:val="24"/>
        </w:rPr>
        <w:t xml:space="preserve"> net</w:t>
      </w:r>
      <w:r w:rsidRPr="002E6BC6">
        <w:rPr>
          <w:rFonts w:asciiTheme="minorHAnsi" w:hAnsiTheme="minorHAnsi"/>
          <w:color w:val="000000" w:themeColor="text1"/>
          <w:sz w:val="24"/>
        </w:rPr>
        <w:t xml:space="preserve"> financial impact for </w:t>
      </w:r>
      <w:r w:rsidR="004F0753" w:rsidRPr="002E6BC6">
        <w:rPr>
          <w:rFonts w:asciiTheme="minorHAnsi" w:hAnsiTheme="minorHAnsi"/>
          <w:color w:val="000000" w:themeColor="text1"/>
          <w:sz w:val="24"/>
        </w:rPr>
        <w:t>Government</w:t>
      </w:r>
      <w:r w:rsidRPr="002E6BC6">
        <w:rPr>
          <w:rFonts w:asciiTheme="minorHAnsi" w:hAnsiTheme="minorHAnsi"/>
          <w:color w:val="000000" w:themeColor="text1"/>
          <w:sz w:val="24"/>
        </w:rPr>
        <w:t xml:space="preserve">, there </w:t>
      </w:r>
      <w:r w:rsidR="004F0753" w:rsidRPr="002E6BC6">
        <w:rPr>
          <w:rFonts w:asciiTheme="minorHAnsi" w:hAnsiTheme="minorHAnsi"/>
          <w:color w:val="000000" w:themeColor="text1"/>
          <w:sz w:val="24"/>
        </w:rPr>
        <w:t xml:space="preserve">would </w:t>
      </w:r>
      <w:r w:rsidRPr="002E6BC6">
        <w:rPr>
          <w:rFonts w:asciiTheme="minorHAnsi" w:hAnsiTheme="minorHAnsi"/>
          <w:color w:val="000000" w:themeColor="text1"/>
          <w:sz w:val="24"/>
        </w:rPr>
        <w:t>likely to be an impact to the MBS with a reduction in the number of infusions required</w:t>
      </w:r>
      <w:r w:rsidR="00EC5B79" w:rsidRPr="002E6BC6">
        <w:rPr>
          <w:rFonts w:asciiTheme="minorHAnsi" w:hAnsiTheme="minorHAnsi"/>
          <w:color w:val="000000" w:themeColor="text1"/>
          <w:sz w:val="24"/>
        </w:rPr>
        <w:t xml:space="preserve"> and the PBS/RPBS with displacement of </w:t>
      </w:r>
      <w:r w:rsidR="006546F1" w:rsidRPr="002E6BC6">
        <w:rPr>
          <w:rFonts w:asciiTheme="minorHAnsi" w:hAnsiTheme="minorHAnsi"/>
          <w:color w:val="000000" w:themeColor="text1"/>
          <w:sz w:val="24"/>
        </w:rPr>
        <w:t xml:space="preserve">IV </w:t>
      </w:r>
      <w:proofErr w:type="spellStart"/>
      <w:r w:rsidR="006546F1" w:rsidRPr="002E6BC6">
        <w:rPr>
          <w:rFonts w:asciiTheme="minorHAnsi" w:hAnsiTheme="minorHAnsi"/>
          <w:color w:val="000000" w:themeColor="text1"/>
          <w:sz w:val="24"/>
        </w:rPr>
        <w:t>tocilizumab</w:t>
      </w:r>
      <w:proofErr w:type="spellEnd"/>
      <w:r w:rsidR="00EC5B79" w:rsidRPr="002E6BC6">
        <w:rPr>
          <w:rFonts w:asciiTheme="minorHAnsi" w:hAnsiTheme="minorHAnsi"/>
          <w:color w:val="000000" w:themeColor="text1"/>
          <w:sz w:val="24"/>
        </w:rPr>
        <w:t xml:space="preserve"> by </w:t>
      </w:r>
      <w:proofErr w:type="spellStart"/>
      <w:r w:rsidR="00EC5B79" w:rsidRPr="002E6BC6">
        <w:rPr>
          <w:rFonts w:asciiTheme="minorHAnsi" w:hAnsiTheme="minorHAnsi"/>
          <w:color w:val="000000" w:themeColor="text1"/>
          <w:sz w:val="24"/>
        </w:rPr>
        <w:t>tocilizumab</w:t>
      </w:r>
      <w:proofErr w:type="spellEnd"/>
      <w:r w:rsidR="00EC5B79" w:rsidRPr="002E6BC6">
        <w:rPr>
          <w:rFonts w:asciiTheme="minorHAnsi" w:hAnsiTheme="minorHAnsi"/>
          <w:color w:val="000000" w:themeColor="text1"/>
          <w:sz w:val="24"/>
        </w:rPr>
        <w:t xml:space="preserve"> SC</w:t>
      </w:r>
      <w:r w:rsidRPr="002E6BC6">
        <w:rPr>
          <w:rFonts w:asciiTheme="minorHAnsi" w:hAnsiTheme="minorHAnsi"/>
          <w:color w:val="000000" w:themeColor="text1"/>
          <w:sz w:val="24"/>
        </w:rPr>
        <w:t>.</w:t>
      </w:r>
      <w:r w:rsidRPr="002E6BC6">
        <w:rPr>
          <w:rFonts w:asciiTheme="minorHAnsi" w:hAnsiTheme="minorHAnsi"/>
          <w:i/>
          <w:iCs/>
          <w:color w:val="000000" w:themeColor="text1"/>
          <w:sz w:val="24"/>
        </w:rPr>
        <w:t xml:space="preserve"> </w:t>
      </w:r>
    </w:p>
    <w:p w:rsidR="006546F1" w:rsidRPr="002E6BC6" w:rsidRDefault="006546F1" w:rsidP="000334C9">
      <w:pPr>
        <w:pStyle w:val="ListParagraph"/>
        <w:spacing w:before="120" w:after="120"/>
        <w:rPr>
          <w:rFonts w:asciiTheme="minorHAnsi" w:hAnsiTheme="minorHAnsi"/>
          <w:color w:val="000000" w:themeColor="text1"/>
          <w:sz w:val="24"/>
        </w:rPr>
      </w:pPr>
    </w:p>
    <w:p w:rsidR="0067091F" w:rsidRPr="002E6BC6" w:rsidRDefault="006546F1" w:rsidP="000334C9">
      <w:pPr>
        <w:pStyle w:val="ListParagraph"/>
        <w:numPr>
          <w:ilvl w:val="1"/>
          <w:numId w:val="14"/>
        </w:numPr>
        <w:spacing w:before="120" w:after="120"/>
        <w:rPr>
          <w:rFonts w:asciiTheme="minorHAnsi" w:hAnsiTheme="minorHAnsi"/>
          <w:color w:val="000000" w:themeColor="text1"/>
          <w:sz w:val="24"/>
        </w:rPr>
      </w:pPr>
      <w:r w:rsidRPr="002E6BC6">
        <w:rPr>
          <w:rFonts w:asciiTheme="minorHAnsi" w:hAnsiTheme="minorHAnsi"/>
          <w:color w:val="000000" w:themeColor="text1"/>
          <w:sz w:val="24"/>
        </w:rPr>
        <w:t xml:space="preserve">The pre-PBAC </w:t>
      </w:r>
      <w:r w:rsidR="002A0B4C">
        <w:rPr>
          <w:rFonts w:asciiTheme="minorHAnsi" w:hAnsiTheme="minorHAnsi"/>
          <w:color w:val="000000" w:themeColor="text1"/>
          <w:sz w:val="24"/>
        </w:rPr>
        <w:t>r</w:t>
      </w:r>
      <w:r w:rsidRPr="002E6BC6">
        <w:rPr>
          <w:rFonts w:asciiTheme="minorHAnsi" w:hAnsiTheme="minorHAnsi"/>
          <w:color w:val="000000" w:themeColor="text1"/>
          <w:sz w:val="24"/>
        </w:rPr>
        <w:t xml:space="preserve">esponse </w:t>
      </w:r>
      <w:r w:rsidR="00856829" w:rsidRPr="002E6BC6">
        <w:rPr>
          <w:rFonts w:asciiTheme="minorHAnsi" w:hAnsiTheme="minorHAnsi"/>
          <w:color w:val="000000" w:themeColor="text1"/>
          <w:sz w:val="24"/>
        </w:rPr>
        <w:t xml:space="preserve">provided estimates of the change in number of MBS services from switching to </w:t>
      </w:r>
      <w:proofErr w:type="spellStart"/>
      <w:r w:rsidR="00856829" w:rsidRPr="002E6BC6">
        <w:rPr>
          <w:rFonts w:asciiTheme="minorHAnsi" w:hAnsiTheme="minorHAnsi"/>
          <w:color w:val="000000" w:themeColor="text1"/>
          <w:sz w:val="24"/>
        </w:rPr>
        <w:t>tocilizumab</w:t>
      </w:r>
      <w:proofErr w:type="spellEnd"/>
      <w:r w:rsidR="00856829" w:rsidRPr="002E6BC6">
        <w:rPr>
          <w:rFonts w:asciiTheme="minorHAnsi" w:hAnsiTheme="minorHAnsi"/>
          <w:color w:val="000000" w:themeColor="text1"/>
          <w:sz w:val="24"/>
        </w:rPr>
        <w:t xml:space="preserve"> SC (Table </w:t>
      </w:r>
      <w:r w:rsidR="0067091F" w:rsidRPr="002E6BC6">
        <w:rPr>
          <w:rFonts w:asciiTheme="minorHAnsi" w:hAnsiTheme="minorHAnsi"/>
          <w:color w:val="000000" w:themeColor="text1"/>
          <w:sz w:val="24"/>
        </w:rPr>
        <w:t xml:space="preserve">2) based on an assumed 55% uptake of </w:t>
      </w:r>
      <w:proofErr w:type="spellStart"/>
      <w:r w:rsidR="0067091F" w:rsidRPr="002E6BC6">
        <w:rPr>
          <w:rFonts w:asciiTheme="minorHAnsi" w:hAnsiTheme="minorHAnsi"/>
          <w:color w:val="000000" w:themeColor="text1"/>
          <w:sz w:val="24"/>
        </w:rPr>
        <w:t>tocilizumab</w:t>
      </w:r>
      <w:proofErr w:type="spellEnd"/>
      <w:r w:rsidR="0067091F" w:rsidRPr="002E6BC6">
        <w:rPr>
          <w:rFonts w:asciiTheme="minorHAnsi" w:hAnsiTheme="minorHAnsi"/>
          <w:color w:val="000000" w:themeColor="text1"/>
          <w:sz w:val="24"/>
        </w:rPr>
        <w:t xml:space="preserve"> SC in year 1 of listing increasing to 85% on the basis the adoption rate of SC formulations in the treatment of rheumatoid arthritis has reached approximately 85% in Australia. </w:t>
      </w:r>
    </w:p>
    <w:p w:rsidR="008D4253" w:rsidRDefault="008D4253" w:rsidP="000334C9">
      <w:pPr>
        <w:spacing w:before="120" w:after="120"/>
        <w:rPr>
          <w:rFonts w:asciiTheme="minorHAnsi" w:hAnsiTheme="minorHAnsi" w:cs="Arial"/>
          <w:snapToGrid w:val="0"/>
          <w:color w:val="000000" w:themeColor="text1"/>
          <w:szCs w:val="20"/>
          <w:lang w:eastAsia="en-US"/>
        </w:rPr>
      </w:pPr>
      <w:r>
        <w:rPr>
          <w:rFonts w:asciiTheme="minorHAnsi" w:hAnsiTheme="minorHAnsi"/>
          <w:color w:val="000000" w:themeColor="text1"/>
        </w:rPr>
        <w:br w:type="page"/>
      </w:r>
    </w:p>
    <w:p w:rsidR="0067091F" w:rsidRPr="00DC4EE1" w:rsidRDefault="004D49C5" w:rsidP="00DC4EE1">
      <w:pPr>
        <w:rPr>
          <w:rFonts w:ascii="Arial Narrow" w:hAnsi="Arial Narrow"/>
          <w:b/>
          <w:color w:val="000000" w:themeColor="text1"/>
          <w:sz w:val="16"/>
        </w:rPr>
      </w:pPr>
      <w:r w:rsidRPr="00DC4EE1">
        <w:rPr>
          <w:rFonts w:ascii="Arial Narrow" w:hAnsi="Arial Narrow"/>
          <w:b/>
          <w:color w:val="000000" w:themeColor="text1"/>
          <w:sz w:val="20"/>
        </w:rPr>
        <w:lastRenderedPageBreak/>
        <w:t xml:space="preserve">Table 2: Estimated </w:t>
      </w:r>
      <w:r w:rsidR="00E936F2" w:rsidRPr="00DC4EE1">
        <w:rPr>
          <w:rFonts w:ascii="Arial Narrow" w:hAnsi="Arial Narrow"/>
          <w:b/>
          <w:color w:val="000000" w:themeColor="text1"/>
          <w:sz w:val="20"/>
        </w:rPr>
        <w:t xml:space="preserve">number of patients and change in MBS services </w:t>
      </w:r>
    </w:p>
    <w:tbl>
      <w:tblPr>
        <w:tblStyle w:val="TableGrid"/>
        <w:tblW w:w="0" w:type="auto"/>
        <w:tblLook w:val="04A0" w:firstRow="1" w:lastRow="0" w:firstColumn="1" w:lastColumn="0" w:noHBand="0" w:noVBand="1"/>
        <w:tblCaption w:val="Estimated number of patients and change in MBS services "/>
      </w:tblPr>
      <w:tblGrid>
        <w:gridCol w:w="1288"/>
        <w:gridCol w:w="1288"/>
        <w:gridCol w:w="1288"/>
        <w:gridCol w:w="1288"/>
        <w:gridCol w:w="1288"/>
        <w:gridCol w:w="1288"/>
        <w:gridCol w:w="1288"/>
      </w:tblGrid>
      <w:tr w:rsidR="00936E54" w:rsidRPr="002E6BC6" w:rsidTr="00A04DFC">
        <w:trPr>
          <w:tblHeader/>
        </w:trPr>
        <w:tc>
          <w:tcPr>
            <w:tcW w:w="1288" w:type="dxa"/>
          </w:tcPr>
          <w:p w:rsidR="0067091F" w:rsidRPr="002E6BC6" w:rsidRDefault="0067091F" w:rsidP="0067091F">
            <w:pPr>
              <w:pStyle w:val="ListParagraph"/>
              <w:ind w:left="0"/>
              <w:rPr>
                <w:rFonts w:ascii="Arial Narrow" w:hAnsi="Arial Narrow"/>
                <w:color w:val="000000" w:themeColor="text1"/>
                <w:sz w:val="20"/>
              </w:rPr>
            </w:pPr>
          </w:p>
        </w:tc>
        <w:tc>
          <w:tcPr>
            <w:tcW w:w="1288" w:type="dxa"/>
            <w:vAlign w:val="center"/>
          </w:tcPr>
          <w:p w:rsidR="0067091F" w:rsidRPr="002E6BC6" w:rsidRDefault="0067091F" w:rsidP="00DC4EE1">
            <w:pPr>
              <w:pStyle w:val="ListParagraph"/>
              <w:ind w:left="0"/>
              <w:jc w:val="center"/>
              <w:rPr>
                <w:rFonts w:ascii="Arial Narrow" w:hAnsi="Arial Narrow"/>
                <w:b/>
                <w:color w:val="000000" w:themeColor="text1"/>
                <w:sz w:val="20"/>
              </w:rPr>
            </w:pPr>
            <w:r w:rsidRPr="002E6BC6">
              <w:rPr>
                <w:rFonts w:ascii="Arial Narrow" w:hAnsi="Arial Narrow"/>
                <w:b/>
                <w:color w:val="000000" w:themeColor="text1"/>
                <w:sz w:val="20"/>
              </w:rPr>
              <w:t>Year 1</w:t>
            </w:r>
          </w:p>
        </w:tc>
        <w:tc>
          <w:tcPr>
            <w:tcW w:w="1288" w:type="dxa"/>
            <w:vAlign w:val="center"/>
          </w:tcPr>
          <w:p w:rsidR="0067091F" w:rsidRPr="002E6BC6" w:rsidRDefault="00936E54" w:rsidP="00DC4EE1">
            <w:pPr>
              <w:pStyle w:val="ListParagraph"/>
              <w:ind w:left="0"/>
              <w:jc w:val="center"/>
              <w:rPr>
                <w:rFonts w:ascii="Arial Narrow" w:hAnsi="Arial Narrow"/>
                <w:b/>
                <w:color w:val="000000" w:themeColor="text1"/>
                <w:sz w:val="20"/>
              </w:rPr>
            </w:pPr>
            <w:r w:rsidRPr="002E6BC6">
              <w:rPr>
                <w:rFonts w:ascii="Arial Narrow" w:hAnsi="Arial Narrow"/>
                <w:b/>
                <w:color w:val="000000" w:themeColor="text1"/>
                <w:sz w:val="20"/>
              </w:rPr>
              <w:t>Year 2</w:t>
            </w:r>
          </w:p>
        </w:tc>
        <w:tc>
          <w:tcPr>
            <w:tcW w:w="1288" w:type="dxa"/>
            <w:vAlign w:val="center"/>
          </w:tcPr>
          <w:p w:rsidR="0067091F" w:rsidRPr="002E6BC6" w:rsidRDefault="00936E54" w:rsidP="00DC4EE1">
            <w:pPr>
              <w:pStyle w:val="ListParagraph"/>
              <w:ind w:left="0"/>
              <w:jc w:val="center"/>
              <w:rPr>
                <w:rFonts w:ascii="Arial Narrow" w:hAnsi="Arial Narrow"/>
                <w:b/>
                <w:color w:val="000000" w:themeColor="text1"/>
                <w:sz w:val="20"/>
              </w:rPr>
            </w:pPr>
            <w:r w:rsidRPr="002E6BC6">
              <w:rPr>
                <w:rFonts w:ascii="Arial Narrow" w:hAnsi="Arial Narrow"/>
                <w:b/>
                <w:color w:val="000000" w:themeColor="text1"/>
                <w:sz w:val="20"/>
              </w:rPr>
              <w:t>Year 3</w:t>
            </w:r>
          </w:p>
        </w:tc>
        <w:tc>
          <w:tcPr>
            <w:tcW w:w="1288" w:type="dxa"/>
            <w:vAlign w:val="center"/>
          </w:tcPr>
          <w:p w:rsidR="0067091F" w:rsidRPr="002E6BC6" w:rsidRDefault="00936E54" w:rsidP="00DC4EE1">
            <w:pPr>
              <w:pStyle w:val="ListParagraph"/>
              <w:ind w:left="0"/>
              <w:jc w:val="center"/>
              <w:rPr>
                <w:rFonts w:ascii="Arial Narrow" w:hAnsi="Arial Narrow"/>
                <w:b/>
                <w:color w:val="000000" w:themeColor="text1"/>
                <w:sz w:val="20"/>
              </w:rPr>
            </w:pPr>
            <w:r w:rsidRPr="002E6BC6">
              <w:rPr>
                <w:rFonts w:ascii="Arial Narrow" w:hAnsi="Arial Narrow"/>
                <w:b/>
                <w:color w:val="000000" w:themeColor="text1"/>
                <w:sz w:val="20"/>
              </w:rPr>
              <w:t>Year 4</w:t>
            </w:r>
          </w:p>
        </w:tc>
        <w:tc>
          <w:tcPr>
            <w:tcW w:w="1288" w:type="dxa"/>
            <w:vAlign w:val="center"/>
          </w:tcPr>
          <w:p w:rsidR="0067091F" w:rsidRPr="002E6BC6" w:rsidRDefault="00936E54" w:rsidP="00DC4EE1">
            <w:pPr>
              <w:pStyle w:val="ListParagraph"/>
              <w:ind w:left="0"/>
              <w:jc w:val="center"/>
              <w:rPr>
                <w:rFonts w:ascii="Arial Narrow" w:hAnsi="Arial Narrow"/>
                <w:b/>
                <w:color w:val="000000" w:themeColor="text1"/>
                <w:sz w:val="20"/>
              </w:rPr>
            </w:pPr>
            <w:r w:rsidRPr="002E6BC6">
              <w:rPr>
                <w:rFonts w:ascii="Arial Narrow" w:hAnsi="Arial Narrow"/>
                <w:b/>
                <w:color w:val="000000" w:themeColor="text1"/>
                <w:sz w:val="20"/>
              </w:rPr>
              <w:t>Year 5</w:t>
            </w:r>
          </w:p>
        </w:tc>
        <w:tc>
          <w:tcPr>
            <w:tcW w:w="1288" w:type="dxa"/>
            <w:vAlign w:val="center"/>
          </w:tcPr>
          <w:p w:rsidR="0067091F" w:rsidRPr="002E6BC6" w:rsidRDefault="00936E54" w:rsidP="00DC4EE1">
            <w:pPr>
              <w:pStyle w:val="ListParagraph"/>
              <w:ind w:left="0"/>
              <w:jc w:val="center"/>
              <w:rPr>
                <w:rFonts w:ascii="Arial Narrow" w:hAnsi="Arial Narrow"/>
                <w:b/>
                <w:color w:val="000000" w:themeColor="text1"/>
                <w:sz w:val="20"/>
              </w:rPr>
            </w:pPr>
            <w:r w:rsidRPr="002E6BC6">
              <w:rPr>
                <w:rFonts w:ascii="Arial Narrow" w:hAnsi="Arial Narrow"/>
                <w:b/>
                <w:color w:val="000000" w:themeColor="text1"/>
                <w:sz w:val="20"/>
              </w:rPr>
              <w:t>Year 6</w:t>
            </w:r>
          </w:p>
        </w:tc>
      </w:tr>
      <w:tr w:rsidR="00936E54" w:rsidRPr="002E6BC6" w:rsidTr="00A04DFC">
        <w:trPr>
          <w:tblHeader/>
        </w:trPr>
        <w:tc>
          <w:tcPr>
            <w:tcW w:w="1288" w:type="dxa"/>
          </w:tcPr>
          <w:p w:rsidR="0067091F" w:rsidRPr="002E6BC6" w:rsidRDefault="00C7441A" w:rsidP="0019460A">
            <w:pPr>
              <w:pStyle w:val="ListParagraph"/>
              <w:ind w:left="11" w:hanging="11"/>
              <w:rPr>
                <w:rFonts w:ascii="Arial Narrow" w:hAnsi="Arial Narrow"/>
                <w:color w:val="000000" w:themeColor="text1"/>
                <w:sz w:val="20"/>
              </w:rPr>
            </w:pPr>
            <w:r w:rsidRPr="002E6BC6">
              <w:rPr>
                <w:rFonts w:ascii="Arial Narrow" w:hAnsi="Arial Narrow"/>
                <w:color w:val="000000" w:themeColor="text1"/>
                <w:sz w:val="20"/>
              </w:rPr>
              <w:t xml:space="preserve">Patients with </w:t>
            </w:r>
            <w:proofErr w:type="spellStart"/>
            <w:r w:rsidRPr="002E6BC6">
              <w:rPr>
                <w:rFonts w:ascii="Arial Narrow" w:hAnsi="Arial Narrow"/>
                <w:color w:val="000000" w:themeColor="text1"/>
                <w:sz w:val="20"/>
              </w:rPr>
              <w:t>JIA</w:t>
            </w:r>
            <w:r w:rsidR="008E0E62" w:rsidRPr="002E6BC6">
              <w:rPr>
                <w:rFonts w:ascii="Arial Narrow" w:hAnsi="Arial Narrow"/>
                <w:color w:val="000000" w:themeColor="text1"/>
                <w:sz w:val="20"/>
                <w:vertAlign w:val="superscript"/>
              </w:rPr>
              <w:t>a</w:t>
            </w:r>
            <w:proofErr w:type="spellEnd"/>
            <w:r w:rsidRPr="002E6BC6">
              <w:rPr>
                <w:rFonts w:ascii="Arial Narrow" w:hAnsi="Arial Narrow"/>
                <w:color w:val="000000" w:themeColor="text1"/>
                <w:sz w:val="20"/>
              </w:rPr>
              <w:t xml:space="preserve"> </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r>
      <w:tr w:rsidR="00936E54" w:rsidRPr="002E6BC6" w:rsidTr="00A04DFC">
        <w:trPr>
          <w:tblHeader/>
        </w:trPr>
        <w:tc>
          <w:tcPr>
            <w:tcW w:w="1288" w:type="dxa"/>
          </w:tcPr>
          <w:p w:rsidR="0067091F" w:rsidRPr="002E6BC6" w:rsidRDefault="00C7441A" w:rsidP="0067091F">
            <w:pPr>
              <w:pStyle w:val="ListParagraph"/>
              <w:ind w:left="0"/>
              <w:rPr>
                <w:rFonts w:ascii="Arial Narrow" w:hAnsi="Arial Narrow"/>
                <w:color w:val="000000" w:themeColor="text1"/>
                <w:sz w:val="20"/>
              </w:rPr>
            </w:pPr>
            <w:r w:rsidRPr="002E6BC6">
              <w:rPr>
                <w:rFonts w:ascii="Arial Narrow" w:hAnsi="Arial Narrow"/>
                <w:color w:val="000000" w:themeColor="text1"/>
                <w:sz w:val="20"/>
              </w:rPr>
              <w:t xml:space="preserve">Patients with </w:t>
            </w:r>
            <w:proofErr w:type="spellStart"/>
            <w:r w:rsidRPr="002E6BC6">
              <w:rPr>
                <w:rFonts w:ascii="Arial Narrow" w:hAnsi="Arial Narrow"/>
                <w:color w:val="000000" w:themeColor="text1"/>
                <w:sz w:val="20"/>
              </w:rPr>
              <w:t>polyarticular</w:t>
            </w:r>
            <w:proofErr w:type="spellEnd"/>
            <w:r w:rsidRPr="002E6BC6">
              <w:rPr>
                <w:rFonts w:ascii="Arial Narrow" w:hAnsi="Arial Narrow"/>
                <w:color w:val="000000" w:themeColor="text1"/>
                <w:sz w:val="20"/>
              </w:rPr>
              <w:t xml:space="preserve"> </w:t>
            </w:r>
            <w:proofErr w:type="spellStart"/>
            <w:r w:rsidRPr="002E6BC6">
              <w:rPr>
                <w:rFonts w:ascii="Arial Narrow" w:hAnsi="Arial Narrow"/>
                <w:color w:val="000000" w:themeColor="text1"/>
                <w:sz w:val="20"/>
              </w:rPr>
              <w:t>JIA</w:t>
            </w:r>
            <w:r w:rsidR="00014405" w:rsidRPr="002E6BC6">
              <w:rPr>
                <w:rFonts w:ascii="Arial Narrow" w:hAnsi="Arial Narrow"/>
                <w:color w:val="000000" w:themeColor="text1"/>
                <w:sz w:val="20"/>
                <w:vertAlign w:val="superscript"/>
              </w:rPr>
              <w:t>b</w:t>
            </w:r>
            <w:proofErr w:type="spellEnd"/>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r>
      <w:tr w:rsidR="00936E54" w:rsidRPr="002E6BC6" w:rsidTr="00A04DFC">
        <w:trPr>
          <w:tblHeader/>
        </w:trPr>
        <w:tc>
          <w:tcPr>
            <w:tcW w:w="1288" w:type="dxa"/>
          </w:tcPr>
          <w:p w:rsidR="0067091F" w:rsidRPr="002E6BC6" w:rsidRDefault="00A52800" w:rsidP="0067091F">
            <w:pPr>
              <w:pStyle w:val="ListParagraph"/>
              <w:ind w:left="0"/>
              <w:rPr>
                <w:rFonts w:ascii="Arial Narrow" w:hAnsi="Arial Narrow"/>
                <w:color w:val="000000" w:themeColor="text1"/>
                <w:sz w:val="20"/>
              </w:rPr>
            </w:pPr>
            <w:proofErr w:type="spellStart"/>
            <w:r w:rsidRPr="002E6BC6">
              <w:rPr>
                <w:rFonts w:ascii="Arial Narrow" w:hAnsi="Arial Narrow"/>
                <w:color w:val="000000" w:themeColor="text1"/>
                <w:sz w:val="20"/>
              </w:rPr>
              <w:t>Tocilizumab</w:t>
            </w:r>
            <w:proofErr w:type="spellEnd"/>
            <w:r w:rsidRPr="002E6BC6">
              <w:rPr>
                <w:rFonts w:ascii="Arial Narrow" w:hAnsi="Arial Narrow"/>
                <w:color w:val="000000" w:themeColor="text1"/>
                <w:sz w:val="20"/>
              </w:rPr>
              <w:t xml:space="preserve"> SC uptake (%)</w:t>
            </w:r>
          </w:p>
        </w:tc>
        <w:tc>
          <w:tcPr>
            <w:tcW w:w="1288" w:type="dxa"/>
            <w:vAlign w:val="center"/>
          </w:tcPr>
          <w:p w:rsidR="0067091F" w:rsidRPr="002E6BC6" w:rsidRDefault="00A52800" w:rsidP="00DC4EE1">
            <w:pPr>
              <w:pStyle w:val="ListParagraph"/>
              <w:ind w:left="0"/>
              <w:jc w:val="center"/>
              <w:rPr>
                <w:rFonts w:ascii="Arial Narrow" w:hAnsi="Arial Narrow"/>
                <w:color w:val="000000" w:themeColor="text1"/>
                <w:sz w:val="20"/>
              </w:rPr>
            </w:pPr>
            <w:r w:rsidRPr="002E6BC6">
              <w:rPr>
                <w:rFonts w:ascii="Arial Narrow" w:hAnsi="Arial Narrow"/>
                <w:color w:val="000000" w:themeColor="text1"/>
                <w:sz w:val="20"/>
              </w:rPr>
              <w:t>55%</w:t>
            </w:r>
          </w:p>
        </w:tc>
        <w:tc>
          <w:tcPr>
            <w:tcW w:w="1288" w:type="dxa"/>
            <w:vAlign w:val="center"/>
          </w:tcPr>
          <w:p w:rsidR="0067091F" w:rsidRPr="002E6BC6" w:rsidRDefault="00A52800" w:rsidP="00DC4EE1">
            <w:pPr>
              <w:pStyle w:val="ListParagraph"/>
              <w:ind w:left="0"/>
              <w:jc w:val="center"/>
              <w:rPr>
                <w:rFonts w:ascii="Arial Narrow" w:hAnsi="Arial Narrow"/>
                <w:color w:val="000000" w:themeColor="text1"/>
                <w:sz w:val="20"/>
              </w:rPr>
            </w:pPr>
            <w:r w:rsidRPr="002E6BC6">
              <w:rPr>
                <w:rFonts w:ascii="Arial Narrow" w:hAnsi="Arial Narrow"/>
                <w:color w:val="000000" w:themeColor="text1"/>
                <w:sz w:val="20"/>
              </w:rPr>
              <w:t>65%</w:t>
            </w:r>
          </w:p>
        </w:tc>
        <w:tc>
          <w:tcPr>
            <w:tcW w:w="1288" w:type="dxa"/>
            <w:vAlign w:val="center"/>
          </w:tcPr>
          <w:p w:rsidR="0067091F" w:rsidRPr="002E6BC6" w:rsidRDefault="00A52800" w:rsidP="00DC4EE1">
            <w:pPr>
              <w:pStyle w:val="ListParagraph"/>
              <w:ind w:left="0"/>
              <w:jc w:val="center"/>
              <w:rPr>
                <w:rFonts w:ascii="Arial Narrow" w:hAnsi="Arial Narrow"/>
                <w:color w:val="000000" w:themeColor="text1"/>
                <w:sz w:val="20"/>
              </w:rPr>
            </w:pPr>
            <w:r w:rsidRPr="002E6BC6">
              <w:rPr>
                <w:rFonts w:ascii="Arial Narrow" w:hAnsi="Arial Narrow"/>
                <w:color w:val="000000" w:themeColor="text1"/>
                <w:sz w:val="20"/>
              </w:rPr>
              <w:t>75%</w:t>
            </w:r>
          </w:p>
        </w:tc>
        <w:tc>
          <w:tcPr>
            <w:tcW w:w="1288" w:type="dxa"/>
            <w:vAlign w:val="center"/>
          </w:tcPr>
          <w:p w:rsidR="0067091F" w:rsidRPr="002E6BC6" w:rsidRDefault="00A52800" w:rsidP="00DC4EE1">
            <w:pPr>
              <w:pStyle w:val="ListParagraph"/>
              <w:ind w:left="0"/>
              <w:jc w:val="center"/>
              <w:rPr>
                <w:rFonts w:ascii="Arial Narrow" w:hAnsi="Arial Narrow"/>
                <w:color w:val="000000" w:themeColor="text1"/>
                <w:sz w:val="20"/>
              </w:rPr>
            </w:pPr>
            <w:r w:rsidRPr="002E6BC6">
              <w:rPr>
                <w:rFonts w:ascii="Arial Narrow" w:hAnsi="Arial Narrow"/>
                <w:color w:val="000000" w:themeColor="text1"/>
                <w:sz w:val="20"/>
              </w:rPr>
              <w:t>85%</w:t>
            </w:r>
          </w:p>
        </w:tc>
        <w:tc>
          <w:tcPr>
            <w:tcW w:w="1288" w:type="dxa"/>
            <w:vAlign w:val="center"/>
          </w:tcPr>
          <w:p w:rsidR="0067091F" w:rsidRPr="002E6BC6" w:rsidRDefault="00A52800" w:rsidP="00DC4EE1">
            <w:pPr>
              <w:pStyle w:val="ListParagraph"/>
              <w:ind w:left="0"/>
              <w:jc w:val="center"/>
              <w:rPr>
                <w:rFonts w:ascii="Arial Narrow" w:hAnsi="Arial Narrow"/>
                <w:color w:val="000000" w:themeColor="text1"/>
                <w:sz w:val="20"/>
              </w:rPr>
            </w:pPr>
            <w:r w:rsidRPr="002E6BC6">
              <w:rPr>
                <w:rFonts w:ascii="Arial Narrow" w:hAnsi="Arial Narrow"/>
                <w:color w:val="000000" w:themeColor="text1"/>
                <w:sz w:val="20"/>
              </w:rPr>
              <w:t>85%</w:t>
            </w:r>
          </w:p>
        </w:tc>
        <w:tc>
          <w:tcPr>
            <w:tcW w:w="1288" w:type="dxa"/>
            <w:vAlign w:val="center"/>
          </w:tcPr>
          <w:p w:rsidR="0067091F" w:rsidRPr="002E6BC6" w:rsidRDefault="00A52800" w:rsidP="00DC4EE1">
            <w:pPr>
              <w:pStyle w:val="ListParagraph"/>
              <w:ind w:left="0"/>
              <w:jc w:val="center"/>
              <w:rPr>
                <w:rFonts w:ascii="Arial Narrow" w:hAnsi="Arial Narrow"/>
                <w:color w:val="000000" w:themeColor="text1"/>
                <w:sz w:val="20"/>
              </w:rPr>
            </w:pPr>
            <w:r w:rsidRPr="002E6BC6">
              <w:rPr>
                <w:rFonts w:ascii="Arial Narrow" w:hAnsi="Arial Narrow"/>
                <w:color w:val="000000" w:themeColor="text1"/>
                <w:sz w:val="20"/>
              </w:rPr>
              <w:t>85%</w:t>
            </w:r>
          </w:p>
        </w:tc>
      </w:tr>
      <w:tr w:rsidR="00936E54" w:rsidRPr="002E6BC6" w:rsidTr="00A04DFC">
        <w:trPr>
          <w:tblHeader/>
        </w:trPr>
        <w:tc>
          <w:tcPr>
            <w:tcW w:w="1288" w:type="dxa"/>
          </w:tcPr>
          <w:p w:rsidR="0067091F" w:rsidRPr="002E6BC6" w:rsidRDefault="00A52800" w:rsidP="0067091F">
            <w:pPr>
              <w:pStyle w:val="ListParagraph"/>
              <w:ind w:left="0"/>
              <w:rPr>
                <w:rFonts w:ascii="Arial Narrow" w:hAnsi="Arial Narrow"/>
                <w:color w:val="000000" w:themeColor="text1"/>
                <w:sz w:val="20"/>
              </w:rPr>
            </w:pPr>
            <w:proofErr w:type="spellStart"/>
            <w:r w:rsidRPr="002E6BC6">
              <w:rPr>
                <w:rFonts w:ascii="Arial Narrow" w:hAnsi="Arial Narrow"/>
                <w:color w:val="000000" w:themeColor="text1"/>
                <w:sz w:val="20"/>
              </w:rPr>
              <w:t>Tocilizumab</w:t>
            </w:r>
            <w:proofErr w:type="spellEnd"/>
            <w:r w:rsidRPr="002E6BC6">
              <w:rPr>
                <w:rFonts w:ascii="Arial Narrow" w:hAnsi="Arial Narrow"/>
                <w:color w:val="000000" w:themeColor="text1"/>
                <w:sz w:val="20"/>
              </w:rPr>
              <w:t xml:space="preserve"> SC patients </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r>
      <w:tr w:rsidR="00936E54" w:rsidRPr="002E6BC6" w:rsidTr="00A04DFC">
        <w:trPr>
          <w:tblHeader/>
        </w:trPr>
        <w:tc>
          <w:tcPr>
            <w:tcW w:w="1288" w:type="dxa"/>
          </w:tcPr>
          <w:p w:rsidR="0067091F" w:rsidRPr="002E6BC6" w:rsidRDefault="00A52800" w:rsidP="0067091F">
            <w:pPr>
              <w:pStyle w:val="ListParagraph"/>
              <w:ind w:left="0"/>
              <w:rPr>
                <w:rFonts w:ascii="Arial Narrow" w:hAnsi="Arial Narrow"/>
                <w:color w:val="000000" w:themeColor="text1"/>
                <w:sz w:val="20"/>
              </w:rPr>
            </w:pPr>
            <w:r w:rsidRPr="002E6BC6">
              <w:rPr>
                <w:rFonts w:ascii="Arial Narrow" w:hAnsi="Arial Narrow"/>
                <w:color w:val="000000" w:themeColor="text1"/>
                <w:sz w:val="20"/>
              </w:rPr>
              <w:t xml:space="preserve">Volume of MBS services </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c>
          <w:tcPr>
            <w:tcW w:w="1288" w:type="dxa"/>
            <w:vAlign w:val="center"/>
          </w:tcPr>
          <w:p w:rsidR="0067091F" w:rsidRPr="003E2B64" w:rsidRDefault="003E2B64" w:rsidP="00DC4EE1">
            <w:pPr>
              <w:pStyle w:val="ListParagraph"/>
              <w:ind w:left="0"/>
              <w:jc w:val="center"/>
              <w:rPr>
                <w:rFonts w:ascii="Arial Narrow" w:hAnsi="Arial Narrow"/>
                <w:color w:val="000000" w:themeColor="text1"/>
                <w:sz w:val="20"/>
                <w:highlight w:val="black"/>
              </w:rPr>
            </w:pPr>
            <w:r>
              <w:rPr>
                <w:rFonts w:ascii="Arial Narrow" w:hAnsi="Arial Narrow"/>
                <w:noProof/>
                <w:color w:val="000000"/>
                <w:sz w:val="20"/>
                <w:highlight w:val="black"/>
              </w:rPr>
              <w:t>'''''''''''''''</w:t>
            </w:r>
          </w:p>
        </w:tc>
      </w:tr>
    </w:tbl>
    <w:p w:rsidR="008E00F2" w:rsidRPr="00DC4EE1" w:rsidRDefault="008E00F2" w:rsidP="00DC4EE1">
      <w:pPr>
        <w:rPr>
          <w:rFonts w:ascii="Arial Narrow" w:hAnsi="Arial Narrow"/>
          <w:color w:val="000000" w:themeColor="text1"/>
          <w:sz w:val="18"/>
        </w:rPr>
      </w:pPr>
      <w:r w:rsidRPr="00DC4EE1">
        <w:rPr>
          <w:rFonts w:ascii="Arial Narrow" w:hAnsi="Arial Narrow"/>
          <w:color w:val="000000" w:themeColor="text1"/>
          <w:sz w:val="18"/>
        </w:rPr>
        <w:t xml:space="preserve">Source: 6.19 </w:t>
      </w:r>
      <w:proofErr w:type="spellStart"/>
      <w:r w:rsidRPr="00DC4EE1">
        <w:rPr>
          <w:rFonts w:ascii="Arial Narrow" w:hAnsi="Arial Narrow"/>
          <w:color w:val="000000" w:themeColor="text1"/>
          <w:sz w:val="18"/>
        </w:rPr>
        <w:t>Tocilizumab</w:t>
      </w:r>
      <w:proofErr w:type="spellEnd"/>
      <w:r w:rsidRPr="00DC4EE1">
        <w:rPr>
          <w:rFonts w:ascii="Arial Narrow" w:hAnsi="Arial Narrow"/>
          <w:color w:val="000000" w:themeColor="text1"/>
          <w:sz w:val="18"/>
        </w:rPr>
        <w:t xml:space="preserve"> S </w:t>
      </w:r>
      <w:proofErr w:type="spellStart"/>
      <w:r w:rsidRPr="00DC4EE1">
        <w:rPr>
          <w:rFonts w:ascii="Arial Narrow" w:hAnsi="Arial Narrow"/>
          <w:color w:val="000000" w:themeColor="text1"/>
          <w:sz w:val="18"/>
        </w:rPr>
        <w:t>pJIA</w:t>
      </w:r>
      <w:proofErr w:type="spellEnd"/>
      <w:r w:rsidRPr="00DC4EE1">
        <w:rPr>
          <w:rFonts w:ascii="Arial Narrow" w:hAnsi="Arial Narrow"/>
          <w:color w:val="000000" w:themeColor="text1"/>
          <w:sz w:val="18"/>
        </w:rPr>
        <w:t xml:space="preserve"> Section 4 </w:t>
      </w:r>
      <w:proofErr w:type="spellStart"/>
      <w:r w:rsidRPr="00DC4EE1">
        <w:rPr>
          <w:rFonts w:ascii="Arial Narrow" w:hAnsi="Arial Narrow"/>
          <w:color w:val="000000" w:themeColor="text1"/>
          <w:sz w:val="18"/>
        </w:rPr>
        <w:t>workbook.xlsl</w:t>
      </w:r>
      <w:proofErr w:type="spellEnd"/>
      <w:r w:rsidRPr="00DC4EE1">
        <w:rPr>
          <w:rFonts w:ascii="Arial Narrow" w:hAnsi="Arial Narrow"/>
          <w:color w:val="000000" w:themeColor="text1"/>
          <w:sz w:val="18"/>
        </w:rPr>
        <w:t xml:space="preserve"> and p2 of the </w:t>
      </w:r>
      <w:r w:rsidR="002A0B4C">
        <w:rPr>
          <w:rFonts w:ascii="Arial Narrow" w:hAnsi="Arial Narrow"/>
          <w:color w:val="000000" w:themeColor="text1"/>
          <w:sz w:val="18"/>
        </w:rPr>
        <w:t>p</w:t>
      </w:r>
      <w:r w:rsidRPr="00DC4EE1">
        <w:rPr>
          <w:rFonts w:ascii="Arial Narrow" w:hAnsi="Arial Narrow"/>
          <w:color w:val="000000" w:themeColor="text1"/>
          <w:sz w:val="18"/>
        </w:rPr>
        <w:t xml:space="preserve">re-PBAC </w:t>
      </w:r>
      <w:r w:rsidR="002A0B4C">
        <w:rPr>
          <w:rFonts w:ascii="Arial Narrow" w:hAnsi="Arial Narrow"/>
          <w:color w:val="000000" w:themeColor="text1"/>
          <w:sz w:val="18"/>
        </w:rPr>
        <w:t>r</w:t>
      </w:r>
      <w:r w:rsidR="002A0B4C" w:rsidRPr="00DC4EE1">
        <w:rPr>
          <w:rFonts w:ascii="Arial Narrow" w:hAnsi="Arial Narrow"/>
          <w:color w:val="000000" w:themeColor="text1"/>
          <w:sz w:val="18"/>
        </w:rPr>
        <w:t>esponse</w:t>
      </w:r>
    </w:p>
    <w:p w:rsidR="00EC5B79" w:rsidRPr="00DC4EE1" w:rsidRDefault="008E00F2" w:rsidP="00DC4EE1">
      <w:pPr>
        <w:rPr>
          <w:rFonts w:ascii="Arial Narrow" w:hAnsi="Arial Narrow"/>
          <w:color w:val="000000" w:themeColor="text1"/>
          <w:sz w:val="18"/>
        </w:rPr>
      </w:pPr>
      <w:r w:rsidRPr="00DC4EE1">
        <w:rPr>
          <w:rFonts w:ascii="Arial Narrow" w:hAnsi="Arial Narrow"/>
          <w:color w:val="000000" w:themeColor="text1"/>
          <w:sz w:val="18"/>
        </w:rPr>
        <w:t>Abbreviations: JIA, juvenile idiopathic arthritis; SC, subcutaneous</w:t>
      </w:r>
    </w:p>
    <w:p w:rsidR="00E32EC6" w:rsidRPr="00DC4EE1" w:rsidRDefault="008E00F2" w:rsidP="00DC4EE1">
      <w:pPr>
        <w:rPr>
          <w:rFonts w:ascii="Arial Narrow" w:hAnsi="Arial Narrow"/>
          <w:color w:val="000000" w:themeColor="text1"/>
          <w:sz w:val="18"/>
        </w:rPr>
      </w:pPr>
      <w:r w:rsidRPr="00DC4EE1">
        <w:rPr>
          <w:rFonts w:ascii="Arial Narrow" w:hAnsi="Arial Narrow"/>
          <w:color w:val="000000" w:themeColor="text1"/>
          <w:sz w:val="18"/>
        </w:rPr>
        <w:t xml:space="preserve">Notes: </w:t>
      </w:r>
      <w:r w:rsidR="008E0E62" w:rsidRPr="00DC4EE1">
        <w:rPr>
          <w:rFonts w:ascii="Arial Narrow" w:hAnsi="Arial Narrow"/>
          <w:color w:val="000000" w:themeColor="text1"/>
          <w:sz w:val="18"/>
          <w:vertAlign w:val="superscript"/>
        </w:rPr>
        <w:t>a</w:t>
      </w:r>
      <w:r w:rsidR="008E0E62" w:rsidRPr="00DC4EE1">
        <w:rPr>
          <w:rFonts w:ascii="Arial Narrow" w:hAnsi="Arial Narrow"/>
          <w:color w:val="000000" w:themeColor="text1"/>
          <w:sz w:val="18"/>
        </w:rPr>
        <w:t xml:space="preserve"> </w:t>
      </w:r>
      <w:proofErr w:type="gramStart"/>
      <w:r w:rsidR="00014405" w:rsidRPr="00DC4EE1">
        <w:rPr>
          <w:rFonts w:ascii="Arial Narrow" w:hAnsi="Arial Narrow"/>
          <w:color w:val="000000" w:themeColor="text1"/>
          <w:sz w:val="18"/>
        </w:rPr>
        <w:t>Projected</w:t>
      </w:r>
      <w:proofErr w:type="gramEnd"/>
      <w:r w:rsidR="00014405" w:rsidRPr="00DC4EE1">
        <w:rPr>
          <w:rFonts w:ascii="Arial Narrow" w:hAnsi="Arial Narrow"/>
          <w:color w:val="000000" w:themeColor="text1"/>
          <w:sz w:val="18"/>
        </w:rPr>
        <w:t xml:space="preserve"> number of patients based on 10% PBS sample of number of </w:t>
      </w:r>
      <w:proofErr w:type="spellStart"/>
      <w:r w:rsidR="00014405" w:rsidRPr="00DC4EE1">
        <w:rPr>
          <w:rFonts w:ascii="Arial Narrow" w:hAnsi="Arial Narrow"/>
          <w:color w:val="000000" w:themeColor="text1"/>
          <w:sz w:val="18"/>
        </w:rPr>
        <w:t>tocilizumab</w:t>
      </w:r>
      <w:proofErr w:type="spellEnd"/>
      <w:r w:rsidR="00014405" w:rsidRPr="00DC4EE1">
        <w:rPr>
          <w:rFonts w:ascii="Arial Narrow" w:hAnsi="Arial Narrow"/>
          <w:color w:val="000000" w:themeColor="text1"/>
          <w:sz w:val="18"/>
        </w:rPr>
        <w:t xml:space="preserve"> scripts</w:t>
      </w:r>
      <w:r w:rsidR="00E32EC6" w:rsidRPr="00DC4EE1">
        <w:rPr>
          <w:rFonts w:ascii="Arial Narrow" w:hAnsi="Arial Narrow"/>
          <w:color w:val="000000" w:themeColor="text1"/>
          <w:sz w:val="18"/>
        </w:rPr>
        <w:t>;</w:t>
      </w:r>
    </w:p>
    <w:p w:rsidR="008E00F2" w:rsidRPr="00DC4EE1" w:rsidRDefault="00E32EC6" w:rsidP="00DC4EE1">
      <w:pPr>
        <w:rPr>
          <w:rFonts w:ascii="Arial Narrow" w:hAnsi="Arial Narrow"/>
          <w:color w:val="000000" w:themeColor="text1"/>
          <w:sz w:val="18"/>
        </w:rPr>
      </w:pPr>
      <w:proofErr w:type="gramStart"/>
      <w:r w:rsidRPr="00DC4EE1">
        <w:rPr>
          <w:rFonts w:ascii="Arial Narrow" w:hAnsi="Arial Narrow"/>
          <w:color w:val="000000" w:themeColor="text1"/>
          <w:sz w:val="18"/>
          <w:vertAlign w:val="superscript"/>
        </w:rPr>
        <w:t>b</w:t>
      </w:r>
      <w:proofErr w:type="gramEnd"/>
      <w:r w:rsidRPr="00DC4EE1">
        <w:rPr>
          <w:rFonts w:ascii="Arial Narrow" w:hAnsi="Arial Narrow"/>
          <w:color w:val="000000" w:themeColor="text1"/>
          <w:sz w:val="18"/>
        </w:rPr>
        <w:t xml:space="preserve"> </w:t>
      </w:r>
      <w:r w:rsidR="00C269A0" w:rsidRPr="00DC4EE1">
        <w:rPr>
          <w:rFonts w:ascii="Arial Narrow" w:hAnsi="Arial Narrow"/>
          <w:color w:val="000000" w:themeColor="text1"/>
          <w:sz w:val="18"/>
        </w:rPr>
        <w:t xml:space="preserve">Based on assumption that 90% of patients with JIA have </w:t>
      </w:r>
      <w:proofErr w:type="spellStart"/>
      <w:r w:rsidR="00C269A0" w:rsidRPr="00DC4EE1">
        <w:rPr>
          <w:rFonts w:ascii="Arial Narrow" w:hAnsi="Arial Narrow"/>
          <w:color w:val="000000" w:themeColor="text1"/>
          <w:sz w:val="18"/>
        </w:rPr>
        <w:t>polyarticular</w:t>
      </w:r>
      <w:proofErr w:type="spellEnd"/>
      <w:r w:rsidR="00C269A0" w:rsidRPr="00DC4EE1">
        <w:rPr>
          <w:rFonts w:ascii="Arial Narrow" w:hAnsi="Arial Narrow"/>
          <w:color w:val="000000" w:themeColor="text1"/>
          <w:sz w:val="18"/>
        </w:rPr>
        <w:t xml:space="preserve"> JIA. </w:t>
      </w:r>
    </w:p>
    <w:p w:rsidR="006043AE" w:rsidRPr="00D25B85" w:rsidRDefault="006043AE" w:rsidP="00357A48">
      <w:pPr>
        <w:spacing w:before="120" w:after="120"/>
        <w:rPr>
          <w:rFonts w:asciiTheme="minorHAnsi" w:eastAsiaTheme="minorHAnsi" w:hAnsiTheme="minorHAnsi" w:cstheme="minorBidi"/>
          <w:szCs w:val="22"/>
        </w:rPr>
      </w:pPr>
      <w:r w:rsidRPr="00D25B85">
        <w:rPr>
          <w:rFonts w:asciiTheme="minorHAnsi" w:eastAsiaTheme="minorHAnsi" w:hAnsiTheme="minorHAnsi" w:cstheme="minorBidi"/>
          <w:szCs w:val="22"/>
        </w:rPr>
        <w:t xml:space="preserve">The redacted table shows that </w:t>
      </w:r>
      <w:r w:rsidR="00F73290" w:rsidRPr="00D25B85">
        <w:rPr>
          <w:rFonts w:asciiTheme="minorHAnsi" w:eastAsiaTheme="minorHAnsi" w:hAnsiTheme="minorHAnsi" w:cstheme="minorBidi"/>
          <w:szCs w:val="22"/>
        </w:rPr>
        <w:t>at</w:t>
      </w:r>
      <w:r w:rsidRPr="00D25B85">
        <w:rPr>
          <w:rFonts w:asciiTheme="minorHAnsi" w:eastAsiaTheme="minorHAnsi" w:hAnsiTheme="minorHAnsi" w:cstheme="minorBidi"/>
          <w:szCs w:val="22"/>
        </w:rPr>
        <w:t xml:space="preserve"> Year 6, the estimated number of </w:t>
      </w:r>
      <w:proofErr w:type="spellStart"/>
      <w:r w:rsidRPr="00D25B85">
        <w:rPr>
          <w:rFonts w:asciiTheme="minorHAnsi" w:eastAsiaTheme="minorHAnsi" w:hAnsiTheme="minorHAnsi" w:cstheme="minorBidi"/>
          <w:szCs w:val="22"/>
        </w:rPr>
        <w:t>tocilizumab</w:t>
      </w:r>
      <w:proofErr w:type="spellEnd"/>
      <w:r w:rsidRPr="00D25B85">
        <w:rPr>
          <w:rFonts w:asciiTheme="minorHAnsi" w:eastAsiaTheme="minorHAnsi" w:hAnsiTheme="minorHAnsi" w:cstheme="minorBidi"/>
          <w:szCs w:val="22"/>
        </w:rPr>
        <w:t xml:space="preserve"> SC patients </w:t>
      </w:r>
      <w:r w:rsidR="00937185" w:rsidRPr="00D25B85">
        <w:rPr>
          <w:rFonts w:asciiTheme="minorHAnsi" w:eastAsiaTheme="minorHAnsi" w:hAnsiTheme="minorHAnsi" w:cstheme="minorBidi"/>
          <w:szCs w:val="22"/>
        </w:rPr>
        <w:t>would</w:t>
      </w:r>
      <w:r w:rsidRPr="00D25B85">
        <w:rPr>
          <w:rFonts w:asciiTheme="minorHAnsi" w:eastAsiaTheme="minorHAnsi" w:hAnsiTheme="minorHAnsi" w:cstheme="minorBidi"/>
          <w:szCs w:val="22"/>
        </w:rPr>
        <w:t xml:space="preserve"> be less than 10,000.</w:t>
      </w:r>
    </w:p>
    <w:p w:rsidR="00731D9F" w:rsidRPr="002E6BC6" w:rsidRDefault="00731D9F" w:rsidP="00357A48">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2E6BC6">
        <w:rPr>
          <w:rFonts w:asciiTheme="minorHAnsi" w:eastAsiaTheme="minorHAnsi" w:hAnsiTheme="minorHAnsi" w:cstheme="minorBidi"/>
          <w:snapToGrid/>
          <w:sz w:val="24"/>
          <w:szCs w:val="22"/>
        </w:rPr>
        <w:t xml:space="preserve">As this was a minor submission, the estimates have </w:t>
      </w:r>
      <w:proofErr w:type="gramStart"/>
      <w:r w:rsidRPr="002E6BC6">
        <w:rPr>
          <w:rFonts w:asciiTheme="minorHAnsi" w:eastAsiaTheme="minorHAnsi" w:hAnsiTheme="minorHAnsi" w:cstheme="minorBidi"/>
          <w:snapToGrid/>
          <w:sz w:val="24"/>
          <w:szCs w:val="22"/>
        </w:rPr>
        <w:t>not been independently</w:t>
      </w:r>
      <w:proofErr w:type="gramEnd"/>
      <w:r w:rsidRPr="002E6BC6">
        <w:rPr>
          <w:rFonts w:asciiTheme="minorHAnsi" w:eastAsiaTheme="minorHAnsi" w:hAnsiTheme="minorHAnsi" w:cstheme="minorBidi"/>
          <w:snapToGrid/>
          <w:sz w:val="24"/>
          <w:szCs w:val="22"/>
        </w:rPr>
        <w:t xml:space="preserve"> evaluated. </w:t>
      </w:r>
    </w:p>
    <w:p w:rsidR="00A85C8B" w:rsidRPr="002E6BC6" w:rsidRDefault="00B16D9C" w:rsidP="00357A48">
      <w:pPr>
        <w:pStyle w:val="ListParagraph"/>
        <w:spacing w:before="120" w:after="120"/>
        <w:ind w:left="709"/>
        <w:rPr>
          <w:rFonts w:asciiTheme="minorHAnsi" w:hAnsiTheme="minorHAnsi"/>
          <w:i/>
          <w:sz w:val="24"/>
        </w:rPr>
      </w:pPr>
      <w:r w:rsidRPr="002E6BC6">
        <w:rPr>
          <w:rFonts w:asciiTheme="minorHAnsi" w:hAnsiTheme="minorHAnsi"/>
          <w:i/>
          <w:sz w:val="24"/>
        </w:rPr>
        <w:t>For more deta</w:t>
      </w:r>
      <w:r w:rsidR="00047632" w:rsidRPr="002E6BC6">
        <w:rPr>
          <w:rFonts w:asciiTheme="minorHAnsi" w:hAnsiTheme="minorHAnsi"/>
          <w:i/>
          <w:sz w:val="24"/>
        </w:rPr>
        <w:t>il on PBAC’s view, see section 6</w:t>
      </w:r>
      <w:r w:rsidRPr="002E6BC6">
        <w:rPr>
          <w:rFonts w:asciiTheme="minorHAnsi" w:hAnsiTheme="minorHAnsi"/>
          <w:i/>
          <w:sz w:val="24"/>
        </w:rPr>
        <w:t xml:space="preserve"> PBAC outcome.</w:t>
      </w:r>
    </w:p>
    <w:p w:rsidR="00364C9B" w:rsidRPr="002E6BC6" w:rsidRDefault="00A85C8B" w:rsidP="00357A48">
      <w:pPr>
        <w:pStyle w:val="PBACHeading1"/>
        <w:spacing w:before="120" w:after="120"/>
        <w:rPr>
          <w:rFonts w:asciiTheme="minorHAnsi" w:hAnsiTheme="minorHAnsi" w:cstheme="minorHAnsi"/>
          <w:sz w:val="32"/>
        </w:rPr>
      </w:pPr>
      <w:r w:rsidRPr="002E6BC6">
        <w:rPr>
          <w:rFonts w:asciiTheme="minorHAnsi" w:hAnsiTheme="minorHAnsi" w:cstheme="minorHAnsi"/>
          <w:sz w:val="32"/>
        </w:rPr>
        <w:t xml:space="preserve">PBAC Outcome </w:t>
      </w:r>
    </w:p>
    <w:p w:rsidR="00364C9B" w:rsidRPr="00A74ECF" w:rsidRDefault="00364C9B" w:rsidP="00357A48">
      <w:pPr>
        <w:widowControl w:val="0"/>
        <w:numPr>
          <w:ilvl w:val="1"/>
          <w:numId w:val="5"/>
        </w:numPr>
        <w:spacing w:before="120" w:after="120"/>
        <w:jc w:val="both"/>
        <w:rPr>
          <w:rFonts w:asciiTheme="minorHAnsi" w:hAnsiTheme="minorHAnsi" w:cs="Arial"/>
          <w:bCs/>
          <w:snapToGrid w:val="0"/>
          <w:lang w:eastAsia="en-US"/>
        </w:rPr>
      </w:pPr>
      <w:r w:rsidRPr="00A74ECF">
        <w:rPr>
          <w:rFonts w:asciiTheme="minorHAnsi" w:hAnsiTheme="minorHAnsi" w:cs="Arial"/>
          <w:bCs/>
          <w:snapToGrid w:val="0"/>
          <w:lang w:eastAsia="en-US"/>
        </w:rPr>
        <w:t>The PBAC recommended the</w:t>
      </w:r>
      <w:r w:rsidR="003471CC" w:rsidRPr="00A74ECF">
        <w:rPr>
          <w:rFonts w:asciiTheme="minorHAnsi" w:hAnsiTheme="minorHAnsi" w:cs="Arial"/>
          <w:bCs/>
          <w:snapToGrid w:val="0"/>
          <w:lang w:eastAsia="en-US"/>
        </w:rPr>
        <w:t xml:space="preserve"> Authority </w:t>
      </w:r>
      <w:proofErr w:type="gramStart"/>
      <w:r w:rsidR="003471CC" w:rsidRPr="00A74ECF">
        <w:rPr>
          <w:rFonts w:asciiTheme="minorHAnsi" w:hAnsiTheme="minorHAnsi" w:cs="Arial"/>
          <w:bCs/>
          <w:snapToGrid w:val="0"/>
          <w:lang w:eastAsia="en-US"/>
        </w:rPr>
        <w:t>Required</w:t>
      </w:r>
      <w:proofErr w:type="gramEnd"/>
      <w:r w:rsidRPr="00A74ECF">
        <w:rPr>
          <w:rFonts w:asciiTheme="minorHAnsi" w:hAnsiTheme="minorHAnsi" w:cs="Arial"/>
          <w:bCs/>
          <w:snapToGrid w:val="0"/>
          <w:lang w:eastAsia="en-US"/>
        </w:rPr>
        <w:t xml:space="preserve"> listing of </w:t>
      </w:r>
      <w:r w:rsidR="003471CC" w:rsidRPr="00A74ECF">
        <w:rPr>
          <w:rFonts w:asciiTheme="minorHAnsi" w:hAnsiTheme="minorHAnsi" w:cs="Arial"/>
          <w:bCs/>
          <w:snapToGrid w:val="0"/>
          <w:lang w:eastAsia="en-US"/>
        </w:rPr>
        <w:t>subcutaneous (</w:t>
      </w:r>
      <w:r w:rsidR="0031675A" w:rsidRPr="00A74ECF">
        <w:rPr>
          <w:rFonts w:asciiTheme="minorHAnsi" w:hAnsiTheme="minorHAnsi" w:cs="Arial"/>
          <w:bCs/>
          <w:snapToGrid w:val="0"/>
          <w:lang w:eastAsia="en-US"/>
        </w:rPr>
        <w:t>SC</w:t>
      </w:r>
      <w:r w:rsidR="003471CC" w:rsidRPr="00A74ECF">
        <w:rPr>
          <w:rFonts w:asciiTheme="minorHAnsi" w:hAnsiTheme="minorHAnsi" w:cs="Arial"/>
          <w:bCs/>
          <w:snapToGrid w:val="0"/>
          <w:lang w:eastAsia="en-US"/>
        </w:rPr>
        <w:t xml:space="preserve">) presentations of </w:t>
      </w:r>
      <w:proofErr w:type="spellStart"/>
      <w:r w:rsidR="003471CC" w:rsidRPr="00A74ECF">
        <w:rPr>
          <w:rFonts w:asciiTheme="minorHAnsi" w:hAnsiTheme="minorHAnsi" w:cs="Arial"/>
          <w:bCs/>
          <w:snapToGrid w:val="0"/>
          <w:lang w:eastAsia="en-US"/>
        </w:rPr>
        <w:t>tocilizumab</w:t>
      </w:r>
      <w:proofErr w:type="spellEnd"/>
      <w:r w:rsidR="003471CC" w:rsidRPr="00A74ECF">
        <w:rPr>
          <w:rFonts w:asciiTheme="minorHAnsi" w:hAnsiTheme="minorHAnsi" w:cs="Arial"/>
          <w:bCs/>
          <w:snapToGrid w:val="0"/>
          <w:lang w:eastAsia="en-US"/>
        </w:rPr>
        <w:t xml:space="preserve"> </w:t>
      </w:r>
      <w:r w:rsidR="0031675A" w:rsidRPr="00A74ECF">
        <w:rPr>
          <w:rFonts w:asciiTheme="minorHAnsi" w:hAnsiTheme="minorHAnsi" w:cs="Arial"/>
          <w:bCs/>
          <w:snapToGrid w:val="0"/>
          <w:lang w:eastAsia="en-US"/>
        </w:rPr>
        <w:t>for the</w:t>
      </w:r>
      <w:r w:rsidR="0031675A" w:rsidRPr="002E6BC6">
        <w:rPr>
          <w:rFonts w:asciiTheme="minorHAnsi" w:hAnsiTheme="minorHAnsi" w:cs="Arial"/>
          <w:bCs/>
          <w:snapToGrid w:val="0"/>
          <w:lang w:eastAsia="en-US"/>
        </w:rPr>
        <w:t xml:space="preserve"> treatment of severe active </w:t>
      </w:r>
      <w:proofErr w:type="spellStart"/>
      <w:r w:rsidR="0031675A" w:rsidRPr="002E6BC6">
        <w:rPr>
          <w:rFonts w:asciiTheme="minorHAnsi" w:hAnsiTheme="minorHAnsi" w:cs="Arial"/>
          <w:bCs/>
          <w:snapToGrid w:val="0"/>
          <w:lang w:eastAsia="en-US"/>
        </w:rPr>
        <w:t>polyarticular</w:t>
      </w:r>
      <w:proofErr w:type="spellEnd"/>
      <w:r w:rsidR="0031675A" w:rsidRPr="002E6BC6">
        <w:rPr>
          <w:rFonts w:asciiTheme="minorHAnsi" w:hAnsiTheme="minorHAnsi" w:cs="Arial"/>
          <w:bCs/>
          <w:snapToGrid w:val="0"/>
          <w:lang w:eastAsia="en-US"/>
        </w:rPr>
        <w:t xml:space="preserve"> juvenile idiopathic arthritis (JIA) </w:t>
      </w:r>
      <w:r w:rsidR="003471CC" w:rsidRPr="00A74ECF">
        <w:rPr>
          <w:rFonts w:asciiTheme="minorHAnsi" w:hAnsiTheme="minorHAnsi" w:cs="Arial"/>
          <w:bCs/>
          <w:snapToGrid w:val="0"/>
          <w:lang w:eastAsia="en-US"/>
        </w:rPr>
        <w:t xml:space="preserve">on a cost-minimisation basis to IV (intravenous) </w:t>
      </w:r>
      <w:proofErr w:type="spellStart"/>
      <w:r w:rsidR="003471CC" w:rsidRPr="00A74ECF">
        <w:rPr>
          <w:rFonts w:asciiTheme="minorHAnsi" w:hAnsiTheme="minorHAnsi" w:cs="Arial"/>
          <w:bCs/>
          <w:snapToGrid w:val="0"/>
          <w:lang w:eastAsia="en-US"/>
        </w:rPr>
        <w:t>tocilizumab</w:t>
      </w:r>
      <w:proofErr w:type="spellEnd"/>
      <w:r w:rsidR="003471CC" w:rsidRPr="00A74ECF">
        <w:rPr>
          <w:rFonts w:asciiTheme="minorHAnsi" w:hAnsiTheme="minorHAnsi" w:cs="Arial"/>
          <w:bCs/>
          <w:snapToGrid w:val="0"/>
          <w:lang w:eastAsia="en-US"/>
        </w:rPr>
        <w:t xml:space="preserve">. The PBAC considered that </w:t>
      </w:r>
      <w:proofErr w:type="spellStart"/>
      <w:r w:rsidR="003471CC" w:rsidRPr="00A74ECF">
        <w:rPr>
          <w:rFonts w:asciiTheme="minorHAnsi" w:hAnsiTheme="minorHAnsi" w:cs="Arial"/>
          <w:bCs/>
          <w:snapToGrid w:val="0"/>
          <w:lang w:eastAsia="en-US"/>
        </w:rPr>
        <w:t>tocilizumab</w:t>
      </w:r>
      <w:proofErr w:type="spellEnd"/>
      <w:r w:rsidR="003471CC" w:rsidRPr="00A74ECF">
        <w:rPr>
          <w:rFonts w:asciiTheme="minorHAnsi" w:hAnsiTheme="minorHAnsi" w:cs="Arial"/>
          <w:bCs/>
          <w:snapToGrid w:val="0"/>
          <w:lang w:eastAsia="en-US"/>
        </w:rPr>
        <w:t xml:space="preserve"> SC was likely to be equivalent in efficacy and safety to IV </w:t>
      </w:r>
      <w:proofErr w:type="spellStart"/>
      <w:r w:rsidR="003471CC" w:rsidRPr="00A74ECF">
        <w:rPr>
          <w:rFonts w:asciiTheme="minorHAnsi" w:hAnsiTheme="minorHAnsi" w:cs="Arial"/>
          <w:bCs/>
          <w:snapToGrid w:val="0"/>
          <w:lang w:eastAsia="en-US"/>
        </w:rPr>
        <w:t>tocilizumab</w:t>
      </w:r>
      <w:proofErr w:type="spellEnd"/>
      <w:r w:rsidR="002E6BC6">
        <w:rPr>
          <w:rFonts w:asciiTheme="minorHAnsi" w:hAnsiTheme="minorHAnsi" w:cs="Arial"/>
          <w:bCs/>
          <w:snapToGrid w:val="0"/>
          <w:lang w:eastAsia="en-US"/>
        </w:rPr>
        <w:t xml:space="preserve">. </w:t>
      </w:r>
    </w:p>
    <w:p w:rsidR="00364C9B" w:rsidRPr="00A74ECF" w:rsidRDefault="003471CC" w:rsidP="00357A48">
      <w:pPr>
        <w:widowControl w:val="0"/>
        <w:numPr>
          <w:ilvl w:val="1"/>
          <w:numId w:val="5"/>
        </w:numPr>
        <w:spacing w:before="120" w:after="120"/>
        <w:jc w:val="both"/>
        <w:rPr>
          <w:rFonts w:asciiTheme="minorHAnsi" w:hAnsiTheme="minorHAnsi" w:cs="Arial"/>
          <w:bCs/>
          <w:snapToGrid w:val="0"/>
          <w:lang w:eastAsia="en-US"/>
        </w:rPr>
      </w:pPr>
      <w:r w:rsidRPr="00A74ECF">
        <w:rPr>
          <w:rFonts w:asciiTheme="minorHAnsi" w:hAnsiTheme="minorHAnsi" w:cs="Arial"/>
          <w:bCs/>
          <w:snapToGrid w:val="0"/>
          <w:lang w:eastAsia="en-US"/>
        </w:rPr>
        <w:t xml:space="preserve">Based on the evidence presented in the submission, </w:t>
      </w:r>
      <w:r w:rsidR="00B859CF" w:rsidRPr="00A74ECF">
        <w:rPr>
          <w:rFonts w:asciiTheme="minorHAnsi" w:hAnsiTheme="minorHAnsi" w:cs="Arial"/>
          <w:bCs/>
          <w:snapToGrid w:val="0"/>
          <w:lang w:eastAsia="en-US"/>
        </w:rPr>
        <w:t>t</w:t>
      </w:r>
      <w:r w:rsidRPr="00A74ECF">
        <w:rPr>
          <w:rFonts w:asciiTheme="minorHAnsi" w:hAnsiTheme="minorHAnsi" w:cs="Arial"/>
          <w:bCs/>
          <w:snapToGrid w:val="0"/>
          <w:lang w:eastAsia="en-US"/>
        </w:rPr>
        <w:t>he</w:t>
      </w:r>
      <w:r w:rsidR="00C9339B" w:rsidRPr="00A74ECF">
        <w:rPr>
          <w:rFonts w:asciiTheme="minorHAnsi" w:hAnsiTheme="minorHAnsi" w:cs="Arial"/>
          <w:bCs/>
          <w:snapToGrid w:val="0"/>
          <w:lang w:eastAsia="en-US"/>
        </w:rPr>
        <w:t xml:space="preserve"> PBAC</w:t>
      </w:r>
      <w:r w:rsidR="000E21D3" w:rsidRPr="00A74ECF">
        <w:rPr>
          <w:rFonts w:asciiTheme="minorHAnsi" w:hAnsiTheme="minorHAnsi" w:cs="Arial"/>
          <w:bCs/>
          <w:snapToGrid w:val="0"/>
          <w:lang w:eastAsia="en-US"/>
        </w:rPr>
        <w:t xml:space="preserve"> </w:t>
      </w:r>
      <w:r w:rsidR="00B859CF" w:rsidRPr="00A74ECF">
        <w:rPr>
          <w:rFonts w:asciiTheme="minorHAnsi" w:hAnsiTheme="minorHAnsi" w:cs="Arial"/>
          <w:bCs/>
          <w:snapToGrid w:val="0"/>
          <w:lang w:eastAsia="en-US"/>
        </w:rPr>
        <w:t xml:space="preserve">considered the </w:t>
      </w:r>
      <w:proofErr w:type="spellStart"/>
      <w:r w:rsidR="000E21D3" w:rsidRPr="00A74ECF">
        <w:rPr>
          <w:rFonts w:asciiTheme="minorHAnsi" w:hAnsiTheme="minorHAnsi" w:cs="Arial"/>
          <w:bCs/>
          <w:snapToGrid w:val="0"/>
          <w:lang w:eastAsia="en-US"/>
        </w:rPr>
        <w:t>equi</w:t>
      </w:r>
      <w:proofErr w:type="spellEnd"/>
      <w:r w:rsidR="000E21D3" w:rsidRPr="00A74ECF">
        <w:rPr>
          <w:rFonts w:asciiTheme="minorHAnsi" w:hAnsiTheme="minorHAnsi" w:cs="Arial"/>
          <w:bCs/>
          <w:snapToGrid w:val="0"/>
          <w:lang w:eastAsia="en-US"/>
        </w:rPr>
        <w:t>-effective doses</w:t>
      </w:r>
      <w:r w:rsidR="00B859CF" w:rsidRPr="00A74ECF">
        <w:rPr>
          <w:rFonts w:asciiTheme="minorHAnsi" w:hAnsiTheme="minorHAnsi" w:cs="Arial"/>
          <w:bCs/>
          <w:snapToGrid w:val="0"/>
          <w:lang w:eastAsia="en-US"/>
        </w:rPr>
        <w:t xml:space="preserve"> were</w:t>
      </w:r>
      <w:r w:rsidR="000E21D3" w:rsidRPr="00A74ECF">
        <w:rPr>
          <w:rFonts w:asciiTheme="minorHAnsi" w:hAnsiTheme="minorHAnsi" w:cs="Arial"/>
          <w:bCs/>
          <w:snapToGrid w:val="0"/>
          <w:lang w:eastAsia="en-US"/>
        </w:rPr>
        <w:t xml:space="preserve"> </w:t>
      </w:r>
      <w:proofErr w:type="spellStart"/>
      <w:r w:rsidR="000E21D3" w:rsidRPr="00A74ECF">
        <w:rPr>
          <w:rFonts w:asciiTheme="minorHAnsi" w:hAnsiTheme="minorHAnsi" w:cs="Arial"/>
          <w:bCs/>
          <w:snapToGrid w:val="0"/>
          <w:lang w:eastAsia="en-US"/>
        </w:rPr>
        <w:t>tocilizumab</w:t>
      </w:r>
      <w:proofErr w:type="spellEnd"/>
      <w:r w:rsidR="000E21D3" w:rsidRPr="00A74ECF">
        <w:rPr>
          <w:rFonts w:asciiTheme="minorHAnsi" w:hAnsiTheme="minorHAnsi" w:cs="Arial"/>
          <w:bCs/>
          <w:snapToGrid w:val="0"/>
          <w:lang w:eastAsia="en-US"/>
        </w:rPr>
        <w:t xml:space="preserve"> SC 162 mg </w:t>
      </w:r>
      <w:r w:rsidR="00B859CF" w:rsidRPr="00A74ECF">
        <w:rPr>
          <w:rFonts w:asciiTheme="minorHAnsi" w:hAnsiTheme="minorHAnsi" w:cs="Arial"/>
          <w:bCs/>
          <w:snapToGrid w:val="0"/>
          <w:lang w:eastAsia="en-US"/>
        </w:rPr>
        <w:t>Q3W</w:t>
      </w:r>
      <w:r w:rsidR="000E21D3" w:rsidRPr="00A74ECF">
        <w:rPr>
          <w:rFonts w:asciiTheme="minorHAnsi" w:hAnsiTheme="minorHAnsi" w:cs="Arial"/>
          <w:bCs/>
          <w:snapToGrid w:val="0"/>
          <w:lang w:eastAsia="en-US"/>
        </w:rPr>
        <w:t xml:space="preserve"> for the patients </w:t>
      </w:r>
      <w:r w:rsidR="00B859CF" w:rsidRPr="00A74ECF">
        <w:rPr>
          <w:rFonts w:asciiTheme="minorHAnsi" w:hAnsiTheme="minorHAnsi" w:cs="Arial"/>
          <w:bCs/>
          <w:snapToGrid w:val="0"/>
          <w:lang w:eastAsia="en-US"/>
        </w:rPr>
        <w:t>&lt;</w:t>
      </w:r>
      <w:r w:rsidR="000E21D3" w:rsidRPr="00A74ECF">
        <w:rPr>
          <w:rFonts w:asciiTheme="minorHAnsi" w:hAnsiTheme="minorHAnsi" w:cs="Arial"/>
          <w:bCs/>
          <w:snapToGrid w:val="0"/>
          <w:lang w:eastAsia="en-US"/>
        </w:rPr>
        <w:t xml:space="preserve">30 kg and </w:t>
      </w:r>
      <w:r w:rsidR="00B859CF" w:rsidRPr="00A74ECF">
        <w:rPr>
          <w:rFonts w:asciiTheme="minorHAnsi" w:hAnsiTheme="minorHAnsi" w:cs="Arial"/>
          <w:bCs/>
          <w:snapToGrid w:val="0"/>
          <w:lang w:eastAsia="en-US"/>
        </w:rPr>
        <w:t>Q</w:t>
      </w:r>
      <w:r w:rsidR="004C5BED" w:rsidRPr="00A74ECF">
        <w:rPr>
          <w:rFonts w:asciiTheme="minorHAnsi" w:hAnsiTheme="minorHAnsi" w:cs="Arial"/>
          <w:bCs/>
          <w:snapToGrid w:val="0"/>
          <w:lang w:eastAsia="en-US"/>
        </w:rPr>
        <w:t>2</w:t>
      </w:r>
      <w:r w:rsidR="00B859CF" w:rsidRPr="00A74ECF">
        <w:rPr>
          <w:rFonts w:asciiTheme="minorHAnsi" w:hAnsiTheme="minorHAnsi" w:cs="Arial"/>
          <w:bCs/>
          <w:snapToGrid w:val="0"/>
          <w:lang w:eastAsia="en-US"/>
        </w:rPr>
        <w:t>W</w:t>
      </w:r>
      <w:r w:rsidR="000E21D3" w:rsidRPr="00A74ECF">
        <w:rPr>
          <w:rFonts w:asciiTheme="minorHAnsi" w:hAnsiTheme="minorHAnsi" w:cs="Arial"/>
          <w:bCs/>
          <w:snapToGrid w:val="0"/>
          <w:lang w:eastAsia="en-US"/>
        </w:rPr>
        <w:t xml:space="preserve"> for patients </w:t>
      </w:r>
      <w:r w:rsidR="00B859CF" w:rsidRPr="002E6BC6">
        <w:rPr>
          <w:rFonts w:asciiTheme="minorHAnsi" w:eastAsiaTheme="minorHAnsi" w:hAnsiTheme="minorHAnsi" w:cstheme="minorBidi"/>
          <w:color w:val="000000" w:themeColor="text1"/>
          <w:szCs w:val="22"/>
        </w:rPr>
        <w:sym w:font="Symbol" w:char="F0B3"/>
      </w:r>
      <w:r w:rsidR="00B859CF" w:rsidRPr="002E6BC6">
        <w:rPr>
          <w:rFonts w:asciiTheme="minorHAnsi" w:eastAsiaTheme="minorHAnsi" w:hAnsiTheme="minorHAnsi" w:cstheme="minorBidi"/>
          <w:color w:val="000000" w:themeColor="text1"/>
          <w:szCs w:val="22"/>
        </w:rPr>
        <w:t xml:space="preserve"> </w:t>
      </w:r>
      <w:r w:rsidR="000E21D3" w:rsidRPr="00A74ECF">
        <w:rPr>
          <w:rFonts w:asciiTheme="minorHAnsi" w:hAnsiTheme="minorHAnsi" w:cs="Arial"/>
          <w:bCs/>
          <w:snapToGrid w:val="0"/>
          <w:lang w:eastAsia="en-US"/>
        </w:rPr>
        <w:t xml:space="preserve">30 kg </w:t>
      </w:r>
      <w:r w:rsidR="00B859CF" w:rsidRPr="00A74ECF">
        <w:rPr>
          <w:rFonts w:asciiTheme="minorHAnsi" w:hAnsiTheme="minorHAnsi" w:cs="Arial"/>
          <w:bCs/>
          <w:snapToGrid w:val="0"/>
          <w:lang w:eastAsia="en-US"/>
        </w:rPr>
        <w:t>and IV</w:t>
      </w:r>
      <w:r w:rsidR="000E21D3" w:rsidRPr="00A74ECF">
        <w:rPr>
          <w:rFonts w:asciiTheme="minorHAnsi" w:hAnsiTheme="minorHAnsi" w:cs="Arial"/>
          <w:bCs/>
          <w:snapToGrid w:val="0"/>
          <w:lang w:eastAsia="en-US"/>
        </w:rPr>
        <w:t xml:space="preserve"> </w:t>
      </w:r>
      <w:proofErr w:type="spellStart"/>
      <w:r w:rsidR="000E21D3" w:rsidRPr="00A74ECF">
        <w:rPr>
          <w:rFonts w:asciiTheme="minorHAnsi" w:hAnsiTheme="minorHAnsi" w:cs="Arial"/>
          <w:bCs/>
          <w:snapToGrid w:val="0"/>
          <w:lang w:eastAsia="en-US"/>
        </w:rPr>
        <w:t>tocilizumab</w:t>
      </w:r>
      <w:proofErr w:type="spellEnd"/>
      <w:r w:rsidR="000E21D3" w:rsidRPr="00A74ECF">
        <w:rPr>
          <w:rFonts w:asciiTheme="minorHAnsi" w:hAnsiTheme="minorHAnsi" w:cs="Arial"/>
          <w:bCs/>
          <w:snapToGrid w:val="0"/>
          <w:lang w:eastAsia="en-US"/>
        </w:rPr>
        <w:t xml:space="preserve"> 10 mg/kg for patients </w:t>
      </w:r>
      <w:r w:rsidR="00B859CF" w:rsidRPr="00A74ECF">
        <w:rPr>
          <w:rFonts w:asciiTheme="minorHAnsi" w:hAnsiTheme="minorHAnsi" w:cs="Arial"/>
          <w:bCs/>
          <w:snapToGrid w:val="0"/>
          <w:lang w:eastAsia="en-US"/>
        </w:rPr>
        <w:t>&lt;</w:t>
      </w:r>
      <w:r w:rsidR="000E21D3" w:rsidRPr="00A74ECF">
        <w:rPr>
          <w:rFonts w:asciiTheme="minorHAnsi" w:hAnsiTheme="minorHAnsi" w:cs="Arial"/>
          <w:bCs/>
          <w:snapToGrid w:val="0"/>
          <w:lang w:eastAsia="en-US"/>
        </w:rPr>
        <w:t xml:space="preserve"> 30 kg and 8 mg/kg for patients </w:t>
      </w:r>
      <w:r w:rsidR="00B859CF" w:rsidRPr="002E6BC6">
        <w:rPr>
          <w:rFonts w:asciiTheme="minorHAnsi" w:eastAsiaTheme="minorHAnsi" w:hAnsiTheme="minorHAnsi" w:cstheme="minorBidi"/>
          <w:color w:val="000000" w:themeColor="text1"/>
          <w:szCs w:val="22"/>
        </w:rPr>
        <w:sym w:font="Symbol" w:char="F0B3"/>
      </w:r>
      <w:r w:rsidR="00B859CF" w:rsidRPr="002E6BC6">
        <w:rPr>
          <w:rFonts w:asciiTheme="minorHAnsi" w:eastAsiaTheme="minorHAnsi" w:hAnsiTheme="minorHAnsi" w:cstheme="minorBidi"/>
          <w:color w:val="000000" w:themeColor="text1"/>
          <w:szCs w:val="22"/>
        </w:rPr>
        <w:t xml:space="preserve"> </w:t>
      </w:r>
      <w:r w:rsidR="000E21D3" w:rsidRPr="00A74ECF">
        <w:rPr>
          <w:rFonts w:asciiTheme="minorHAnsi" w:hAnsiTheme="minorHAnsi" w:cs="Arial"/>
          <w:bCs/>
          <w:snapToGrid w:val="0"/>
          <w:lang w:eastAsia="en-US"/>
        </w:rPr>
        <w:t xml:space="preserve">30 kg. </w:t>
      </w:r>
    </w:p>
    <w:p w:rsidR="00364C9B" w:rsidRPr="00A74ECF" w:rsidRDefault="0009282D" w:rsidP="00357A48">
      <w:pPr>
        <w:widowControl w:val="0"/>
        <w:numPr>
          <w:ilvl w:val="1"/>
          <w:numId w:val="5"/>
        </w:numPr>
        <w:spacing w:before="120" w:after="120"/>
        <w:jc w:val="both"/>
        <w:rPr>
          <w:rFonts w:asciiTheme="minorHAnsi" w:hAnsiTheme="minorHAnsi" w:cs="Arial"/>
          <w:bCs/>
          <w:snapToGrid w:val="0"/>
          <w:lang w:eastAsia="en-US"/>
        </w:rPr>
      </w:pPr>
      <w:r w:rsidRPr="00A74ECF">
        <w:rPr>
          <w:rFonts w:asciiTheme="minorHAnsi" w:hAnsiTheme="minorHAnsi" w:cs="Arial"/>
          <w:bCs/>
          <w:snapToGrid w:val="0"/>
          <w:lang w:eastAsia="en-US"/>
        </w:rPr>
        <w:t>For paediatric patients &lt;30 kg, t</w:t>
      </w:r>
      <w:r w:rsidR="00FF7BA2" w:rsidRPr="00A74ECF">
        <w:rPr>
          <w:rFonts w:asciiTheme="minorHAnsi" w:hAnsiTheme="minorHAnsi" w:cs="Arial"/>
          <w:bCs/>
          <w:snapToGrid w:val="0"/>
          <w:lang w:eastAsia="en-US"/>
        </w:rPr>
        <w:t xml:space="preserve">he PBAC recommended </w:t>
      </w:r>
      <w:r w:rsidRPr="00A74ECF">
        <w:rPr>
          <w:rFonts w:asciiTheme="minorHAnsi" w:hAnsiTheme="minorHAnsi" w:cs="Arial"/>
          <w:bCs/>
          <w:snapToGrid w:val="0"/>
          <w:lang w:eastAsia="en-US"/>
        </w:rPr>
        <w:t xml:space="preserve">a maximum quantity of </w:t>
      </w:r>
      <w:r w:rsidR="002E6BC6">
        <w:rPr>
          <w:rFonts w:asciiTheme="minorHAnsi" w:hAnsiTheme="minorHAnsi" w:cs="Arial"/>
          <w:bCs/>
          <w:snapToGrid w:val="0"/>
          <w:lang w:eastAsia="en-US"/>
        </w:rPr>
        <w:t xml:space="preserve">one </w:t>
      </w:r>
      <w:r w:rsidRPr="00A74ECF">
        <w:rPr>
          <w:rFonts w:asciiTheme="minorHAnsi" w:hAnsiTheme="minorHAnsi" w:cs="Arial"/>
          <w:bCs/>
          <w:snapToGrid w:val="0"/>
          <w:lang w:eastAsia="en-US"/>
        </w:rPr>
        <w:t xml:space="preserve">with </w:t>
      </w:r>
      <w:r w:rsidR="002E6BC6">
        <w:rPr>
          <w:rFonts w:asciiTheme="minorHAnsi" w:hAnsiTheme="minorHAnsi" w:cs="Arial"/>
          <w:bCs/>
          <w:snapToGrid w:val="0"/>
          <w:lang w:eastAsia="en-US"/>
        </w:rPr>
        <w:t xml:space="preserve">one </w:t>
      </w:r>
      <w:r w:rsidRPr="00A74ECF">
        <w:rPr>
          <w:rFonts w:asciiTheme="minorHAnsi" w:hAnsiTheme="minorHAnsi" w:cs="Arial"/>
          <w:bCs/>
          <w:snapToGrid w:val="0"/>
          <w:lang w:eastAsia="en-US"/>
        </w:rPr>
        <w:t>repeat for both initial and continuing treatment</w:t>
      </w:r>
      <w:r w:rsidR="00912C8B" w:rsidRPr="00A74ECF">
        <w:rPr>
          <w:rFonts w:asciiTheme="minorHAnsi" w:hAnsiTheme="minorHAnsi" w:cs="Arial"/>
          <w:bCs/>
          <w:snapToGrid w:val="0"/>
          <w:lang w:eastAsia="en-US"/>
        </w:rPr>
        <w:t xml:space="preserve">. For paediatric patients </w:t>
      </w:r>
      <w:r w:rsidR="00912C8B" w:rsidRPr="002E6BC6">
        <w:rPr>
          <w:rFonts w:asciiTheme="minorHAnsi" w:eastAsiaTheme="minorHAnsi" w:hAnsiTheme="minorHAnsi" w:cstheme="minorBidi"/>
          <w:color w:val="000000" w:themeColor="text1"/>
          <w:szCs w:val="22"/>
        </w:rPr>
        <w:sym w:font="Symbol" w:char="F0B3"/>
      </w:r>
      <w:r w:rsidR="00912C8B" w:rsidRPr="002E6BC6">
        <w:rPr>
          <w:rFonts w:asciiTheme="minorHAnsi" w:eastAsiaTheme="minorHAnsi" w:hAnsiTheme="minorHAnsi" w:cstheme="minorBidi"/>
          <w:color w:val="000000" w:themeColor="text1"/>
          <w:szCs w:val="22"/>
        </w:rPr>
        <w:t xml:space="preserve"> 30 kg, the PBAC recommended a maximum quantity of </w:t>
      </w:r>
      <w:r w:rsidR="002E6BC6">
        <w:rPr>
          <w:rFonts w:asciiTheme="minorHAnsi" w:eastAsiaTheme="minorHAnsi" w:hAnsiTheme="minorHAnsi" w:cstheme="minorBidi"/>
          <w:color w:val="000000" w:themeColor="text1"/>
          <w:szCs w:val="22"/>
        </w:rPr>
        <w:t xml:space="preserve">one </w:t>
      </w:r>
      <w:r w:rsidR="00912C8B" w:rsidRPr="002E6BC6">
        <w:rPr>
          <w:rFonts w:asciiTheme="minorHAnsi" w:eastAsiaTheme="minorHAnsi" w:hAnsiTheme="minorHAnsi" w:cstheme="minorBidi"/>
          <w:color w:val="000000" w:themeColor="text1"/>
          <w:szCs w:val="22"/>
        </w:rPr>
        <w:t xml:space="preserve">with </w:t>
      </w:r>
      <w:r w:rsidR="002E6BC6">
        <w:rPr>
          <w:rFonts w:asciiTheme="minorHAnsi" w:eastAsiaTheme="minorHAnsi" w:hAnsiTheme="minorHAnsi" w:cstheme="minorBidi"/>
          <w:color w:val="000000" w:themeColor="text1"/>
          <w:szCs w:val="22"/>
        </w:rPr>
        <w:t xml:space="preserve">one </w:t>
      </w:r>
      <w:r w:rsidR="00912C8B" w:rsidRPr="002E6BC6">
        <w:rPr>
          <w:rFonts w:asciiTheme="minorHAnsi" w:eastAsiaTheme="minorHAnsi" w:hAnsiTheme="minorHAnsi" w:cstheme="minorBidi"/>
          <w:color w:val="000000" w:themeColor="text1"/>
          <w:szCs w:val="22"/>
        </w:rPr>
        <w:t>repeat for</w:t>
      </w:r>
      <w:r w:rsidR="00897E04" w:rsidRPr="002E6BC6">
        <w:rPr>
          <w:rFonts w:asciiTheme="minorHAnsi" w:eastAsiaTheme="minorHAnsi" w:hAnsiTheme="minorHAnsi" w:cstheme="minorBidi"/>
          <w:color w:val="000000" w:themeColor="text1"/>
          <w:szCs w:val="22"/>
        </w:rPr>
        <w:t xml:space="preserve"> initial treatment and </w:t>
      </w:r>
      <w:r w:rsidR="002E6BC6">
        <w:rPr>
          <w:rFonts w:asciiTheme="minorHAnsi" w:eastAsiaTheme="minorHAnsi" w:hAnsiTheme="minorHAnsi" w:cstheme="minorBidi"/>
          <w:color w:val="000000" w:themeColor="text1"/>
          <w:szCs w:val="22"/>
        </w:rPr>
        <w:t xml:space="preserve">one </w:t>
      </w:r>
      <w:r w:rsidR="00897E04" w:rsidRPr="002E6BC6">
        <w:rPr>
          <w:rFonts w:asciiTheme="minorHAnsi" w:eastAsiaTheme="minorHAnsi" w:hAnsiTheme="minorHAnsi" w:cstheme="minorBidi"/>
          <w:color w:val="000000" w:themeColor="text1"/>
          <w:szCs w:val="22"/>
        </w:rPr>
        <w:t xml:space="preserve">with </w:t>
      </w:r>
      <w:r w:rsidR="002E6BC6">
        <w:rPr>
          <w:rFonts w:asciiTheme="minorHAnsi" w:eastAsiaTheme="minorHAnsi" w:hAnsiTheme="minorHAnsi" w:cstheme="minorBidi"/>
          <w:color w:val="000000" w:themeColor="text1"/>
          <w:szCs w:val="22"/>
        </w:rPr>
        <w:t xml:space="preserve">two </w:t>
      </w:r>
      <w:r w:rsidR="00897E04" w:rsidRPr="002E6BC6">
        <w:rPr>
          <w:rFonts w:asciiTheme="minorHAnsi" w:eastAsiaTheme="minorHAnsi" w:hAnsiTheme="minorHAnsi" w:cstheme="minorBidi"/>
          <w:color w:val="000000" w:themeColor="text1"/>
          <w:szCs w:val="22"/>
        </w:rPr>
        <w:t>repeats for continuing</w:t>
      </w:r>
      <w:r w:rsidR="00912C8B" w:rsidRPr="002E6BC6">
        <w:rPr>
          <w:rFonts w:asciiTheme="minorHAnsi" w:eastAsiaTheme="minorHAnsi" w:hAnsiTheme="minorHAnsi" w:cstheme="minorBidi"/>
          <w:color w:val="000000" w:themeColor="text1"/>
          <w:szCs w:val="22"/>
        </w:rPr>
        <w:t xml:space="preserve"> </w:t>
      </w:r>
      <w:r w:rsidR="00EE764D" w:rsidRPr="002E6BC6">
        <w:rPr>
          <w:rFonts w:asciiTheme="minorHAnsi" w:eastAsiaTheme="minorHAnsi" w:hAnsiTheme="minorHAnsi" w:cstheme="minorBidi"/>
          <w:color w:val="000000" w:themeColor="text1"/>
          <w:szCs w:val="22"/>
        </w:rPr>
        <w:t>treatment.</w:t>
      </w:r>
      <w:r w:rsidR="009A02EF" w:rsidRPr="002E6BC6">
        <w:rPr>
          <w:rFonts w:asciiTheme="minorHAnsi" w:eastAsiaTheme="minorHAnsi" w:hAnsiTheme="minorHAnsi" w:cstheme="minorBidi"/>
          <w:color w:val="000000" w:themeColor="text1"/>
          <w:szCs w:val="22"/>
        </w:rPr>
        <w:t xml:space="preserve"> For adult patients, the PBAC recommended a maximum quantity of </w:t>
      </w:r>
      <w:r w:rsidR="002E6BC6">
        <w:rPr>
          <w:rFonts w:asciiTheme="minorHAnsi" w:eastAsiaTheme="minorHAnsi" w:hAnsiTheme="minorHAnsi" w:cstheme="minorBidi"/>
          <w:color w:val="000000" w:themeColor="text1"/>
          <w:szCs w:val="22"/>
        </w:rPr>
        <w:t xml:space="preserve">one </w:t>
      </w:r>
      <w:r w:rsidR="009A02EF" w:rsidRPr="002E6BC6">
        <w:rPr>
          <w:rFonts w:asciiTheme="minorHAnsi" w:eastAsiaTheme="minorHAnsi" w:hAnsiTheme="minorHAnsi" w:cstheme="minorBidi"/>
          <w:color w:val="000000" w:themeColor="text1"/>
          <w:szCs w:val="22"/>
        </w:rPr>
        <w:t xml:space="preserve">with </w:t>
      </w:r>
      <w:r w:rsidR="002E6BC6">
        <w:rPr>
          <w:rFonts w:asciiTheme="minorHAnsi" w:eastAsiaTheme="minorHAnsi" w:hAnsiTheme="minorHAnsi" w:cstheme="minorBidi"/>
          <w:color w:val="000000" w:themeColor="text1"/>
          <w:szCs w:val="22"/>
        </w:rPr>
        <w:t xml:space="preserve">three </w:t>
      </w:r>
      <w:r w:rsidR="009A02EF" w:rsidRPr="002E6BC6">
        <w:rPr>
          <w:rFonts w:asciiTheme="minorHAnsi" w:eastAsiaTheme="minorHAnsi" w:hAnsiTheme="minorHAnsi" w:cstheme="minorBidi"/>
          <w:color w:val="000000" w:themeColor="text1"/>
          <w:szCs w:val="22"/>
        </w:rPr>
        <w:t xml:space="preserve">repeats for initial treatment and </w:t>
      </w:r>
      <w:r w:rsidR="002E6BC6">
        <w:rPr>
          <w:rFonts w:asciiTheme="minorHAnsi" w:eastAsiaTheme="minorHAnsi" w:hAnsiTheme="minorHAnsi" w:cstheme="minorBidi"/>
          <w:color w:val="000000" w:themeColor="text1"/>
          <w:szCs w:val="22"/>
        </w:rPr>
        <w:t xml:space="preserve">one </w:t>
      </w:r>
      <w:r w:rsidR="009A02EF" w:rsidRPr="002E6BC6">
        <w:rPr>
          <w:rFonts w:asciiTheme="minorHAnsi" w:eastAsiaTheme="minorHAnsi" w:hAnsiTheme="minorHAnsi" w:cstheme="minorBidi"/>
          <w:color w:val="000000" w:themeColor="text1"/>
          <w:szCs w:val="22"/>
        </w:rPr>
        <w:t xml:space="preserve">with </w:t>
      </w:r>
      <w:r w:rsidR="002E6BC6">
        <w:rPr>
          <w:rFonts w:asciiTheme="minorHAnsi" w:eastAsiaTheme="minorHAnsi" w:hAnsiTheme="minorHAnsi" w:cstheme="minorBidi"/>
          <w:color w:val="000000" w:themeColor="text1"/>
          <w:szCs w:val="22"/>
        </w:rPr>
        <w:t xml:space="preserve">five </w:t>
      </w:r>
      <w:r w:rsidR="009A02EF" w:rsidRPr="002E6BC6">
        <w:rPr>
          <w:rFonts w:asciiTheme="minorHAnsi" w:eastAsiaTheme="minorHAnsi" w:hAnsiTheme="minorHAnsi" w:cstheme="minorBidi"/>
          <w:color w:val="000000" w:themeColor="text1"/>
          <w:szCs w:val="22"/>
        </w:rPr>
        <w:t>repeats for continuing treatment</w:t>
      </w:r>
      <w:r w:rsidR="00362CE8" w:rsidRPr="002E6BC6">
        <w:rPr>
          <w:rFonts w:asciiTheme="minorHAnsi" w:eastAsiaTheme="minorHAnsi" w:hAnsiTheme="minorHAnsi" w:cstheme="minorBidi"/>
          <w:color w:val="000000" w:themeColor="text1"/>
          <w:szCs w:val="22"/>
        </w:rPr>
        <w:t>.</w:t>
      </w:r>
      <w:r w:rsidR="00B21362" w:rsidRPr="002E6BC6">
        <w:rPr>
          <w:rFonts w:asciiTheme="minorHAnsi" w:eastAsiaTheme="minorHAnsi" w:hAnsiTheme="minorHAnsi" w:cstheme="minorBidi"/>
          <w:color w:val="000000" w:themeColor="text1"/>
          <w:szCs w:val="22"/>
        </w:rPr>
        <w:t xml:space="preserve"> This would provide</w:t>
      </w:r>
      <w:r w:rsidR="000C6691" w:rsidRPr="002E6BC6">
        <w:rPr>
          <w:rFonts w:asciiTheme="minorHAnsi" w:eastAsiaTheme="minorHAnsi" w:hAnsiTheme="minorHAnsi" w:cstheme="minorBidi"/>
          <w:color w:val="000000" w:themeColor="text1"/>
          <w:szCs w:val="22"/>
        </w:rPr>
        <w:t xml:space="preserve"> most</w:t>
      </w:r>
      <w:r w:rsidR="00B21362" w:rsidRPr="002E6BC6">
        <w:rPr>
          <w:rFonts w:asciiTheme="minorHAnsi" w:eastAsiaTheme="minorHAnsi" w:hAnsiTheme="minorHAnsi" w:cstheme="minorBidi"/>
          <w:color w:val="000000" w:themeColor="text1"/>
          <w:szCs w:val="22"/>
        </w:rPr>
        <w:t xml:space="preserve"> patients (except for </w:t>
      </w:r>
      <w:r w:rsidR="002B62F8" w:rsidRPr="002E6BC6">
        <w:rPr>
          <w:rFonts w:asciiTheme="minorHAnsi" w:eastAsiaTheme="minorHAnsi" w:hAnsiTheme="minorHAnsi" w:cstheme="minorBidi"/>
          <w:color w:val="000000" w:themeColor="text1"/>
          <w:szCs w:val="22"/>
        </w:rPr>
        <w:t>patients</w:t>
      </w:r>
      <w:r w:rsidR="00B21362" w:rsidRPr="002E6BC6">
        <w:rPr>
          <w:rFonts w:asciiTheme="minorHAnsi" w:eastAsiaTheme="minorHAnsi" w:hAnsiTheme="minorHAnsi" w:cstheme="minorBidi"/>
          <w:color w:val="000000" w:themeColor="text1"/>
          <w:szCs w:val="22"/>
        </w:rPr>
        <w:t xml:space="preserve"> &lt;30 kg) with</w:t>
      </w:r>
      <w:r w:rsidR="004502C2" w:rsidRPr="002E6BC6">
        <w:rPr>
          <w:rFonts w:asciiTheme="minorHAnsi" w:eastAsiaTheme="minorHAnsi" w:hAnsiTheme="minorHAnsi" w:cstheme="minorBidi"/>
          <w:color w:val="000000" w:themeColor="text1"/>
          <w:szCs w:val="22"/>
        </w:rPr>
        <w:t xml:space="preserve"> up to</w:t>
      </w:r>
      <w:r w:rsidR="00B21362" w:rsidRPr="002E6BC6">
        <w:rPr>
          <w:rFonts w:asciiTheme="minorHAnsi" w:eastAsiaTheme="minorHAnsi" w:hAnsiTheme="minorHAnsi" w:cstheme="minorBidi"/>
          <w:color w:val="000000" w:themeColor="text1"/>
          <w:szCs w:val="22"/>
        </w:rPr>
        <w:t xml:space="preserve"> 16 weeks of initial treatment and 24 weeks </w:t>
      </w:r>
      <w:r w:rsidR="000C6691" w:rsidRPr="002E6BC6">
        <w:rPr>
          <w:rFonts w:asciiTheme="minorHAnsi" w:eastAsiaTheme="minorHAnsi" w:hAnsiTheme="minorHAnsi" w:cstheme="minorBidi"/>
          <w:color w:val="000000" w:themeColor="text1"/>
          <w:szCs w:val="22"/>
        </w:rPr>
        <w:t>of</w:t>
      </w:r>
      <w:r w:rsidR="00B21362" w:rsidRPr="002E6BC6">
        <w:rPr>
          <w:rFonts w:asciiTheme="minorHAnsi" w:eastAsiaTheme="minorHAnsi" w:hAnsiTheme="minorHAnsi" w:cstheme="minorBidi"/>
          <w:color w:val="000000" w:themeColor="text1"/>
          <w:szCs w:val="22"/>
        </w:rPr>
        <w:t xml:space="preserve"> continuing treatment</w:t>
      </w:r>
      <w:r w:rsidR="000F1245" w:rsidRPr="002E6BC6">
        <w:rPr>
          <w:rFonts w:asciiTheme="minorHAnsi" w:eastAsiaTheme="minorHAnsi" w:hAnsiTheme="minorHAnsi" w:cstheme="minorBidi"/>
          <w:color w:val="000000" w:themeColor="text1"/>
          <w:szCs w:val="22"/>
        </w:rPr>
        <w:t xml:space="preserve"> consistent with other </w:t>
      </w:r>
      <w:proofErr w:type="spellStart"/>
      <w:r w:rsidR="000F1245" w:rsidRPr="002E6BC6">
        <w:rPr>
          <w:rFonts w:asciiTheme="minorHAnsi" w:eastAsiaTheme="minorHAnsi" w:hAnsiTheme="minorHAnsi" w:cstheme="minorBidi"/>
          <w:color w:val="000000" w:themeColor="text1"/>
          <w:szCs w:val="22"/>
        </w:rPr>
        <w:t>b</w:t>
      </w:r>
      <w:r w:rsidR="00B21362" w:rsidRPr="002E6BC6">
        <w:rPr>
          <w:rFonts w:asciiTheme="minorHAnsi" w:eastAsiaTheme="minorHAnsi" w:hAnsiTheme="minorHAnsi" w:cstheme="minorBidi"/>
          <w:color w:val="000000" w:themeColor="text1"/>
          <w:szCs w:val="22"/>
        </w:rPr>
        <w:t>DMARD</w:t>
      </w:r>
      <w:proofErr w:type="spellEnd"/>
      <w:r w:rsidR="00B21362" w:rsidRPr="002E6BC6">
        <w:rPr>
          <w:rFonts w:asciiTheme="minorHAnsi" w:eastAsiaTheme="minorHAnsi" w:hAnsiTheme="minorHAnsi" w:cstheme="minorBidi"/>
          <w:color w:val="000000" w:themeColor="text1"/>
          <w:szCs w:val="22"/>
        </w:rPr>
        <w:t xml:space="preserve"> listings</w:t>
      </w:r>
      <w:r w:rsidR="000C6691" w:rsidRPr="002E6BC6">
        <w:rPr>
          <w:rFonts w:asciiTheme="minorHAnsi" w:eastAsiaTheme="minorHAnsi" w:hAnsiTheme="minorHAnsi" w:cstheme="minorBidi"/>
          <w:color w:val="000000" w:themeColor="text1"/>
          <w:szCs w:val="22"/>
        </w:rPr>
        <w:t xml:space="preserve"> in this indication</w:t>
      </w:r>
      <w:r w:rsidR="00B21362" w:rsidRPr="002E6BC6">
        <w:rPr>
          <w:rFonts w:asciiTheme="minorHAnsi" w:eastAsiaTheme="minorHAnsi" w:hAnsiTheme="minorHAnsi" w:cstheme="minorBidi"/>
          <w:color w:val="000000" w:themeColor="text1"/>
          <w:szCs w:val="22"/>
        </w:rPr>
        <w:t>.</w:t>
      </w:r>
      <w:r w:rsidR="00362CE8" w:rsidRPr="002E6BC6">
        <w:rPr>
          <w:rFonts w:asciiTheme="minorHAnsi" w:eastAsiaTheme="minorHAnsi" w:hAnsiTheme="minorHAnsi" w:cstheme="minorBidi"/>
          <w:color w:val="000000" w:themeColor="text1"/>
          <w:szCs w:val="22"/>
        </w:rPr>
        <w:t xml:space="preserve"> The PBAC noted </w:t>
      </w:r>
      <w:r w:rsidR="00780B75" w:rsidRPr="002E6BC6">
        <w:rPr>
          <w:rFonts w:asciiTheme="minorHAnsi" w:eastAsiaTheme="minorHAnsi" w:hAnsiTheme="minorHAnsi" w:cstheme="minorBidi"/>
          <w:color w:val="000000" w:themeColor="text1"/>
          <w:szCs w:val="22"/>
        </w:rPr>
        <w:t xml:space="preserve">that a maximum quantity of </w:t>
      </w:r>
      <w:r w:rsidR="002E6BC6">
        <w:rPr>
          <w:rFonts w:asciiTheme="minorHAnsi" w:eastAsiaTheme="minorHAnsi" w:hAnsiTheme="minorHAnsi" w:cstheme="minorBidi"/>
          <w:color w:val="000000" w:themeColor="text1"/>
          <w:szCs w:val="22"/>
        </w:rPr>
        <w:t xml:space="preserve">one </w:t>
      </w:r>
      <w:r w:rsidR="00780B75" w:rsidRPr="002E6BC6">
        <w:rPr>
          <w:rFonts w:asciiTheme="minorHAnsi" w:eastAsiaTheme="minorHAnsi" w:hAnsiTheme="minorHAnsi" w:cstheme="minorBidi"/>
          <w:color w:val="000000" w:themeColor="text1"/>
          <w:szCs w:val="22"/>
        </w:rPr>
        <w:t xml:space="preserve">with </w:t>
      </w:r>
      <w:r w:rsidR="002E6BC6">
        <w:rPr>
          <w:rFonts w:asciiTheme="minorHAnsi" w:eastAsiaTheme="minorHAnsi" w:hAnsiTheme="minorHAnsi" w:cstheme="minorBidi"/>
          <w:color w:val="000000" w:themeColor="text1"/>
          <w:szCs w:val="22"/>
        </w:rPr>
        <w:t xml:space="preserve">one </w:t>
      </w:r>
      <w:r w:rsidR="00780B75" w:rsidRPr="002E6BC6">
        <w:rPr>
          <w:rFonts w:asciiTheme="minorHAnsi" w:eastAsiaTheme="minorHAnsi" w:hAnsiTheme="minorHAnsi" w:cstheme="minorBidi"/>
          <w:color w:val="000000" w:themeColor="text1"/>
          <w:szCs w:val="22"/>
        </w:rPr>
        <w:t>repeat</w:t>
      </w:r>
      <w:r w:rsidR="0031435C" w:rsidRPr="002E6BC6">
        <w:rPr>
          <w:rFonts w:asciiTheme="minorHAnsi" w:eastAsiaTheme="minorHAnsi" w:hAnsiTheme="minorHAnsi" w:cstheme="minorBidi"/>
          <w:color w:val="000000" w:themeColor="text1"/>
          <w:szCs w:val="22"/>
        </w:rPr>
        <w:t xml:space="preserve"> for paediatric patients &lt;30 kg would</w:t>
      </w:r>
      <w:r w:rsidR="004502C2" w:rsidRPr="002E6BC6">
        <w:rPr>
          <w:rFonts w:asciiTheme="minorHAnsi" w:eastAsiaTheme="minorHAnsi" w:hAnsiTheme="minorHAnsi" w:cstheme="minorBidi"/>
          <w:color w:val="000000" w:themeColor="text1"/>
          <w:szCs w:val="22"/>
        </w:rPr>
        <w:t xml:space="preserve"> instead</w:t>
      </w:r>
      <w:r w:rsidR="0031435C" w:rsidRPr="002E6BC6">
        <w:rPr>
          <w:rFonts w:asciiTheme="minorHAnsi" w:eastAsiaTheme="minorHAnsi" w:hAnsiTheme="minorHAnsi" w:cstheme="minorBidi"/>
          <w:color w:val="000000" w:themeColor="text1"/>
          <w:szCs w:val="22"/>
        </w:rPr>
        <w:t xml:space="preserve"> provide</w:t>
      </w:r>
      <w:r w:rsidR="004502C2" w:rsidRPr="002E6BC6">
        <w:rPr>
          <w:rFonts w:asciiTheme="minorHAnsi" w:eastAsiaTheme="minorHAnsi" w:hAnsiTheme="minorHAnsi" w:cstheme="minorBidi"/>
          <w:color w:val="000000" w:themeColor="text1"/>
          <w:szCs w:val="22"/>
        </w:rPr>
        <w:t xml:space="preserve"> up to</w:t>
      </w:r>
      <w:r w:rsidR="0031435C" w:rsidRPr="002E6BC6">
        <w:rPr>
          <w:rFonts w:asciiTheme="minorHAnsi" w:eastAsiaTheme="minorHAnsi" w:hAnsiTheme="minorHAnsi" w:cstheme="minorBidi"/>
          <w:color w:val="000000" w:themeColor="text1"/>
          <w:szCs w:val="22"/>
        </w:rPr>
        <w:t xml:space="preserve"> 24 weeks of</w:t>
      </w:r>
      <w:r w:rsidR="004502C2" w:rsidRPr="002E6BC6">
        <w:rPr>
          <w:rFonts w:asciiTheme="minorHAnsi" w:eastAsiaTheme="minorHAnsi" w:hAnsiTheme="minorHAnsi" w:cstheme="minorBidi"/>
          <w:color w:val="000000" w:themeColor="text1"/>
          <w:szCs w:val="22"/>
        </w:rPr>
        <w:t xml:space="preserve"> initial</w:t>
      </w:r>
      <w:r w:rsidR="0031435C" w:rsidRPr="002E6BC6">
        <w:rPr>
          <w:rFonts w:asciiTheme="minorHAnsi" w:eastAsiaTheme="minorHAnsi" w:hAnsiTheme="minorHAnsi" w:cstheme="minorBidi"/>
          <w:color w:val="000000" w:themeColor="text1"/>
          <w:szCs w:val="22"/>
        </w:rPr>
        <w:t xml:space="preserve"> treatment</w:t>
      </w:r>
      <w:r w:rsidR="00157500" w:rsidRPr="002E6BC6">
        <w:rPr>
          <w:rFonts w:asciiTheme="minorHAnsi" w:eastAsiaTheme="minorHAnsi" w:hAnsiTheme="minorHAnsi" w:cstheme="minorBidi"/>
          <w:color w:val="000000" w:themeColor="text1"/>
          <w:szCs w:val="22"/>
        </w:rPr>
        <w:t>. However, the</w:t>
      </w:r>
      <w:r w:rsidR="00780B75" w:rsidRPr="002E6BC6">
        <w:rPr>
          <w:rFonts w:asciiTheme="minorHAnsi" w:eastAsiaTheme="minorHAnsi" w:hAnsiTheme="minorHAnsi" w:cstheme="minorBidi"/>
          <w:color w:val="000000" w:themeColor="text1"/>
          <w:szCs w:val="22"/>
        </w:rPr>
        <w:t xml:space="preserve"> PBAC considered that</w:t>
      </w:r>
      <w:r w:rsidR="000C6691" w:rsidRPr="002E6BC6">
        <w:rPr>
          <w:rFonts w:asciiTheme="minorHAnsi" w:eastAsiaTheme="minorHAnsi" w:hAnsiTheme="minorHAnsi" w:cstheme="minorBidi"/>
          <w:color w:val="000000" w:themeColor="text1"/>
          <w:szCs w:val="22"/>
        </w:rPr>
        <w:t xml:space="preserve">, despite this being inconsistent with other </w:t>
      </w:r>
      <w:proofErr w:type="spellStart"/>
      <w:r w:rsidR="002E6BC6" w:rsidRPr="002E6BC6">
        <w:rPr>
          <w:rFonts w:asciiTheme="minorHAnsi" w:eastAsiaTheme="minorHAnsi" w:hAnsiTheme="minorHAnsi" w:cstheme="minorBidi"/>
          <w:color w:val="000000" w:themeColor="text1"/>
          <w:szCs w:val="22"/>
        </w:rPr>
        <w:t>bDMARDs</w:t>
      </w:r>
      <w:proofErr w:type="spellEnd"/>
      <w:r w:rsidR="000C6691" w:rsidRPr="002E6BC6">
        <w:rPr>
          <w:rFonts w:asciiTheme="minorHAnsi" w:eastAsiaTheme="minorHAnsi" w:hAnsiTheme="minorHAnsi" w:cstheme="minorBidi"/>
          <w:color w:val="000000" w:themeColor="text1"/>
          <w:szCs w:val="22"/>
        </w:rPr>
        <w:t xml:space="preserve"> in this indication and the recommendation for patients </w:t>
      </w:r>
      <w:r w:rsidR="000C6691" w:rsidRPr="002E6BC6">
        <w:rPr>
          <w:rFonts w:asciiTheme="minorHAnsi" w:eastAsiaTheme="minorHAnsi" w:hAnsiTheme="minorHAnsi" w:cstheme="minorBidi"/>
          <w:color w:val="000000" w:themeColor="text1"/>
          <w:szCs w:val="22"/>
        </w:rPr>
        <w:sym w:font="Symbol" w:char="F0B3"/>
      </w:r>
      <w:r w:rsidR="000C6691" w:rsidRPr="002E6BC6">
        <w:rPr>
          <w:rFonts w:asciiTheme="minorHAnsi" w:eastAsiaTheme="minorHAnsi" w:hAnsiTheme="minorHAnsi" w:cstheme="minorBidi"/>
          <w:color w:val="000000" w:themeColor="text1"/>
          <w:szCs w:val="22"/>
        </w:rPr>
        <w:t xml:space="preserve"> 30 kg,</w:t>
      </w:r>
      <w:r w:rsidR="00780B75" w:rsidRPr="002E6BC6">
        <w:rPr>
          <w:rFonts w:asciiTheme="minorHAnsi" w:eastAsiaTheme="minorHAnsi" w:hAnsiTheme="minorHAnsi" w:cstheme="minorBidi"/>
          <w:color w:val="000000" w:themeColor="text1"/>
          <w:szCs w:val="22"/>
        </w:rPr>
        <w:t xml:space="preserve"> given the </w:t>
      </w:r>
      <w:r w:rsidR="000C6691" w:rsidRPr="002E6BC6">
        <w:rPr>
          <w:rFonts w:asciiTheme="minorHAnsi" w:eastAsiaTheme="minorHAnsi" w:hAnsiTheme="minorHAnsi" w:cstheme="minorBidi"/>
          <w:color w:val="000000" w:themeColor="text1"/>
          <w:szCs w:val="22"/>
        </w:rPr>
        <w:t xml:space="preserve">available </w:t>
      </w:r>
      <w:r w:rsidR="00780B75" w:rsidRPr="002E6BC6">
        <w:rPr>
          <w:rFonts w:asciiTheme="minorHAnsi" w:eastAsiaTheme="minorHAnsi" w:hAnsiTheme="minorHAnsi" w:cstheme="minorBidi"/>
          <w:color w:val="000000" w:themeColor="text1"/>
          <w:szCs w:val="22"/>
        </w:rPr>
        <w:t>pack size of 4 and the Q3W dosing</w:t>
      </w:r>
      <w:r w:rsidR="003E7107" w:rsidRPr="002E6BC6">
        <w:rPr>
          <w:rFonts w:asciiTheme="minorHAnsi" w:eastAsiaTheme="minorHAnsi" w:hAnsiTheme="minorHAnsi" w:cstheme="minorBidi"/>
          <w:color w:val="000000" w:themeColor="text1"/>
          <w:szCs w:val="22"/>
        </w:rPr>
        <w:t xml:space="preserve"> regimen</w:t>
      </w:r>
      <w:r w:rsidR="00780B75" w:rsidRPr="002E6BC6">
        <w:rPr>
          <w:rFonts w:asciiTheme="minorHAnsi" w:eastAsiaTheme="minorHAnsi" w:hAnsiTheme="minorHAnsi" w:cstheme="minorBidi"/>
          <w:color w:val="000000" w:themeColor="text1"/>
          <w:szCs w:val="22"/>
        </w:rPr>
        <w:t xml:space="preserve"> for patients &lt;30 kg, a treatment </w:t>
      </w:r>
      <w:r w:rsidR="00780B75" w:rsidRPr="002E6BC6">
        <w:rPr>
          <w:rFonts w:asciiTheme="minorHAnsi" w:eastAsiaTheme="minorHAnsi" w:hAnsiTheme="minorHAnsi" w:cstheme="minorBidi"/>
          <w:color w:val="000000" w:themeColor="text1"/>
          <w:szCs w:val="22"/>
        </w:rPr>
        <w:lastRenderedPageBreak/>
        <w:t>period of 24 weeks</w:t>
      </w:r>
      <w:r w:rsidR="003E7107" w:rsidRPr="002E6BC6">
        <w:rPr>
          <w:rFonts w:asciiTheme="minorHAnsi" w:eastAsiaTheme="minorHAnsi" w:hAnsiTheme="minorHAnsi" w:cstheme="minorBidi"/>
          <w:color w:val="000000" w:themeColor="text1"/>
          <w:szCs w:val="22"/>
        </w:rPr>
        <w:t xml:space="preserve"> (corresponding to 2 packs) </w:t>
      </w:r>
      <w:r w:rsidR="00780B75" w:rsidRPr="002E6BC6">
        <w:rPr>
          <w:rFonts w:asciiTheme="minorHAnsi" w:eastAsiaTheme="minorHAnsi" w:hAnsiTheme="minorHAnsi" w:cstheme="minorBidi"/>
          <w:color w:val="000000" w:themeColor="text1"/>
          <w:szCs w:val="22"/>
        </w:rPr>
        <w:t>would be required to</w:t>
      </w:r>
      <w:r w:rsidR="003E7107" w:rsidRPr="002E6BC6">
        <w:rPr>
          <w:rFonts w:asciiTheme="minorHAnsi" w:eastAsiaTheme="minorHAnsi" w:hAnsiTheme="minorHAnsi" w:cstheme="minorBidi"/>
          <w:color w:val="000000" w:themeColor="text1"/>
          <w:szCs w:val="22"/>
        </w:rPr>
        <w:t xml:space="preserve"> allow for adequate assessment of treatment response</w:t>
      </w:r>
      <w:r w:rsidR="00780B75" w:rsidRPr="002E6BC6">
        <w:rPr>
          <w:rFonts w:asciiTheme="minorHAnsi" w:eastAsiaTheme="minorHAnsi" w:hAnsiTheme="minorHAnsi" w:cstheme="minorBidi"/>
          <w:color w:val="000000" w:themeColor="text1"/>
          <w:szCs w:val="22"/>
        </w:rPr>
        <w:t>.</w:t>
      </w:r>
      <w:r w:rsidR="00FB4837" w:rsidRPr="00A74ECF">
        <w:rPr>
          <w:rFonts w:asciiTheme="minorHAnsi" w:hAnsiTheme="minorHAnsi" w:cs="Arial"/>
          <w:bCs/>
          <w:snapToGrid w:val="0"/>
          <w:lang w:eastAsia="en-US"/>
        </w:rPr>
        <w:t xml:space="preserve"> </w:t>
      </w:r>
    </w:p>
    <w:p w:rsidR="00FB4837" w:rsidRPr="00A74ECF" w:rsidRDefault="00FB4837" w:rsidP="00357A48">
      <w:pPr>
        <w:widowControl w:val="0"/>
        <w:numPr>
          <w:ilvl w:val="1"/>
          <w:numId w:val="5"/>
        </w:numPr>
        <w:spacing w:before="120" w:after="120"/>
        <w:jc w:val="both"/>
        <w:rPr>
          <w:rFonts w:asciiTheme="minorHAnsi" w:hAnsiTheme="minorHAnsi" w:cs="Arial"/>
          <w:bCs/>
          <w:snapToGrid w:val="0"/>
          <w:lang w:eastAsia="en-US"/>
        </w:rPr>
      </w:pPr>
      <w:r w:rsidRPr="00A74ECF">
        <w:rPr>
          <w:rFonts w:asciiTheme="minorHAnsi" w:hAnsiTheme="minorHAnsi" w:cs="Arial"/>
          <w:bCs/>
          <w:snapToGrid w:val="0"/>
          <w:lang w:eastAsia="en-US"/>
        </w:rPr>
        <w:t>The PBAC considered it would be appropriate</w:t>
      </w:r>
      <w:r w:rsidR="009D4C74" w:rsidRPr="00A74ECF">
        <w:rPr>
          <w:rFonts w:asciiTheme="minorHAnsi" w:hAnsiTheme="minorHAnsi" w:cs="Arial"/>
          <w:bCs/>
          <w:snapToGrid w:val="0"/>
          <w:lang w:eastAsia="en-US"/>
        </w:rPr>
        <w:t xml:space="preserve"> </w:t>
      </w:r>
      <w:r w:rsidR="00590549" w:rsidRPr="00A74ECF">
        <w:rPr>
          <w:rFonts w:asciiTheme="minorHAnsi" w:hAnsiTheme="minorHAnsi" w:cs="Arial"/>
          <w:bCs/>
          <w:snapToGrid w:val="0"/>
          <w:lang w:eastAsia="en-US"/>
        </w:rPr>
        <w:t xml:space="preserve">to </w:t>
      </w:r>
      <w:r w:rsidR="009D4C74" w:rsidRPr="00A74ECF">
        <w:rPr>
          <w:rFonts w:asciiTheme="minorHAnsi" w:hAnsiTheme="minorHAnsi" w:cs="Arial"/>
          <w:bCs/>
          <w:snapToGrid w:val="0"/>
          <w:lang w:eastAsia="en-US"/>
        </w:rPr>
        <w:t xml:space="preserve">write to the </w:t>
      </w:r>
      <w:r w:rsidRPr="00A74ECF">
        <w:rPr>
          <w:rFonts w:asciiTheme="minorHAnsi" w:hAnsiTheme="minorHAnsi" w:cs="Arial"/>
          <w:bCs/>
          <w:snapToGrid w:val="0"/>
          <w:lang w:eastAsia="en-US"/>
        </w:rPr>
        <w:t xml:space="preserve">Australian Rheumatology Association (ARA) </w:t>
      </w:r>
      <w:r w:rsidR="009D4C74" w:rsidRPr="00A74ECF">
        <w:rPr>
          <w:rFonts w:asciiTheme="minorHAnsi" w:hAnsiTheme="minorHAnsi" w:cs="Arial"/>
          <w:bCs/>
          <w:snapToGrid w:val="0"/>
          <w:lang w:eastAsia="en-US"/>
        </w:rPr>
        <w:t xml:space="preserve">prior to the listing of </w:t>
      </w:r>
      <w:proofErr w:type="spellStart"/>
      <w:r w:rsidR="009D4C74" w:rsidRPr="00A74ECF">
        <w:rPr>
          <w:rFonts w:asciiTheme="minorHAnsi" w:hAnsiTheme="minorHAnsi" w:cs="Arial"/>
          <w:bCs/>
          <w:snapToGrid w:val="0"/>
          <w:lang w:eastAsia="en-US"/>
        </w:rPr>
        <w:t>tocilizumab</w:t>
      </w:r>
      <w:proofErr w:type="spellEnd"/>
      <w:r w:rsidR="009D4C74" w:rsidRPr="00A74ECF">
        <w:rPr>
          <w:rFonts w:asciiTheme="minorHAnsi" w:hAnsiTheme="minorHAnsi" w:cs="Arial"/>
          <w:bCs/>
          <w:snapToGrid w:val="0"/>
          <w:lang w:eastAsia="en-US"/>
        </w:rPr>
        <w:t xml:space="preserve"> SC for severe active JIA </w:t>
      </w:r>
      <w:r w:rsidR="00590549" w:rsidRPr="00A74ECF">
        <w:rPr>
          <w:rFonts w:asciiTheme="minorHAnsi" w:hAnsiTheme="minorHAnsi" w:cs="Arial"/>
          <w:bCs/>
          <w:snapToGrid w:val="0"/>
          <w:lang w:eastAsia="en-US"/>
        </w:rPr>
        <w:t xml:space="preserve">so that the ARA may notify prescribers of the upcoming listing. The PBAC considered it would be beneficial for prescribers to become familiar with the restrictions prior to the PBS listing date given the differences to the current restrictions for IV </w:t>
      </w:r>
      <w:proofErr w:type="spellStart"/>
      <w:r w:rsidR="00590549" w:rsidRPr="00A74ECF">
        <w:rPr>
          <w:rFonts w:asciiTheme="minorHAnsi" w:hAnsiTheme="minorHAnsi" w:cs="Arial"/>
          <w:bCs/>
          <w:snapToGrid w:val="0"/>
          <w:lang w:eastAsia="en-US"/>
        </w:rPr>
        <w:t>tocilizumab</w:t>
      </w:r>
      <w:proofErr w:type="spellEnd"/>
      <w:r w:rsidR="00590549" w:rsidRPr="00A74ECF">
        <w:rPr>
          <w:rFonts w:asciiTheme="minorHAnsi" w:hAnsiTheme="minorHAnsi" w:cs="Arial"/>
          <w:bCs/>
          <w:snapToGrid w:val="0"/>
          <w:lang w:eastAsia="en-US"/>
        </w:rPr>
        <w:t xml:space="preserve"> for the same indication. </w:t>
      </w:r>
    </w:p>
    <w:p w:rsidR="00C44397" w:rsidRDefault="00FF7BA2" w:rsidP="00357A48">
      <w:pPr>
        <w:widowControl w:val="0"/>
        <w:numPr>
          <w:ilvl w:val="1"/>
          <w:numId w:val="5"/>
        </w:numPr>
        <w:spacing w:before="120" w:after="120"/>
        <w:jc w:val="both"/>
        <w:rPr>
          <w:rFonts w:asciiTheme="minorHAnsi" w:hAnsiTheme="minorHAnsi" w:cs="Arial"/>
          <w:bCs/>
          <w:snapToGrid w:val="0"/>
          <w:lang w:eastAsia="en-US"/>
        </w:rPr>
      </w:pPr>
      <w:r w:rsidRPr="00A74ECF">
        <w:rPr>
          <w:rFonts w:asciiTheme="minorHAnsi" w:hAnsiTheme="minorHAnsi" w:cs="Arial"/>
          <w:bCs/>
          <w:snapToGrid w:val="0"/>
          <w:lang w:eastAsia="en-US"/>
        </w:rPr>
        <w:t>The PBAC</w:t>
      </w:r>
      <w:r w:rsidR="00423F5C" w:rsidRPr="00A74ECF">
        <w:rPr>
          <w:rFonts w:asciiTheme="minorHAnsi" w:hAnsiTheme="minorHAnsi" w:cs="Arial"/>
          <w:bCs/>
          <w:snapToGrid w:val="0"/>
          <w:lang w:eastAsia="en-US"/>
        </w:rPr>
        <w:t xml:space="preserve"> noted the cost-minimisation analysis of </w:t>
      </w:r>
      <w:proofErr w:type="spellStart"/>
      <w:r w:rsidR="00423F5C" w:rsidRPr="00A74ECF">
        <w:rPr>
          <w:rFonts w:asciiTheme="minorHAnsi" w:hAnsiTheme="minorHAnsi" w:cs="Arial"/>
          <w:bCs/>
          <w:snapToGrid w:val="0"/>
          <w:lang w:eastAsia="en-US"/>
        </w:rPr>
        <w:t>tocilizumab</w:t>
      </w:r>
      <w:proofErr w:type="spellEnd"/>
      <w:r w:rsidR="00423F5C" w:rsidRPr="00A74ECF">
        <w:rPr>
          <w:rFonts w:asciiTheme="minorHAnsi" w:hAnsiTheme="minorHAnsi" w:cs="Arial"/>
          <w:bCs/>
          <w:snapToGrid w:val="0"/>
          <w:lang w:eastAsia="en-US"/>
        </w:rPr>
        <w:t xml:space="preserve"> SC versus IV </w:t>
      </w:r>
      <w:proofErr w:type="spellStart"/>
      <w:r w:rsidR="00423F5C" w:rsidRPr="00A74ECF">
        <w:rPr>
          <w:rFonts w:asciiTheme="minorHAnsi" w:hAnsiTheme="minorHAnsi" w:cs="Arial"/>
          <w:bCs/>
          <w:snapToGrid w:val="0"/>
          <w:lang w:eastAsia="en-US"/>
        </w:rPr>
        <w:t>tocilizumab</w:t>
      </w:r>
      <w:proofErr w:type="spellEnd"/>
      <w:r w:rsidR="00423F5C" w:rsidRPr="00A74ECF">
        <w:rPr>
          <w:rFonts w:asciiTheme="minorHAnsi" w:hAnsiTheme="minorHAnsi" w:cs="Arial"/>
          <w:bCs/>
          <w:snapToGrid w:val="0"/>
          <w:lang w:eastAsia="en-US"/>
        </w:rPr>
        <w:t xml:space="preserve">. The PBAC considered </w:t>
      </w:r>
      <w:proofErr w:type="spellStart"/>
      <w:r w:rsidR="00423F5C" w:rsidRPr="00A74ECF">
        <w:rPr>
          <w:rFonts w:asciiTheme="minorHAnsi" w:hAnsiTheme="minorHAnsi" w:cs="Arial"/>
          <w:bCs/>
          <w:snapToGrid w:val="0"/>
          <w:lang w:eastAsia="en-US"/>
        </w:rPr>
        <w:t>etanercept</w:t>
      </w:r>
      <w:proofErr w:type="spellEnd"/>
      <w:r w:rsidR="00423F5C" w:rsidRPr="00A74ECF">
        <w:rPr>
          <w:rFonts w:asciiTheme="minorHAnsi" w:hAnsiTheme="minorHAnsi" w:cs="Arial"/>
          <w:bCs/>
          <w:snapToGrid w:val="0"/>
          <w:lang w:eastAsia="en-US"/>
        </w:rPr>
        <w:t xml:space="preserve"> and </w:t>
      </w:r>
      <w:proofErr w:type="spellStart"/>
      <w:r w:rsidR="00423F5C" w:rsidRPr="00A74ECF">
        <w:rPr>
          <w:rFonts w:asciiTheme="minorHAnsi" w:hAnsiTheme="minorHAnsi" w:cs="Arial"/>
          <w:bCs/>
          <w:snapToGrid w:val="0"/>
          <w:lang w:eastAsia="en-US"/>
        </w:rPr>
        <w:t>adalimumab</w:t>
      </w:r>
      <w:proofErr w:type="spellEnd"/>
      <w:r w:rsidR="00423F5C" w:rsidRPr="00A74ECF">
        <w:rPr>
          <w:rFonts w:asciiTheme="minorHAnsi" w:hAnsiTheme="minorHAnsi" w:cs="Arial"/>
          <w:bCs/>
          <w:snapToGrid w:val="0"/>
          <w:lang w:eastAsia="en-US"/>
        </w:rPr>
        <w:t xml:space="preserve"> were also appropriate comparators however noted that </w:t>
      </w:r>
      <w:proofErr w:type="spellStart"/>
      <w:r w:rsidR="00757CDA" w:rsidRPr="00A74ECF">
        <w:rPr>
          <w:rFonts w:asciiTheme="minorHAnsi" w:hAnsiTheme="minorHAnsi" w:cs="Arial"/>
          <w:bCs/>
          <w:snapToGrid w:val="0"/>
          <w:lang w:eastAsia="en-US"/>
        </w:rPr>
        <w:t>tocilizumab</w:t>
      </w:r>
      <w:proofErr w:type="spellEnd"/>
      <w:r w:rsidR="00757CDA" w:rsidRPr="00A74ECF">
        <w:rPr>
          <w:rFonts w:asciiTheme="minorHAnsi" w:hAnsiTheme="minorHAnsi" w:cs="Arial"/>
          <w:bCs/>
          <w:snapToGrid w:val="0"/>
          <w:lang w:eastAsia="en-US"/>
        </w:rPr>
        <w:t xml:space="preserve"> IV </w:t>
      </w:r>
      <w:r w:rsidR="00423F5C" w:rsidRPr="00A74ECF">
        <w:rPr>
          <w:rFonts w:asciiTheme="minorHAnsi" w:hAnsiTheme="minorHAnsi" w:cs="Arial"/>
          <w:bCs/>
          <w:snapToGrid w:val="0"/>
          <w:lang w:eastAsia="en-US"/>
        </w:rPr>
        <w:t>was the lowest cost</w:t>
      </w:r>
      <w:r w:rsidR="00757CDA" w:rsidRPr="00A74ECF">
        <w:rPr>
          <w:rFonts w:asciiTheme="minorHAnsi" w:hAnsiTheme="minorHAnsi" w:cs="Arial"/>
          <w:bCs/>
          <w:snapToGrid w:val="0"/>
          <w:lang w:eastAsia="en-US"/>
        </w:rPr>
        <w:t xml:space="preserve"> comparator.</w:t>
      </w:r>
    </w:p>
    <w:p w:rsidR="00757CDA" w:rsidRPr="00A74ECF" w:rsidRDefault="00C44397" w:rsidP="00357A48">
      <w:pPr>
        <w:widowControl w:val="0"/>
        <w:numPr>
          <w:ilvl w:val="1"/>
          <w:numId w:val="5"/>
        </w:numPr>
        <w:spacing w:before="120" w:after="120"/>
        <w:jc w:val="both"/>
        <w:rPr>
          <w:rFonts w:asciiTheme="minorHAnsi" w:hAnsiTheme="minorHAnsi" w:cs="Arial"/>
          <w:bCs/>
          <w:snapToGrid w:val="0"/>
          <w:lang w:eastAsia="en-US"/>
        </w:rPr>
      </w:pPr>
      <w:r>
        <w:rPr>
          <w:rFonts w:asciiTheme="minorHAnsi" w:hAnsiTheme="minorHAnsi" w:cs="Arial"/>
          <w:bCs/>
          <w:snapToGrid w:val="0"/>
          <w:lang w:eastAsia="en-US"/>
        </w:rPr>
        <w:t>The PBAC noted the argument presented in the pre-PBAC response</w:t>
      </w:r>
      <w:r w:rsidR="00AE6AC8">
        <w:rPr>
          <w:rFonts w:asciiTheme="minorHAnsi" w:hAnsiTheme="minorHAnsi" w:cs="Arial"/>
          <w:bCs/>
          <w:snapToGrid w:val="0"/>
          <w:lang w:eastAsia="en-US"/>
        </w:rPr>
        <w:t xml:space="preserve"> that the sponsor facilitates administration of </w:t>
      </w:r>
      <w:proofErr w:type="spellStart"/>
      <w:r w:rsidR="00AE6AC8">
        <w:rPr>
          <w:rFonts w:asciiTheme="minorHAnsi" w:hAnsiTheme="minorHAnsi" w:cs="Arial"/>
          <w:bCs/>
          <w:snapToGrid w:val="0"/>
          <w:lang w:eastAsia="en-US"/>
        </w:rPr>
        <w:t>tocilizumab</w:t>
      </w:r>
      <w:proofErr w:type="spellEnd"/>
      <w:r w:rsidR="00AE6AC8">
        <w:rPr>
          <w:rFonts w:asciiTheme="minorHAnsi" w:hAnsiTheme="minorHAnsi" w:cs="Arial"/>
          <w:bCs/>
          <w:snapToGrid w:val="0"/>
          <w:lang w:eastAsia="en-US"/>
        </w:rPr>
        <w:t xml:space="preserve"> SC at the time of prescribing through a sampling program</w:t>
      </w:r>
      <w:r>
        <w:rPr>
          <w:rFonts w:asciiTheme="minorHAnsi" w:hAnsiTheme="minorHAnsi" w:cs="Arial"/>
          <w:bCs/>
          <w:snapToGrid w:val="0"/>
          <w:lang w:eastAsia="en-US"/>
        </w:rPr>
        <w:t xml:space="preserve"> </w:t>
      </w:r>
      <w:r w:rsidR="00AE6AC8">
        <w:rPr>
          <w:rFonts w:asciiTheme="minorHAnsi" w:hAnsiTheme="minorHAnsi" w:cs="Arial"/>
          <w:bCs/>
          <w:snapToGrid w:val="0"/>
          <w:lang w:eastAsia="en-US"/>
        </w:rPr>
        <w:t>regarding</w:t>
      </w:r>
      <w:r>
        <w:rPr>
          <w:rFonts w:asciiTheme="minorHAnsi" w:hAnsiTheme="minorHAnsi" w:cs="Arial"/>
          <w:bCs/>
          <w:snapToGrid w:val="0"/>
          <w:lang w:eastAsia="en-US"/>
        </w:rPr>
        <w:t xml:space="preserve"> the exclusion of a consultation item fee</w:t>
      </w:r>
      <w:r w:rsidR="00AE6AC8">
        <w:rPr>
          <w:rFonts w:asciiTheme="minorHAnsi" w:hAnsiTheme="minorHAnsi" w:cs="Arial"/>
          <w:bCs/>
          <w:snapToGrid w:val="0"/>
          <w:lang w:eastAsia="en-US"/>
        </w:rPr>
        <w:t xml:space="preserve"> from the cost-minimisation analysis</w:t>
      </w:r>
      <w:r>
        <w:rPr>
          <w:rFonts w:asciiTheme="minorHAnsi" w:hAnsiTheme="minorHAnsi" w:cs="Arial"/>
          <w:bCs/>
          <w:snapToGrid w:val="0"/>
          <w:lang w:eastAsia="en-US"/>
        </w:rPr>
        <w:t xml:space="preserve"> for the</w:t>
      </w:r>
      <w:r w:rsidR="00AE6AC8">
        <w:rPr>
          <w:rFonts w:asciiTheme="minorHAnsi" w:hAnsiTheme="minorHAnsi" w:cs="Arial"/>
          <w:bCs/>
          <w:snapToGrid w:val="0"/>
          <w:lang w:eastAsia="en-US"/>
        </w:rPr>
        <w:t xml:space="preserve"> administration of the</w:t>
      </w:r>
      <w:r>
        <w:rPr>
          <w:rFonts w:asciiTheme="minorHAnsi" w:hAnsiTheme="minorHAnsi" w:cs="Arial"/>
          <w:bCs/>
          <w:snapToGrid w:val="0"/>
          <w:lang w:eastAsia="en-US"/>
        </w:rPr>
        <w:t xml:space="preserve"> first dose of </w:t>
      </w:r>
      <w:proofErr w:type="spellStart"/>
      <w:r>
        <w:rPr>
          <w:rFonts w:asciiTheme="minorHAnsi" w:hAnsiTheme="minorHAnsi" w:cs="Arial"/>
          <w:bCs/>
          <w:snapToGrid w:val="0"/>
          <w:lang w:eastAsia="en-US"/>
        </w:rPr>
        <w:t>tocilizumab</w:t>
      </w:r>
      <w:proofErr w:type="spellEnd"/>
      <w:r>
        <w:rPr>
          <w:rFonts w:asciiTheme="minorHAnsi" w:hAnsiTheme="minorHAnsi" w:cs="Arial"/>
          <w:bCs/>
          <w:snapToGrid w:val="0"/>
          <w:lang w:eastAsia="en-US"/>
        </w:rPr>
        <w:t xml:space="preserve"> SC</w:t>
      </w:r>
      <w:r w:rsidR="00AE6AC8">
        <w:rPr>
          <w:rFonts w:asciiTheme="minorHAnsi" w:hAnsiTheme="minorHAnsi" w:cs="Arial"/>
          <w:bCs/>
          <w:snapToGrid w:val="0"/>
          <w:lang w:eastAsia="en-US"/>
        </w:rPr>
        <w:t xml:space="preserve"> </w:t>
      </w:r>
      <w:r>
        <w:rPr>
          <w:rFonts w:asciiTheme="minorHAnsi" w:hAnsiTheme="minorHAnsi" w:cs="Arial"/>
          <w:bCs/>
          <w:snapToGrid w:val="0"/>
          <w:lang w:eastAsia="en-US"/>
        </w:rPr>
        <w:t>(see paragraph 5.9)</w:t>
      </w:r>
      <w:r w:rsidR="00AE6AC8">
        <w:rPr>
          <w:rFonts w:asciiTheme="minorHAnsi" w:hAnsiTheme="minorHAnsi" w:cs="Arial"/>
          <w:bCs/>
          <w:snapToGrid w:val="0"/>
          <w:lang w:eastAsia="en-US"/>
        </w:rPr>
        <w:t xml:space="preserve">. However, the PBAC considered that the exclusion of the consultation item fee from the cost-minimisation analysis was not </w:t>
      </w:r>
      <w:proofErr w:type="gramStart"/>
      <w:r w:rsidR="00AE6AC8">
        <w:rPr>
          <w:rFonts w:asciiTheme="minorHAnsi" w:hAnsiTheme="minorHAnsi" w:cs="Arial"/>
          <w:bCs/>
          <w:snapToGrid w:val="0"/>
          <w:lang w:eastAsia="en-US"/>
        </w:rPr>
        <w:t>appropriate</w:t>
      </w:r>
      <w:proofErr w:type="gramEnd"/>
      <w:r w:rsidR="00AE6AC8">
        <w:rPr>
          <w:rFonts w:asciiTheme="minorHAnsi" w:hAnsiTheme="minorHAnsi" w:cs="Arial"/>
          <w:bCs/>
          <w:snapToGrid w:val="0"/>
          <w:lang w:eastAsia="en-US"/>
        </w:rPr>
        <w:t xml:space="preserve"> as a significant proportion of hospitals do not permit free samples of medicines. </w:t>
      </w:r>
    </w:p>
    <w:p w:rsidR="00423F5C" w:rsidRPr="00A74ECF" w:rsidRDefault="00423F5C" w:rsidP="00357A48">
      <w:pPr>
        <w:widowControl w:val="0"/>
        <w:numPr>
          <w:ilvl w:val="1"/>
          <w:numId w:val="5"/>
        </w:numPr>
        <w:spacing w:before="120" w:after="120"/>
        <w:jc w:val="both"/>
        <w:rPr>
          <w:rFonts w:asciiTheme="minorHAnsi" w:hAnsiTheme="minorHAnsi" w:cs="Arial"/>
          <w:bCs/>
          <w:snapToGrid w:val="0"/>
          <w:lang w:eastAsia="en-US"/>
        </w:rPr>
      </w:pPr>
      <w:r w:rsidRPr="00A74ECF">
        <w:rPr>
          <w:rFonts w:asciiTheme="minorHAnsi" w:hAnsiTheme="minorHAnsi" w:cs="Arial"/>
          <w:bCs/>
          <w:snapToGrid w:val="0"/>
          <w:lang w:eastAsia="en-US"/>
        </w:rPr>
        <w:t xml:space="preserve">The PBAC considered that </w:t>
      </w:r>
      <w:proofErr w:type="spellStart"/>
      <w:r w:rsidRPr="00A74ECF">
        <w:rPr>
          <w:rFonts w:asciiTheme="minorHAnsi" w:hAnsiTheme="minorHAnsi" w:cs="Arial"/>
          <w:bCs/>
          <w:snapToGrid w:val="0"/>
          <w:lang w:eastAsia="en-US"/>
        </w:rPr>
        <w:t>tocilizumab</w:t>
      </w:r>
      <w:proofErr w:type="spellEnd"/>
      <w:r w:rsidRPr="00A74ECF">
        <w:rPr>
          <w:rFonts w:asciiTheme="minorHAnsi" w:hAnsiTheme="minorHAnsi" w:cs="Arial"/>
          <w:bCs/>
          <w:snapToGrid w:val="0"/>
          <w:lang w:eastAsia="en-US"/>
        </w:rPr>
        <w:t xml:space="preserve"> SC </w:t>
      </w:r>
      <w:r w:rsidR="00F24F0C" w:rsidRPr="00A74ECF">
        <w:rPr>
          <w:rFonts w:asciiTheme="minorHAnsi" w:hAnsiTheme="minorHAnsi" w:cs="Arial"/>
          <w:bCs/>
          <w:snapToGrid w:val="0"/>
          <w:lang w:eastAsia="en-US"/>
        </w:rPr>
        <w:t>would provide an additional treatment option with greater convenience</w:t>
      </w:r>
      <w:r w:rsidR="002E6BC6">
        <w:rPr>
          <w:rFonts w:asciiTheme="minorHAnsi" w:hAnsiTheme="minorHAnsi" w:cs="Arial"/>
          <w:bCs/>
          <w:snapToGrid w:val="0"/>
          <w:lang w:eastAsia="en-US"/>
        </w:rPr>
        <w:t>,</w:t>
      </w:r>
      <w:r w:rsidR="00F24F0C" w:rsidRPr="00A74ECF">
        <w:rPr>
          <w:rFonts w:asciiTheme="minorHAnsi" w:hAnsiTheme="minorHAnsi" w:cs="Arial"/>
          <w:bCs/>
          <w:snapToGrid w:val="0"/>
          <w:lang w:eastAsia="en-US"/>
        </w:rPr>
        <w:t xml:space="preserve"> </w:t>
      </w:r>
      <w:proofErr w:type="gramStart"/>
      <w:r w:rsidR="00F24F0C" w:rsidRPr="00A74ECF">
        <w:rPr>
          <w:rFonts w:asciiTheme="minorHAnsi" w:hAnsiTheme="minorHAnsi" w:cs="Arial"/>
          <w:bCs/>
          <w:snapToGrid w:val="0"/>
          <w:lang w:eastAsia="en-US"/>
        </w:rPr>
        <w:t xml:space="preserve">particularly for patients in </w:t>
      </w:r>
      <w:r w:rsidR="000F1245" w:rsidRPr="00A74ECF">
        <w:rPr>
          <w:rFonts w:asciiTheme="minorHAnsi" w:hAnsiTheme="minorHAnsi" w:cs="Arial"/>
          <w:bCs/>
          <w:snapToGrid w:val="0"/>
          <w:lang w:eastAsia="en-US"/>
        </w:rPr>
        <w:t xml:space="preserve">rural </w:t>
      </w:r>
      <w:r w:rsidR="00F24F0C" w:rsidRPr="00A74ECF">
        <w:rPr>
          <w:rFonts w:asciiTheme="minorHAnsi" w:hAnsiTheme="minorHAnsi" w:cs="Arial"/>
          <w:bCs/>
          <w:snapToGrid w:val="0"/>
          <w:lang w:eastAsia="en-US"/>
        </w:rPr>
        <w:t xml:space="preserve">areas without </w:t>
      </w:r>
      <w:r w:rsidR="000F1245" w:rsidRPr="00A74ECF">
        <w:rPr>
          <w:rFonts w:asciiTheme="minorHAnsi" w:hAnsiTheme="minorHAnsi" w:cs="Arial"/>
          <w:bCs/>
          <w:snapToGrid w:val="0"/>
          <w:lang w:eastAsia="en-US"/>
        </w:rPr>
        <w:t>access to a</w:t>
      </w:r>
      <w:r w:rsidR="00F24F0C" w:rsidRPr="00A74ECF">
        <w:rPr>
          <w:rFonts w:asciiTheme="minorHAnsi" w:hAnsiTheme="minorHAnsi" w:cs="Arial"/>
          <w:bCs/>
          <w:snapToGrid w:val="0"/>
          <w:lang w:eastAsia="en-US"/>
        </w:rPr>
        <w:t xml:space="preserve"> nearby hospital</w:t>
      </w:r>
      <w:proofErr w:type="gramEnd"/>
      <w:r w:rsidR="002E6BC6">
        <w:rPr>
          <w:rFonts w:asciiTheme="minorHAnsi" w:hAnsiTheme="minorHAnsi" w:cs="Arial"/>
          <w:bCs/>
          <w:snapToGrid w:val="0"/>
          <w:lang w:eastAsia="en-US"/>
        </w:rPr>
        <w:t xml:space="preserve">. </w:t>
      </w:r>
      <w:r w:rsidR="00F24F0C" w:rsidRPr="00A74ECF">
        <w:rPr>
          <w:rFonts w:asciiTheme="minorHAnsi" w:hAnsiTheme="minorHAnsi" w:cs="Arial"/>
          <w:bCs/>
          <w:snapToGrid w:val="0"/>
          <w:lang w:eastAsia="en-US"/>
        </w:rPr>
        <w:t xml:space="preserve"> </w:t>
      </w:r>
    </w:p>
    <w:p w:rsidR="00D11867" w:rsidRPr="00A74ECF" w:rsidRDefault="00D11867" w:rsidP="00357A48">
      <w:pPr>
        <w:widowControl w:val="0"/>
        <w:numPr>
          <w:ilvl w:val="1"/>
          <w:numId w:val="5"/>
        </w:numPr>
        <w:spacing w:before="120" w:after="120"/>
        <w:jc w:val="both"/>
        <w:rPr>
          <w:rFonts w:ascii="Arial" w:hAnsi="Arial" w:cs="Arial"/>
          <w:snapToGrid w:val="0"/>
          <w:sz w:val="22"/>
          <w:szCs w:val="20"/>
        </w:rPr>
      </w:pPr>
      <w:r w:rsidRPr="002E6BC6">
        <w:rPr>
          <w:rFonts w:asciiTheme="minorHAnsi" w:eastAsiaTheme="minorHAnsi" w:hAnsiTheme="minorHAnsi" w:cstheme="minorBidi"/>
          <w:szCs w:val="22"/>
        </w:rPr>
        <w:t>The PBAC recommended that</w:t>
      </w:r>
      <w:r w:rsidR="00C5082C" w:rsidRPr="002E6BC6">
        <w:rPr>
          <w:rFonts w:asciiTheme="minorHAnsi" w:eastAsiaTheme="minorHAnsi" w:hAnsiTheme="minorHAnsi" w:cstheme="minorBidi"/>
          <w:szCs w:val="22"/>
        </w:rPr>
        <w:t xml:space="preserve"> IV </w:t>
      </w:r>
      <w:proofErr w:type="spellStart"/>
      <w:r w:rsidR="00C5082C" w:rsidRPr="002E6BC6">
        <w:rPr>
          <w:rFonts w:asciiTheme="minorHAnsi" w:eastAsiaTheme="minorHAnsi" w:hAnsiTheme="minorHAnsi" w:cstheme="minorBidi"/>
          <w:szCs w:val="22"/>
        </w:rPr>
        <w:t>tocilizumab</w:t>
      </w:r>
      <w:proofErr w:type="spellEnd"/>
      <w:r w:rsidR="00C5082C" w:rsidRPr="002E6BC6">
        <w:rPr>
          <w:rFonts w:asciiTheme="minorHAnsi" w:eastAsiaTheme="minorHAnsi" w:hAnsiTheme="minorHAnsi" w:cstheme="minorBidi"/>
          <w:szCs w:val="22"/>
        </w:rPr>
        <w:t xml:space="preserve"> and</w:t>
      </w:r>
      <w:r w:rsidRPr="002E6BC6">
        <w:rPr>
          <w:rFonts w:asciiTheme="minorHAnsi" w:eastAsiaTheme="minorHAnsi" w:hAnsiTheme="minorHAnsi" w:cstheme="minorBidi"/>
          <w:szCs w:val="22"/>
        </w:rPr>
        <w:t xml:space="preserve"> the 162 mg in 0.9 mL </w:t>
      </w:r>
      <w:r w:rsidR="00C5082C" w:rsidRPr="002E6BC6">
        <w:rPr>
          <w:rFonts w:asciiTheme="minorHAnsi" w:eastAsiaTheme="minorHAnsi" w:hAnsiTheme="minorHAnsi" w:cstheme="minorBidi"/>
          <w:szCs w:val="22"/>
        </w:rPr>
        <w:t>SC</w:t>
      </w:r>
      <w:r w:rsidRPr="002E6BC6">
        <w:rPr>
          <w:rFonts w:asciiTheme="minorHAnsi" w:eastAsiaTheme="minorHAnsi" w:hAnsiTheme="minorHAnsi" w:cstheme="minorBidi"/>
          <w:szCs w:val="22"/>
        </w:rPr>
        <w:t xml:space="preserve"> forms of </w:t>
      </w:r>
      <w:proofErr w:type="spellStart"/>
      <w:r w:rsidRPr="002E6BC6">
        <w:rPr>
          <w:rFonts w:asciiTheme="minorHAnsi" w:eastAsiaTheme="minorHAnsi" w:hAnsiTheme="minorHAnsi" w:cstheme="minorBidi"/>
          <w:szCs w:val="22"/>
        </w:rPr>
        <w:t>tocilizumab</w:t>
      </w:r>
      <w:proofErr w:type="spellEnd"/>
      <w:r w:rsidRPr="002E6BC6">
        <w:rPr>
          <w:rFonts w:asciiTheme="minorHAnsi" w:eastAsiaTheme="minorHAnsi" w:hAnsiTheme="minorHAnsi" w:cstheme="minorBidi"/>
          <w:szCs w:val="22"/>
        </w:rPr>
        <w:t xml:space="preserve"> should not be considered equivalent for the purposes of substitution (i.e., ‘a’ flagged in the Schedule). </w:t>
      </w:r>
    </w:p>
    <w:p w:rsidR="00364C9B" w:rsidRPr="00A74ECF" w:rsidRDefault="00364C9B" w:rsidP="00357A48">
      <w:pPr>
        <w:widowControl w:val="0"/>
        <w:numPr>
          <w:ilvl w:val="1"/>
          <w:numId w:val="5"/>
        </w:numPr>
        <w:spacing w:before="120" w:after="120"/>
        <w:jc w:val="both"/>
        <w:rPr>
          <w:rFonts w:asciiTheme="minorHAnsi" w:hAnsiTheme="minorHAnsi" w:cs="Arial"/>
          <w:bCs/>
          <w:snapToGrid w:val="0"/>
          <w:lang w:eastAsia="en-US"/>
        </w:rPr>
      </w:pPr>
      <w:r w:rsidRPr="00A74ECF">
        <w:rPr>
          <w:rFonts w:asciiTheme="minorHAnsi" w:hAnsiTheme="minorHAnsi" w:cs="Arial"/>
          <w:bCs/>
          <w:snapToGrid w:val="0"/>
          <w:lang w:eastAsia="en-US"/>
        </w:rPr>
        <w:t xml:space="preserve">The PBAC advised </w:t>
      </w:r>
      <w:r w:rsidR="00A06821">
        <w:rPr>
          <w:rFonts w:asciiTheme="minorHAnsi" w:hAnsiTheme="minorHAnsi" w:cs="Arial"/>
          <w:bCs/>
          <w:snapToGrid w:val="0"/>
          <w:lang w:eastAsia="en-US"/>
        </w:rPr>
        <w:t>that</w:t>
      </w:r>
      <w:r w:rsidR="00C5082C" w:rsidRPr="00A74ECF">
        <w:rPr>
          <w:rFonts w:asciiTheme="minorHAnsi" w:hAnsiTheme="minorHAnsi" w:cs="Arial"/>
          <w:bCs/>
          <w:snapToGrid w:val="0"/>
          <w:lang w:eastAsia="en-US"/>
        </w:rPr>
        <w:t xml:space="preserve"> </w:t>
      </w:r>
      <w:proofErr w:type="spellStart"/>
      <w:r w:rsidR="00C5082C" w:rsidRPr="00A74ECF">
        <w:rPr>
          <w:rFonts w:asciiTheme="minorHAnsi" w:hAnsiTheme="minorHAnsi" w:cs="Arial"/>
          <w:bCs/>
          <w:snapToGrid w:val="0"/>
          <w:lang w:eastAsia="en-US"/>
        </w:rPr>
        <w:t>tocilizumab</w:t>
      </w:r>
      <w:proofErr w:type="spellEnd"/>
      <w:r w:rsidR="00994892" w:rsidRPr="00A74ECF">
        <w:rPr>
          <w:rFonts w:asciiTheme="minorHAnsi" w:hAnsiTheme="minorHAnsi" w:cs="Arial"/>
          <w:bCs/>
          <w:snapToGrid w:val="0"/>
          <w:lang w:eastAsia="en-US"/>
        </w:rPr>
        <w:t xml:space="preserve"> SC</w:t>
      </w:r>
      <w:r w:rsidRPr="00A74ECF">
        <w:rPr>
          <w:rFonts w:asciiTheme="minorHAnsi" w:hAnsiTheme="minorHAnsi" w:cs="Arial"/>
          <w:bCs/>
          <w:snapToGrid w:val="0"/>
          <w:lang w:eastAsia="en-US"/>
        </w:rPr>
        <w:t xml:space="preserve"> </w:t>
      </w:r>
      <w:r w:rsidR="00A06821">
        <w:rPr>
          <w:rFonts w:asciiTheme="minorHAnsi" w:hAnsiTheme="minorHAnsi" w:cs="Arial"/>
          <w:bCs/>
          <w:snapToGrid w:val="0"/>
          <w:lang w:eastAsia="en-US"/>
        </w:rPr>
        <w:t xml:space="preserve">is </w:t>
      </w:r>
      <w:r w:rsidRPr="00A74ECF">
        <w:rPr>
          <w:rFonts w:asciiTheme="minorHAnsi" w:hAnsiTheme="minorHAnsi" w:cs="Arial"/>
          <w:bCs/>
          <w:snapToGrid w:val="0"/>
          <w:lang w:eastAsia="en-US"/>
        </w:rPr>
        <w:t>not suitable for prescribing by nurse practitioners</w:t>
      </w:r>
      <w:r w:rsidR="002E6BC6">
        <w:rPr>
          <w:rFonts w:asciiTheme="minorHAnsi" w:hAnsiTheme="minorHAnsi" w:cs="Arial"/>
          <w:bCs/>
          <w:snapToGrid w:val="0"/>
          <w:lang w:eastAsia="en-US"/>
        </w:rPr>
        <w:t xml:space="preserve">. </w:t>
      </w:r>
    </w:p>
    <w:p w:rsidR="00364C9B" w:rsidRDefault="00364C9B" w:rsidP="00357A48">
      <w:pPr>
        <w:widowControl w:val="0"/>
        <w:numPr>
          <w:ilvl w:val="1"/>
          <w:numId w:val="5"/>
        </w:numPr>
        <w:spacing w:before="120" w:after="120"/>
        <w:jc w:val="both"/>
        <w:rPr>
          <w:rFonts w:asciiTheme="minorHAnsi" w:hAnsiTheme="minorHAnsi" w:cs="Arial"/>
          <w:bCs/>
          <w:snapToGrid w:val="0"/>
          <w:lang w:eastAsia="en-US"/>
        </w:rPr>
      </w:pPr>
      <w:r w:rsidRPr="00A74ECF">
        <w:rPr>
          <w:rFonts w:asciiTheme="minorHAnsi" w:hAnsiTheme="minorHAnsi" w:cs="Arial"/>
          <w:bCs/>
          <w:snapToGrid w:val="0"/>
          <w:lang w:eastAsia="en-US"/>
        </w:rPr>
        <w:t>The PBAC recommended that the Early Supply Rule should apply</w:t>
      </w:r>
      <w:r w:rsidR="000F1245" w:rsidRPr="00A74ECF">
        <w:rPr>
          <w:rFonts w:asciiTheme="minorHAnsi" w:hAnsiTheme="minorHAnsi" w:cs="Arial"/>
          <w:bCs/>
          <w:snapToGrid w:val="0"/>
          <w:lang w:eastAsia="en-US"/>
        </w:rPr>
        <w:t xml:space="preserve"> to the continuing treatment phase listings</w:t>
      </w:r>
      <w:r w:rsidRPr="00A74ECF">
        <w:rPr>
          <w:rFonts w:asciiTheme="minorHAnsi" w:hAnsiTheme="minorHAnsi" w:cs="Arial"/>
          <w:bCs/>
          <w:snapToGrid w:val="0"/>
          <w:lang w:eastAsia="en-US"/>
        </w:rPr>
        <w:t xml:space="preserve">. </w:t>
      </w:r>
    </w:p>
    <w:p w:rsidR="00146AD7" w:rsidRPr="00A74ECF" w:rsidRDefault="00146AD7" w:rsidP="00357A48">
      <w:pPr>
        <w:widowControl w:val="0"/>
        <w:numPr>
          <w:ilvl w:val="1"/>
          <w:numId w:val="5"/>
        </w:numPr>
        <w:spacing w:before="120" w:after="120"/>
        <w:jc w:val="both"/>
        <w:rPr>
          <w:rFonts w:asciiTheme="minorHAnsi" w:hAnsiTheme="minorHAnsi" w:cs="Arial"/>
          <w:bCs/>
          <w:snapToGrid w:val="0"/>
          <w:lang w:eastAsia="en-US"/>
        </w:rPr>
      </w:pPr>
      <w:r>
        <w:rPr>
          <w:rFonts w:asciiTheme="minorHAnsi" w:hAnsiTheme="minorHAnsi" w:cs="Arial"/>
          <w:bCs/>
          <w:snapToGrid w:val="0"/>
          <w:lang w:eastAsia="en-US"/>
        </w:rPr>
        <w:t xml:space="preserve">The PBAC noted that this submission is not eligible for an Independent review, as it received a positive recommendation.  </w:t>
      </w:r>
    </w:p>
    <w:p w:rsidR="00364C9B" w:rsidRPr="00A74ECF" w:rsidRDefault="00364C9B" w:rsidP="00357A48">
      <w:pPr>
        <w:spacing w:before="120" w:after="120"/>
        <w:jc w:val="both"/>
        <w:rPr>
          <w:rFonts w:asciiTheme="minorHAnsi" w:hAnsiTheme="minorHAnsi" w:cs="Arial"/>
          <w:b/>
          <w:bCs/>
          <w:snapToGrid w:val="0"/>
          <w:lang w:eastAsia="en-US"/>
        </w:rPr>
      </w:pPr>
      <w:r w:rsidRPr="00A74ECF">
        <w:rPr>
          <w:rFonts w:asciiTheme="minorHAnsi" w:hAnsiTheme="minorHAnsi" w:cs="Arial"/>
          <w:b/>
          <w:bCs/>
          <w:snapToGrid w:val="0"/>
          <w:lang w:eastAsia="en-US"/>
        </w:rPr>
        <w:t>Outcome:</w:t>
      </w:r>
    </w:p>
    <w:p w:rsidR="00DC4EE1" w:rsidRDefault="00364C9B" w:rsidP="00357A48">
      <w:pPr>
        <w:spacing w:before="120" w:after="120"/>
        <w:jc w:val="both"/>
        <w:rPr>
          <w:rFonts w:asciiTheme="minorHAnsi" w:hAnsiTheme="minorHAnsi" w:cs="Arial"/>
          <w:bCs/>
          <w:snapToGrid w:val="0"/>
          <w:lang w:eastAsia="en-US"/>
        </w:rPr>
      </w:pPr>
      <w:r w:rsidRPr="00A74ECF">
        <w:rPr>
          <w:rFonts w:asciiTheme="minorHAnsi" w:hAnsiTheme="minorHAnsi" w:cs="Arial"/>
          <w:bCs/>
          <w:snapToGrid w:val="0"/>
          <w:lang w:eastAsia="en-US"/>
        </w:rPr>
        <w:t xml:space="preserve">Recommended </w:t>
      </w:r>
    </w:p>
    <w:p w:rsidR="00F24F0C" w:rsidRPr="002E6BC6" w:rsidRDefault="00DC4EE1" w:rsidP="005A5959">
      <w:pPr>
        <w:pStyle w:val="PBACHeading1"/>
        <w:spacing w:before="120" w:after="120"/>
        <w:rPr>
          <w:rFonts w:asciiTheme="minorHAnsi" w:hAnsiTheme="minorHAnsi"/>
          <w:bCs/>
          <w:sz w:val="24"/>
          <w:szCs w:val="24"/>
        </w:rPr>
      </w:pPr>
      <w:r>
        <w:rPr>
          <w:rFonts w:asciiTheme="minorHAnsi" w:hAnsiTheme="minorHAnsi"/>
          <w:bCs/>
        </w:rPr>
        <w:br w:type="column"/>
      </w:r>
      <w:r w:rsidR="00F24F0C" w:rsidRPr="002E6BC6">
        <w:rPr>
          <w:rFonts w:asciiTheme="minorHAnsi" w:hAnsiTheme="minorHAnsi" w:cstheme="minorHAnsi"/>
          <w:sz w:val="32"/>
        </w:rPr>
        <w:lastRenderedPageBreak/>
        <w:t xml:space="preserve">Recommended listing </w:t>
      </w:r>
    </w:p>
    <w:p w:rsidR="00C407EA" w:rsidRPr="00A74ECF" w:rsidRDefault="00C407EA" w:rsidP="00357A48">
      <w:pPr>
        <w:widowControl w:val="0"/>
        <w:numPr>
          <w:ilvl w:val="1"/>
          <w:numId w:val="14"/>
        </w:numPr>
        <w:spacing w:before="120" w:after="120"/>
        <w:jc w:val="both"/>
        <w:rPr>
          <w:rFonts w:asciiTheme="minorHAnsi" w:hAnsiTheme="minorHAnsi" w:cs="Arial"/>
          <w:bCs/>
          <w:snapToGrid w:val="0"/>
          <w:lang w:eastAsia="en-US"/>
        </w:rPr>
      </w:pPr>
      <w:r w:rsidRPr="00A74ECF">
        <w:rPr>
          <w:rFonts w:asciiTheme="minorHAnsi" w:hAnsiTheme="minorHAnsi" w:cs="Arial"/>
          <w:bCs/>
          <w:snapToGrid w:val="0"/>
          <w:lang w:eastAsia="en-US"/>
        </w:rPr>
        <w:t>Add new item:</w:t>
      </w:r>
    </w:p>
    <w:p w:rsidR="007E3879" w:rsidRPr="002E6BC6" w:rsidRDefault="00E971CF" w:rsidP="00357A48">
      <w:pPr>
        <w:keepNext/>
        <w:spacing w:before="120" w:after="120"/>
        <w:rPr>
          <w:rFonts w:asciiTheme="minorHAnsi" w:eastAsiaTheme="minorHAnsi" w:hAnsiTheme="minorHAnsi" w:cstheme="minorHAnsi"/>
          <w:i/>
          <w:szCs w:val="22"/>
        </w:rPr>
      </w:pPr>
      <w:r w:rsidRPr="002E6BC6">
        <w:rPr>
          <w:rFonts w:asciiTheme="minorHAnsi" w:eastAsiaTheme="minorHAnsi" w:hAnsiTheme="minorHAnsi" w:cstheme="minorHAnsi"/>
          <w:i/>
          <w:szCs w:val="22"/>
        </w:rPr>
        <w:t xml:space="preserve">Amendments to the General statement for Treatment of Patients with Severe Active Juvenile Idiopathic Arthritis </w:t>
      </w:r>
      <w:proofErr w:type="gramStart"/>
      <w:r w:rsidRPr="002E6BC6">
        <w:rPr>
          <w:rFonts w:asciiTheme="minorHAnsi" w:eastAsiaTheme="minorHAnsi" w:hAnsiTheme="minorHAnsi" w:cstheme="minorHAnsi"/>
          <w:i/>
          <w:szCs w:val="22"/>
        </w:rPr>
        <w:t>are shown</w:t>
      </w:r>
      <w:proofErr w:type="gramEnd"/>
      <w:r w:rsidRPr="002E6BC6">
        <w:rPr>
          <w:rFonts w:asciiTheme="minorHAnsi" w:eastAsiaTheme="minorHAnsi" w:hAnsiTheme="minorHAnsi" w:cstheme="minorHAnsi"/>
          <w:i/>
          <w:szCs w:val="22"/>
        </w:rPr>
        <w:t xml:space="preserve"> separately </w:t>
      </w:r>
      <w:r w:rsidR="004D5247" w:rsidRPr="002E6BC6">
        <w:rPr>
          <w:rFonts w:asciiTheme="minorHAnsi" w:eastAsiaTheme="minorHAnsi" w:hAnsiTheme="minorHAnsi" w:cstheme="minorHAnsi"/>
          <w:i/>
          <w:szCs w:val="22"/>
        </w:rPr>
        <w:t xml:space="preserve">below the tables. </w:t>
      </w:r>
    </w:p>
    <w:tbl>
      <w:tblPr>
        <w:tblW w:w="5000" w:type="pct"/>
        <w:tblLook w:val="0000" w:firstRow="0" w:lastRow="0" w:firstColumn="0" w:lastColumn="0" w:noHBand="0" w:noVBand="0"/>
      </w:tblPr>
      <w:tblGrid>
        <w:gridCol w:w="2873"/>
        <w:gridCol w:w="616"/>
        <w:gridCol w:w="1009"/>
        <w:gridCol w:w="1009"/>
        <w:gridCol w:w="1401"/>
        <w:gridCol w:w="827"/>
        <w:gridCol w:w="1291"/>
      </w:tblGrid>
      <w:tr w:rsidR="00CA14CD" w:rsidRPr="002E6BC6" w:rsidTr="00E62807">
        <w:trPr>
          <w:trHeight w:val="465"/>
        </w:trPr>
        <w:tc>
          <w:tcPr>
            <w:tcW w:w="1592" w:type="pct"/>
            <w:tcBorders>
              <w:bottom w:val="single" w:sz="4" w:space="0" w:color="auto"/>
            </w:tcBorders>
          </w:tcPr>
          <w:p w:rsidR="00CA14CD" w:rsidRPr="002E6BC6" w:rsidRDefault="00CA14CD"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Name, Restriction,</w:t>
            </w:r>
          </w:p>
          <w:p w:rsidR="00CA14CD" w:rsidRPr="002E6BC6" w:rsidRDefault="00CA14CD"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Manner of administration and form</w:t>
            </w:r>
          </w:p>
        </w:tc>
        <w:tc>
          <w:tcPr>
            <w:tcW w:w="341" w:type="pct"/>
            <w:tcBorders>
              <w:bottom w:val="single" w:sz="4" w:space="0" w:color="auto"/>
            </w:tcBorders>
          </w:tcPr>
          <w:p w:rsidR="00CA14CD" w:rsidRPr="002E6BC6" w:rsidRDefault="00CA14CD"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Max.</w:t>
            </w:r>
          </w:p>
          <w:p w:rsidR="00CA14CD" w:rsidRPr="002E6BC6" w:rsidRDefault="00CA14CD" w:rsidP="005E11C2">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Qty</w:t>
            </w:r>
            <w:proofErr w:type="spellEnd"/>
          </w:p>
        </w:tc>
        <w:tc>
          <w:tcPr>
            <w:tcW w:w="559" w:type="pct"/>
            <w:tcBorders>
              <w:bottom w:val="single" w:sz="4" w:space="0" w:color="auto"/>
            </w:tcBorders>
          </w:tcPr>
          <w:p w:rsidR="00CA14CD" w:rsidRPr="002E6BC6" w:rsidRDefault="00CA14CD" w:rsidP="005E11C2">
            <w:pPr>
              <w:keepNext/>
              <w:spacing w:before="40" w:after="40"/>
              <w:jc w:val="both"/>
              <w:rPr>
                <w:rFonts w:ascii="Arial Narrow" w:hAnsi="Arial Narrow" w:cs="Arial"/>
                <w:b/>
                <w:sz w:val="20"/>
                <w:szCs w:val="20"/>
              </w:rPr>
            </w:pPr>
          </w:p>
        </w:tc>
        <w:tc>
          <w:tcPr>
            <w:tcW w:w="559" w:type="pct"/>
            <w:tcBorders>
              <w:bottom w:val="single" w:sz="4" w:space="0" w:color="auto"/>
            </w:tcBorders>
          </w:tcPr>
          <w:p w:rsidR="00CA14CD" w:rsidRPr="002E6BC6" w:rsidRDefault="00CA14CD"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№.of</w:t>
            </w:r>
          </w:p>
          <w:p w:rsidR="00CA14CD" w:rsidRPr="002E6BC6" w:rsidRDefault="00CA14CD" w:rsidP="005E11C2">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Rpts</w:t>
            </w:r>
            <w:proofErr w:type="spellEnd"/>
          </w:p>
        </w:tc>
        <w:tc>
          <w:tcPr>
            <w:tcW w:w="776" w:type="pct"/>
            <w:tcBorders>
              <w:bottom w:val="single" w:sz="4" w:space="0" w:color="auto"/>
            </w:tcBorders>
          </w:tcPr>
          <w:p w:rsidR="00CA14CD" w:rsidRPr="002E6BC6" w:rsidRDefault="00CA14CD" w:rsidP="005E11C2">
            <w:pPr>
              <w:keepNext/>
              <w:spacing w:before="40" w:after="40"/>
              <w:jc w:val="both"/>
              <w:rPr>
                <w:rFonts w:ascii="Arial Narrow" w:hAnsi="Arial Narrow" w:cs="Arial"/>
                <w:b/>
                <w:sz w:val="20"/>
                <w:szCs w:val="20"/>
              </w:rPr>
            </w:pPr>
          </w:p>
        </w:tc>
        <w:tc>
          <w:tcPr>
            <w:tcW w:w="1173" w:type="pct"/>
            <w:gridSpan w:val="2"/>
            <w:tcBorders>
              <w:bottom w:val="single" w:sz="4" w:space="0" w:color="auto"/>
            </w:tcBorders>
          </w:tcPr>
          <w:p w:rsidR="00CA14CD" w:rsidRPr="005346BB" w:rsidRDefault="00CA14CD"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Proprietary Name and Manufacturer</w:t>
            </w:r>
          </w:p>
        </w:tc>
      </w:tr>
      <w:tr w:rsidR="00CA14CD" w:rsidRPr="002E6BC6" w:rsidTr="00E62807">
        <w:trPr>
          <w:trHeight w:val="567"/>
        </w:trPr>
        <w:tc>
          <w:tcPr>
            <w:tcW w:w="1592" w:type="pct"/>
          </w:tcPr>
          <w:p w:rsidR="00CA14CD" w:rsidRPr="002E6BC6" w:rsidRDefault="00CA14CD" w:rsidP="005E11C2">
            <w:pPr>
              <w:keepNext/>
              <w:spacing w:before="40" w:after="40"/>
              <w:jc w:val="both"/>
              <w:rPr>
                <w:rFonts w:ascii="Arial Narrow" w:hAnsi="Arial Narrow" w:cs="Arial"/>
                <w:sz w:val="20"/>
                <w:szCs w:val="20"/>
              </w:rPr>
            </w:pPr>
            <w:r w:rsidRPr="002E6BC6">
              <w:rPr>
                <w:rFonts w:ascii="Arial Narrow" w:hAnsi="Arial Narrow" w:cs="Arial"/>
                <w:smallCaps/>
                <w:sz w:val="20"/>
                <w:szCs w:val="20"/>
              </w:rPr>
              <w:t xml:space="preserve">TOCILIZUMAB </w:t>
            </w:r>
          </w:p>
          <w:p w:rsidR="00CA14CD" w:rsidRPr="002E6BC6" w:rsidRDefault="00CA14CD" w:rsidP="005E11C2">
            <w:pPr>
              <w:keepNext/>
              <w:spacing w:before="40" w:after="40"/>
              <w:jc w:val="both"/>
              <w:rPr>
                <w:rFonts w:ascii="Arial Narrow" w:hAnsi="Arial Narrow" w:cs="Arial"/>
                <w:sz w:val="20"/>
                <w:szCs w:val="20"/>
              </w:rPr>
            </w:pPr>
            <w:r w:rsidRPr="002E6BC6">
              <w:rPr>
                <w:rFonts w:ascii="Arial Narrow" w:hAnsi="Arial Narrow" w:cs="Arial"/>
                <w:sz w:val="20"/>
                <w:szCs w:val="20"/>
              </w:rPr>
              <w:t>162 mg/0.9 mL, 4 x 0.9 mL</w:t>
            </w:r>
          </w:p>
          <w:p w:rsidR="00CA14CD" w:rsidRPr="002E6BC6" w:rsidRDefault="00CA14CD" w:rsidP="005E11C2">
            <w:pPr>
              <w:keepNext/>
              <w:spacing w:before="40" w:after="40"/>
              <w:jc w:val="both"/>
              <w:rPr>
                <w:rFonts w:ascii="Arial Narrow" w:hAnsi="Arial Narrow" w:cs="Arial"/>
                <w:sz w:val="20"/>
                <w:szCs w:val="20"/>
              </w:rPr>
            </w:pPr>
            <w:r w:rsidRPr="002E6BC6">
              <w:rPr>
                <w:rFonts w:ascii="Arial Narrow" w:hAnsi="Arial Narrow" w:cs="Arial"/>
                <w:sz w:val="20"/>
                <w:szCs w:val="20"/>
              </w:rPr>
              <w:t>auto-injector</w:t>
            </w:r>
          </w:p>
          <w:p w:rsidR="00CA14CD" w:rsidRPr="002E6BC6" w:rsidRDefault="00CA14CD" w:rsidP="005E11C2">
            <w:pPr>
              <w:keepNext/>
              <w:spacing w:before="40" w:after="40"/>
              <w:jc w:val="both"/>
              <w:rPr>
                <w:rFonts w:ascii="Arial Narrow" w:hAnsi="Arial Narrow" w:cs="Arial"/>
                <w:sz w:val="20"/>
                <w:szCs w:val="20"/>
              </w:rPr>
            </w:pPr>
            <w:r w:rsidRPr="002E6BC6">
              <w:rPr>
                <w:rFonts w:ascii="Arial Narrow" w:hAnsi="Arial Narrow" w:cs="Arial"/>
                <w:sz w:val="20"/>
                <w:szCs w:val="20"/>
              </w:rPr>
              <w:t>162 mg/0.9 mL, 4 x 0.9 mL</w:t>
            </w:r>
          </w:p>
          <w:p w:rsidR="00CA14CD" w:rsidRPr="002E6BC6" w:rsidRDefault="00CA14CD" w:rsidP="005E11C2">
            <w:pPr>
              <w:keepNext/>
              <w:spacing w:before="40" w:after="40"/>
              <w:jc w:val="both"/>
              <w:rPr>
                <w:rFonts w:ascii="Arial Narrow" w:hAnsi="Arial Narrow" w:cs="Arial"/>
                <w:sz w:val="20"/>
                <w:szCs w:val="20"/>
              </w:rPr>
            </w:pPr>
            <w:r w:rsidRPr="002E6BC6">
              <w:rPr>
                <w:rFonts w:ascii="Arial Narrow" w:hAnsi="Arial Narrow" w:cs="Arial"/>
                <w:sz w:val="20"/>
                <w:szCs w:val="20"/>
              </w:rPr>
              <w:t>syringe</w:t>
            </w:r>
          </w:p>
        </w:tc>
        <w:tc>
          <w:tcPr>
            <w:tcW w:w="341" w:type="pct"/>
          </w:tcPr>
          <w:p w:rsidR="00CA14CD" w:rsidRPr="002E6BC6" w:rsidRDefault="00CA14CD" w:rsidP="005E11C2">
            <w:pPr>
              <w:keepNext/>
              <w:spacing w:before="40" w:after="40"/>
              <w:jc w:val="both"/>
              <w:rPr>
                <w:rFonts w:ascii="Arial Narrow" w:hAnsi="Arial Narrow" w:cs="Arial"/>
                <w:sz w:val="20"/>
                <w:szCs w:val="20"/>
              </w:rPr>
            </w:pPr>
          </w:p>
          <w:p w:rsidR="00CA14CD" w:rsidRPr="002E6BC6" w:rsidRDefault="00CA14CD" w:rsidP="005E11C2">
            <w:pPr>
              <w:keepNext/>
              <w:spacing w:before="40" w:after="40"/>
              <w:jc w:val="both"/>
              <w:rPr>
                <w:rFonts w:ascii="Arial Narrow" w:hAnsi="Arial Narrow" w:cs="Arial"/>
                <w:sz w:val="20"/>
                <w:szCs w:val="20"/>
              </w:rPr>
            </w:pPr>
            <w:r w:rsidRPr="002E6BC6">
              <w:rPr>
                <w:rFonts w:ascii="Arial Narrow" w:hAnsi="Arial Narrow" w:cs="Arial"/>
                <w:sz w:val="20"/>
                <w:szCs w:val="20"/>
              </w:rPr>
              <w:t>1</w:t>
            </w:r>
          </w:p>
          <w:p w:rsidR="00CA14CD" w:rsidRPr="002E6BC6" w:rsidRDefault="00CA14CD" w:rsidP="005E11C2">
            <w:pPr>
              <w:keepNext/>
              <w:spacing w:before="40" w:after="40"/>
              <w:jc w:val="both"/>
              <w:rPr>
                <w:rFonts w:ascii="Arial Narrow" w:hAnsi="Arial Narrow" w:cs="Arial"/>
                <w:sz w:val="20"/>
                <w:szCs w:val="20"/>
              </w:rPr>
            </w:pPr>
          </w:p>
          <w:p w:rsidR="00CA14CD" w:rsidRPr="002E6BC6" w:rsidRDefault="00CA14CD" w:rsidP="005E11C2">
            <w:pPr>
              <w:keepNext/>
              <w:spacing w:before="40" w:after="40"/>
              <w:jc w:val="both"/>
              <w:rPr>
                <w:rFonts w:ascii="Arial Narrow" w:hAnsi="Arial Narrow" w:cs="Arial"/>
                <w:sz w:val="20"/>
                <w:szCs w:val="20"/>
              </w:rPr>
            </w:pPr>
            <w:r w:rsidRPr="002E6BC6">
              <w:rPr>
                <w:rFonts w:ascii="Arial Narrow" w:hAnsi="Arial Narrow" w:cs="Arial"/>
                <w:sz w:val="20"/>
                <w:szCs w:val="20"/>
              </w:rPr>
              <w:t>1</w:t>
            </w:r>
          </w:p>
        </w:tc>
        <w:tc>
          <w:tcPr>
            <w:tcW w:w="559" w:type="pct"/>
          </w:tcPr>
          <w:p w:rsidR="00CA14CD" w:rsidRPr="002E6BC6" w:rsidRDefault="00CA14CD" w:rsidP="005E11C2">
            <w:pPr>
              <w:keepNext/>
              <w:spacing w:before="40" w:after="40"/>
              <w:jc w:val="both"/>
              <w:rPr>
                <w:rFonts w:ascii="Arial Narrow" w:hAnsi="Arial Narrow" w:cs="Arial"/>
                <w:sz w:val="20"/>
                <w:szCs w:val="20"/>
              </w:rPr>
            </w:pPr>
          </w:p>
        </w:tc>
        <w:tc>
          <w:tcPr>
            <w:tcW w:w="559" w:type="pct"/>
          </w:tcPr>
          <w:p w:rsidR="00CA14CD" w:rsidRPr="002E6BC6" w:rsidRDefault="00CA14CD" w:rsidP="005E11C2">
            <w:pPr>
              <w:keepNext/>
              <w:spacing w:before="40" w:after="40"/>
              <w:jc w:val="both"/>
              <w:rPr>
                <w:rFonts w:ascii="Arial Narrow" w:hAnsi="Arial Narrow" w:cs="Arial"/>
                <w:sz w:val="20"/>
                <w:szCs w:val="20"/>
              </w:rPr>
            </w:pPr>
          </w:p>
          <w:p w:rsidR="00CA14CD" w:rsidRPr="002E6BC6" w:rsidRDefault="00CA14CD" w:rsidP="005E11C2">
            <w:pPr>
              <w:keepNext/>
              <w:spacing w:before="40" w:after="40"/>
              <w:jc w:val="both"/>
              <w:rPr>
                <w:rFonts w:ascii="Arial Narrow" w:hAnsi="Arial Narrow" w:cs="Arial"/>
                <w:sz w:val="20"/>
                <w:szCs w:val="20"/>
              </w:rPr>
            </w:pPr>
            <w:r w:rsidRPr="002E6BC6">
              <w:rPr>
                <w:rFonts w:ascii="Arial Narrow" w:hAnsi="Arial Narrow" w:cs="Arial"/>
                <w:sz w:val="20"/>
                <w:szCs w:val="20"/>
              </w:rPr>
              <w:t>1</w:t>
            </w:r>
          </w:p>
          <w:p w:rsidR="00CA14CD" w:rsidRPr="002E6BC6" w:rsidRDefault="00CA14CD" w:rsidP="005E11C2">
            <w:pPr>
              <w:keepNext/>
              <w:spacing w:before="40" w:after="40"/>
              <w:jc w:val="both"/>
              <w:rPr>
                <w:rFonts w:ascii="Arial Narrow" w:hAnsi="Arial Narrow" w:cs="Arial"/>
                <w:sz w:val="20"/>
                <w:szCs w:val="20"/>
              </w:rPr>
            </w:pPr>
          </w:p>
          <w:p w:rsidR="00CA14CD" w:rsidRPr="002E6BC6" w:rsidRDefault="00CA14CD" w:rsidP="005E11C2">
            <w:pPr>
              <w:keepNext/>
              <w:spacing w:before="40" w:after="40"/>
              <w:jc w:val="both"/>
              <w:rPr>
                <w:rFonts w:ascii="Arial Narrow" w:hAnsi="Arial Narrow" w:cs="Arial"/>
                <w:sz w:val="20"/>
                <w:szCs w:val="20"/>
              </w:rPr>
            </w:pPr>
            <w:r w:rsidRPr="002E6BC6">
              <w:rPr>
                <w:rFonts w:ascii="Arial Narrow" w:hAnsi="Arial Narrow" w:cs="Arial"/>
                <w:sz w:val="20"/>
                <w:szCs w:val="20"/>
              </w:rPr>
              <w:t>1</w:t>
            </w:r>
          </w:p>
        </w:tc>
        <w:tc>
          <w:tcPr>
            <w:tcW w:w="776" w:type="pct"/>
          </w:tcPr>
          <w:p w:rsidR="00CA14CD" w:rsidRPr="002E6BC6" w:rsidRDefault="00CA14CD" w:rsidP="005E11C2">
            <w:pPr>
              <w:keepNext/>
              <w:spacing w:before="40" w:after="40"/>
              <w:jc w:val="both"/>
              <w:rPr>
                <w:rFonts w:ascii="Arial Narrow" w:hAnsi="Arial Narrow" w:cs="Arial"/>
                <w:sz w:val="20"/>
                <w:szCs w:val="20"/>
              </w:rPr>
            </w:pPr>
          </w:p>
          <w:p w:rsidR="00CA14CD" w:rsidRPr="002E6BC6" w:rsidRDefault="00CA14CD" w:rsidP="005E11C2">
            <w:pPr>
              <w:keepNext/>
              <w:spacing w:before="40" w:after="40"/>
              <w:jc w:val="both"/>
              <w:rPr>
                <w:rFonts w:ascii="Arial Narrow" w:hAnsi="Arial Narrow" w:cs="Arial"/>
                <w:sz w:val="20"/>
                <w:szCs w:val="20"/>
              </w:rPr>
            </w:pPr>
          </w:p>
        </w:tc>
        <w:tc>
          <w:tcPr>
            <w:tcW w:w="458" w:type="pct"/>
          </w:tcPr>
          <w:p w:rsidR="00CA14CD" w:rsidRPr="002E6BC6" w:rsidRDefault="00CA14CD" w:rsidP="005E11C2">
            <w:pPr>
              <w:keepNext/>
              <w:spacing w:before="40" w:after="40"/>
              <w:jc w:val="both"/>
              <w:rPr>
                <w:rFonts w:ascii="Arial Narrow" w:hAnsi="Arial Narrow" w:cs="Arial"/>
                <w:sz w:val="20"/>
                <w:szCs w:val="20"/>
              </w:rPr>
            </w:pPr>
          </w:p>
          <w:p w:rsidR="00CA14CD" w:rsidRPr="002E6BC6" w:rsidRDefault="00CA14CD" w:rsidP="005E11C2">
            <w:pPr>
              <w:keepNext/>
              <w:spacing w:before="40" w:after="40"/>
              <w:jc w:val="both"/>
              <w:rPr>
                <w:rFonts w:ascii="Arial Narrow" w:hAnsi="Arial Narrow" w:cs="Arial"/>
                <w:sz w:val="20"/>
                <w:szCs w:val="20"/>
              </w:rPr>
            </w:pPr>
            <w:proofErr w:type="spellStart"/>
            <w:r w:rsidRPr="002E6BC6">
              <w:rPr>
                <w:rFonts w:ascii="Arial Narrow" w:hAnsi="Arial Narrow" w:cs="Arial"/>
                <w:sz w:val="20"/>
                <w:szCs w:val="20"/>
              </w:rPr>
              <w:t>Actemra</w:t>
            </w:r>
            <w:proofErr w:type="spellEnd"/>
          </w:p>
        </w:tc>
        <w:tc>
          <w:tcPr>
            <w:tcW w:w="715" w:type="pct"/>
          </w:tcPr>
          <w:p w:rsidR="00CA14CD" w:rsidRPr="002E6BC6" w:rsidRDefault="00CA14CD" w:rsidP="005E11C2">
            <w:pPr>
              <w:keepNext/>
              <w:spacing w:before="40" w:after="40"/>
              <w:jc w:val="both"/>
              <w:rPr>
                <w:rFonts w:ascii="Arial Narrow" w:hAnsi="Arial Narrow" w:cs="Arial"/>
                <w:sz w:val="20"/>
                <w:szCs w:val="20"/>
              </w:rPr>
            </w:pPr>
          </w:p>
          <w:p w:rsidR="00CA14CD" w:rsidRPr="002E6BC6" w:rsidRDefault="00CA14CD" w:rsidP="005E11C2">
            <w:pPr>
              <w:keepNext/>
              <w:spacing w:before="40" w:after="40"/>
              <w:jc w:val="both"/>
              <w:rPr>
                <w:rFonts w:ascii="Arial Narrow" w:hAnsi="Arial Narrow" w:cs="Arial"/>
                <w:sz w:val="20"/>
                <w:szCs w:val="20"/>
              </w:rPr>
            </w:pPr>
            <w:r w:rsidRPr="002E6BC6">
              <w:rPr>
                <w:rFonts w:ascii="Arial Narrow" w:hAnsi="Arial Narrow" w:cs="Arial"/>
                <w:sz w:val="20"/>
                <w:szCs w:val="20"/>
              </w:rPr>
              <w:t>Roche Products</w:t>
            </w:r>
          </w:p>
        </w:tc>
      </w:tr>
    </w:tbl>
    <w:p w:rsidR="00CA14CD" w:rsidRPr="002E6BC6" w:rsidRDefault="00CA14CD" w:rsidP="00F457C8"/>
    <w:p w:rsidR="0001130B" w:rsidRPr="002E6BC6" w:rsidRDefault="0001130B" w:rsidP="00F457C8">
      <w:pPr>
        <w:rPr>
          <w:rFonts w:asciiTheme="minorHAnsi" w:hAnsiTheme="minorHAnsi" w:cstheme="minorHAnsi"/>
        </w:rPr>
      </w:pPr>
      <w:r w:rsidRPr="002E6BC6">
        <w:rPr>
          <w:rFonts w:asciiTheme="minorHAnsi" w:hAnsiTheme="minorHAnsi" w:cstheme="minorHAnsi"/>
        </w:rPr>
        <w:t xml:space="preserve">Initial treatment   (patients &lt; 30 kg &amp; ≥ 30 kg) </w:t>
      </w:r>
    </w:p>
    <w:p w:rsidR="0001130B" w:rsidRPr="002E6BC6" w:rsidRDefault="0001130B" w:rsidP="00F457C8"/>
    <w:tbl>
      <w:tblPr>
        <w:tblW w:w="5000" w:type="pct"/>
        <w:tblLook w:val="0000" w:firstRow="0" w:lastRow="0" w:firstColumn="0" w:lastColumn="0" w:noHBand="0" w:noVBand="0"/>
      </w:tblPr>
      <w:tblGrid>
        <w:gridCol w:w="1917"/>
        <w:gridCol w:w="7099"/>
      </w:tblGrid>
      <w:tr w:rsidR="00203621"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03621" w:rsidRPr="002E6BC6" w:rsidRDefault="00203621" w:rsidP="005E11C2">
            <w:pPr>
              <w:spacing w:before="40" w:after="40"/>
              <w:jc w:val="both"/>
              <w:rPr>
                <w:rFonts w:ascii="Arial Narrow" w:hAnsi="Arial Narrow" w:cs="Arial"/>
                <w:b/>
                <w:sz w:val="20"/>
                <w:szCs w:val="20"/>
              </w:rPr>
            </w:pPr>
            <w:r w:rsidRPr="002E6BC6">
              <w:rPr>
                <w:rFonts w:ascii="Arial Narrow" w:hAnsi="Arial Narrow" w:cs="Arial"/>
                <w:b/>
                <w:sz w:val="20"/>
                <w:szCs w:val="20"/>
              </w:rPr>
              <w:t xml:space="preserve">Category / </w:t>
            </w:r>
          </w:p>
          <w:p w:rsidR="00203621" w:rsidRPr="002E6BC6" w:rsidRDefault="00203621" w:rsidP="005E11C2">
            <w:pPr>
              <w:spacing w:before="40" w:after="40"/>
              <w:jc w:val="both"/>
              <w:rPr>
                <w:rFonts w:ascii="Arial Narrow" w:hAnsi="Arial Narrow" w:cs="Arial"/>
                <w:b/>
                <w:sz w:val="20"/>
                <w:szCs w:val="20"/>
              </w:rPr>
            </w:pPr>
            <w:r w:rsidRPr="002E6BC6">
              <w:rPr>
                <w:rFonts w:ascii="Arial Narrow" w:hAnsi="Arial Narrow" w:cs="Arial"/>
                <w:b/>
                <w:sz w:val="20"/>
                <w:szCs w:val="20"/>
              </w:rPr>
              <w:t>Program</w:t>
            </w:r>
          </w:p>
        </w:tc>
        <w:tc>
          <w:tcPr>
            <w:tcW w:w="3937" w:type="pct"/>
            <w:tcBorders>
              <w:top w:val="single" w:sz="4" w:space="0" w:color="auto"/>
              <w:left w:val="single" w:sz="4" w:space="0" w:color="auto"/>
              <w:bottom w:val="single" w:sz="4" w:space="0" w:color="auto"/>
              <w:right w:val="single" w:sz="4" w:space="0" w:color="auto"/>
            </w:tcBorders>
          </w:tcPr>
          <w:p w:rsidR="00203621" w:rsidRPr="002E6BC6" w:rsidRDefault="00203621" w:rsidP="005E11C2">
            <w:pPr>
              <w:spacing w:before="40" w:after="40"/>
              <w:rPr>
                <w:rFonts w:ascii="Arial Narrow" w:hAnsi="Arial Narrow" w:cs="Arial"/>
                <w:sz w:val="20"/>
                <w:szCs w:val="20"/>
              </w:rPr>
            </w:pPr>
            <w:r w:rsidRPr="002E6BC6">
              <w:rPr>
                <w:rFonts w:ascii="Arial Narrow" w:hAnsi="Arial Narrow" w:cs="Arial"/>
                <w:sz w:val="20"/>
                <w:szCs w:val="20"/>
              </w:rPr>
              <w:t>GENERAL – General Schedule (Code GE)</w:t>
            </w:r>
          </w:p>
          <w:p w:rsidR="00203621" w:rsidRPr="002E6BC6" w:rsidRDefault="00203621" w:rsidP="005E11C2">
            <w:pPr>
              <w:spacing w:before="40" w:after="40"/>
              <w:rPr>
                <w:rFonts w:ascii="Arial Narrow" w:hAnsi="Arial Narrow" w:cs="Arial"/>
                <w:sz w:val="20"/>
                <w:szCs w:val="20"/>
              </w:rPr>
            </w:pPr>
          </w:p>
        </w:tc>
      </w:tr>
      <w:tr w:rsidR="00203621"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03621" w:rsidRPr="002E6BC6" w:rsidRDefault="00203621" w:rsidP="005E11C2">
            <w:pPr>
              <w:spacing w:before="40" w:after="40"/>
              <w:jc w:val="both"/>
              <w:rPr>
                <w:rFonts w:ascii="Arial Narrow" w:hAnsi="Arial Narrow" w:cs="Arial"/>
                <w:b/>
                <w:sz w:val="20"/>
                <w:szCs w:val="20"/>
              </w:rPr>
            </w:pPr>
            <w:r w:rsidRPr="002E6BC6">
              <w:rPr>
                <w:rFonts w:ascii="Arial Narrow" w:hAnsi="Arial Narrow" w:cs="Arial"/>
                <w:b/>
                <w:sz w:val="20"/>
                <w:szCs w:val="20"/>
              </w:rPr>
              <w:t>Prescriber type:</w:t>
            </w:r>
          </w:p>
        </w:tc>
        <w:tc>
          <w:tcPr>
            <w:tcW w:w="3937" w:type="pct"/>
            <w:tcBorders>
              <w:top w:val="single" w:sz="4" w:space="0" w:color="auto"/>
              <w:left w:val="single" w:sz="4" w:space="0" w:color="auto"/>
              <w:bottom w:val="single" w:sz="4" w:space="0" w:color="auto"/>
              <w:right w:val="single" w:sz="4" w:space="0" w:color="auto"/>
            </w:tcBorders>
          </w:tcPr>
          <w:p w:rsidR="00203621" w:rsidRPr="002E6BC6" w:rsidRDefault="00203621" w:rsidP="005E11C2">
            <w:pPr>
              <w:spacing w:before="40" w:after="40"/>
              <w:rPr>
                <w:rFonts w:ascii="Arial Narrow" w:hAnsi="Arial Narrow" w:cs="Arial"/>
                <w:sz w:val="20"/>
                <w:szCs w:val="20"/>
              </w:rPr>
            </w:pPr>
            <w:r w:rsidRPr="005346BB">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5346BB">
              <w:rPr>
                <w:rFonts w:ascii="Arial Narrow" w:hAnsi="Arial Narrow" w:cs="Arial"/>
                <w:sz w:val="20"/>
                <w:szCs w:val="20"/>
              </w:rPr>
              <w:fldChar w:fldCharType="end"/>
            </w:r>
            <w:r w:rsidRPr="002E6BC6">
              <w:rPr>
                <w:rFonts w:ascii="Arial Narrow" w:hAnsi="Arial Narrow" w:cs="Arial"/>
                <w:sz w:val="20"/>
                <w:szCs w:val="20"/>
              </w:rPr>
              <w:t xml:space="preserve">Dental  </w:t>
            </w:r>
            <w:r w:rsidRPr="005346BB">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5346BB">
              <w:rPr>
                <w:rFonts w:ascii="Arial Narrow" w:hAnsi="Arial Narrow" w:cs="Arial"/>
                <w:sz w:val="20"/>
                <w:szCs w:val="20"/>
              </w:rPr>
              <w:fldChar w:fldCharType="end"/>
            </w:r>
            <w:r w:rsidRPr="002E6BC6">
              <w:rPr>
                <w:rFonts w:ascii="Arial Narrow" w:hAnsi="Arial Narrow" w:cs="Arial"/>
                <w:sz w:val="20"/>
                <w:szCs w:val="20"/>
              </w:rPr>
              <w:t xml:space="preserve">Medical Practitioners  </w:t>
            </w:r>
            <w:r w:rsidRPr="005346BB">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5346BB">
              <w:rPr>
                <w:rFonts w:ascii="Arial Narrow" w:hAnsi="Arial Narrow" w:cs="Arial"/>
                <w:sz w:val="20"/>
                <w:szCs w:val="20"/>
              </w:rPr>
              <w:fldChar w:fldCharType="end"/>
            </w:r>
            <w:r w:rsidRPr="002E6BC6">
              <w:rPr>
                <w:rFonts w:ascii="Arial Narrow" w:hAnsi="Arial Narrow" w:cs="Arial"/>
                <w:sz w:val="20"/>
                <w:szCs w:val="20"/>
              </w:rPr>
              <w:t xml:space="preserve">Nurse practitioners  </w:t>
            </w:r>
            <w:r w:rsidRPr="005346BB">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5346BB">
              <w:rPr>
                <w:rFonts w:ascii="Arial Narrow" w:hAnsi="Arial Narrow" w:cs="Arial"/>
                <w:sz w:val="20"/>
                <w:szCs w:val="20"/>
              </w:rPr>
              <w:fldChar w:fldCharType="end"/>
            </w:r>
            <w:r w:rsidRPr="002E6BC6">
              <w:rPr>
                <w:rFonts w:ascii="Arial Narrow" w:hAnsi="Arial Narrow" w:cs="Arial"/>
                <w:sz w:val="20"/>
                <w:szCs w:val="20"/>
              </w:rPr>
              <w:t>Optometrists</w:t>
            </w:r>
          </w:p>
          <w:p w:rsidR="00203621" w:rsidRPr="002E6BC6" w:rsidRDefault="00203621" w:rsidP="005E11C2">
            <w:pPr>
              <w:spacing w:before="40" w:after="40"/>
              <w:rPr>
                <w:rFonts w:ascii="Arial Narrow" w:hAnsi="Arial Narrow" w:cs="Arial"/>
                <w:sz w:val="20"/>
                <w:szCs w:val="20"/>
              </w:rPr>
            </w:pPr>
            <w:r w:rsidRPr="005346BB">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5346BB">
              <w:rPr>
                <w:rFonts w:ascii="Arial Narrow" w:hAnsi="Arial Narrow" w:cs="Arial"/>
                <w:sz w:val="20"/>
                <w:szCs w:val="20"/>
              </w:rPr>
              <w:fldChar w:fldCharType="end"/>
            </w:r>
            <w:r w:rsidRPr="002E6BC6">
              <w:rPr>
                <w:rFonts w:ascii="Arial Narrow" w:hAnsi="Arial Narrow" w:cs="Arial"/>
                <w:sz w:val="20"/>
                <w:szCs w:val="20"/>
              </w:rPr>
              <w:t>Midwives</w:t>
            </w:r>
          </w:p>
        </w:tc>
      </w:tr>
      <w:tr w:rsidR="00203621"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03621" w:rsidRPr="002E6BC6" w:rsidRDefault="00203621" w:rsidP="005E11C2">
            <w:pPr>
              <w:spacing w:before="40" w:after="40"/>
              <w:jc w:val="both"/>
              <w:rPr>
                <w:rFonts w:ascii="Arial Narrow" w:hAnsi="Arial Narrow" w:cs="Arial"/>
                <w:b/>
                <w:sz w:val="20"/>
                <w:szCs w:val="20"/>
              </w:rPr>
            </w:pPr>
            <w:r w:rsidRPr="002E6BC6">
              <w:rPr>
                <w:rFonts w:ascii="Arial Narrow" w:hAnsi="Arial Narrow" w:cs="Arial"/>
                <w:b/>
                <w:sz w:val="20"/>
                <w:szCs w:val="20"/>
              </w:rPr>
              <w:t>Condition:</w:t>
            </w:r>
          </w:p>
        </w:tc>
        <w:tc>
          <w:tcPr>
            <w:tcW w:w="3937" w:type="pct"/>
            <w:tcBorders>
              <w:top w:val="single" w:sz="4" w:space="0" w:color="auto"/>
              <w:left w:val="single" w:sz="4" w:space="0" w:color="auto"/>
              <w:bottom w:val="single" w:sz="4" w:space="0" w:color="auto"/>
              <w:right w:val="single" w:sz="4" w:space="0" w:color="auto"/>
            </w:tcBorders>
          </w:tcPr>
          <w:p w:rsidR="00203621" w:rsidRPr="002E6BC6" w:rsidRDefault="00203621" w:rsidP="005E11C2">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203621"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03621" w:rsidRPr="002E6BC6" w:rsidRDefault="00203621" w:rsidP="005E11C2">
            <w:pPr>
              <w:spacing w:before="40" w:after="40"/>
              <w:jc w:val="both"/>
              <w:rPr>
                <w:rFonts w:ascii="Arial Narrow" w:hAnsi="Arial Narrow" w:cs="Arial"/>
                <w:b/>
                <w:sz w:val="20"/>
                <w:szCs w:val="20"/>
              </w:rPr>
            </w:pPr>
            <w:r w:rsidRPr="002E6BC6">
              <w:rPr>
                <w:rFonts w:ascii="Arial Narrow" w:hAnsi="Arial Narrow" w:cs="Arial"/>
                <w:b/>
                <w:sz w:val="20"/>
                <w:szCs w:val="20"/>
              </w:rPr>
              <w:t>PBS Indication:</w:t>
            </w:r>
          </w:p>
        </w:tc>
        <w:tc>
          <w:tcPr>
            <w:tcW w:w="3937" w:type="pct"/>
            <w:tcBorders>
              <w:top w:val="single" w:sz="4" w:space="0" w:color="auto"/>
              <w:left w:val="single" w:sz="4" w:space="0" w:color="auto"/>
              <w:bottom w:val="single" w:sz="4" w:space="0" w:color="auto"/>
              <w:right w:val="single" w:sz="4" w:space="0" w:color="auto"/>
            </w:tcBorders>
          </w:tcPr>
          <w:p w:rsidR="00203621" w:rsidRPr="002E6BC6" w:rsidRDefault="00203621" w:rsidP="005E11C2">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203621"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03621" w:rsidRPr="002E6BC6" w:rsidRDefault="00203621" w:rsidP="005E11C2">
            <w:pPr>
              <w:spacing w:before="40" w:after="40"/>
              <w:jc w:val="both"/>
              <w:rPr>
                <w:rFonts w:ascii="Arial Narrow" w:hAnsi="Arial Narrow" w:cs="Arial"/>
                <w:b/>
                <w:sz w:val="20"/>
                <w:szCs w:val="20"/>
              </w:rPr>
            </w:pPr>
            <w:r w:rsidRPr="002E6BC6">
              <w:rPr>
                <w:rFonts w:ascii="Arial Narrow" w:hAnsi="Arial Narrow" w:cs="Arial"/>
                <w:b/>
                <w:sz w:val="20"/>
                <w:szCs w:val="20"/>
              </w:rPr>
              <w:t>Treatment phase:</w:t>
            </w:r>
          </w:p>
          <w:p w:rsidR="00203621" w:rsidRPr="002E6BC6" w:rsidRDefault="00203621" w:rsidP="005E11C2">
            <w:pPr>
              <w:spacing w:before="40" w:after="40"/>
              <w:jc w:val="both"/>
              <w:rPr>
                <w:rFonts w:ascii="Arial Narrow" w:hAnsi="Arial Narrow" w:cs="Arial"/>
                <w:i/>
                <w:sz w:val="20"/>
                <w:szCs w:val="20"/>
              </w:rPr>
            </w:pPr>
          </w:p>
        </w:tc>
        <w:tc>
          <w:tcPr>
            <w:tcW w:w="3937" w:type="pct"/>
            <w:tcBorders>
              <w:top w:val="single" w:sz="4" w:space="0" w:color="auto"/>
              <w:left w:val="single" w:sz="4" w:space="0" w:color="auto"/>
              <w:bottom w:val="single" w:sz="4" w:space="0" w:color="auto"/>
              <w:right w:val="single" w:sz="4" w:space="0" w:color="auto"/>
            </w:tcBorders>
          </w:tcPr>
          <w:p w:rsidR="00203621" w:rsidRPr="002E6BC6" w:rsidRDefault="00203621" w:rsidP="005E11C2">
            <w:pPr>
              <w:spacing w:before="40" w:after="40"/>
              <w:rPr>
                <w:rFonts w:ascii="Arial Narrow" w:hAnsi="Arial Narrow" w:cs="Arial"/>
                <w:sz w:val="20"/>
                <w:szCs w:val="20"/>
              </w:rPr>
            </w:pPr>
            <w:r w:rsidRPr="002E6BC6">
              <w:rPr>
                <w:rFonts w:ascii="Arial Narrow" w:hAnsi="Arial Narrow" w:cs="Arial"/>
                <w:sz w:val="20"/>
                <w:szCs w:val="20"/>
              </w:rPr>
              <w:t>Initial treatment - Initial 1 (new patient or patient recommencing treatment after a break of more than 12 months)</w:t>
            </w:r>
          </w:p>
        </w:tc>
      </w:tr>
      <w:tr w:rsidR="00203621"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03621" w:rsidRPr="002E6BC6" w:rsidRDefault="00203621" w:rsidP="005E11C2">
            <w:pPr>
              <w:spacing w:before="40" w:after="40"/>
              <w:jc w:val="both"/>
              <w:rPr>
                <w:rFonts w:ascii="Arial Narrow" w:hAnsi="Arial Narrow" w:cs="Arial"/>
                <w:b/>
                <w:sz w:val="20"/>
                <w:szCs w:val="20"/>
              </w:rPr>
            </w:pPr>
            <w:r w:rsidRPr="002E6BC6">
              <w:rPr>
                <w:rFonts w:ascii="Arial Narrow" w:hAnsi="Arial Narrow" w:cs="Arial"/>
                <w:b/>
                <w:sz w:val="20"/>
                <w:szCs w:val="20"/>
              </w:rPr>
              <w:t>Restriction Level / Method:</w:t>
            </w:r>
          </w:p>
          <w:p w:rsidR="00203621" w:rsidRPr="002E6BC6" w:rsidRDefault="00203621" w:rsidP="005E11C2">
            <w:pPr>
              <w:spacing w:before="40" w:after="40"/>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203621" w:rsidRPr="002E6BC6" w:rsidRDefault="00203621" w:rsidP="005E11C2">
            <w:pPr>
              <w:spacing w:before="40" w:after="40"/>
              <w:rPr>
                <w:rFonts w:ascii="Arial Narrow" w:hAnsi="Arial Narrow" w:cs="Arial"/>
                <w:sz w:val="20"/>
                <w:szCs w:val="20"/>
              </w:rPr>
            </w:pPr>
            <w:r w:rsidRPr="005346BB">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5346BB">
              <w:rPr>
                <w:rFonts w:ascii="Arial Narrow" w:hAnsi="Arial Narrow" w:cs="Arial"/>
                <w:sz w:val="20"/>
                <w:szCs w:val="20"/>
              </w:rPr>
              <w:fldChar w:fldCharType="end"/>
            </w:r>
            <w:r w:rsidRPr="002E6BC6">
              <w:rPr>
                <w:rFonts w:ascii="Arial Narrow" w:hAnsi="Arial Narrow" w:cs="Arial"/>
                <w:sz w:val="20"/>
                <w:szCs w:val="20"/>
              </w:rPr>
              <w:t>Restricted benefit</w:t>
            </w:r>
          </w:p>
          <w:p w:rsidR="00203621" w:rsidRPr="002E6BC6" w:rsidRDefault="00203621" w:rsidP="005E11C2">
            <w:pPr>
              <w:spacing w:before="40" w:after="40"/>
              <w:rPr>
                <w:rFonts w:ascii="Arial Narrow" w:hAnsi="Arial Narrow" w:cs="Arial"/>
                <w:sz w:val="20"/>
                <w:szCs w:val="20"/>
              </w:rPr>
            </w:pPr>
            <w:r w:rsidRPr="005346BB">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5346BB">
              <w:rPr>
                <w:rFonts w:ascii="Arial Narrow" w:hAnsi="Arial Narrow" w:cs="Arial"/>
                <w:sz w:val="20"/>
                <w:szCs w:val="20"/>
              </w:rPr>
              <w:fldChar w:fldCharType="end"/>
            </w:r>
            <w:r w:rsidRPr="002E6BC6">
              <w:rPr>
                <w:rFonts w:ascii="Arial Narrow" w:hAnsi="Arial Narrow" w:cs="Arial"/>
                <w:sz w:val="20"/>
                <w:szCs w:val="20"/>
              </w:rPr>
              <w:t>Authority Required - In Writing</w:t>
            </w:r>
          </w:p>
          <w:p w:rsidR="00203621" w:rsidRPr="002E6BC6" w:rsidRDefault="00203621" w:rsidP="005E11C2">
            <w:pPr>
              <w:spacing w:before="40" w:after="40"/>
              <w:rPr>
                <w:rFonts w:ascii="Arial Narrow" w:hAnsi="Arial Narrow" w:cs="Arial"/>
                <w:sz w:val="20"/>
                <w:szCs w:val="20"/>
              </w:rPr>
            </w:pPr>
            <w:r w:rsidRPr="005346BB">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5346BB">
              <w:rPr>
                <w:rFonts w:ascii="Arial Narrow" w:hAnsi="Arial Narrow" w:cs="Arial"/>
                <w:sz w:val="20"/>
                <w:szCs w:val="20"/>
              </w:rPr>
              <w:fldChar w:fldCharType="end"/>
            </w:r>
            <w:r w:rsidRPr="002E6BC6">
              <w:rPr>
                <w:rFonts w:ascii="Arial Narrow" w:hAnsi="Arial Narrow" w:cs="Arial"/>
                <w:sz w:val="20"/>
                <w:szCs w:val="20"/>
              </w:rPr>
              <w:t>Authority Required - Telephone</w:t>
            </w:r>
          </w:p>
          <w:p w:rsidR="00203621" w:rsidRPr="002E6BC6" w:rsidRDefault="00203621" w:rsidP="005E11C2">
            <w:pPr>
              <w:spacing w:before="40" w:after="40"/>
              <w:rPr>
                <w:rFonts w:ascii="Arial Narrow" w:hAnsi="Arial Narrow" w:cs="Arial"/>
                <w:sz w:val="20"/>
                <w:szCs w:val="20"/>
              </w:rPr>
            </w:pPr>
            <w:r w:rsidRPr="005346BB">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5346BB">
              <w:rPr>
                <w:rFonts w:ascii="Arial Narrow" w:hAnsi="Arial Narrow" w:cs="Arial"/>
                <w:sz w:val="20"/>
                <w:szCs w:val="20"/>
              </w:rPr>
              <w:fldChar w:fldCharType="end"/>
            </w:r>
            <w:r w:rsidRPr="002E6BC6">
              <w:rPr>
                <w:rFonts w:ascii="Arial Narrow" w:hAnsi="Arial Narrow" w:cs="Arial"/>
                <w:sz w:val="20"/>
                <w:szCs w:val="20"/>
              </w:rPr>
              <w:t>Authority Required – Emergency</w:t>
            </w:r>
          </w:p>
          <w:p w:rsidR="00203621" w:rsidRPr="002E6BC6" w:rsidRDefault="00203621" w:rsidP="005E11C2">
            <w:pPr>
              <w:spacing w:before="40" w:after="40"/>
              <w:rPr>
                <w:rFonts w:ascii="Arial Narrow" w:hAnsi="Arial Narrow" w:cs="Arial"/>
                <w:sz w:val="20"/>
                <w:szCs w:val="20"/>
              </w:rPr>
            </w:pPr>
            <w:r w:rsidRPr="005346BB">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5346BB">
              <w:rPr>
                <w:rFonts w:ascii="Arial Narrow" w:hAnsi="Arial Narrow" w:cs="Arial"/>
                <w:sz w:val="20"/>
                <w:szCs w:val="20"/>
              </w:rPr>
              <w:fldChar w:fldCharType="end"/>
            </w:r>
            <w:r w:rsidRPr="002E6BC6">
              <w:rPr>
                <w:rFonts w:ascii="Arial Narrow" w:hAnsi="Arial Narrow" w:cs="Arial"/>
                <w:sz w:val="20"/>
                <w:szCs w:val="20"/>
              </w:rPr>
              <w:t>Authority Required - Electronic</w:t>
            </w:r>
          </w:p>
          <w:p w:rsidR="00203621" w:rsidRPr="002E6BC6" w:rsidRDefault="00203621" w:rsidP="005E11C2">
            <w:pPr>
              <w:spacing w:before="40" w:after="40"/>
              <w:rPr>
                <w:rFonts w:ascii="Arial Narrow" w:hAnsi="Arial Narrow" w:cs="Arial"/>
                <w:sz w:val="20"/>
                <w:szCs w:val="20"/>
              </w:rPr>
            </w:pPr>
            <w:r w:rsidRPr="005346BB">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5346BB">
              <w:rPr>
                <w:rFonts w:ascii="Arial Narrow" w:hAnsi="Arial Narrow" w:cs="Arial"/>
                <w:sz w:val="20"/>
                <w:szCs w:val="20"/>
              </w:rPr>
              <w:fldChar w:fldCharType="end"/>
            </w:r>
            <w:r w:rsidRPr="002E6BC6">
              <w:rPr>
                <w:rFonts w:ascii="Arial Narrow" w:hAnsi="Arial Narrow" w:cs="Arial"/>
                <w:sz w:val="20"/>
                <w:szCs w:val="20"/>
              </w:rPr>
              <w:t>Streamlined</w:t>
            </w:r>
          </w:p>
        </w:tc>
      </w:tr>
      <w:tr w:rsidR="00203621"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03621" w:rsidRPr="002E6BC6" w:rsidRDefault="00203621" w:rsidP="005E11C2">
            <w:pPr>
              <w:spacing w:before="40" w:after="40"/>
              <w:jc w:val="both"/>
              <w:rPr>
                <w:rFonts w:ascii="Arial Narrow" w:hAnsi="Arial Narrow" w:cs="Arial"/>
                <w:b/>
                <w:sz w:val="20"/>
                <w:szCs w:val="20"/>
              </w:rPr>
            </w:pPr>
            <w:r w:rsidRPr="002E6BC6">
              <w:rPr>
                <w:rFonts w:ascii="Arial Narrow" w:hAnsi="Arial Narrow" w:cs="Arial"/>
                <w:b/>
                <w:sz w:val="20"/>
                <w:szCs w:val="20"/>
              </w:rPr>
              <w:t xml:space="preserve">Treatment criteria: </w:t>
            </w:r>
          </w:p>
        </w:tc>
        <w:tc>
          <w:tcPr>
            <w:tcW w:w="3937" w:type="pct"/>
            <w:tcBorders>
              <w:top w:val="single" w:sz="4" w:space="0" w:color="auto"/>
              <w:left w:val="single" w:sz="4" w:space="0" w:color="auto"/>
              <w:bottom w:val="single" w:sz="4" w:space="0" w:color="auto"/>
              <w:right w:val="single" w:sz="4" w:space="0" w:color="auto"/>
            </w:tcBorders>
          </w:tcPr>
          <w:p w:rsidR="00203621" w:rsidRPr="002E6BC6" w:rsidRDefault="00203621" w:rsidP="005E11C2">
            <w:pPr>
              <w:spacing w:before="40" w:after="40"/>
              <w:rPr>
                <w:rFonts w:ascii="Arial Narrow" w:hAnsi="Arial Narrow" w:cs="Arial"/>
                <w:sz w:val="20"/>
                <w:szCs w:val="20"/>
              </w:rPr>
            </w:pPr>
            <w:r w:rsidRPr="002E6BC6">
              <w:rPr>
                <w:rFonts w:ascii="Arial Narrow" w:hAnsi="Arial Narrow" w:cs="Arial"/>
                <w:sz w:val="20"/>
                <w:szCs w:val="20"/>
              </w:rPr>
              <w:t>Must be treated by a paediatric rheumatologist; or</w:t>
            </w:r>
          </w:p>
          <w:p w:rsidR="00203621" w:rsidRPr="002E6BC6" w:rsidRDefault="00203621" w:rsidP="005E11C2">
            <w:pPr>
              <w:spacing w:before="40" w:after="40"/>
              <w:rPr>
                <w:rFonts w:ascii="Arial Narrow" w:hAnsi="Arial Narrow" w:cs="Arial"/>
                <w:sz w:val="20"/>
                <w:szCs w:val="20"/>
              </w:rPr>
            </w:pPr>
            <w:r w:rsidRPr="002E6BC6">
              <w:rPr>
                <w:rFonts w:ascii="Arial Narrow" w:hAnsi="Arial Narrow" w:cs="Arial"/>
                <w:sz w:val="20"/>
                <w:szCs w:val="20"/>
              </w:rPr>
              <w:t xml:space="preserve">Patient must be undergoing treatment under the supervision of a </w:t>
            </w:r>
            <w:proofErr w:type="gramStart"/>
            <w:r w:rsidRPr="002E6BC6">
              <w:rPr>
                <w:rFonts w:ascii="Arial Narrow" w:hAnsi="Arial Narrow" w:cs="Arial"/>
                <w:sz w:val="20"/>
                <w:szCs w:val="20"/>
              </w:rPr>
              <w:t>paediatric rheumatology treatment centre</w:t>
            </w:r>
            <w:proofErr w:type="gramEnd"/>
            <w:r w:rsidRPr="002E6BC6">
              <w:rPr>
                <w:rFonts w:ascii="Arial Narrow" w:hAnsi="Arial Narrow" w:cs="Arial"/>
                <w:sz w:val="20"/>
                <w:szCs w:val="20"/>
              </w:rPr>
              <w:t xml:space="preserve">. </w:t>
            </w:r>
          </w:p>
        </w:tc>
      </w:tr>
      <w:tr w:rsidR="00203621"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03621" w:rsidRPr="002E6BC6" w:rsidRDefault="00203621" w:rsidP="005E11C2">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Clinical criteria:</w:t>
            </w:r>
          </w:p>
          <w:p w:rsidR="00203621" w:rsidRPr="002E6BC6" w:rsidRDefault="00203621" w:rsidP="005E11C2">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DA41D3" w:rsidRPr="002E6BC6" w:rsidRDefault="00203621" w:rsidP="005E11C2">
            <w:pPr>
              <w:spacing w:before="40" w:after="40"/>
              <w:rPr>
                <w:rFonts w:ascii="Arial Narrow" w:hAnsi="Arial Narrow" w:cs="Arial"/>
                <w:sz w:val="20"/>
                <w:szCs w:val="20"/>
              </w:rPr>
            </w:pPr>
            <w:r w:rsidRPr="002E6BC6">
              <w:rPr>
                <w:rFonts w:ascii="Arial Narrow" w:hAnsi="Arial Narrow" w:cs="Arial"/>
                <w:sz w:val="20"/>
                <w:szCs w:val="20"/>
              </w:rPr>
              <w:t>Patient must have severe active juvenile idiopathic arthritis</w:t>
            </w:r>
            <w:r w:rsidR="00796E72" w:rsidRPr="002E6BC6">
              <w:rPr>
                <w:rFonts w:ascii="Arial Narrow" w:hAnsi="Arial Narrow" w:cs="Arial"/>
                <w:sz w:val="20"/>
                <w:szCs w:val="20"/>
              </w:rPr>
              <w:t xml:space="preserve">; </w:t>
            </w:r>
          </w:p>
          <w:p w:rsidR="00203621" w:rsidRPr="002E6BC6" w:rsidRDefault="00796E72" w:rsidP="005E11C2">
            <w:pPr>
              <w:spacing w:before="40" w:after="40"/>
              <w:rPr>
                <w:rFonts w:ascii="Arial Narrow" w:hAnsi="Arial Narrow" w:cs="Arial"/>
                <w:sz w:val="20"/>
                <w:szCs w:val="20"/>
              </w:rPr>
            </w:pPr>
            <w:r w:rsidRPr="002E6BC6">
              <w:rPr>
                <w:rFonts w:ascii="Arial Narrow" w:hAnsi="Arial Narrow" w:cs="Arial"/>
                <w:sz w:val="20"/>
                <w:szCs w:val="20"/>
              </w:rPr>
              <w:t xml:space="preserve">AND </w:t>
            </w:r>
          </w:p>
          <w:p w:rsidR="00796E72" w:rsidRPr="002E6BC6" w:rsidRDefault="00796E72" w:rsidP="005E11C2">
            <w:pPr>
              <w:spacing w:before="40" w:after="40"/>
              <w:rPr>
                <w:rFonts w:ascii="Arial Narrow" w:hAnsi="Arial Narrow" w:cs="Arial"/>
                <w:sz w:val="20"/>
                <w:szCs w:val="20"/>
              </w:rPr>
            </w:pPr>
            <w:r w:rsidRPr="002E6BC6">
              <w:rPr>
                <w:rFonts w:ascii="Arial Narrow" w:hAnsi="Arial Narrow" w:cs="Arial"/>
                <w:sz w:val="20"/>
                <w:szCs w:val="20"/>
              </w:rPr>
              <w:t>Patient must have received no prior PBS-subsidised treatment with a biological disease modifying anti-rheumatic drug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for this condition; or</w:t>
            </w:r>
          </w:p>
          <w:p w:rsidR="00DA789C" w:rsidRPr="002E6BC6" w:rsidRDefault="00796E72" w:rsidP="005E11C2">
            <w:pPr>
              <w:spacing w:before="40" w:after="40"/>
              <w:rPr>
                <w:rFonts w:ascii="Arial Narrow" w:hAnsi="Arial Narrow" w:cs="Arial"/>
                <w:sz w:val="20"/>
                <w:szCs w:val="20"/>
              </w:rPr>
            </w:pPr>
            <w:r w:rsidRPr="002E6BC6">
              <w:rPr>
                <w:rFonts w:ascii="Arial Narrow" w:hAnsi="Arial Narrow" w:cs="Arial"/>
                <w:sz w:val="20"/>
                <w:szCs w:val="20"/>
              </w:rPr>
              <w:t xml:space="preserve">Patient must not have received PBS-subsidised treatment with </w:t>
            </w:r>
            <w:proofErr w:type="spellStart"/>
            <w:r w:rsidRPr="002E6BC6">
              <w:rPr>
                <w:rFonts w:ascii="Arial Narrow" w:hAnsi="Arial Narrow" w:cs="Arial"/>
                <w:sz w:val="20"/>
                <w:szCs w:val="20"/>
              </w:rPr>
              <w:t>adalimumab</w:t>
            </w:r>
            <w:proofErr w:type="spellEnd"/>
            <w:r w:rsidRPr="002E6BC6">
              <w:rPr>
                <w:rFonts w:ascii="Arial Narrow" w:hAnsi="Arial Narrow" w:cs="Arial"/>
                <w:sz w:val="20"/>
                <w:szCs w:val="20"/>
              </w:rPr>
              <w:t xml:space="preserve">, </w:t>
            </w:r>
            <w:proofErr w:type="spellStart"/>
            <w:r w:rsidRPr="002E6BC6">
              <w:rPr>
                <w:rFonts w:ascii="Arial Narrow" w:hAnsi="Arial Narrow" w:cs="Arial"/>
                <w:sz w:val="20"/>
                <w:szCs w:val="20"/>
              </w:rPr>
              <w:t>etanercept</w:t>
            </w:r>
            <w:proofErr w:type="spellEnd"/>
            <w:r w:rsidRPr="002E6BC6">
              <w:rPr>
                <w:rFonts w:ascii="Arial Narrow" w:hAnsi="Arial Narrow" w:cs="Arial"/>
                <w:sz w:val="20"/>
                <w:szCs w:val="20"/>
              </w:rPr>
              <w:t xml:space="preserve"> or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for this condition in the previous 12 months;</w:t>
            </w:r>
          </w:p>
          <w:p w:rsidR="00796E72" w:rsidRPr="002E6BC6" w:rsidRDefault="00796E72" w:rsidP="005E11C2">
            <w:pPr>
              <w:spacing w:before="40" w:after="40"/>
              <w:rPr>
                <w:rFonts w:ascii="Arial Narrow" w:hAnsi="Arial Narrow" w:cs="Arial"/>
                <w:sz w:val="20"/>
                <w:szCs w:val="20"/>
              </w:rPr>
            </w:pPr>
            <w:r w:rsidRPr="002E6BC6">
              <w:rPr>
                <w:rFonts w:ascii="Arial Narrow" w:hAnsi="Arial Narrow" w:cs="Arial"/>
                <w:sz w:val="20"/>
                <w:szCs w:val="20"/>
              </w:rPr>
              <w:t xml:space="preserve"> AND</w:t>
            </w:r>
          </w:p>
          <w:p w:rsidR="00796E72" w:rsidRPr="002E6BC6" w:rsidRDefault="00796E72" w:rsidP="005E11C2">
            <w:pPr>
              <w:spacing w:before="40" w:after="40"/>
              <w:rPr>
                <w:rFonts w:ascii="Arial Narrow" w:hAnsi="Arial Narrow" w:cs="Arial"/>
                <w:sz w:val="20"/>
                <w:szCs w:val="20"/>
              </w:rPr>
            </w:pPr>
            <w:r w:rsidRPr="002E6BC6">
              <w:rPr>
                <w:rFonts w:ascii="Arial Narrow" w:hAnsi="Arial Narrow" w:cs="Arial"/>
                <w:sz w:val="20"/>
                <w:szCs w:val="20"/>
              </w:rPr>
              <w:t>Patient must have demonstrated severe intolerance of, or toxicity due to, methotrexate; or</w:t>
            </w:r>
          </w:p>
          <w:p w:rsidR="00203621" w:rsidRPr="002E6BC6" w:rsidRDefault="00796E72" w:rsidP="00DC7055">
            <w:pPr>
              <w:spacing w:before="40" w:after="40"/>
              <w:rPr>
                <w:rFonts w:ascii="Arial Narrow" w:hAnsi="Arial Narrow" w:cs="Arial"/>
                <w:sz w:val="20"/>
                <w:szCs w:val="20"/>
              </w:rPr>
            </w:pPr>
            <w:proofErr w:type="gramStart"/>
            <w:r w:rsidRPr="002E6BC6">
              <w:rPr>
                <w:rFonts w:ascii="Arial Narrow" w:hAnsi="Arial Narrow" w:cs="Arial"/>
                <w:sz w:val="20"/>
                <w:szCs w:val="20"/>
              </w:rPr>
              <w:t>Patient must have demonstrated failure to achieve an adequate response to 1 or more of the following treatment regimens: (</w:t>
            </w:r>
            <w:proofErr w:type="spellStart"/>
            <w:r w:rsidRPr="002E6BC6">
              <w:rPr>
                <w:rFonts w:ascii="Arial Narrow" w:hAnsi="Arial Narrow" w:cs="Arial"/>
                <w:sz w:val="20"/>
                <w:szCs w:val="20"/>
              </w:rPr>
              <w:t>i</w:t>
            </w:r>
            <w:proofErr w:type="spellEnd"/>
            <w:r w:rsidRPr="002E6BC6">
              <w:rPr>
                <w:rFonts w:ascii="Arial Narrow" w:hAnsi="Arial Narrow" w:cs="Arial"/>
                <w:sz w:val="20"/>
                <w:szCs w:val="20"/>
              </w:rPr>
              <w:t>) oral or parenteral methotrexate at a dose of at least 20 mg per square metre weekly, alone or in combination with oral or intra-articular corticosteroids, for a minimum of 3 months; or (ii) oral methotrexate at a dose of at least 10 mg per square metre weekly together with at least 1 other disease modifying anti-rheumatic drug (DMARD), alone or in combination with corticosteroids, for a minimum of 3 months</w:t>
            </w:r>
            <w:r w:rsidR="00DA789C" w:rsidRPr="002E6BC6">
              <w:rPr>
                <w:rFonts w:ascii="Arial Narrow" w:hAnsi="Arial Narrow" w:cs="Arial"/>
                <w:sz w:val="20"/>
                <w:szCs w:val="20"/>
              </w:rPr>
              <w:t>.</w:t>
            </w:r>
            <w:proofErr w:type="gramEnd"/>
            <w:r w:rsidRPr="002E6BC6">
              <w:rPr>
                <w:rFonts w:ascii="Arial Narrow" w:hAnsi="Arial Narrow" w:cs="Arial"/>
                <w:sz w:val="20"/>
                <w:szCs w:val="20"/>
              </w:rPr>
              <w:t xml:space="preserve"> </w:t>
            </w:r>
          </w:p>
        </w:tc>
      </w:tr>
      <w:tr w:rsidR="00796E72"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796E72" w:rsidRPr="002E6BC6" w:rsidRDefault="00796E72" w:rsidP="005E11C2">
            <w:pPr>
              <w:spacing w:before="40" w:after="40"/>
              <w:jc w:val="both"/>
              <w:rPr>
                <w:rFonts w:ascii="Arial Narrow" w:hAnsi="Arial Narrow" w:cs="Arial"/>
                <w:b/>
                <w:sz w:val="20"/>
                <w:szCs w:val="20"/>
              </w:rPr>
            </w:pPr>
            <w:r w:rsidRPr="002E6BC6">
              <w:rPr>
                <w:rFonts w:ascii="Arial Narrow" w:hAnsi="Arial Narrow" w:cs="Arial"/>
                <w:b/>
                <w:sz w:val="20"/>
                <w:szCs w:val="20"/>
              </w:rPr>
              <w:t xml:space="preserve">Population criteria: </w:t>
            </w:r>
          </w:p>
        </w:tc>
        <w:tc>
          <w:tcPr>
            <w:tcW w:w="3937" w:type="pct"/>
            <w:tcBorders>
              <w:top w:val="single" w:sz="4" w:space="0" w:color="auto"/>
              <w:left w:val="single" w:sz="4" w:space="0" w:color="auto"/>
              <w:bottom w:val="single" w:sz="4" w:space="0" w:color="auto"/>
              <w:right w:val="single" w:sz="4" w:space="0" w:color="auto"/>
            </w:tcBorders>
          </w:tcPr>
          <w:p w:rsidR="00796E72" w:rsidRPr="002E6BC6" w:rsidRDefault="00796E72" w:rsidP="005E11C2">
            <w:pPr>
              <w:spacing w:before="40" w:after="40"/>
              <w:rPr>
                <w:rFonts w:ascii="Arial Narrow" w:hAnsi="Arial Narrow" w:cs="Arial"/>
                <w:sz w:val="20"/>
                <w:szCs w:val="20"/>
              </w:rPr>
            </w:pPr>
            <w:r w:rsidRPr="002E6BC6">
              <w:rPr>
                <w:rFonts w:ascii="Arial Narrow" w:hAnsi="Arial Narrow" w:cs="Arial"/>
                <w:sz w:val="20"/>
                <w:szCs w:val="20"/>
              </w:rPr>
              <w:t xml:space="preserve">Patient must be under 18 years of age and a parent or authorised guardian must have signed a patient acknowledgement. </w:t>
            </w:r>
          </w:p>
        </w:tc>
      </w:tr>
      <w:tr w:rsidR="00203621"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03621" w:rsidRPr="002E6BC6" w:rsidRDefault="00203621" w:rsidP="005E11C2">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Prescriber Instructions</w:t>
            </w:r>
          </w:p>
          <w:p w:rsidR="00203621" w:rsidRPr="002E6BC6" w:rsidRDefault="00203621" w:rsidP="005E11C2">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796E72" w:rsidRPr="002E6BC6" w:rsidRDefault="00796E72" w:rsidP="005E11C2">
            <w:pPr>
              <w:spacing w:before="40" w:after="40"/>
              <w:rPr>
                <w:rFonts w:ascii="Arial Narrow" w:hAnsi="Arial Narrow" w:cs="Arial"/>
                <w:sz w:val="20"/>
                <w:szCs w:val="20"/>
              </w:rPr>
            </w:pPr>
            <w:r w:rsidRPr="002E6BC6">
              <w:rPr>
                <w:rFonts w:ascii="Arial Narrow" w:hAnsi="Arial Narrow" w:cs="Arial"/>
                <w:sz w:val="20"/>
                <w:szCs w:val="20"/>
              </w:rPr>
              <w:t xml:space="preserve">For the purposes of </w:t>
            </w:r>
            <w:proofErr w:type="gramStart"/>
            <w:r w:rsidRPr="002E6BC6">
              <w:rPr>
                <w:rFonts w:ascii="Arial Narrow" w:hAnsi="Arial Narrow" w:cs="Arial"/>
                <w:sz w:val="20"/>
                <w:szCs w:val="20"/>
              </w:rPr>
              <w:t>this</w:t>
            </w:r>
            <w:proofErr w:type="gramEnd"/>
            <w:r w:rsidRPr="002E6BC6">
              <w:rPr>
                <w:rFonts w:ascii="Arial Narrow" w:hAnsi="Arial Narrow" w:cs="Arial"/>
                <w:sz w:val="20"/>
                <w:szCs w:val="20"/>
              </w:rPr>
              <w:t xml:space="preserve"> restriction 'biological disease modifying anti-rheumatic drug' and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mean </w:t>
            </w:r>
            <w:proofErr w:type="spellStart"/>
            <w:r w:rsidRPr="002E6BC6">
              <w:rPr>
                <w:rFonts w:ascii="Arial Narrow" w:hAnsi="Arial Narrow" w:cs="Arial"/>
                <w:sz w:val="20"/>
                <w:szCs w:val="20"/>
              </w:rPr>
              <w:t>adalimumab</w:t>
            </w:r>
            <w:proofErr w:type="spellEnd"/>
            <w:r w:rsidRPr="002E6BC6">
              <w:rPr>
                <w:rFonts w:ascii="Arial Narrow" w:hAnsi="Arial Narrow" w:cs="Arial"/>
                <w:sz w:val="20"/>
                <w:szCs w:val="20"/>
              </w:rPr>
              <w:t xml:space="preserve">, </w:t>
            </w:r>
            <w:proofErr w:type="spellStart"/>
            <w:r w:rsidRPr="002E6BC6">
              <w:rPr>
                <w:rFonts w:ascii="Arial Narrow" w:hAnsi="Arial Narrow" w:cs="Arial"/>
                <w:sz w:val="20"/>
                <w:szCs w:val="20"/>
              </w:rPr>
              <w:t>etanercept</w:t>
            </w:r>
            <w:proofErr w:type="spellEnd"/>
            <w:r w:rsidRPr="002E6BC6">
              <w:rPr>
                <w:rFonts w:ascii="Arial Narrow" w:hAnsi="Arial Narrow" w:cs="Arial"/>
                <w:sz w:val="20"/>
                <w:szCs w:val="20"/>
              </w:rPr>
              <w:t xml:space="preserve"> or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w:t>
            </w:r>
          </w:p>
          <w:p w:rsidR="00796E72" w:rsidRPr="002E6BC6" w:rsidRDefault="00796E72" w:rsidP="005E11C2">
            <w:pPr>
              <w:spacing w:before="40" w:after="40"/>
              <w:rPr>
                <w:rFonts w:ascii="Arial Narrow" w:hAnsi="Arial Narrow" w:cs="Arial"/>
                <w:sz w:val="20"/>
                <w:szCs w:val="20"/>
              </w:rPr>
            </w:pPr>
            <w:r w:rsidRPr="002E6BC6">
              <w:rPr>
                <w:rFonts w:ascii="Arial Narrow" w:hAnsi="Arial Narrow" w:cs="Arial"/>
                <w:sz w:val="20"/>
                <w:szCs w:val="20"/>
              </w:rPr>
              <w:t>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w:t>
            </w:r>
          </w:p>
          <w:p w:rsidR="00796E72" w:rsidRPr="002E6BC6" w:rsidRDefault="00796E72" w:rsidP="005E11C2">
            <w:pPr>
              <w:spacing w:before="40" w:after="40"/>
              <w:rPr>
                <w:rFonts w:ascii="Arial Narrow" w:hAnsi="Arial Narrow" w:cs="Arial"/>
                <w:sz w:val="20"/>
                <w:szCs w:val="20"/>
              </w:rPr>
            </w:pPr>
            <w:r w:rsidRPr="002E6BC6">
              <w:rPr>
                <w:rFonts w:ascii="Arial Narrow" w:hAnsi="Arial Narrow" w:cs="Arial"/>
                <w:sz w:val="20"/>
                <w:szCs w:val="20"/>
              </w:rPr>
              <w:t xml:space="preserve">Toxicity due to methotrexate </w:t>
            </w:r>
            <w:proofErr w:type="gramStart"/>
            <w:r w:rsidRPr="002E6BC6">
              <w:rPr>
                <w:rFonts w:ascii="Arial Narrow" w:hAnsi="Arial Narrow" w:cs="Arial"/>
                <w:sz w:val="20"/>
                <w:szCs w:val="20"/>
              </w:rPr>
              <w:t>is defined</w:t>
            </w:r>
            <w:proofErr w:type="gramEnd"/>
            <w:r w:rsidRPr="002E6BC6">
              <w:rPr>
                <w:rFonts w:ascii="Arial Narrow" w:hAnsi="Arial Narrow" w:cs="Arial"/>
                <w:sz w:val="20"/>
                <w:szCs w:val="20"/>
              </w:rPr>
              <w:t xml:space="preserve"> as evidence of hepatotoxicity with repeated elevations of transaminases, bone marrow suppression temporally related to methotrexate use, pneumonitis, or serious sepsis.</w:t>
            </w:r>
          </w:p>
          <w:p w:rsidR="00796E72" w:rsidRPr="002E6BC6" w:rsidRDefault="00796E72" w:rsidP="005E11C2">
            <w:pPr>
              <w:spacing w:before="40" w:after="40"/>
              <w:rPr>
                <w:rFonts w:ascii="Arial Narrow" w:hAnsi="Arial Narrow" w:cs="Arial"/>
                <w:sz w:val="20"/>
                <w:szCs w:val="20"/>
              </w:rPr>
            </w:pPr>
            <w:r w:rsidRPr="002E6BC6">
              <w:rPr>
                <w:rFonts w:ascii="Arial Narrow" w:hAnsi="Arial Narrow" w:cs="Arial"/>
                <w:sz w:val="20"/>
                <w:szCs w:val="20"/>
              </w:rPr>
              <w:t xml:space="preserve">If treatment with methotrexate alone or in combination with another DMARD </w:t>
            </w:r>
            <w:proofErr w:type="gramStart"/>
            <w:r w:rsidRPr="002E6BC6">
              <w:rPr>
                <w:rFonts w:ascii="Arial Narrow" w:hAnsi="Arial Narrow" w:cs="Arial"/>
                <w:sz w:val="20"/>
                <w:szCs w:val="20"/>
              </w:rPr>
              <w:t>is contraindicated</w:t>
            </w:r>
            <w:proofErr w:type="gramEnd"/>
            <w:r w:rsidRPr="002E6BC6">
              <w:rPr>
                <w:rFonts w:ascii="Arial Narrow" w:hAnsi="Arial Narrow" w:cs="Arial"/>
                <w:sz w:val="20"/>
                <w:szCs w:val="20"/>
              </w:rPr>
              <w:t xml:space="preserve"> according to the relevant TGA-approved Product Information, details must be provided at the time of application. </w:t>
            </w:r>
          </w:p>
          <w:p w:rsidR="009978F5" w:rsidRPr="002E6BC6" w:rsidRDefault="009978F5" w:rsidP="005E11C2">
            <w:pPr>
              <w:spacing w:before="40" w:after="40"/>
              <w:rPr>
                <w:rFonts w:ascii="Arial Narrow" w:hAnsi="Arial Narrow" w:cs="Arial"/>
                <w:sz w:val="20"/>
                <w:szCs w:val="20"/>
              </w:rPr>
            </w:pPr>
            <w:r w:rsidRPr="002E6BC6">
              <w:rPr>
                <w:rFonts w:ascii="Arial Narrow" w:hAnsi="Arial Narrow" w:cs="Arial"/>
                <w:sz w:val="20"/>
                <w:szCs w:val="20"/>
              </w:rPr>
              <w:t xml:space="preserve">If intolerance to treatment develops during the relevant period of use, which is of a severity necessitating permanent treatment withdrawal, details of this toxicity </w:t>
            </w:r>
            <w:proofErr w:type="gramStart"/>
            <w:r w:rsidRPr="002E6BC6">
              <w:rPr>
                <w:rFonts w:ascii="Arial Narrow" w:hAnsi="Arial Narrow" w:cs="Arial"/>
                <w:sz w:val="20"/>
                <w:szCs w:val="20"/>
              </w:rPr>
              <w:t>must be provided</w:t>
            </w:r>
            <w:proofErr w:type="gramEnd"/>
            <w:r w:rsidRPr="002E6BC6">
              <w:rPr>
                <w:rFonts w:ascii="Arial Narrow" w:hAnsi="Arial Narrow" w:cs="Arial"/>
                <w:sz w:val="20"/>
                <w:szCs w:val="20"/>
              </w:rPr>
              <w:t xml:space="preserve"> at the time of application.</w:t>
            </w:r>
          </w:p>
          <w:p w:rsidR="009978F5" w:rsidRPr="002E6BC6" w:rsidRDefault="009978F5" w:rsidP="005E11C2">
            <w:pPr>
              <w:spacing w:before="40" w:after="40"/>
              <w:rPr>
                <w:rFonts w:ascii="Arial Narrow" w:hAnsi="Arial Narrow" w:cs="Arial"/>
                <w:sz w:val="20"/>
                <w:szCs w:val="20"/>
              </w:rPr>
            </w:pPr>
          </w:p>
          <w:p w:rsidR="009978F5" w:rsidRPr="002E6BC6" w:rsidRDefault="009978F5" w:rsidP="009978F5">
            <w:pPr>
              <w:spacing w:before="40" w:after="40"/>
              <w:rPr>
                <w:rFonts w:ascii="Arial Narrow" w:hAnsi="Arial Narrow" w:cs="Arial"/>
                <w:sz w:val="20"/>
                <w:szCs w:val="20"/>
              </w:rPr>
            </w:pPr>
            <w:r w:rsidRPr="002E6BC6">
              <w:rPr>
                <w:rFonts w:ascii="Arial Narrow" w:hAnsi="Arial Narrow" w:cs="Arial"/>
                <w:sz w:val="20"/>
                <w:szCs w:val="20"/>
              </w:rPr>
              <w:t xml:space="preserve">The following criteria indicate failure to achieve an adequate response and must be demonstrated in all patients at the time of the initial application: </w:t>
            </w:r>
          </w:p>
          <w:p w:rsidR="009978F5" w:rsidRPr="002E6BC6" w:rsidRDefault="009978F5" w:rsidP="009978F5">
            <w:pPr>
              <w:spacing w:before="40" w:after="40"/>
              <w:rPr>
                <w:rFonts w:ascii="Arial Narrow" w:hAnsi="Arial Narrow" w:cs="Arial"/>
                <w:sz w:val="20"/>
                <w:szCs w:val="20"/>
              </w:rPr>
            </w:pPr>
            <w:r w:rsidRPr="002E6BC6">
              <w:rPr>
                <w:rFonts w:ascii="Arial Narrow" w:hAnsi="Arial Narrow" w:cs="Arial"/>
                <w:sz w:val="20"/>
                <w:szCs w:val="20"/>
              </w:rPr>
              <w:t>(a) an active joint count of at least 20 active (swollen and tender) joints; OR</w:t>
            </w:r>
          </w:p>
          <w:p w:rsidR="009978F5" w:rsidRPr="002E6BC6" w:rsidRDefault="009978F5" w:rsidP="009978F5">
            <w:pPr>
              <w:spacing w:before="40" w:after="40"/>
              <w:rPr>
                <w:rFonts w:ascii="Arial Narrow" w:hAnsi="Arial Narrow" w:cs="Arial"/>
                <w:sz w:val="20"/>
                <w:szCs w:val="20"/>
              </w:rPr>
            </w:pPr>
            <w:r w:rsidRPr="002E6BC6">
              <w:rPr>
                <w:rFonts w:ascii="Arial Narrow" w:hAnsi="Arial Narrow" w:cs="Arial"/>
                <w:sz w:val="20"/>
                <w:szCs w:val="20"/>
              </w:rPr>
              <w:t>(b) at least 4 active joints from the following list:</w:t>
            </w:r>
          </w:p>
          <w:p w:rsidR="009978F5" w:rsidRPr="002E6BC6" w:rsidRDefault="009978F5" w:rsidP="009978F5">
            <w:pPr>
              <w:spacing w:before="40" w:after="40"/>
              <w:rPr>
                <w:rFonts w:ascii="Arial Narrow" w:hAnsi="Arial Narrow" w:cs="Arial"/>
                <w:sz w:val="20"/>
                <w:szCs w:val="20"/>
              </w:rPr>
            </w:pPr>
            <w:r w:rsidRPr="002E6BC6">
              <w:rPr>
                <w:rFonts w:ascii="Arial Narrow" w:hAnsi="Arial Narrow" w:cs="Arial"/>
                <w:sz w:val="20"/>
                <w:szCs w:val="20"/>
              </w:rPr>
              <w:t>(</w:t>
            </w:r>
            <w:proofErr w:type="spellStart"/>
            <w:r w:rsidRPr="002E6BC6">
              <w:rPr>
                <w:rFonts w:ascii="Arial Narrow" w:hAnsi="Arial Narrow" w:cs="Arial"/>
                <w:sz w:val="20"/>
                <w:szCs w:val="20"/>
              </w:rPr>
              <w:t>i</w:t>
            </w:r>
            <w:proofErr w:type="spellEnd"/>
            <w:r w:rsidRPr="002E6BC6">
              <w:rPr>
                <w:rFonts w:ascii="Arial Narrow" w:hAnsi="Arial Narrow" w:cs="Arial"/>
                <w:sz w:val="20"/>
                <w:szCs w:val="20"/>
              </w:rPr>
              <w:t>) elbow, wrist, knee and/or ankle (assessed as swollen and tender); and/or</w:t>
            </w:r>
          </w:p>
          <w:p w:rsidR="009978F5" w:rsidRPr="002E6BC6" w:rsidRDefault="009978F5" w:rsidP="009978F5">
            <w:pPr>
              <w:spacing w:before="40" w:after="40"/>
              <w:rPr>
                <w:rFonts w:ascii="Arial Narrow" w:hAnsi="Arial Narrow" w:cs="Arial"/>
                <w:sz w:val="20"/>
                <w:szCs w:val="20"/>
              </w:rPr>
            </w:pPr>
            <w:r w:rsidRPr="002E6BC6">
              <w:rPr>
                <w:rFonts w:ascii="Arial Narrow" w:hAnsi="Arial Narrow" w:cs="Arial"/>
                <w:sz w:val="20"/>
                <w:szCs w:val="20"/>
              </w:rPr>
              <w:t xml:space="preserve">(ii) </w:t>
            </w:r>
            <w:proofErr w:type="gramStart"/>
            <w:r w:rsidRPr="002E6BC6">
              <w:rPr>
                <w:rFonts w:ascii="Arial Narrow" w:hAnsi="Arial Narrow" w:cs="Arial"/>
                <w:sz w:val="20"/>
                <w:szCs w:val="20"/>
              </w:rPr>
              <w:t>shoulder</w:t>
            </w:r>
            <w:proofErr w:type="gramEnd"/>
            <w:r w:rsidRPr="002E6BC6">
              <w:rPr>
                <w:rFonts w:ascii="Arial Narrow" w:hAnsi="Arial Narrow" w:cs="Arial"/>
                <w:sz w:val="20"/>
                <w:szCs w:val="20"/>
              </w:rPr>
              <w:t>, cervical spine and/or hip (assessed as pain in passive movement and restriction of passive movement, where pain and limitation of movement are due to active disease and not irreversible damage such as joint destruction or bony overgrowth).</w:t>
            </w:r>
          </w:p>
          <w:p w:rsidR="00796E72" w:rsidRPr="002E6BC6" w:rsidRDefault="009978F5" w:rsidP="005E11C2">
            <w:pPr>
              <w:spacing w:before="40" w:after="40"/>
              <w:rPr>
                <w:rFonts w:ascii="Arial Narrow" w:hAnsi="Arial Narrow" w:cs="Arial"/>
                <w:sz w:val="20"/>
                <w:szCs w:val="20"/>
              </w:rPr>
            </w:pPr>
            <w:r w:rsidRPr="002E6BC6">
              <w:rPr>
                <w:rFonts w:ascii="Arial Narrow" w:hAnsi="Arial Narrow" w:cs="Arial"/>
                <w:sz w:val="20"/>
                <w:szCs w:val="20"/>
              </w:rPr>
              <w:t xml:space="preserve">The joint count assessment </w:t>
            </w:r>
            <w:proofErr w:type="gramStart"/>
            <w:r w:rsidRPr="002E6BC6">
              <w:rPr>
                <w:rFonts w:ascii="Arial Narrow" w:hAnsi="Arial Narrow" w:cs="Arial"/>
                <w:sz w:val="20"/>
                <w:szCs w:val="20"/>
              </w:rPr>
              <w:t>must be performed</w:t>
            </w:r>
            <w:proofErr w:type="gramEnd"/>
            <w:r w:rsidRPr="002E6BC6">
              <w:rPr>
                <w:rFonts w:ascii="Arial Narrow" w:hAnsi="Arial Narrow" w:cs="Arial"/>
                <w:sz w:val="20"/>
                <w:szCs w:val="20"/>
              </w:rPr>
              <w:t xml:space="preserve"> preferably whilst still on DMARD treatment, but no longer than 4 weeks following cessation of the most recent prior treatment.</w:t>
            </w:r>
          </w:p>
          <w:p w:rsidR="009978F5" w:rsidRPr="002E6BC6" w:rsidRDefault="009978F5" w:rsidP="005E11C2">
            <w:pPr>
              <w:spacing w:before="40" w:after="40"/>
              <w:rPr>
                <w:rFonts w:ascii="Arial Narrow" w:hAnsi="Arial Narrow" w:cs="Arial"/>
                <w:sz w:val="20"/>
                <w:szCs w:val="20"/>
              </w:rPr>
            </w:pPr>
          </w:p>
          <w:p w:rsidR="009978F5" w:rsidRPr="002E6BC6" w:rsidRDefault="009978F5" w:rsidP="009978F5">
            <w:pPr>
              <w:spacing w:before="40" w:after="40"/>
              <w:rPr>
                <w:rFonts w:ascii="Arial Narrow" w:hAnsi="Arial Narrow" w:cs="Arial"/>
                <w:sz w:val="20"/>
                <w:szCs w:val="20"/>
              </w:rPr>
            </w:pPr>
            <w:r w:rsidRPr="002E6BC6">
              <w:rPr>
                <w:rFonts w:ascii="Arial Narrow" w:hAnsi="Arial Narrow" w:cs="Arial"/>
                <w:sz w:val="20"/>
                <w:szCs w:val="20"/>
              </w:rPr>
              <w:t>The authority application must be made in writing and must include:</w:t>
            </w:r>
          </w:p>
          <w:p w:rsidR="009978F5" w:rsidRPr="002E6BC6" w:rsidRDefault="009978F5" w:rsidP="009978F5">
            <w:pPr>
              <w:spacing w:before="40" w:after="40"/>
              <w:rPr>
                <w:rFonts w:ascii="Arial Narrow" w:hAnsi="Arial Narrow" w:cs="Arial"/>
                <w:sz w:val="20"/>
                <w:szCs w:val="20"/>
              </w:rPr>
            </w:pPr>
            <w:r w:rsidRPr="002E6BC6">
              <w:rPr>
                <w:rFonts w:ascii="Arial Narrow" w:hAnsi="Arial Narrow" w:cs="Arial"/>
                <w:sz w:val="20"/>
                <w:szCs w:val="20"/>
              </w:rPr>
              <w:t>(1) completed authority prescription form(s); and</w:t>
            </w:r>
          </w:p>
          <w:p w:rsidR="009978F5" w:rsidRPr="002E6BC6" w:rsidRDefault="009978F5" w:rsidP="009978F5">
            <w:pPr>
              <w:spacing w:before="40" w:after="40"/>
              <w:rPr>
                <w:rFonts w:ascii="Arial Narrow" w:hAnsi="Arial Narrow" w:cs="Arial"/>
                <w:sz w:val="20"/>
                <w:szCs w:val="20"/>
              </w:rPr>
            </w:pPr>
            <w:r w:rsidRPr="002E6BC6">
              <w:rPr>
                <w:rFonts w:ascii="Arial Narrow" w:hAnsi="Arial Narrow" w:cs="Arial"/>
                <w:sz w:val="20"/>
                <w:szCs w:val="20"/>
              </w:rPr>
              <w:t xml:space="preserve">(2) a completed Juvenile Idiopathic Arthritis PBS Authority Application - Supporting Information Form; and </w:t>
            </w:r>
          </w:p>
          <w:p w:rsidR="009978F5" w:rsidRPr="002E6BC6" w:rsidRDefault="009978F5" w:rsidP="009978F5">
            <w:pPr>
              <w:spacing w:before="40" w:after="40"/>
              <w:rPr>
                <w:rFonts w:ascii="Arial Narrow" w:hAnsi="Arial Narrow" w:cs="Arial"/>
                <w:sz w:val="20"/>
                <w:szCs w:val="20"/>
              </w:rPr>
            </w:pPr>
            <w:r w:rsidRPr="002E6BC6">
              <w:rPr>
                <w:rFonts w:ascii="Arial Narrow" w:hAnsi="Arial Narrow" w:cs="Arial"/>
                <w:sz w:val="20"/>
                <w:szCs w:val="20"/>
              </w:rPr>
              <w:t xml:space="preserve">(3) </w:t>
            </w:r>
            <w:proofErr w:type="gramStart"/>
            <w:r w:rsidRPr="002E6BC6">
              <w:rPr>
                <w:rFonts w:ascii="Arial Narrow" w:hAnsi="Arial Narrow" w:cs="Arial"/>
                <w:sz w:val="20"/>
                <w:szCs w:val="20"/>
              </w:rPr>
              <w:t>an</w:t>
            </w:r>
            <w:proofErr w:type="gramEnd"/>
            <w:r w:rsidRPr="002E6BC6">
              <w:rPr>
                <w:rFonts w:ascii="Arial Narrow" w:hAnsi="Arial Narrow" w:cs="Arial"/>
                <w:sz w:val="20"/>
                <w:szCs w:val="20"/>
              </w:rPr>
              <w:t xml:space="preserve"> acknowledgement signed by a parent or authorised guardian.</w:t>
            </w:r>
          </w:p>
          <w:p w:rsidR="00203621" w:rsidRPr="002E6BC6" w:rsidRDefault="00203621" w:rsidP="005E11C2">
            <w:pPr>
              <w:spacing w:before="40" w:after="40"/>
              <w:rPr>
                <w:rFonts w:ascii="Arial Narrow" w:hAnsi="Arial Narrow" w:cs="Arial"/>
                <w:sz w:val="20"/>
                <w:szCs w:val="20"/>
              </w:rPr>
            </w:pPr>
          </w:p>
          <w:p w:rsidR="00203621" w:rsidRPr="002E6BC6" w:rsidRDefault="00CD219F" w:rsidP="005E11C2">
            <w:pPr>
              <w:spacing w:before="40" w:after="40"/>
              <w:rPr>
                <w:rFonts w:ascii="Arial Narrow" w:hAnsi="Arial Narrow" w:cs="Arial"/>
                <w:sz w:val="20"/>
                <w:szCs w:val="20"/>
              </w:rPr>
            </w:pPr>
            <w:r w:rsidRPr="002E6BC6">
              <w:rPr>
                <w:rFonts w:ascii="Arial Narrow" w:hAnsi="Arial Narrow" w:cs="Arial"/>
                <w:sz w:val="20"/>
                <w:szCs w:val="20"/>
              </w:rPr>
              <w:t>P</w:t>
            </w:r>
            <w:r w:rsidR="00203621" w:rsidRPr="002E6BC6">
              <w:rPr>
                <w:rFonts w:ascii="Arial Narrow" w:hAnsi="Arial Narrow" w:cs="Arial"/>
                <w:sz w:val="20"/>
                <w:szCs w:val="20"/>
              </w:rPr>
              <w:t xml:space="preserve">atients under 30 kg </w:t>
            </w:r>
            <w:r w:rsidRPr="002E6BC6">
              <w:rPr>
                <w:rFonts w:ascii="Arial Narrow" w:hAnsi="Arial Narrow" w:cs="Arial"/>
                <w:sz w:val="20"/>
                <w:szCs w:val="20"/>
              </w:rPr>
              <w:t>may receive</w:t>
            </w:r>
            <w:r w:rsidR="00203621" w:rsidRPr="002E6BC6">
              <w:rPr>
                <w:rFonts w:ascii="Arial Narrow" w:hAnsi="Arial Narrow" w:cs="Arial"/>
                <w:sz w:val="20"/>
                <w:szCs w:val="20"/>
              </w:rPr>
              <w:t xml:space="preserve"> up to </w:t>
            </w:r>
            <w:r w:rsidRPr="002E6BC6">
              <w:rPr>
                <w:rFonts w:ascii="Arial Narrow" w:hAnsi="Arial Narrow" w:cs="Arial"/>
                <w:sz w:val="20"/>
                <w:szCs w:val="20"/>
              </w:rPr>
              <w:t>24</w:t>
            </w:r>
            <w:r w:rsidR="00203621" w:rsidRPr="002E6BC6">
              <w:rPr>
                <w:rFonts w:ascii="Arial Narrow" w:hAnsi="Arial Narrow" w:cs="Arial"/>
                <w:sz w:val="20"/>
                <w:szCs w:val="20"/>
              </w:rPr>
              <w:t xml:space="preserve"> weeks of treatment</w:t>
            </w:r>
            <w:r w:rsidRPr="002E6BC6">
              <w:rPr>
                <w:rFonts w:ascii="Arial Narrow" w:hAnsi="Arial Narrow" w:cs="Arial"/>
                <w:sz w:val="20"/>
                <w:szCs w:val="20"/>
              </w:rPr>
              <w:t xml:space="preserve"> under this restriction</w:t>
            </w:r>
            <w:r w:rsidR="00203621" w:rsidRPr="002E6BC6">
              <w:rPr>
                <w:rFonts w:ascii="Arial Narrow" w:hAnsi="Arial Narrow" w:cs="Arial"/>
                <w:sz w:val="20"/>
                <w:szCs w:val="20"/>
              </w:rPr>
              <w:t xml:space="preserve">. </w:t>
            </w:r>
            <w:r w:rsidRPr="002E6BC6">
              <w:rPr>
                <w:rFonts w:ascii="Arial Narrow" w:hAnsi="Arial Narrow" w:cs="Arial"/>
                <w:sz w:val="20"/>
                <w:szCs w:val="20"/>
              </w:rPr>
              <w:t>P</w:t>
            </w:r>
            <w:r w:rsidR="00203621" w:rsidRPr="002E6BC6">
              <w:rPr>
                <w:rFonts w:ascii="Arial Narrow" w:hAnsi="Arial Narrow" w:cs="Arial"/>
                <w:sz w:val="20"/>
                <w:szCs w:val="20"/>
              </w:rPr>
              <w:t>atients 30 kg</w:t>
            </w:r>
            <w:r w:rsidR="000C6691" w:rsidRPr="002E6BC6">
              <w:rPr>
                <w:rFonts w:ascii="Arial Narrow" w:hAnsi="Arial Narrow" w:cs="Arial"/>
                <w:sz w:val="20"/>
                <w:szCs w:val="20"/>
              </w:rPr>
              <w:t xml:space="preserve"> and over</w:t>
            </w:r>
            <w:r w:rsidR="00203621" w:rsidRPr="002E6BC6">
              <w:rPr>
                <w:rFonts w:ascii="Arial Narrow" w:hAnsi="Arial Narrow" w:cs="Arial"/>
                <w:sz w:val="20"/>
                <w:szCs w:val="20"/>
              </w:rPr>
              <w:t xml:space="preserve"> </w:t>
            </w:r>
            <w:r w:rsidRPr="002E6BC6">
              <w:rPr>
                <w:rFonts w:ascii="Arial Narrow" w:hAnsi="Arial Narrow" w:cs="Arial"/>
                <w:sz w:val="20"/>
                <w:szCs w:val="20"/>
              </w:rPr>
              <w:t>may receive up to</w:t>
            </w:r>
            <w:r w:rsidR="00203621" w:rsidRPr="002E6BC6">
              <w:rPr>
                <w:rFonts w:ascii="Arial Narrow" w:hAnsi="Arial Narrow" w:cs="Arial"/>
                <w:sz w:val="20"/>
                <w:szCs w:val="20"/>
              </w:rPr>
              <w:t xml:space="preserve"> </w:t>
            </w:r>
            <w:r w:rsidRPr="002E6BC6">
              <w:rPr>
                <w:rFonts w:ascii="Arial Narrow" w:hAnsi="Arial Narrow" w:cs="Arial"/>
                <w:sz w:val="20"/>
                <w:szCs w:val="20"/>
              </w:rPr>
              <w:t>16</w:t>
            </w:r>
            <w:r w:rsidR="00203621" w:rsidRPr="002E6BC6">
              <w:rPr>
                <w:rFonts w:ascii="Arial Narrow" w:hAnsi="Arial Narrow" w:cs="Arial"/>
                <w:sz w:val="20"/>
                <w:szCs w:val="20"/>
              </w:rPr>
              <w:t xml:space="preserve"> weeks of treatment</w:t>
            </w:r>
            <w:r w:rsidRPr="002E6BC6">
              <w:rPr>
                <w:rFonts w:ascii="Arial Narrow" w:hAnsi="Arial Narrow" w:cs="Arial"/>
                <w:sz w:val="20"/>
                <w:szCs w:val="20"/>
              </w:rPr>
              <w:t xml:space="preserve"> under this restriction</w:t>
            </w:r>
            <w:r w:rsidR="00203621" w:rsidRPr="002E6BC6">
              <w:rPr>
                <w:rFonts w:ascii="Arial Narrow" w:hAnsi="Arial Narrow" w:cs="Arial"/>
                <w:sz w:val="20"/>
                <w:szCs w:val="20"/>
              </w:rPr>
              <w:t xml:space="preserve">. </w:t>
            </w:r>
          </w:p>
          <w:p w:rsidR="000130F1" w:rsidRPr="002E6BC6" w:rsidRDefault="000130F1" w:rsidP="005E11C2">
            <w:pPr>
              <w:spacing w:before="40" w:after="40"/>
              <w:rPr>
                <w:rFonts w:ascii="Arial Narrow" w:hAnsi="Arial Narrow" w:cs="Arial"/>
                <w:i/>
                <w:sz w:val="20"/>
                <w:szCs w:val="20"/>
              </w:rPr>
            </w:pPr>
          </w:p>
          <w:p w:rsidR="000130F1" w:rsidRPr="002E6BC6" w:rsidRDefault="000130F1" w:rsidP="005E11C2">
            <w:pPr>
              <w:spacing w:before="40" w:after="40"/>
              <w:rPr>
                <w:rFonts w:ascii="Arial Narrow" w:hAnsi="Arial Narrow" w:cs="Arial"/>
                <w:sz w:val="20"/>
                <w:szCs w:val="20"/>
              </w:rPr>
            </w:pPr>
            <w:r w:rsidRPr="002E6BC6">
              <w:rPr>
                <w:rFonts w:ascii="Arial Narrow" w:hAnsi="Arial Narrow" w:cs="Arial"/>
                <w:sz w:val="20"/>
                <w:szCs w:val="20"/>
              </w:rPr>
              <w:t xml:space="preserve">If a patient fails to respond to PBS-subsidised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treatment 3 times (once with each </w:t>
            </w:r>
            <w:proofErr w:type="gramStart"/>
            <w:r w:rsidRPr="002E6BC6">
              <w:rPr>
                <w:rFonts w:ascii="Arial Narrow" w:hAnsi="Arial Narrow" w:cs="Arial"/>
                <w:sz w:val="20"/>
                <w:szCs w:val="20"/>
              </w:rPr>
              <w:t>agent)</w:t>
            </w:r>
            <w:proofErr w:type="gramEnd"/>
            <w:r w:rsidRPr="002E6BC6">
              <w:rPr>
                <w:rFonts w:ascii="Arial Narrow" w:hAnsi="Arial Narrow" w:cs="Arial"/>
                <w:sz w:val="20"/>
                <w:szCs w:val="20"/>
              </w:rPr>
              <w:t xml:space="preserve"> they will not be eligible to receive further PBS-subsidised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therapy in this treatment cycle. A </w:t>
            </w:r>
            <w:proofErr w:type="gramStart"/>
            <w:r w:rsidRPr="002E6BC6">
              <w:rPr>
                <w:rFonts w:ascii="Arial Narrow" w:hAnsi="Arial Narrow" w:cs="Arial"/>
                <w:sz w:val="20"/>
                <w:szCs w:val="20"/>
              </w:rPr>
              <w:t xml:space="preserve">patient may re-trial </w:t>
            </w:r>
            <w:proofErr w:type="spellStart"/>
            <w:r w:rsidRPr="002E6BC6">
              <w:rPr>
                <w:rFonts w:ascii="Arial Narrow" w:hAnsi="Arial Narrow" w:cs="Arial"/>
                <w:sz w:val="20"/>
                <w:szCs w:val="20"/>
              </w:rPr>
              <w:t>tocilizumab</w:t>
            </w:r>
            <w:proofErr w:type="spellEnd"/>
            <w:proofErr w:type="gramEnd"/>
            <w:r w:rsidRPr="002E6BC6">
              <w:rPr>
                <w:rFonts w:ascii="Arial Narrow" w:hAnsi="Arial Narrow" w:cs="Arial"/>
                <w:sz w:val="20"/>
                <w:szCs w:val="20"/>
              </w:rPr>
              <w:t xml:space="preserve"> after a minimum of 12 months have elapsed between the date the last PBS-subsidised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was stopped and the date of the first application under a new treatment cycle.</w:t>
            </w:r>
          </w:p>
        </w:tc>
      </w:tr>
      <w:tr w:rsidR="000130F1"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0130F1" w:rsidRPr="002E6BC6" w:rsidRDefault="000130F1" w:rsidP="005E11C2">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Administrative Advice:</w:t>
            </w:r>
          </w:p>
          <w:p w:rsidR="000130F1" w:rsidRPr="002E6BC6" w:rsidRDefault="000130F1" w:rsidP="005E11C2">
            <w:pPr>
              <w:spacing w:before="40" w:after="40"/>
              <w:jc w:val="both"/>
              <w:rPr>
                <w:rFonts w:ascii="Arial Narrow" w:hAnsi="Arial Narrow" w:cs="Arial"/>
                <w:b/>
                <w:sz w:val="20"/>
                <w:szCs w:val="20"/>
              </w:rPr>
            </w:pPr>
          </w:p>
        </w:tc>
        <w:tc>
          <w:tcPr>
            <w:tcW w:w="3937" w:type="pct"/>
            <w:tcBorders>
              <w:top w:val="single" w:sz="4" w:space="0" w:color="auto"/>
              <w:left w:val="single" w:sz="4" w:space="0" w:color="auto"/>
              <w:bottom w:val="single" w:sz="4" w:space="0" w:color="auto"/>
              <w:right w:val="single" w:sz="4" w:space="0" w:color="auto"/>
            </w:tcBorders>
          </w:tcPr>
          <w:p w:rsidR="000130F1" w:rsidRPr="002E6BC6" w:rsidRDefault="000130F1" w:rsidP="005E11C2">
            <w:pPr>
              <w:spacing w:before="40" w:after="40"/>
              <w:rPr>
                <w:rFonts w:ascii="Arial Narrow" w:hAnsi="Arial Narrow" w:cs="Arial"/>
                <w:sz w:val="20"/>
                <w:szCs w:val="20"/>
              </w:rPr>
            </w:pPr>
            <w:r w:rsidRPr="002E6BC6">
              <w:rPr>
                <w:rFonts w:ascii="Arial Narrow" w:hAnsi="Arial Narrow" w:cs="Arial"/>
                <w:sz w:val="20"/>
                <w:szCs w:val="20"/>
              </w:rPr>
              <w:t>Use of alternative DMARDs in children is dependent on approval by the Therapeutic Goods Administration as age restrictions may apply.</w:t>
            </w:r>
          </w:p>
          <w:p w:rsidR="000130F1" w:rsidRPr="002E6BC6" w:rsidRDefault="000130F1" w:rsidP="000130F1">
            <w:pPr>
              <w:spacing w:before="40" w:after="40"/>
              <w:rPr>
                <w:rFonts w:ascii="Arial Narrow" w:hAnsi="Arial Narrow" w:cs="Arial"/>
                <w:sz w:val="20"/>
                <w:szCs w:val="20"/>
              </w:rPr>
            </w:pPr>
            <w:r w:rsidRPr="002E6BC6">
              <w:rPr>
                <w:rFonts w:ascii="Arial Narrow" w:hAnsi="Arial Narrow" w:cs="Arial"/>
                <w:sz w:val="20"/>
                <w:szCs w:val="20"/>
              </w:rPr>
              <w:t xml:space="preserve">Any queries concerning the arrangements to prescribe may be directed to the Department of Human Services on 1800 700 270 (hours of operation 8 a.m. to 5 p.m. EST Monday to Friday). </w:t>
            </w:r>
          </w:p>
          <w:p w:rsidR="000130F1" w:rsidRPr="002E6BC6" w:rsidRDefault="000130F1" w:rsidP="000130F1">
            <w:pPr>
              <w:spacing w:before="40" w:after="40"/>
              <w:rPr>
                <w:rFonts w:ascii="Arial Narrow" w:hAnsi="Arial Narrow" w:cs="Arial"/>
                <w:sz w:val="20"/>
                <w:szCs w:val="20"/>
              </w:rPr>
            </w:pPr>
            <w:r w:rsidRPr="002E6BC6">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0130F1" w:rsidRPr="002E6BC6" w:rsidRDefault="000130F1" w:rsidP="000130F1">
            <w:pPr>
              <w:spacing w:before="40" w:after="40"/>
              <w:rPr>
                <w:rFonts w:ascii="Arial Narrow" w:hAnsi="Arial Narrow" w:cs="Arial"/>
                <w:sz w:val="20"/>
                <w:szCs w:val="20"/>
              </w:rPr>
            </w:pPr>
            <w:r w:rsidRPr="002E6BC6">
              <w:rPr>
                <w:rFonts w:ascii="Arial Narrow" w:hAnsi="Arial Narrow" w:cs="Arial"/>
                <w:sz w:val="20"/>
                <w:szCs w:val="20"/>
              </w:rPr>
              <w:t xml:space="preserve">Applications for authority to prescribe should be forwarded to: </w:t>
            </w:r>
          </w:p>
          <w:p w:rsidR="000130F1" w:rsidRPr="002E6BC6" w:rsidRDefault="000130F1" w:rsidP="000130F1">
            <w:pPr>
              <w:spacing w:before="40" w:after="40"/>
              <w:rPr>
                <w:rFonts w:ascii="Arial Narrow" w:hAnsi="Arial Narrow" w:cs="Arial"/>
                <w:sz w:val="20"/>
                <w:szCs w:val="20"/>
              </w:rPr>
            </w:pPr>
            <w:r w:rsidRPr="002E6BC6">
              <w:rPr>
                <w:rFonts w:ascii="Arial Narrow" w:hAnsi="Arial Narrow" w:cs="Arial"/>
                <w:sz w:val="20"/>
                <w:szCs w:val="20"/>
              </w:rPr>
              <w:t>Department of Human Services</w:t>
            </w:r>
          </w:p>
          <w:p w:rsidR="000130F1" w:rsidRPr="002E6BC6" w:rsidRDefault="000130F1" w:rsidP="000130F1">
            <w:pPr>
              <w:spacing w:before="40" w:after="40"/>
              <w:rPr>
                <w:rFonts w:ascii="Arial Narrow" w:hAnsi="Arial Narrow" w:cs="Arial"/>
                <w:sz w:val="20"/>
                <w:szCs w:val="20"/>
              </w:rPr>
            </w:pPr>
            <w:r w:rsidRPr="002E6BC6">
              <w:rPr>
                <w:rFonts w:ascii="Arial Narrow" w:hAnsi="Arial Narrow" w:cs="Arial"/>
                <w:sz w:val="20"/>
                <w:szCs w:val="20"/>
              </w:rPr>
              <w:t xml:space="preserve">Complex Drugs </w:t>
            </w:r>
          </w:p>
          <w:p w:rsidR="000130F1" w:rsidRPr="002E6BC6" w:rsidRDefault="000130F1" w:rsidP="000130F1">
            <w:pPr>
              <w:spacing w:before="40" w:after="40"/>
              <w:rPr>
                <w:rFonts w:ascii="Arial Narrow" w:hAnsi="Arial Narrow" w:cs="Arial"/>
                <w:sz w:val="20"/>
                <w:szCs w:val="20"/>
              </w:rPr>
            </w:pPr>
            <w:r w:rsidRPr="002E6BC6">
              <w:rPr>
                <w:rFonts w:ascii="Arial Narrow" w:hAnsi="Arial Narrow" w:cs="Arial"/>
                <w:sz w:val="20"/>
                <w:szCs w:val="20"/>
              </w:rPr>
              <w:t xml:space="preserve">Reply Paid 9826 </w:t>
            </w:r>
          </w:p>
          <w:p w:rsidR="000130F1" w:rsidRPr="002E6BC6" w:rsidRDefault="000130F1" w:rsidP="000130F1">
            <w:pPr>
              <w:spacing w:before="40" w:after="40"/>
              <w:rPr>
                <w:rFonts w:ascii="Arial Narrow" w:hAnsi="Arial Narrow" w:cs="Arial"/>
                <w:sz w:val="20"/>
                <w:szCs w:val="20"/>
              </w:rPr>
            </w:pPr>
            <w:r w:rsidRPr="002E6BC6">
              <w:rPr>
                <w:rFonts w:ascii="Arial Narrow" w:hAnsi="Arial Narrow" w:cs="Arial"/>
                <w:sz w:val="20"/>
                <w:szCs w:val="20"/>
              </w:rPr>
              <w:t>HOBART TAS 7001</w:t>
            </w:r>
          </w:p>
        </w:tc>
      </w:tr>
    </w:tbl>
    <w:p w:rsidR="00CA14CD" w:rsidRPr="002E6BC6" w:rsidRDefault="00CA14CD" w:rsidP="006A4AE2"/>
    <w:tbl>
      <w:tblPr>
        <w:tblW w:w="5000" w:type="pct"/>
        <w:tblLook w:val="0000" w:firstRow="0" w:lastRow="0" w:firstColumn="0" w:lastColumn="0" w:noHBand="0" w:noVBand="0"/>
      </w:tblPr>
      <w:tblGrid>
        <w:gridCol w:w="1917"/>
        <w:gridCol w:w="7099"/>
      </w:tblGrid>
      <w:tr w:rsidR="009E578C"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jc w:val="both"/>
              <w:rPr>
                <w:rFonts w:ascii="Arial Narrow" w:hAnsi="Arial Narrow" w:cs="Arial"/>
                <w:b/>
                <w:sz w:val="20"/>
                <w:szCs w:val="20"/>
              </w:rPr>
            </w:pPr>
            <w:r w:rsidRPr="002E6BC6">
              <w:rPr>
                <w:rFonts w:ascii="Arial Narrow" w:hAnsi="Arial Narrow" w:cs="Arial"/>
                <w:b/>
                <w:sz w:val="20"/>
                <w:szCs w:val="20"/>
              </w:rPr>
              <w:t xml:space="preserve">Category / </w:t>
            </w:r>
          </w:p>
          <w:p w:rsidR="009E578C" w:rsidRPr="002E6BC6" w:rsidRDefault="009E578C" w:rsidP="005E11C2">
            <w:pPr>
              <w:spacing w:before="40" w:after="40"/>
              <w:jc w:val="both"/>
              <w:rPr>
                <w:rFonts w:ascii="Arial Narrow" w:hAnsi="Arial Narrow" w:cs="Arial"/>
                <w:b/>
                <w:sz w:val="20"/>
                <w:szCs w:val="20"/>
              </w:rPr>
            </w:pPr>
            <w:r w:rsidRPr="002E6BC6">
              <w:rPr>
                <w:rFonts w:ascii="Arial Narrow" w:hAnsi="Arial Narrow" w:cs="Arial"/>
                <w:b/>
                <w:sz w:val="20"/>
                <w:szCs w:val="20"/>
              </w:rPr>
              <w:t>Program</w:t>
            </w:r>
          </w:p>
        </w:tc>
        <w:tc>
          <w:tcPr>
            <w:tcW w:w="3937"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GENERAL – General Schedule (Code GE)</w:t>
            </w:r>
          </w:p>
          <w:p w:rsidR="009E578C" w:rsidRPr="002E6BC6" w:rsidRDefault="009E578C" w:rsidP="005E11C2">
            <w:pPr>
              <w:spacing w:before="40" w:after="40"/>
              <w:rPr>
                <w:rFonts w:ascii="Arial Narrow" w:hAnsi="Arial Narrow" w:cs="Arial"/>
                <w:sz w:val="20"/>
                <w:szCs w:val="20"/>
              </w:rPr>
            </w:pPr>
          </w:p>
        </w:tc>
      </w:tr>
      <w:tr w:rsidR="009E578C"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jc w:val="both"/>
              <w:rPr>
                <w:rFonts w:ascii="Arial Narrow" w:hAnsi="Arial Narrow" w:cs="Arial"/>
                <w:b/>
                <w:sz w:val="20"/>
                <w:szCs w:val="20"/>
              </w:rPr>
            </w:pPr>
            <w:r w:rsidRPr="002E6BC6">
              <w:rPr>
                <w:rFonts w:ascii="Arial Narrow" w:hAnsi="Arial Narrow" w:cs="Arial"/>
                <w:b/>
                <w:sz w:val="20"/>
                <w:szCs w:val="20"/>
              </w:rPr>
              <w:t>Prescriber type:</w:t>
            </w:r>
          </w:p>
        </w:tc>
        <w:tc>
          <w:tcPr>
            <w:tcW w:w="3937"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rPr>
                <w:rFonts w:ascii="Arial Narrow" w:hAnsi="Arial Narrow" w:cs="Arial"/>
                <w:sz w:val="20"/>
                <w:szCs w:val="20"/>
              </w:rPr>
            </w:pPr>
            <w:r w:rsidRPr="00783D58">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783D58">
              <w:rPr>
                <w:rFonts w:ascii="Arial Narrow" w:hAnsi="Arial Narrow" w:cs="Arial"/>
                <w:sz w:val="20"/>
                <w:szCs w:val="20"/>
              </w:rPr>
              <w:fldChar w:fldCharType="end"/>
            </w:r>
            <w:r w:rsidRPr="002E6BC6">
              <w:rPr>
                <w:rFonts w:ascii="Arial Narrow" w:hAnsi="Arial Narrow" w:cs="Arial"/>
                <w:sz w:val="20"/>
                <w:szCs w:val="20"/>
              </w:rPr>
              <w:t xml:space="preserve">Dental  </w:t>
            </w:r>
            <w:r w:rsidRPr="00783D58">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783D58">
              <w:rPr>
                <w:rFonts w:ascii="Arial Narrow" w:hAnsi="Arial Narrow" w:cs="Arial"/>
                <w:sz w:val="20"/>
                <w:szCs w:val="20"/>
              </w:rPr>
              <w:fldChar w:fldCharType="end"/>
            </w:r>
            <w:r w:rsidRPr="002E6BC6">
              <w:rPr>
                <w:rFonts w:ascii="Arial Narrow" w:hAnsi="Arial Narrow" w:cs="Arial"/>
                <w:sz w:val="20"/>
                <w:szCs w:val="20"/>
              </w:rPr>
              <w:t xml:space="preserve">Medical Practitioners  </w:t>
            </w:r>
            <w:r w:rsidRPr="00783D58">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783D58">
              <w:rPr>
                <w:rFonts w:ascii="Arial Narrow" w:hAnsi="Arial Narrow" w:cs="Arial"/>
                <w:sz w:val="20"/>
                <w:szCs w:val="20"/>
              </w:rPr>
              <w:fldChar w:fldCharType="end"/>
            </w:r>
            <w:r w:rsidRPr="002E6BC6">
              <w:rPr>
                <w:rFonts w:ascii="Arial Narrow" w:hAnsi="Arial Narrow" w:cs="Arial"/>
                <w:sz w:val="20"/>
                <w:szCs w:val="20"/>
              </w:rPr>
              <w:t xml:space="preserve">Nurse practitioners  </w:t>
            </w:r>
            <w:r w:rsidRPr="00783D58">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783D58">
              <w:rPr>
                <w:rFonts w:ascii="Arial Narrow" w:hAnsi="Arial Narrow" w:cs="Arial"/>
                <w:sz w:val="20"/>
                <w:szCs w:val="20"/>
              </w:rPr>
              <w:fldChar w:fldCharType="end"/>
            </w:r>
            <w:r w:rsidRPr="002E6BC6">
              <w:rPr>
                <w:rFonts w:ascii="Arial Narrow" w:hAnsi="Arial Narrow" w:cs="Arial"/>
                <w:sz w:val="20"/>
                <w:szCs w:val="20"/>
              </w:rPr>
              <w:t>Optometrists</w:t>
            </w:r>
          </w:p>
          <w:p w:rsidR="009E578C" w:rsidRPr="002E6BC6" w:rsidRDefault="009E578C" w:rsidP="005E11C2">
            <w:pPr>
              <w:spacing w:before="40" w:after="40"/>
              <w:rPr>
                <w:rFonts w:ascii="Arial Narrow" w:hAnsi="Arial Narrow" w:cs="Arial"/>
                <w:sz w:val="20"/>
                <w:szCs w:val="20"/>
              </w:rPr>
            </w:pPr>
            <w:r w:rsidRPr="00783D5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783D58">
              <w:rPr>
                <w:rFonts w:ascii="Arial Narrow" w:hAnsi="Arial Narrow" w:cs="Arial"/>
                <w:sz w:val="20"/>
                <w:szCs w:val="20"/>
              </w:rPr>
              <w:fldChar w:fldCharType="end"/>
            </w:r>
            <w:r w:rsidRPr="002E6BC6">
              <w:rPr>
                <w:rFonts w:ascii="Arial Narrow" w:hAnsi="Arial Narrow" w:cs="Arial"/>
                <w:sz w:val="20"/>
                <w:szCs w:val="20"/>
              </w:rPr>
              <w:t>Midwives</w:t>
            </w:r>
          </w:p>
        </w:tc>
      </w:tr>
      <w:tr w:rsidR="009E578C"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jc w:val="both"/>
              <w:rPr>
                <w:rFonts w:ascii="Arial Narrow" w:hAnsi="Arial Narrow" w:cs="Arial"/>
                <w:b/>
                <w:sz w:val="20"/>
                <w:szCs w:val="20"/>
              </w:rPr>
            </w:pPr>
            <w:r w:rsidRPr="002E6BC6">
              <w:rPr>
                <w:rFonts w:ascii="Arial Narrow" w:hAnsi="Arial Narrow" w:cs="Arial"/>
                <w:b/>
                <w:sz w:val="20"/>
                <w:szCs w:val="20"/>
              </w:rPr>
              <w:t>Condition:</w:t>
            </w:r>
          </w:p>
        </w:tc>
        <w:tc>
          <w:tcPr>
            <w:tcW w:w="3937"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9E578C"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jc w:val="both"/>
              <w:rPr>
                <w:rFonts w:ascii="Arial Narrow" w:hAnsi="Arial Narrow" w:cs="Arial"/>
                <w:b/>
                <w:sz w:val="20"/>
                <w:szCs w:val="20"/>
              </w:rPr>
            </w:pPr>
            <w:r w:rsidRPr="002E6BC6">
              <w:rPr>
                <w:rFonts w:ascii="Arial Narrow" w:hAnsi="Arial Narrow" w:cs="Arial"/>
                <w:b/>
                <w:sz w:val="20"/>
                <w:szCs w:val="20"/>
              </w:rPr>
              <w:t>PBS Indication:</w:t>
            </w:r>
          </w:p>
        </w:tc>
        <w:tc>
          <w:tcPr>
            <w:tcW w:w="3937"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9E578C"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jc w:val="both"/>
              <w:rPr>
                <w:rFonts w:ascii="Arial Narrow" w:hAnsi="Arial Narrow" w:cs="Arial"/>
                <w:b/>
                <w:sz w:val="20"/>
                <w:szCs w:val="20"/>
              </w:rPr>
            </w:pPr>
            <w:r w:rsidRPr="002E6BC6">
              <w:rPr>
                <w:rFonts w:ascii="Arial Narrow" w:hAnsi="Arial Narrow" w:cs="Arial"/>
                <w:b/>
                <w:sz w:val="20"/>
                <w:szCs w:val="20"/>
              </w:rPr>
              <w:t>Treatment phase:</w:t>
            </w:r>
          </w:p>
          <w:p w:rsidR="009E578C" w:rsidRPr="002E6BC6" w:rsidRDefault="009E578C" w:rsidP="005E11C2">
            <w:pPr>
              <w:spacing w:before="40" w:after="40"/>
              <w:jc w:val="both"/>
              <w:rPr>
                <w:rFonts w:ascii="Arial Narrow" w:hAnsi="Arial Narrow" w:cs="Arial"/>
                <w:i/>
                <w:sz w:val="20"/>
                <w:szCs w:val="20"/>
              </w:rPr>
            </w:pPr>
          </w:p>
        </w:tc>
        <w:tc>
          <w:tcPr>
            <w:tcW w:w="3937"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Initial treatment - Initial 2 (new patient or patient recommencing treatment after a break of less than 12 months)</w:t>
            </w:r>
          </w:p>
        </w:tc>
      </w:tr>
      <w:tr w:rsidR="009E578C"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jc w:val="both"/>
              <w:rPr>
                <w:rFonts w:ascii="Arial Narrow" w:hAnsi="Arial Narrow" w:cs="Arial"/>
                <w:b/>
                <w:sz w:val="20"/>
                <w:szCs w:val="20"/>
              </w:rPr>
            </w:pPr>
            <w:r w:rsidRPr="002E6BC6">
              <w:rPr>
                <w:rFonts w:ascii="Arial Narrow" w:hAnsi="Arial Narrow" w:cs="Arial"/>
                <w:b/>
                <w:sz w:val="20"/>
                <w:szCs w:val="20"/>
              </w:rPr>
              <w:t>Restriction Level / Method:</w:t>
            </w:r>
          </w:p>
          <w:p w:rsidR="009E578C" w:rsidRPr="002E6BC6" w:rsidRDefault="009E578C" w:rsidP="005E11C2">
            <w:pPr>
              <w:spacing w:before="40" w:after="40"/>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rPr>
                <w:rFonts w:ascii="Arial Narrow" w:hAnsi="Arial Narrow" w:cs="Arial"/>
                <w:sz w:val="20"/>
                <w:szCs w:val="20"/>
              </w:rPr>
            </w:pPr>
            <w:r w:rsidRPr="00783D58">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783D58">
              <w:rPr>
                <w:rFonts w:ascii="Arial Narrow" w:hAnsi="Arial Narrow" w:cs="Arial"/>
                <w:sz w:val="20"/>
                <w:szCs w:val="20"/>
              </w:rPr>
              <w:fldChar w:fldCharType="end"/>
            </w:r>
            <w:r w:rsidRPr="002E6BC6">
              <w:rPr>
                <w:rFonts w:ascii="Arial Narrow" w:hAnsi="Arial Narrow" w:cs="Arial"/>
                <w:sz w:val="20"/>
                <w:szCs w:val="20"/>
              </w:rPr>
              <w:t>Restricted benefit</w:t>
            </w:r>
          </w:p>
          <w:p w:rsidR="009E578C" w:rsidRPr="002E6BC6" w:rsidRDefault="009E578C" w:rsidP="005E11C2">
            <w:pPr>
              <w:spacing w:before="40" w:after="40"/>
              <w:rPr>
                <w:rFonts w:ascii="Arial Narrow" w:hAnsi="Arial Narrow" w:cs="Arial"/>
                <w:sz w:val="20"/>
                <w:szCs w:val="20"/>
              </w:rPr>
            </w:pPr>
            <w:r w:rsidRPr="00783D58">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783D58">
              <w:rPr>
                <w:rFonts w:ascii="Arial Narrow" w:hAnsi="Arial Narrow" w:cs="Arial"/>
                <w:sz w:val="20"/>
                <w:szCs w:val="20"/>
              </w:rPr>
              <w:fldChar w:fldCharType="end"/>
            </w:r>
            <w:r w:rsidRPr="002E6BC6">
              <w:rPr>
                <w:rFonts w:ascii="Arial Narrow" w:hAnsi="Arial Narrow" w:cs="Arial"/>
                <w:sz w:val="20"/>
                <w:szCs w:val="20"/>
              </w:rPr>
              <w:t>Authority Required - In Writing</w:t>
            </w:r>
          </w:p>
          <w:p w:rsidR="009E578C" w:rsidRPr="002E6BC6" w:rsidRDefault="009E578C" w:rsidP="005E11C2">
            <w:pPr>
              <w:spacing w:before="40" w:after="40"/>
              <w:rPr>
                <w:rFonts w:ascii="Arial Narrow" w:hAnsi="Arial Narrow" w:cs="Arial"/>
                <w:sz w:val="20"/>
                <w:szCs w:val="20"/>
              </w:rPr>
            </w:pPr>
            <w:r w:rsidRPr="00783D58">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783D58">
              <w:rPr>
                <w:rFonts w:ascii="Arial Narrow" w:hAnsi="Arial Narrow" w:cs="Arial"/>
                <w:sz w:val="20"/>
                <w:szCs w:val="20"/>
              </w:rPr>
              <w:fldChar w:fldCharType="end"/>
            </w:r>
            <w:r w:rsidRPr="002E6BC6">
              <w:rPr>
                <w:rFonts w:ascii="Arial Narrow" w:hAnsi="Arial Narrow" w:cs="Arial"/>
                <w:sz w:val="20"/>
                <w:szCs w:val="20"/>
              </w:rPr>
              <w:t>Authority Required - Telephone</w:t>
            </w:r>
          </w:p>
          <w:p w:rsidR="009E578C" w:rsidRPr="002E6BC6" w:rsidRDefault="009E578C" w:rsidP="005E11C2">
            <w:pPr>
              <w:spacing w:before="40" w:after="40"/>
              <w:rPr>
                <w:rFonts w:ascii="Arial Narrow" w:hAnsi="Arial Narrow" w:cs="Arial"/>
                <w:sz w:val="20"/>
                <w:szCs w:val="20"/>
              </w:rPr>
            </w:pPr>
            <w:r w:rsidRPr="00783D58">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783D58">
              <w:rPr>
                <w:rFonts w:ascii="Arial Narrow" w:hAnsi="Arial Narrow" w:cs="Arial"/>
                <w:sz w:val="20"/>
                <w:szCs w:val="20"/>
              </w:rPr>
              <w:fldChar w:fldCharType="end"/>
            </w:r>
            <w:r w:rsidRPr="002E6BC6">
              <w:rPr>
                <w:rFonts w:ascii="Arial Narrow" w:hAnsi="Arial Narrow" w:cs="Arial"/>
                <w:sz w:val="20"/>
                <w:szCs w:val="20"/>
              </w:rPr>
              <w:t>Authority Required – Emergency</w:t>
            </w:r>
          </w:p>
          <w:p w:rsidR="009E578C" w:rsidRPr="002E6BC6" w:rsidRDefault="009E578C" w:rsidP="005E11C2">
            <w:pPr>
              <w:spacing w:before="40" w:after="40"/>
              <w:rPr>
                <w:rFonts w:ascii="Arial Narrow" w:hAnsi="Arial Narrow" w:cs="Arial"/>
                <w:sz w:val="20"/>
                <w:szCs w:val="20"/>
              </w:rPr>
            </w:pPr>
            <w:r w:rsidRPr="00783D5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783D58">
              <w:rPr>
                <w:rFonts w:ascii="Arial Narrow" w:hAnsi="Arial Narrow" w:cs="Arial"/>
                <w:sz w:val="20"/>
                <w:szCs w:val="20"/>
              </w:rPr>
              <w:fldChar w:fldCharType="end"/>
            </w:r>
            <w:r w:rsidRPr="002E6BC6">
              <w:rPr>
                <w:rFonts w:ascii="Arial Narrow" w:hAnsi="Arial Narrow" w:cs="Arial"/>
                <w:sz w:val="20"/>
                <w:szCs w:val="20"/>
              </w:rPr>
              <w:t>Authority Required - Electronic</w:t>
            </w:r>
          </w:p>
          <w:p w:rsidR="009E578C" w:rsidRPr="002E6BC6" w:rsidRDefault="009E578C" w:rsidP="005E11C2">
            <w:pPr>
              <w:spacing w:before="40" w:after="40"/>
              <w:rPr>
                <w:rFonts w:ascii="Arial Narrow" w:hAnsi="Arial Narrow" w:cs="Arial"/>
                <w:sz w:val="20"/>
                <w:szCs w:val="20"/>
              </w:rPr>
            </w:pPr>
            <w:r w:rsidRPr="00783D5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783D58">
              <w:rPr>
                <w:rFonts w:ascii="Arial Narrow" w:hAnsi="Arial Narrow" w:cs="Arial"/>
                <w:sz w:val="20"/>
                <w:szCs w:val="20"/>
              </w:rPr>
              <w:fldChar w:fldCharType="end"/>
            </w:r>
            <w:r w:rsidRPr="002E6BC6">
              <w:rPr>
                <w:rFonts w:ascii="Arial Narrow" w:hAnsi="Arial Narrow" w:cs="Arial"/>
                <w:sz w:val="20"/>
                <w:szCs w:val="20"/>
              </w:rPr>
              <w:t>Streamlined</w:t>
            </w:r>
          </w:p>
        </w:tc>
      </w:tr>
      <w:tr w:rsidR="009E578C"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jc w:val="both"/>
              <w:rPr>
                <w:rFonts w:ascii="Arial Narrow" w:hAnsi="Arial Narrow" w:cs="Arial"/>
                <w:b/>
                <w:sz w:val="20"/>
                <w:szCs w:val="20"/>
              </w:rPr>
            </w:pPr>
            <w:r w:rsidRPr="002E6BC6">
              <w:rPr>
                <w:rFonts w:ascii="Arial Narrow" w:hAnsi="Arial Narrow" w:cs="Arial"/>
                <w:b/>
                <w:sz w:val="20"/>
                <w:szCs w:val="20"/>
              </w:rPr>
              <w:t xml:space="preserve">Treatment criteria: </w:t>
            </w:r>
          </w:p>
        </w:tc>
        <w:tc>
          <w:tcPr>
            <w:tcW w:w="3937"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Must be treated by a paediatric rheumatologist; or</w:t>
            </w:r>
          </w:p>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 xml:space="preserve">Patient must be undergoing treatment under the supervision of a </w:t>
            </w:r>
            <w:proofErr w:type="gramStart"/>
            <w:r w:rsidRPr="002E6BC6">
              <w:rPr>
                <w:rFonts w:ascii="Arial Narrow" w:hAnsi="Arial Narrow" w:cs="Arial"/>
                <w:sz w:val="20"/>
                <w:szCs w:val="20"/>
              </w:rPr>
              <w:t>paediatric rheumatology treatment centre</w:t>
            </w:r>
            <w:proofErr w:type="gramEnd"/>
            <w:r w:rsidRPr="002E6BC6">
              <w:rPr>
                <w:rFonts w:ascii="Arial Narrow" w:hAnsi="Arial Narrow" w:cs="Arial"/>
                <w:sz w:val="20"/>
                <w:szCs w:val="20"/>
              </w:rPr>
              <w:t xml:space="preserve">. </w:t>
            </w:r>
          </w:p>
        </w:tc>
      </w:tr>
      <w:tr w:rsidR="009E578C"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jc w:val="both"/>
              <w:rPr>
                <w:rFonts w:ascii="Arial Narrow" w:hAnsi="Arial Narrow" w:cs="Arial"/>
                <w:b/>
                <w:sz w:val="20"/>
                <w:szCs w:val="20"/>
              </w:rPr>
            </w:pPr>
            <w:r w:rsidRPr="002E6BC6">
              <w:rPr>
                <w:rFonts w:ascii="Arial Narrow" w:hAnsi="Arial Narrow" w:cs="Arial"/>
                <w:b/>
                <w:sz w:val="20"/>
                <w:szCs w:val="20"/>
              </w:rPr>
              <w:t>Clinical criteria:</w:t>
            </w:r>
          </w:p>
          <w:p w:rsidR="009E578C" w:rsidRPr="002E6BC6" w:rsidRDefault="009E578C" w:rsidP="005E11C2">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 xml:space="preserve">Patient must have a documented history of severe active juvenile idiopathic arthritis; AND </w:t>
            </w:r>
          </w:p>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 xml:space="preserve">Patient must have received prior PBS-subsidised treatment with </w:t>
            </w:r>
            <w:proofErr w:type="spellStart"/>
            <w:r w:rsidRPr="002E6BC6">
              <w:rPr>
                <w:rFonts w:ascii="Arial Narrow" w:hAnsi="Arial Narrow" w:cs="Arial"/>
                <w:sz w:val="20"/>
                <w:szCs w:val="20"/>
              </w:rPr>
              <w:t>adalimumab</w:t>
            </w:r>
            <w:proofErr w:type="spellEnd"/>
            <w:r w:rsidRPr="002E6BC6">
              <w:rPr>
                <w:rFonts w:ascii="Arial Narrow" w:hAnsi="Arial Narrow" w:cs="Arial"/>
                <w:sz w:val="20"/>
                <w:szCs w:val="20"/>
              </w:rPr>
              <w:t xml:space="preserve">, </w:t>
            </w:r>
            <w:proofErr w:type="spellStart"/>
            <w:r w:rsidRPr="002E6BC6">
              <w:rPr>
                <w:rFonts w:ascii="Arial Narrow" w:hAnsi="Arial Narrow" w:cs="Arial"/>
                <w:sz w:val="20"/>
                <w:szCs w:val="20"/>
              </w:rPr>
              <w:t>etanercept</w:t>
            </w:r>
            <w:proofErr w:type="spellEnd"/>
            <w:r w:rsidRPr="002E6BC6">
              <w:rPr>
                <w:rFonts w:ascii="Arial Narrow" w:hAnsi="Arial Narrow" w:cs="Arial"/>
                <w:sz w:val="20"/>
                <w:szCs w:val="20"/>
              </w:rPr>
              <w:t xml:space="preserve"> or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for this condition in this treatment cycle; AND</w:t>
            </w:r>
          </w:p>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 xml:space="preserve">Patient must not have failed PBS-subsidised therapy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for this condition in the current treatment cycle; AND</w:t>
            </w:r>
          </w:p>
          <w:p w:rsidR="009E578C" w:rsidRPr="002E6BC6" w:rsidRDefault="009E578C" w:rsidP="009E578C">
            <w:pPr>
              <w:spacing w:before="40" w:after="40"/>
              <w:rPr>
                <w:rFonts w:ascii="Arial Narrow" w:hAnsi="Arial Narrow" w:cs="Arial"/>
                <w:strike/>
                <w:sz w:val="20"/>
                <w:szCs w:val="20"/>
              </w:rPr>
            </w:pPr>
          </w:p>
        </w:tc>
      </w:tr>
      <w:tr w:rsidR="009E578C"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jc w:val="both"/>
              <w:rPr>
                <w:rFonts w:ascii="Arial Narrow" w:hAnsi="Arial Narrow" w:cs="Arial"/>
                <w:b/>
                <w:sz w:val="20"/>
                <w:szCs w:val="20"/>
              </w:rPr>
            </w:pPr>
            <w:r w:rsidRPr="002E6BC6">
              <w:rPr>
                <w:rFonts w:ascii="Arial Narrow" w:hAnsi="Arial Narrow" w:cs="Arial"/>
                <w:b/>
                <w:sz w:val="20"/>
                <w:szCs w:val="20"/>
              </w:rPr>
              <w:t xml:space="preserve">Population criteria: </w:t>
            </w:r>
          </w:p>
        </w:tc>
        <w:tc>
          <w:tcPr>
            <w:tcW w:w="3937" w:type="pct"/>
            <w:tcBorders>
              <w:top w:val="single" w:sz="4" w:space="0" w:color="auto"/>
              <w:left w:val="single" w:sz="4" w:space="0" w:color="auto"/>
              <w:bottom w:val="single" w:sz="4" w:space="0" w:color="auto"/>
              <w:right w:val="single" w:sz="4" w:space="0" w:color="auto"/>
            </w:tcBorders>
          </w:tcPr>
          <w:p w:rsidR="009E578C" w:rsidRPr="002E6BC6" w:rsidRDefault="009E578C" w:rsidP="009E578C">
            <w:pPr>
              <w:spacing w:before="40" w:after="40"/>
              <w:rPr>
                <w:rFonts w:ascii="Arial Narrow" w:hAnsi="Arial Narrow" w:cs="Arial"/>
                <w:sz w:val="20"/>
                <w:szCs w:val="20"/>
              </w:rPr>
            </w:pPr>
            <w:r w:rsidRPr="002E6BC6">
              <w:rPr>
                <w:rFonts w:ascii="Arial Narrow" w:hAnsi="Arial Narrow" w:cs="Arial"/>
                <w:sz w:val="20"/>
                <w:szCs w:val="20"/>
              </w:rPr>
              <w:t xml:space="preserve">Patient must be under 18 years of age </w:t>
            </w:r>
          </w:p>
        </w:tc>
      </w:tr>
      <w:tr w:rsidR="009E578C"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Prescriber Instructions</w:t>
            </w:r>
          </w:p>
          <w:p w:rsidR="009E578C" w:rsidRPr="002E6BC6" w:rsidRDefault="009E578C" w:rsidP="005E11C2">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 xml:space="preserve">For the purposes of </w:t>
            </w:r>
            <w:proofErr w:type="gramStart"/>
            <w:r w:rsidRPr="002E6BC6">
              <w:rPr>
                <w:rFonts w:ascii="Arial Narrow" w:hAnsi="Arial Narrow" w:cs="Arial"/>
                <w:sz w:val="20"/>
                <w:szCs w:val="20"/>
              </w:rPr>
              <w:t>this</w:t>
            </w:r>
            <w:proofErr w:type="gramEnd"/>
            <w:r w:rsidRPr="002E6BC6">
              <w:rPr>
                <w:rFonts w:ascii="Arial Narrow" w:hAnsi="Arial Narrow" w:cs="Arial"/>
                <w:sz w:val="20"/>
                <w:szCs w:val="20"/>
              </w:rPr>
              <w:t xml:space="preserve"> restriction 'biological disease modifying anti-rheumatic drug' and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mean </w:t>
            </w:r>
            <w:proofErr w:type="spellStart"/>
            <w:r w:rsidRPr="002E6BC6">
              <w:rPr>
                <w:rFonts w:ascii="Arial Narrow" w:hAnsi="Arial Narrow" w:cs="Arial"/>
                <w:sz w:val="20"/>
                <w:szCs w:val="20"/>
              </w:rPr>
              <w:t>adalimumab</w:t>
            </w:r>
            <w:proofErr w:type="spellEnd"/>
            <w:r w:rsidRPr="002E6BC6">
              <w:rPr>
                <w:rFonts w:ascii="Arial Narrow" w:hAnsi="Arial Narrow" w:cs="Arial"/>
                <w:sz w:val="20"/>
                <w:szCs w:val="20"/>
              </w:rPr>
              <w:t xml:space="preserve">, </w:t>
            </w:r>
            <w:proofErr w:type="spellStart"/>
            <w:r w:rsidRPr="002E6BC6">
              <w:rPr>
                <w:rFonts w:ascii="Arial Narrow" w:hAnsi="Arial Narrow" w:cs="Arial"/>
                <w:sz w:val="20"/>
                <w:szCs w:val="20"/>
              </w:rPr>
              <w:t>etanercept</w:t>
            </w:r>
            <w:proofErr w:type="spellEnd"/>
            <w:r w:rsidRPr="002E6BC6">
              <w:rPr>
                <w:rFonts w:ascii="Arial Narrow" w:hAnsi="Arial Narrow" w:cs="Arial"/>
                <w:sz w:val="20"/>
                <w:szCs w:val="20"/>
              </w:rPr>
              <w:t xml:space="preserve"> or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w:t>
            </w:r>
          </w:p>
          <w:p w:rsidR="009E578C" w:rsidRPr="002E6BC6" w:rsidRDefault="009E578C" w:rsidP="009E578C">
            <w:pPr>
              <w:spacing w:before="40" w:after="40"/>
              <w:rPr>
                <w:rFonts w:ascii="Arial Narrow" w:hAnsi="Arial Narrow" w:cs="Arial"/>
                <w:sz w:val="20"/>
                <w:szCs w:val="20"/>
              </w:rPr>
            </w:pPr>
            <w:r w:rsidRPr="002E6BC6">
              <w:rPr>
                <w:rFonts w:ascii="Arial Narrow" w:hAnsi="Arial Narrow" w:cs="Arial"/>
                <w:sz w:val="20"/>
                <w:szCs w:val="20"/>
              </w:rPr>
              <w:t>The authority application must be made in writing and must include:</w:t>
            </w:r>
          </w:p>
          <w:p w:rsidR="009E578C" w:rsidRPr="002E6BC6" w:rsidRDefault="009E578C" w:rsidP="009E578C">
            <w:pPr>
              <w:spacing w:before="40" w:after="40"/>
              <w:rPr>
                <w:rFonts w:ascii="Arial Narrow" w:hAnsi="Arial Narrow" w:cs="Arial"/>
                <w:sz w:val="20"/>
                <w:szCs w:val="20"/>
              </w:rPr>
            </w:pPr>
            <w:r w:rsidRPr="002E6BC6">
              <w:rPr>
                <w:rFonts w:ascii="Arial Narrow" w:hAnsi="Arial Narrow" w:cs="Arial"/>
                <w:sz w:val="20"/>
                <w:szCs w:val="20"/>
              </w:rPr>
              <w:t>(1) completed authority prescription form(s); and</w:t>
            </w:r>
          </w:p>
          <w:p w:rsidR="009E578C" w:rsidRPr="002E6BC6" w:rsidRDefault="009E578C" w:rsidP="009E578C">
            <w:pPr>
              <w:spacing w:before="40" w:after="40"/>
              <w:rPr>
                <w:rFonts w:ascii="Arial Narrow" w:hAnsi="Arial Narrow" w:cs="Arial"/>
                <w:sz w:val="20"/>
                <w:szCs w:val="20"/>
              </w:rPr>
            </w:pPr>
            <w:r w:rsidRPr="002E6BC6">
              <w:rPr>
                <w:rFonts w:ascii="Arial Narrow" w:hAnsi="Arial Narrow" w:cs="Arial"/>
                <w:sz w:val="20"/>
                <w:szCs w:val="20"/>
              </w:rPr>
              <w:t xml:space="preserve">(2) </w:t>
            </w:r>
            <w:proofErr w:type="gramStart"/>
            <w:r w:rsidRPr="002E6BC6">
              <w:rPr>
                <w:rFonts w:ascii="Arial Narrow" w:hAnsi="Arial Narrow" w:cs="Arial"/>
                <w:sz w:val="20"/>
                <w:szCs w:val="20"/>
              </w:rPr>
              <w:t>a</w:t>
            </w:r>
            <w:proofErr w:type="gramEnd"/>
            <w:r w:rsidRPr="002E6BC6">
              <w:rPr>
                <w:rFonts w:ascii="Arial Narrow" w:hAnsi="Arial Narrow" w:cs="Arial"/>
                <w:sz w:val="20"/>
                <w:szCs w:val="20"/>
              </w:rPr>
              <w:t xml:space="preserve"> completed Juvenile Idiopathic Arthritis PBS Authority Application - Supporting Information Form.</w:t>
            </w:r>
          </w:p>
          <w:p w:rsidR="00F13837" w:rsidRPr="002E6BC6" w:rsidRDefault="00F13837" w:rsidP="009E578C">
            <w:pPr>
              <w:spacing w:before="40" w:after="40"/>
              <w:rPr>
                <w:rFonts w:ascii="Arial Narrow" w:hAnsi="Arial Narrow" w:cs="Arial"/>
                <w:sz w:val="20"/>
                <w:szCs w:val="20"/>
              </w:rPr>
            </w:pPr>
          </w:p>
          <w:p w:rsidR="00F13837" w:rsidRPr="002E6BC6" w:rsidRDefault="00F13837" w:rsidP="00F13837">
            <w:pPr>
              <w:spacing w:before="40" w:after="40"/>
              <w:rPr>
                <w:rFonts w:ascii="Arial Narrow" w:hAnsi="Arial Narrow" w:cs="Arial"/>
                <w:sz w:val="20"/>
                <w:szCs w:val="20"/>
              </w:rPr>
            </w:pPr>
            <w:r w:rsidRPr="002E6BC6">
              <w:rPr>
                <w:rFonts w:ascii="Arial Narrow" w:hAnsi="Arial Narrow" w:cs="Arial"/>
                <w:sz w:val="20"/>
                <w:szCs w:val="20"/>
              </w:rPr>
              <w:t xml:space="preserve">Patients under 30 kg may receive up to 24 weeks of treatment under this restriction. Patients 30 kg and over may receive up to 16 weeks of treatment under this restriction. </w:t>
            </w:r>
          </w:p>
          <w:p w:rsidR="009E578C" w:rsidRPr="002E6BC6" w:rsidRDefault="009E578C" w:rsidP="005E11C2">
            <w:pPr>
              <w:spacing w:before="40" w:after="40"/>
              <w:rPr>
                <w:rFonts w:ascii="Arial Narrow" w:hAnsi="Arial Narrow" w:cs="Arial"/>
                <w:i/>
                <w:sz w:val="20"/>
                <w:szCs w:val="20"/>
              </w:rPr>
            </w:pPr>
          </w:p>
          <w:p w:rsidR="009E578C" w:rsidRPr="002E6BC6" w:rsidRDefault="009E578C" w:rsidP="009E578C">
            <w:pPr>
              <w:spacing w:before="40" w:after="40"/>
              <w:rPr>
                <w:rFonts w:ascii="Arial Narrow" w:hAnsi="Arial Narrow" w:cs="Arial"/>
                <w:sz w:val="20"/>
                <w:szCs w:val="20"/>
              </w:rPr>
            </w:pPr>
            <w:r w:rsidRPr="002E6BC6">
              <w:rPr>
                <w:rFonts w:ascii="Arial Narrow" w:hAnsi="Arial Narrow" w:cs="Arial"/>
                <w:sz w:val="20"/>
                <w:szCs w:val="20"/>
              </w:rPr>
              <w:t xml:space="preserve">Applications for a patient who has received PBS-subsidised treatment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in this treatment cycle and who wishes to recommence therapy with this </w:t>
            </w:r>
            <w:proofErr w:type="gramStart"/>
            <w:r w:rsidRPr="002E6BC6">
              <w:rPr>
                <w:rFonts w:ascii="Arial Narrow" w:hAnsi="Arial Narrow" w:cs="Arial"/>
                <w:sz w:val="20"/>
                <w:szCs w:val="20"/>
              </w:rPr>
              <w:t>drug,</w:t>
            </w:r>
            <w:proofErr w:type="gramEnd"/>
            <w:r w:rsidRPr="002E6BC6">
              <w:rPr>
                <w:rFonts w:ascii="Arial Narrow" w:hAnsi="Arial Narrow" w:cs="Arial"/>
                <w:sz w:val="20"/>
                <w:szCs w:val="20"/>
              </w:rPr>
              <w:t xml:space="preserve"> must be accompanied by evidence of a response to the patient's most recent course of PBS-subsidised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treatment, within the timeframes specified below.</w:t>
            </w:r>
          </w:p>
          <w:p w:rsidR="009E578C" w:rsidRPr="002E6BC6" w:rsidRDefault="009E578C" w:rsidP="009E578C">
            <w:pPr>
              <w:spacing w:before="40" w:after="40"/>
              <w:rPr>
                <w:rFonts w:ascii="Arial Narrow" w:hAnsi="Arial Narrow" w:cs="Arial"/>
                <w:sz w:val="20"/>
                <w:szCs w:val="20"/>
              </w:rPr>
            </w:pPr>
            <w:r w:rsidRPr="002E6BC6">
              <w:rPr>
                <w:rFonts w:ascii="Arial Narrow" w:hAnsi="Arial Narrow" w:cs="Arial"/>
                <w:sz w:val="20"/>
                <w:szCs w:val="20"/>
              </w:rPr>
              <w:t xml:space="preserve">Where the most recent course of PBS-subsidised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treatment </w:t>
            </w:r>
            <w:proofErr w:type="gramStart"/>
            <w:r w:rsidRPr="002E6BC6">
              <w:rPr>
                <w:rFonts w:ascii="Arial Narrow" w:hAnsi="Arial Narrow" w:cs="Arial"/>
                <w:sz w:val="20"/>
                <w:szCs w:val="20"/>
              </w:rPr>
              <w:t>was approved</w:t>
            </w:r>
            <w:proofErr w:type="gramEnd"/>
            <w:r w:rsidRPr="002E6BC6">
              <w:rPr>
                <w:rFonts w:ascii="Arial Narrow" w:hAnsi="Arial Narrow" w:cs="Arial"/>
                <w:sz w:val="20"/>
                <w:szCs w:val="20"/>
              </w:rPr>
              <w:t xml:space="preserve"> under either of the Initial 1 or 2 treatment restrictions, the patient must have been assessed for response following a minimum of 12 weeks of therapy. This assessment </w:t>
            </w:r>
            <w:proofErr w:type="gramStart"/>
            <w:r w:rsidRPr="002E6BC6">
              <w:rPr>
                <w:rFonts w:ascii="Arial Narrow" w:hAnsi="Arial Narrow" w:cs="Arial"/>
                <w:sz w:val="20"/>
                <w:szCs w:val="20"/>
              </w:rPr>
              <w:t>must be submitted</w:t>
            </w:r>
            <w:proofErr w:type="gramEnd"/>
            <w:r w:rsidRPr="002E6BC6">
              <w:rPr>
                <w:rFonts w:ascii="Arial Narrow" w:hAnsi="Arial Narrow" w:cs="Arial"/>
                <w:sz w:val="20"/>
                <w:szCs w:val="20"/>
              </w:rPr>
              <w:t xml:space="preserve"> no later than 4 weeks from the date that course was ceased. </w:t>
            </w:r>
          </w:p>
          <w:p w:rsidR="009E578C" w:rsidRPr="002E6BC6" w:rsidRDefault="009E578C" w:rsidP="009E578C">
            <w:pPr>
              <w:spacing w:before="40" w:after="40"/>
              <w:rPr>
                <w:rFonts w:ascii="Arial Narrow" w:hAnsi="Arial Narrow" w:cs="Arial"/>
                <w:sz w:val="20"/>
                <w:szCs w:val="20"/>
              </w:rPr>
            </w:pPr>
            <w:r w:rsidRPr="002E6BC6">
              <w:rPr>
                <w:rFonts w:ascii="Arial Narrow" w:hAnsi="Arial Narrow" w:cs="Arial"/>
                <w:sz w:val="20"/>
                <w:szCs w:val="20"/>
              </w:rPr>
              <w:t xml:space="preserve">Where the most recent course of PBS-subsidised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treatment </w:t>
            </w:r>
            <w:proofErr w:type="gramStart"/>
            <w:r w:rsidRPr="002E6BC6">
              <w:rPr>
                <w:rFonts w:ascii="Arial Narrow" w:hAnsi="Arial Narrow" w:cs="Arial"/>
                <w:sz w:val="20"/>
                <w:szCs w:val="20"/>
              </w:rPr>
              <w:t>was approved</w:t>
            </w:r>
            <w:proofErr w:type="gramEnd"/>
            <w:r w:rsidRPr="002E6BC6">
              <w:rPr>
                <w:rFonts w:ascii="Arial Narrow" w:hAnsi="Arial Narrow" w:cs="Arial"/>
                <w:sz w:val="20"/>
                <w:szCs w:val="20"/>
              </w:rPr>
              <w:t xml:space="preserve"> under the continuing treatment criteria, the patient must have been assessed for response, and the assessment must be submitted no later than 4 weeks from the date that course was ceased.</w:t>
            </w:r>
          </w:p>
          <w:p w:rsidR="009E578C" w:rsidRPr="002E6BC6" w:rsidRDefault="009E578C" w:rsidP="009E578C">
            <w:pPr>
              <w:spacing w:before="40" w:after="40"/>
              <w:rPr>
                <w:rFonts w:ascii="Arial Narrow" w:hAnsi="Arial Narrow" w:cs="Arial"/>
                <w:sz w:val="20"/>
                <w:szCs w:val="20"/>
              </w:rPr>
            </w:pPr>
          </w:p>
          <w:p w:rsidR="009E578C" w:rsidRPr="002E6BC6" w:rsidRDefault="009E578C" w:rsidP="009E578C">
            <w:pPr>
              <w:spacing w:before="40" w:after="40"/>
              <w:rPr>
                <w:rFonts w:ascii="Arial Narrow" w:hAnsi="Arial Narrow" w:cs="Arial"/>
                <w:sz w:val="20"/>
                <w:szCs w:val="20"/>
              </w:rPr>
            </w:pPr>
            <w:r w:rsidRPr="002E6BC6">
              <w:rPr>
                <w:rFonts w:ascii="Arial Narrow" w:hAnsi="Arial Narrow" w:cs="Arial"/>
                <w:sz w:val="20"/>
                <w:szCs w:val="20"/>
              </w:rPr>
              <w:t xml:space="preserve">Where a response assessment </w:t>
            </w:r>
            <w:proofErr w:type="gramStart"/>
            <w:r w:rsidRPr="002E6BC6">
              <w:rPr>
                <w:rFonts w:ascii="Arial Narrow" w:hAnsi="Arial Narrow" w:cs="Arial"/>
                <w:sz w:val="20"/>
                <w:szCs w:val="20"/>
              </w:rPr>
              <w:t>is not undertaken and submitted within these timeframes, the patient</w:t>
            </w:r>
            <w:proofErr w:type="gramEnd"/>
            <w:r w:rsidRPr="002E6BC6">
              <w:rPr>
                <w:rFonts w:ascii="Arial Narrow" w:hAnsi="Arial Narrow" w:cs="Arial"/>
                <w:sz w:val="20"/>
                <w:szCs w:val="20"/>
              </w:rPr>
              <w:t xml:space="preserve"> will be deemed to have failed to respond to treatment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w:t>
            </w:r>
          </w:p>
          <w:p w:rsidR="009E578C" w:rsidRPr="002E6BC6" w:rsidRDefault="009E578C" w:rsidP="009E578C">
            <w:pPr>
              <w:spacing w:before="40" w:after="40"/>
              <w:rPr>
                <w:rFonts w:ascii="Arial Narrow" w:hAnsi="Arial Narrow" w:cs="Arial"/>
                <w:sz w:val="20"/>
                <w:szCs w:val="20"/>
              </w:rPr>
            </w:pPr>
          </w:p>
          <w:p w:rsidR="009E578C" w:rsidRPr="002E6BC6" w:rsidRDefault="009E578C" w:rsidP="009E578C">
            <w:pPr>
              <w:spacing w:before="40" w:after="40"/>
              <w:rPr>
                <w:rFonts w:ascii="Arial Narrow" w:hAnsi="Arial Narrow" w:cs="Arial"/>
                <w:sz w:val="20"/>
                <w:szCs w:val="20"/>
              </w:rPr>
            </w:pPr>
            <w:r w:rsidRPr="002E6BC6">
              <w:rPr>
                <w:rFonts w:ascii="Arial Narrow" w:hAnsi="Arial Narrow" w:cs="Arial"/>
                <w:sz w:val="20"/>
                <w:szCs w:val="20"/>
              </w:rPr>
              <w:t>If a patient fails to respond to PBS-subsidised biological disease modifying anti-rheumatic drug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treatment 3 times (once with each agent) </w:t>
            </w:r>
            <w:proofErr w:type="gramStart"/>
            <w:r w:rsidRPr="002E6BC6">
              <w:rPr>
                <w:rFonts w:ascii="Arial Narrow" w:hAnsi="Arial Narrow" w:cs="Arial"/>
                <w:sz w:val="20"/>
                <w:szCs w:val="20"/>
              </w:rPr>
              <w:t>they</w:t>
            </w:r>
            <w:proofErr w:type="gramEnd"/>
            <w:r w:rsidRPr="002E6BC6">
              <w:rPr>
                <w:rFonts w:ascii="Arial Narrow" w:hAnsi="Arial Narrow" w:cs="Arial"/>
                <w:sz w:val="20"/>
                <w:szCs w:val="20"/>
              </w:rPr>
              <w:t xml:space="preserve"> will not be eligible to receive further PBS-subsidised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therapy in this treatment cycle.</w:t>
            </w:r>
          </w:p>
          <w:p w:rsidR="009E578C" w:rsidRPr="002E6BC6" w:rsidRDefault="009E578C" w:rsidP="009E578C">
            <w:pPr>
              <w:spacing w:before="40" w:after="40"/>
              <w:rPr>
                <w:rFonts w:ascii="Arial Narrow" w:hAnsi="Arial Narrow" w:cs="Arial"/>
                <w:sz w:val="20"/>
                <w:szCs w:val="20"/>
              </w:rPr>
            </w:pPr>
          </w:p>
          <w:p w:rsidR="009E578C" w:rsidRPr="002E6BC6" w:rsidRDefault="009E578C" w:rsidP="009E578C">
            <w:pPr>
              <w:spacing w:before="40" w:after="40"/>
              <w:rPr>
                <w:rFonts w:ascii="Arial Narrow" w:hAnsi="Arial Narrow" w:cs="Arial"/>
                <w:sz w:val="20"/>
                <w:szCs w:val="20"/>
              </w:rPr>
            </w:pPr>
            <w:r w:rsidRPr="002E6BC6">
              <w:rPr>
                <w:rFonts w:ascii="Arial Narrow" w:hAnsi="Arial Narrow" w:cs="Arial"/>
                <w:sz w:val="20"/>
                <w:szCs w:val="20"/>
              </w:rPr>
              <w:t>An adequate response to treatment is defined as:</w:t>
            </w:r>
          </w:p>
          <w:p w:rsidR="009E578C" w:rsidRPr="002E6BC6" w:rsidRDefault="009E578C" w:rsidP="009E578C">
            <w:pPr>
              <w:spacing w:before="40" w:after="40"/>
              <w:rPr>
                <w:rFonts w:ascii="Arial Narrow" w:hAnsi="Arial Narrow" w:cs="Arial"/>
                <w:sz w:val="20"/>
                <w:szCs w:val="20"/>
              </w:rPr>
            </w:pPr>
            <w:r w:rsidRPr="002E6BC6">
              <w:rPr>
                <w:rFonts w:ascii="Arial Narrow" w:hAnsi="Arial Narrow" w:cs="Arial"/>
                <w:sz w:val="20"/>
                <w:szCs w:val="20"/>
              </w:rPr>
              <w:t xml:space="preserve">(a) a reduction in the total active (swollen and tender) joint count by at least 50% from baseline, where baseline is at least 20 active joints; or </w:t>
            </w:r>
          </w:p>
          <w:p w:rsidR="009E578C" w:rsidRPr="002E6BC6" w:rsidRDefault="009E578C" w:rsidP="009E578C">
            <w:pPr>
              <w:spacing w:before="40" w:after="40"/>
              <w:rPr>
                <w:rFonts w:ascii="Arial Narrow" w:hAnsi="Arial Narrow" w:cs="Arial"/>
                <w:sz w:val="20"/>
                <w:szCs w:val="20"/>
              </w:rPr>
            </w:pPr>
            <w:r w:rsidRPr="002E6BC6">
              <w:rPr>
                <w:rFonts w:ascii="Arial Narrow" w:hAnsi="Arial Narrow" w:cs="Arial"/>
                <w:sz w:val="20"/>
                <w:szCs w:val="20"/>
              </w:rPr>
              <w:t>(b) a reduction in the number of the following active joints, from at least 4, by at least 50%:</w:t>
            </w:r>
          </w:p>
          <w:p w:rsidR="009E578C" w:rsidRPr="002E6BC6" w:rsidRDefault="009E578C" w:rsidP="009E578C">
            <w:pPr>
              <w:spacing w:before="40" w:after="40"/>
              <w:rPr>
                <w:rFonts w:ascii="Arial Narrow" w:hAnsi="Arial Narrow" w:cs="Arial"/>
                <w:sz w:val="20"/>
                <w:szCs w:val="20"/>
              </w:rPr>
            </w:pPr>
            <w:r w:rsidRPr="002E6BC6">
              <w:rPr>
                <w:rFonts w:ascii="Arial Narrow" w:hAnsi="Arial Narrow" w:cs="Arial"/>
                <w:sz w:val="20"/>
                <w:szCs w:val="20"/>
              </w:rPr>
              <w:t>(</w:t>
            </w:r>
            <w:proofErr w:type="spellStart"/>
            <w:r w:rsidRPr="002E6BC6">
              <w:rPr>
                <w:rFonts w:ascii="Arial Narrow" w:hAnsi="Arial Narrow" w:cs="Arial"/>
                <w:sz w:val="20"/>
                <w:szCs w:val="20"/>
              </w:rPr>
              <w:t>i</w:t>
            </w:r>
            <w:proofErr w:type="spellEnd"/>
            <w:r w:rsidRPr="002E6BC6">
              <w:rPr>
                <w:rFonts w:ascii="Arial Narrow" w:hAnsi="Arial Narrow" w:cs="Arial"/>
                <w:sz w:val="20"/>
                <w:szCs w:val="20"/>
              </w:rPr>
              <w:t>) elbow, wrist, knee and/or ankle (assessed as swollen and tender); and/or</w:t>
            </w:r>
          </w:p>
          <w:p w:rsidR="009E578C" w:rsidRPr="002E6BC6" w:rsidRDefault="009E578C" w:rsidP="009E578C">
            <w:pPr>
              <w:spacing w:before="40" w:after="40"/>
              <w:rPr>
                <w:rFonts w:ascii="Arial Narrow" w:hAnsi="Arial Narrow" w:cs="Arial"/>
                <w:sz w:val="20"/>
                <w:szCs w:val="20"/>
              </w:rPr>
            </w:pPr>
            <w:r w:rsidRPr="002E6BC6">
              <w:rPr>
                <w:rFonts w:ascii="Arial Narrow" w:hAnsi="Arial Narrow" w:cs="Arial"/>
                <w:sz w:val="20"/>
                <w:szCs w:val="20"/>
              </w:rPr>
              <w:t xml:space="preserve">(ii) </w:t>
            </w:r>
            <w:proofErr w:type="gramStart"/>
            <w:r w:rsidRPr="002E6BC6">
              <w:rPr>
                <w:rFonts w:ascii="Arial Narrow" w:hAnsi="Arial Narrow" w:cs="Arial"/>
                <w:sz w:val="20"/>
                <w:szCs w:val="20"/>
              </w:rPr>
              <w:t>shoulder</w:t>
            </w:r>
            <w:proofErr w:type="gramEnd"/>
            <w:r w:rsidRPr="002E6BC6">
              <w:rPr>
                <w:rFonts w:ascii="Arial Narrow" w:hAnsi="Arial Narrow" w:cs="Arial"/>
                <w:sz w:val="20"/>
                <w:szCs w:val="20"/>
              </w:rPr>
              <w:t>, cervical spine and/or hip (assessed as pain in passive movement and restriction of passive movement, where pain and limitation of movement are due to active disease and not irreversible damage such as joint destruction or bony overgrowth).</w:t>
            </w:r>
          </w:p>
          <w:p w:rsidR="009E578C" w:rsidRPr="002E6BC6" w:rsidRDefault="009E578C" w:rsidP="005E11C2">
            <w:pPr>
              <w:spacing w:before="40" w:after="40"/>
              <w:rPr>
                <w:rFonts w:ascii="Arial Narrow" w:hAnsi="Arial Narrow" w:cs="Arial"/>
                <w:sz w:val="20"/>
                <w:szCs w:val="20"/>
              </w:rPr>
            </w:pPr>
          </w:p>
        </w:tc>
      </w:tr>
      <w:tr w:rsidR="009E578C"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jc w:val="both"/>
              <w:rPr>
                <w:rFonts w:ascii="Arial Narrow" w:hAnsi="Arial Narrow" w:cs="Arial"/>
                <w:b/>
                <w:sz w:val="20"/>
                <w:szCs w:val="20"/>
              </w:rPr>
            </w:pPr>
            <w:r w:rsidRPr="002E6BC6">
              <w:rPr>
                <w:rFonts w:ascii="Arial Narrow" w:hAnsi="Arial Narrow" w:cs="Arial"/>
                <w:b/>
                <w:sz w:val="20"/>
                <w:szCs w:val="20"/>
              </w:rPr>
              <w:t>Administrative Advice:</w:t>
            </w:r>
          </w:p>
          <w:p w:rsidR="009E578C" w:rsidRPr="002E6BC6" w:rsidRDefault="009E578C" w:rsidP="005E11C2">
            <w:pPr>
              <w:spacing w:before="40" w:after="40"/>
              <w:jc w:val="both"/>
              <w:rPr>
                <w:rFonts w:ascii="Arial Narrow" w:hAnsi="Arial Narrow" w:cs="Arial"/>
                <w:b/>
                <w:sz w:val="20"/>
                <w:szCs w:val="20"/>
              </w:rPr>
            </w:pPr>
          </w:p>
        </w:tc>
        <w:tc>
          <w:tcPr>
            <w:tcW w:w="3937" w:type="pct"/>
            <w:tcBorders>
              <w:top w:val="single" w:sz="4" w:space="0" w:color="auto"/>
              <w:left w:val="single" w:sz="4" w:space="0" w:color="auto"/>
              <w:bottom w:val="single" w:sz="4" w:space="0" w:color="auto"/>
              <w:right w:val="single" w:sz="4" w:space="0" w:color="auto"/>
            </w:tcBorders>
          </w:tcPr>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Use of alternative DMARDs in children is dependent on approval by the Therapeutic Goods Administration as age restrictions may apply.</w:t>
            </w:r>
          </w:p>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 xml:space="preserve">Any queries concerning the arrangements to prescribe may be directed to the Department of Human Services on 1800 700 270 (hours of operation 8 a.m. to 5 p.m. EST Monday to Friday). </w:t>
            </w:r>
          </w:p>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 xml:space="preserve">Applications for authority to prescribe should be forwarded to: </w:t>
            </w:r>
          </w:p>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Department of Human Services</w:t>
            </w:r>
          </w:p>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 xml:space="preserve">Complex Drugs </w:t>
            </w:r>
          </w:p>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 xml:space="preserve">Reply Paid 9826 </w:t>
            </w:r>
          </w:p>
          <w:p w:rsidR="009E578C" w:rsidRPr="002E6BC6" w:rsidRDefault="009E578C" w:rsidP="005E11C2">
            <w:pPr>
              <w:spacing w:before="40" w:after="40"/>
              <w:rPr>
                <w:rFonts w:ascii="Arial Narrow" w:hAnsi="Arial Narrow" w:cs="Arial"/>
                <w:sz w:val="20"/>
                <w:szCs w:val="20"/>
              </w:rPr>
            </w:pPr>
            <w:r w:rsidRPr="002E6BC6">
              <w:rPr>
                <w:rFonts w:ascii="Arial Narrow" w:hAnsi="Arial Narrow" w:cs="Arial"/>
                <w:sz w:val="20"/>
                <w:szCs w:val="20"/>
              </w:rPr>
              <w:t>HOBART TAS 7001</w:t>
            </w:r>
          </w:p>
        </w:tc>
      </w:tr>
    </w:tbl>
    <w:p w:rsidR="00CA14CD" w:rsidRPr="002E6BC6" w:rsidRDefault="00CA14CD" w:rsidP="00F457C8"/>
    <w:tbl>
      <w:tblPr>
        <w:tblW w:w="5000" w:type="pct"/>
        <w:tblLook w:val="0000" w:firstRow="0" w:lastRow="0" w:firstColumn="0" w:lastColumn="0" w:noHBand="0" w:noVBand="0"/>
      </w:tblPr>
      <w:tblGrid>
        <w:gridCol w:w="1917"/>
        <w:gridCol w:w="7099"/>
      </w:tblGrid>
      <w:tr w:rsidR="00B114B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B114BA" w:rsidRPr="002E6BC6" w:rsidRDefault="00B114BA" w:rsidP="00376873">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 xml:space="preserve">Category / </w:t>
            </w:r>
          </w:p>
          <w:p w:rsidR="00B114BA" w:rsidRPr="002E6BC6" w:rsidRDefault="00B114BA" w:rsidP="00376873">
            <w:pPr>
              <w:spacing w:before="40" w:after="40"/>
              <w:jc w:val="both"/>
              <w:rPr>
                <w:rFonts w:ascii="Arial Narrow" w:hAnsi="Arial Narrow" w:cs="Arial"/>
                <w:b/>
                <w:sz w:val="20"/>
                <w:szCs w:val="20"/>
              </w:rPr>
            </w:pPr>
            <w:r w:rsidRPr="002E6BC6">
              <w:rPr>
                <w:rFonts w:ascii="Arial Narrow" w:hAnsi="Arial Narrow" w:cs="Arial"/>
                <w:b/>
                <w:sz w:val="20"/>
                <w:szCs w:val="20"/>
              </w:rPr>
              <w:t>Program</w:t>
            </w:r>
          </w:p>
        </w:tc>
        <w:tc>
          <w:tcPr>
            <w:tcW w:w="3937" w:type="pct"/>
            <w:tcBorders>
              <w:top w:val="single" w:sz="4" w:space="0" w:color="auto"/>
              <w:left w:val="single" w:sz="4" w:space="0" w:color="auto"/>
              <w:bottom w:val="single" w:sz="4" w:space="0" w:color="auto"/>
              <w:right w:val="single" w:sz="4" w:space="0" w:color="auto"/>
            </w:tcBorders>
          </w:tcPr>
          <w:p w:rsidR="00B114BA" w:rsidRPr="002E6BC6" w:rsidRDefault="00B114BA" w:rsidP="00376873">
            <w:pPr>
              <w:spacing w:before="40" w:after="40"/>
              <w:rPr>
                <w:rFonts w:ascii="Arial Narrow" w:hAnsi="Arial Narrow" w:cs="Arial"/>
                <w:sz w:val="20"/>
                <w:szCs w:val="20"/>
              </w:rPr>
            </w:pPr>
            <w:r w:rsidRPr="002E6BC6">
              <w:rPr>
                <w:rFonts w:ascii="Arial Narrow" w:hAnsi="Arial Narrow" w:cs="Arial"/>
                <w:sz w:val="20"/>
                <w:szCs w:val="20"/>
              </w:rPr>
              <w:t>GENERAL – General Schedule (Code GE)</w:t>
            </w:r>
          </w:p>
          <w:p w:rsidR="00B114BA" w:rsidRPr="002E6BC6" w:rsidRDefault="00B114BA" w:rsidP="00376873">
            <w:pPr>
              <w:spacing w:before="40" w:after="40"/>
              <w:rPr>
                <w:rFonts w:ascii="Arial Narrow" w:hAnsi="Arial Narrow" w:cs="Arial"/>
                <w:sz w:val="20"/>
                <w:szCs w:val="20"/>
              </w:rPr>
            </w:pPr>
          </w:p>
        </w:tc>
      </w:tr>
      <w:tr w:rsidR="00B114B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B114BA" w:rsidRPr="002E6BC6" w:rsidRDefault="00B114BA" w:rsidP="00376873">
            <w:pPr>
              <w:spacing w:before="40" w:after="40"/>
              <w:jc w:val="both"/>
              <w:rPr>
                <w:rFonts w:ascii="Arial Narrow" w:hAnsi="Arial Narrow" w:cs="Arial"/>
                <w:b/>
                <w:sz w:val="20"/>
                <w:szCs w:val="20"/>
              </w:rPr>
            </w:pPr>
            <w:r w:rsidRPr="002E6BC6">
              <w:rPr>
                <w:rFonts w:ascii="Arial Narrow" w:hAnsi="Arial Narrow" w:cs="Arial"/>
                <w:b/>
                <w:sz w:val="20"/>
                <w:szCs w:val="20"/>
              </w:rPr>
              <w:t>Prescriber type:</w:t>
            </w:r>
          </w:p>
        </w:tc>
        <w:tc>
          <w:tcPr>
            <w:tcW w:w="3937" w:type="pct"/>
            <w:tcBorders>
              <w:top w:val="single" w:sz="4" w:space="0" w:color="auto"/>
              <w:left w:val="single" w:sz="4" w:space="0" w:color="auto"/>
              <w:bottom w:val="single" w:sz="4" w:space="0" w:color="auto"/>
              <w:right w:val="single" w:sz="4" w:space="0" w:color="auto"/>
            </w:tcBorders>
          </w:tcPr>
          <w:p w:rsidR="00B114BA" w:rsidRPr="002E6BC6" w:rsidRDefault="00B114BA" w:rsidP="00376873">
            <w:pPr>
              <w:spacing w:before="40" w:after="40"/>
              <w:rPr>
                <w:rFonts w:ascii="Arial Narrow" w:hAnsi="Arial Narrow" w:cs="Arial"/>
                <w:sz w:val="20"/>
                <w:szCs w:val="20"/>
              </w:rPr>
            </w:pPr>
            <w:r w:rsidRPr="001423E5">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 xml:space="preserve">Dental  </w:t>
            </w:r>
            <w:r w:rsidRPr="001423E5">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 xml:space="preserve">Medical Practitioners  </w:t>
            </w:r>
            <w:r w:rsidRPr="001423E5">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 xml:space="preserve">Nurse practitioners  </w:t>
            </w:r>
            <w:r w:rsidRPr="001423E5">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Optometrists</w:t>
            </w:r>
          </w:p>
          <w:p w:rsidR="00B114BA" w:rsidRPr="002E6BC6" w:rsidRDefault="00B114BA" w:rsidP="00376873">
            <w:pPr>
              <w:spacing w:before="40" w:after="40"/>
              <w:rPr>
                <w:rFonts w:ascii="Arial Narrow" w:hAnsi="Arial Narrow" w:cs="Arial"/>
                <w:sz w:val="20"/>
                <w:szCs w:val="20"/>
              </w:rPr>
            </w:pPr>
            <w:r w:rsidRPr="001423E5">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Midwives</w:t>
            </w:r>
          </w:p>
        </w:tc>
      </w:tr>
      <w:tr w:rsidR="00B114B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B114BA" w:rsidRPr="002E6BC6" w:rsidRDefault="00B114BA" w:rsidP="00376873">
            <w:pPr>
              <w:spacing w:before="40" w:after="40"/>
              <w:jc w:val="both"/>
              <w:rPr>
                <w:rFonts w:ascii="Arial Narrow" w:hAnsi="Arial Narrow" w:cs="Arial"/>
                <w:b/>
                <w:sz w:val="20"/>
                <w:szCs w:val="20"/>
              </w:rPr>
            </w:pPr>
            <w:r w:rsidRPr="002E6BC6">
              <w:rPr>
                <w:rFonts w:ascii="Arial Narrow" w:hAnsi="Arial Narrow" w:cs="Arial"/>
                <w:b/>
                <w:sz w:val="20"/>
                <w:szCs w:val="20"/>
              </w:rPr>
              <w:t>Condition:</w:t>
            </w:r>
          </w:p>
        </w:tc>
        <w:tc>
          <w:tcPr>
            <w:tcW w:w="3937" w:type="pct"/>
            <w:tcBorders>
              <w:top w:val="single" w:sz="4" w:space="0" w:color="auto"/>
              <w:left w:val="single" w:sz="4" w:space="0" w:color="auto"/>
              <w:bottom w:val="single" w:sz="4" w:space="0" w:color="auto"/>
              <w:right w:val="single" w:sz="4" w:space="0" w:color="auto"/>
            </w:tcBorders>
          </w:tcPr>
          <w:p w:rsidR="00B114BA" w:rsidRPr="002E6BC6" w:rsidRDefault="00B114BA" w:rsidP="00376873">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B114B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B114BA" w:rsidRPr="002E6BC6" w:rsidRDefault="00B114BA" w:rsidP="00376873">
            <w:pPr>
              <w:spacing w:before="40" w:after="40"/>
              <w:jc w:val="both"/>
              <w:rPr>
                <w:rFonts w:ascii="Arial Narrow" w:hAnsi="Arial Narrow" w:cs="Arial"/>
                <w:b/>
                <w:sz w:val="20"/>
                <w:szCs w:val="20"/>
              </w:rPr>
            </w:pPr>
            <w:r w:rsidRPr="002E6BC6">
              <w:rPr>
                <w:rFonts w:ascii="Arial Narrow" w:hAnsi="Arial Narrow" w:cs="Arial"/>
                <w:b/>
                <w:sz w:val="20"/>
                <w:szCs w:val="20"/>
              </w:rPr>
              <w:t>PBS Indication:</w:t>
            </w:r>
          </w:p>
        </w:tc>
        <w:tc>
          <w:tcPr>
            <w:tcW w:w="3937" w:type="pct"/>
            <w:tcBorders>
              <w:top w:val="single" w:sz="4" w:space="0" w:color="auto"/>
              <w:left w:val="single" w:sz="4" w:space="0" w:color="auto"/>
              <w:bottom w:val="single" w:sz="4" w:space="0" w:color="auto"/>
              <w:right w:val="single" w:sz="4" w:space="0" w:color="auto"/>
            </w:tcBorders>
          </w:tcPr>
          <w:p w:rsidR="00B114BA" w:rsidRPr="002E6BC6" w:rsidRDefault="00B114BA" w:rsidP="00376873">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B114B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B114BA" w:rsidRPr="002E6BC6" w:rsidRDefault="00B114BA" w:rsidP="00376873">
            <w:pPr>
              <w:spacing w:before="40" w:after="40"/>
              <w:jc w:val="both"/>
              <w:rPr>
                <w:rFonts w:ascii="Arial Narrow" w:hAnsi="Arial Narrow" w:cs="Arial"/>
                <w:b/>
                <w:sz w:val="20"/>
                <w:szCs w:val="20"/>
              </w:rPr>
            </w:pPr>
            <w:r w:rsidRPr="002E6BC6">
              <w:rPr>
                <w:rFonts w:ascii="Arial Narrow" w:hAnsi="Arial Narrow" w:cs="Arial"/>
                <w:b/>
                <w:sz w:val="20"/>
                <w:szCs w:val="20"/>
              </w:rPr>
              <w:t>Treatment phase:</w:t>
            </w:r>
          </w:p>
          <w:p w:rsidR="00B114BA" w:rsidRPr="002E6BC6" w:rsidRDefault="00B114BA" w:rsidP="00376873">
            <w:pPr>
              <w:spacing w:before="40" w:after="40"/>
              <w:jc w:val="both"/>
              <w:rPr>
                <w:rFonts w:ascii="Arial Narrow" w:hAnsi="Arial Narrow" w:cs="Arial"/>
                <w:i/>
                <w:sz w:val="20"/>
                <w:szCs w:val="20"/>
              </w:rPr>
            </w:pPr>
          </w:p>
        </w:tc>
        <w:tc>
          <w:tcPr>
            <w:tcW w:w="3937" w:type="pct"/>
            <w:tcBorders>
              <w:top w:val="single" w:sz="4" w:space="0" w:color="auto"/>
              <w:left w:val="single" w:sz="4" w:space="0" w:color="auto"/>
              <w:bottom w:val="single" w:sz="4" w:space="0" w:color="auto"/>
              <w:right w:val="single" w:sz="4" w:space="0" w:color="auto"/>
            </w:tcBorders>
          </w:tcPr>
          <w:p w:rsidR="00B114BA" w:rsidRPr="002E6BC6" w:rsidRDefault="00AE2D8C" w:rsidP="00376873">
            <w:pPr>
              <w:spacing w:before="40" w:after="40"/>
              <w:rPr>
                <w:rFonts w:ascii="Arial Narrow" w:hAnsi="Arial Narrow" w:cs="Arial"/>
                <w:sz w:val="20"/>
                <w:szCs w:val="20"/>
              </w:rPr>
            </w:pPr>
            <w:r w:rsidRPr="002E6BC6">
              <w:rPr>
                <w:rFonts w:ascii="Arial Narrow" w:hAnsi="Arial Narrow" w:cs="Arial"/>
                <w:sz w:val="20"/>
                <w:szCs w:val="20"/>
              </w:rPr>
              <w:t>Initial T</w:t>
            </w:r>
            <w:r w:rsidR="00340CA4" w:rsidRPr="002E6BC6">
              <w:rPr>
                <w:rFonts w:ascii="Arial Narrow" w:hAnsi="Arial Narrow" w:cs="Arial"/>
                <w:sz w:val="20"/>
                <w:szCs w:val="20"/>
              </w:rPr>
              <w:t>reatment - Initial 1 (new patient or patient recommencing treatment after a break of more than 12 months) or Initial 2 (change or recommencement of treatment after break of less than 12 months) – balance of supply.</w:t>
            </w:r>
          </w:p>
        </w:tc>
      </w:tr>
      <w:tr w:rsidR="00B114B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B114BA" w:rsidRPr="002E6BC6" w:rsidRDefault="00B114BA" w:rsidP="00376873">
            <w:pPr>
              <w:spacing w:before="40" w:after="40"/>
              <w:jc w:val="both"/>
              <w:rPr>
                <w:rFonts w:ascii="Arial Narrow" w:hAnsi="Arial Narrow" w:cs="Arial"/>
                <w:b/>
                <w:sz w:val="20"/>
                <w:szCs w:val="20"/>
              </w:rPr>
            </w:pPr>
            <w:r w:rsidRPr="002E6BC6">
              <w:rPr>
                <w:rFonts w:ascii="Arial Narrow" w:hAnsi="Arial Narrow" w:cs="Arial"/>
                <w:b/>
                <w:sz w:val="20"/>
                <w:szCs w:val="20"/>
              </w:rPr>
              <w:t>Restriction Level / Method:</w:t>
            </w:r>
          </w:p>
          <w:p w:rsidR="00B114BA" w:rsidRPr="002E6BC6" w:rsidRDefault="00B114BA" w:rsidP="00376873">
            <w:pPr>
              <w:spacing w:before="40" w:after="40"/>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B114BA" w:rsidRPr="002E6BC6" w:rsidRDefault="00B114BA" w:rsidP="00376873">
            <w:pPr>
              <w:spacing w:before="40" w:after="40"/>
              <w:rPr>
                <w:rFonts w:ascii="Arial Narrow" w:hAnsi="Arial Narrow" w:cs="Arial"/>
                <w:sz w:val="20"/>
                <w:szCs w:val="20"/>
              </w:rPr>
            </w:pPr>
            <w:r w:rsidRPr="001423E5">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Restricted benefit</w:t>
            </w:r>
          </w:p>
          <w:p w:rsidR="00B114BA" w:rsidRPr="002E6BC6" w:rsidRDefault="001423E5" w:rsidP="0037687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Pr>
                <w:rFonts w:ascii="Arial Narrow" w:hAnsi="Arial Narrow" w:cs="Arial"/>
                <w:sz w:val="20"/>
                <w:szCs w:val="20"/>
              </w:rPr>
              <w:fldChar w:fldCharType="end"/>
            </w:r>
            <w:r w:rsidR="00B114BA" w:rsidRPr="002E6BC6">
              <w:rPr>
                <w:rFonts w:ascii="Arial Narrow" w:hAnsi="Arial Narrow" w:cs="Arial"/>
                <w:sz w:val="20"/>
                <w:szCs w:val="20"/>
              </w:rPr>
              <w:t>Authority Required - In Writing</w:t>
            </w:r>
          </w:p>
          <w:p w:rsidR="00B114BA" w:rsidRPr="002E6BC6" w:rsidRDefault="001423E5" w:rsidP="00376873">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w:instrText>
            </w:r>
            <w:bookmarkStart w:id="0" w:name="Check3"/>
            <w:r>
              <w:rPr>
                <w:rFonts w:ascii="Arial Narrow" w:hAnsi="Arial Narrow" w:cs="Arial"/>
                <w:sz w:val="20"/>
                <w:szCs w:val="20"/>
              </w:rPr>
              <w:instrText xml:space="preserve">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Pr>
                <w:rFonts w:ascii="Arial Narrow" w:hAnsi="Arial Narrow" w:cs="Arial"/>
                <w:sz w:val="20"/>
                <w:szCs w:val="20"/>
              </w:rPr>
              <w:fldChar w:fldCharType="end"/>
            </w:r>
            <w:bookmarkEnd w:id="0"/>
            <w:r w:rsidR="00B114BA" w:rsidRPr="002E6BC6">
              <w:rPr>
                <w:rFonts w:ascii="Arial Narrow" w:hAnsi="Arial Narrow" w:cs="Arial"/>
                <w:sz w:val="20"/>
                <w:szCs w:val="20"/>
              </w:rPr>
              <w:t>Authority Required - Telephone</w:t>
            </w:r>
          </w:p>
          <w:p w:rsidR="00B114BA" w:rsidRPr="002E6BC6" w:rsidRDefault="00B114BA" w:rsidP="00376873">
            <w:pPr>
              <w:spacing w:before="40" w:after="40"/>
              <w:rPr>
                <w:rFonts w:ascii="Arial Narrow" w:hAnsi="Arial Narrow" w:cs="Arial"/>
                <w:sz w:val="20"/>
                <w:szCs w:val="20"/>
              </w:rPr>
            </w:pPr>
            <w:r w:rsidRPr="001423E5">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Authority Required – Emergency</w:t>
            </w:r>
          </w:p>
          <w:p w:rsidR="00B114BA" w:rsidRPr="002E6BC6" w:rsidRDefault="00B114BA" w:rsidP="00376873">
            <w:pPr>
              <w:spacing w:before="40" w:after="40"/>
              <w:rPr>
                <w:rFonts w:ascii="Arial Narrow" w:hAnsi="Arial Narrow" w:cs="Arial"/>
                <w:sz w:val="20"/>
                <w:szCs w:val="20"/>
              </w:rPr>
            </w:pPr>
            <w:r w:rsidRPr="001423E5">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Authority Required - Electronic</w:t>
            </w:r>
          </w:p>
          <w:p w:rsidR="00B114BA" w:rsidRPr="002E6BC6" w:rsidRDefault="00B114BA" w:rsidP="00376873">
            <w:pPr>
              <w:spacing w:before="40" w:after="40"/>
              <w:rPr>
                <w:rFonts w:ascii="Arial Narrow" w:hAnsi="Arial Narrow" w:cs="Arial"/>
                <w:sz w:val="20"/>
                <w:szCs w:val="20"/>
              </w:rPr>
            </w:pPr>
            <w:r w:rsidRPr="001423E5">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Streamlined</w:t>
            </w:r>
          </w:p>
        </w:tc>
      </w:tr>
      <w:tr w:rsidR="00B114B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B114BA" w:rsidRPr="002E6BC6" w:rsidRDefault="00B114BA" w:rsidP="00376873">
            <w:pPr>
              <w:spacing w:before="40" w:after="40"/>
              <w:jc w:val="both"/>
              <w:rPr>
                <w:rFonts w:ascii="Arial Narrow" w:hAnsi="Arial Narrow" w:cs="Arial"/>
                <w:b/>
                <w:sz w:val="20"/>
                <w:szCs w:val="20"/>
              </w:rPr>
            </w:pPr>
            <w:r w:rsidRPr="002E6BC6">
              <w:rPr>
                <w:rFonts w:ascii="Arial Narrow" w:hAnsi="Arial Narrow" w:cs="Arial"/>
                <w:b/>
                <w:sz w:val="20"/>
                <w:szCs w:val="20"/>
              </w:rPr>
              <w:t xml:space="preserve">Treatment criteria: </w:t>
            </w:r>
          </w:p>
        </w:tc>
        <w:tc>
          <w:tcPr>
            <w:tcW w:w="3937" w:type="pct"/>
            <w:tcBorders>
              <w:top w:val="single" w:sz="4" w:space="0" w:color="auto"/>
              <w:left w:val="single" w:sz="4" w:space="0" w:color="auto"/>
              <w:bottom w:val="single" w:sz="4" w:space="0" w:color="auto"/>
              <w:right w:val="single" w:sz="4" w:space="0" w:color="auto"/>
            </w:tcBorders>
          </w:tcPr>
          <w:p w:rsidR="00B114BA" w:rsidRPr="002E6BC6" w:rsidRDefault="00B114BA" w:rsidP="00376873">
            <w:pPr>
              <w:spacing w:before="40" w:after="40"/>
              <w:rPr>
                <w:rFonts w:ascii="Arial Narrow" w:hAnsi="Arial Narrow" w:cs="Arial"/>
                <w:sz w:val="20"/>
                <w:szCs w:val="20"/>
              </w:rPr>
            </w:pPr>
            <w:r w:rsidRPr="002E6BC6">
              <w:rPr>
                <w:rFonts w:ascii="Arial Narrow" w:hAnsi="Arial Narrow" w:cs="Arial"/>
                <w:sz w:val="20"/>
                <w:szCs w:val="20"/>
              </w:rPr>
              <w:t>Must be treated by a paediatric rheumatologist; or</w:t>
            </w:r>
          </w:p>
          <w:p w:rsidR="00B114BA" w:rsidRPr="002E6BC6" w:rsidRDefault="00B114BA" w:rsidP="00376873">
            <w:pPr>
              <w:spacing w:before="40" w:after="40"/>
              <w:rPr>
                <w:rFonts w:ascii="Arial Narrow" w:hAnsi="Arial Narrow" w:cs="Arial"/>
                <w:sz w:val="20"/>
                <w:szCs w:val="20"/>
              </w:rPr>
            </w:pPr>
            <w:r w:rsidRPr="002E6BC6">
              <w:rPr>
                <w:rFonts w:ascii="Arial Narrow" w:hAnsi="Arial Narrow" w:cs="Arial"/>
                <w:sz w:val="20"/>
                <w:szCs w:val="20"/>
              </w:rPr>
              <w:t xml:space="preserve">Patient must be undergoing treatment under the supervision of a </w:t>
            </w:r>
            <w:proofErr w:type="gramStart"/>
            <w:r w:rsidRPr="002E6BC6">
              <w:rPr>
                <w:rFonts w:ascii="Arial Narrow" w:hAnsi="Arial Narrow" w:cs="Arial"/>
                <w:sz w:val="20"/>
                <w:szCs w:val="20"/>
              </w:rPr>
              <w:t>paediatric rheumatology treatment centre</w:t>
            </w:r>
            <w:proofErr w:type="gramEnd"/>
            <w:r w:rsidRPr="002E6BC6">
              <w:rPr>
                <w:rFonts w:ascii="Arial Narrow" w:hAnsi="Arial Narrow" w:cs="Arial"/>
                <w:sz w:val="20"/>
                <w:szCs w:val="20"/>
              </w:rPr>
              <w:t xml:space="preserve">. </w:t>
            </w:r>
          </w:p>
        </w:tc>
      </w:tr>
      <w:tr w:rsidR="00B114B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B114BA" w:rsidRPr="002E6BC6" w:rsidRDefault="00B114BA" w:rsidP="00376873">
            <w:pPr>
              <w:spacing w:before="40" w:after="40"/>
              <w:jc w:val="both"/>
              <w:rPr>
                <w:rFonts w:ascii="Arial Narrow" w:hAnsi="Arial Narrow" w:cs="Arial"/>
                <w:b/>
                <w:sz w:val="20"/>
                <w:szCs w:val="20"/>
              </w:rPr>
            </w:pPr>
            <w:r w:rsidRPr="002E6BC6">
              <w:rPr>
                <w:rFonts w:ascii="Arial Narrow" w:hAnsi="Arial Narrow" w:cs="Arial"/>
                <w:b/>
                <w:sz w:val="20"/>
                <w:szCs w:val="20"/>
              </w:rPr>
              <w:t>Clinical criteria:</w:t>
            </w:r>
          </w:p>
          <w:p w:rsidR="00B114BA" w:rsidRPr="002E6BC6" w:rsidRDefault="00B114BA" w:rsidP="00376873">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340CA4" w:rsidRPr="002E6BC6" w:rsidRDefault="00340CA4" w:rsidP="00376873">
            <w:pPr>
              <w:spacing w:before="40" w:after="40"/>
              <w:rPr>
                <w:rFonts w:ascii="Arial Narrow" w:hAnsi="Arial Narrow" w:cs="Arial"/>
                <w:sz w:val="20"/>
                <w:szCs w:val="20"/>
              </w:rPr>
            </w:pPr>
            <w:r w:rsidRPr="002E6BC6">
              <w:rPr>
                <w:rFonts w:ascii="Arial Narrow" w:hAnsi="Arial Narrow" w:cs="Arial"/>
                <w:sz w:val="20"/>
                <w:szCs w:val="20"/>
              </w:rPr>
              <w:t xml:space="preserve">Patient must have received insufficient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therapy under the Initial 1 (new patient or patient recommencing treatment after break of more than 12 months) restriction to complete 16</w:t>
            </w:r>
            <w:r w:rsidR="00E21A2F" w:rsidRPr="002E6BC6">
              <w:rPr>
                <w:rFonts w:ascii="Arial Narrow" w:hAnsi="Arial Narrow" w:cs="Arial"/>
                <w:sz w:val="20"/>
                <w:szCs w:val="20"/>
              </w:rPr>
              <w:t xml:space="preserve"> or 24</w:t>
            </w:r>
            <w:r w:rsidRPr="002E6BC6">
              <w:rPr>
                <w:rFonts w:ascii="Arial Narrow" w:hAnsi="Arial Narrow" w:cs="Arial"/>
                <w:sz w:val="20"/>
                <w:szCs w:val="20"/>
              </w:rPr>
              <w:t xml:space="preserve"> weeks treatment; or</w:t>
            </w:r>
          </w:p>
          <w:p w:rsidR="00B114BA" w:rsidRPr="002E6BC6" w:rsidRDefault="00340CA4" w:rsidP="00376873">
            <w:pPr>
              <w:spacing w:before="40" w:after="40"/>
              <w:rPr>
                <w:rFonts w:ascii="Arial Narrow" w:hAnsi="Arial Narrow" w:cs="Arial"/>
                <w:sz w:val="20"/>
                <w:szCs w:val="20"/>
              </w:rPr>
            </w:pPr>
            <w:r w:rsidRPr="002E6BC6">
              <w:rPr>
                <w:rFonts w:ascii="Arial Narrow" w:hAnsi="Arial Narrow" w:cs="Arial"/>
                <w:sz w:val="20"/>
                <w:szCs w:val="20"/>
              </w:rPr>
              <w:t xml:space="preserve">Patient must have received insufficient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therapy under the Initial 2 (change or recommencement of treatment after break of less than 12 months) restriction to complete 16 </w:t>
            </w:r>
            <w:r w:rsidR="00E21A2F" w:rsidRPr="002E6BC6">
              <w:rPr>
                <w:rFonts w:ascii="Arial Narrow" w:hAnsi="Arial Narrow" w:cs="Arial"/>
                <w:sz w:val="20"/>
                <w:szCs w:val="20"/>
              </w:rPr>
              <w:t xml:space="preserve">or 24 </w:t>
            </w:r>
            <w:r w:rsidRPr="002E6BC6">
              <w:rPr>
                <w:rFonts w:ascii="Arial Narrow" w:hAnsi="Arial Narrow" w:cs="Arial"/>
                <w:sz w:val="20"/>
                <w:szCs w:val="20"/>
              </w:rPr>
              <w:t>weeks treatment</w:t>
            </w:r>
            <w:r w:rsidR="00E21A2F" w:rsidRPr="002E6BC6">
              <w:rPr>
                <w:rFonts w:ascii="Arial Narrow" w:hAnsi="Arial Narrow" w:cs="Arial"/>
                <w:sz w:val="20"/>
                <w:szCs w:val="20"/>
              </w:rPr>
              <w:t>;</w:t>
            </w:r>
          </w:p>
          <w:p w:rsidR="00E21A2F" w:rsidRPr="002E6BC6" w:rsidRDefault="00E21A2F" w:rsidP="00376873">
            <w:pPr>
              <w:spacing w:before="40" w:after="40"/>
              <w:rPr>
                <w:rFonts w:ascii="Arial Narrow" w:hAnsi="Arial Narrow" w:cs="Arial"/>
                <w:sz w:val="20"/>
                <w:szCs w:val="20"/>
              </w:rPr>
            </w:pPr>
            <w:r w:rsidRPr="002E6BC6">
              <w:rPr>
                <w:rFonts w:ascii="Arial Narrow" w:hAnsi="Arial Narrow" w:cs="Arial"/>
                <w:sz w:val="20"/>
                <w:szCs w:val="20"/>
              </w:rPr>
              <w:t>AND</w:t>
            </w:r>
          </w:p>
          <w:p w:rsidR="00E21A2F" w:rsidRPr="002E6BC6" w:rsidRDefault="00E21A2F" w:rsidP="00376873">
            <w:pPr>
              <w:spacing w:before="40" w:after="40"/>
              <w:rPr>
                <w:rFonts w:ascii="Arial Narrow" w:hAnsi="Arial Narrow" w:cs="Arial"/>
                <w:sz w:val="20"/>
                <w:szCs w:val="20"/>
              </w:rPr>
            </w:pPr>
            <w:r w:rsidRPr="002E6BC6">
              <w:rPr>
                <w:rFonts w:ascii="Arial Narrow" w:hAnsi="Arial Narrow" w:cs="Arial"/>
                <w:sz w:val="20"/>
                <w:szCs w:val="20"/>
              </w:rPr>
              <w:t>The treatment must provide no more than the balance of up to 16 weeks treatment available under the above restrictions for patients 30 kg or over;</w:t>
            </w:r>
            <w:r w:rsidR="00A06821">
              <w:rPr>
                <w:rFonts w:ascii="Arial Narrow" w:hAnsi="Arial Narrow" w:cs="Arial"/>
                <w:sz w:val="20"/>
                <w:szCs w:val="20"/>
              </w:rPr>
              <w:t xml:space="preserve"> </w:t>
            </w:r>
            <w:r w:rsidRPr="002E6BC6">
              <w:rPr>
                <w:rFonts w:ascii="Arial Narrow" w:hAnsi="Arial Narrow" w:cs="Arial"/>
                <w:sz w:val="20"/>
                <w:szCs w:val="20"/>
              </w:rPr>
              <w:t>or</w:t>
            </w:r>
          </w:p>
          <w:p w:rsidR="00E21A2F" w:rsidRPr="002E6BC6" w:rsidRDefault="00E21A2F" w:rsidP="00E21A2F">
            <w:pPr>
              <w:spacing w:before="40" w:after="40"/>
              <w:rPr>
                <w:rFonts w:ascii="Arial Narrow" w:hAnsi="Arial Narrow" w:cs="Arial"/>
                <w:sz w:val="20"/>
                <w:szCs w:val="20"/>
              </w:rPr>
            </w:pPr>
            <w:r w:rsidRPr="002E6BC6">
              <w:rPr>
                <w:rFonts w:ascii="Arial Narrow" w:hAnsi="Arial Narrow" w:cs="Arial"/>
                <w:sz w:val="20"/>
                <w:szCs w:val="20"/>
              </w:rPr>
              <w:t>The treatment must provide no more than the balance of up to 24 weeks treatment available under the above restrictions for patients under 30 kg.</w:t>
            </w:r>
          </w:p>
        </w:tc>
      </w:tr>
      <w:tr w:rsidR="00B114B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B114BA" w:rsidRPr="002E6BC6" w:rsidRDefault="00B114BA" w:rsidP="00376873">
            <w:pPr>
              <w:spacing w:before="40" w:after="40"/>
              <w:jc w:val="both"/>
              <w:rPr>
                <w:rFonts w:ascii="Arial Narrow" w:hAnsi="Arial Narrow" w:cs="Arial"/>
                <w:b/>
                <w:sz w:val="20"/>
                <w:szCs w:val="20"/>
              </w:rPr>
            </w:pPr>
            <w:r w:rsidRPr="002E6BC6">
              <w:rPr>
                <w:rFonts w:ascii="Arial Narrow" w:hAnsi="Arial Narrow" w:cs="Arial"/>
                <w:b/>
                <w:sz w:val="20"/>
                <w:szCs w:val="20"/>
              </w:rPr>
              <w:t>Administrative Advice:</w:t>
            </w:r>
          </w:p>
          <w:p w:rsidR="00B114BA" w:rsidRPr="002E6BC6" w:rsidRDefault="00B114BA" w:rsidP="00376873">
            <w:pPr>
              <w:spacing w:before="40" w:after="40"/>
              <w:jc w:val="both"/>
              <w:rPr>
                <w:rFonts w:ascii="Arial Narrow" w:hAnsi="Arial Narrow" w:cs="Arial"/>
                <w:b/>
                <w:sz w:val="20"/>
                <w:szCs w:val="20"/>
              </w:rPr>
            </w:pPr>
          </w:p>
        </w:tc>
        <w:tc>
          <w:tcPr>
            <w:tcW w:w="3937" w:type="pct"/>
            <w:tcBorders>
              <w:top w:val="single" w:sz="4" w:space="0" w:color="auto"/>
              <w:left w:val="single" w:sz="4" w:space="0" w:color="auto"/>
              <w:bottom w:val="single" w:sz="4" w:space="0" w:color="auto"/>
              <w:right w:val="single" w:sz="4" w:space="0" w:color="auto"/>
            </w:tcBorders>
          </w:tcPr>
          <w:p w:rsidR="00F457C8" w:rsidRPr="002E6BC6" w:rsidRDefault="00F457C8" w:rsidP="00F457C8">
            <w:pPr>
              <w:spacing w:before="40" w:after="40"/>
              <w:rPr>
                <w:rFonts w:ascii="Arial Narrow" w:hAnsi="Arial Narrow" w:cs="Arial"/>
                <w:sz w:val="20"/>
                <w:szCs w:val="20"/>
              </w:rPr>
            </w:pPr>
            <w:r w:rsidRPr="002E6BC6">
              <w:rPr>
                <w:rFonts w:ascii="Arial Narrow" w:hAnsi="Arial Narrow" w:cs="Arial"/>
                <w:sz w:val="20"/>
                <w:szCs w:val="20"/>
              </w:rPr>
              <w:t>Authority approval for sufficient therapy to complete a maximum of 16 weeks of treatment may be requested by telephone by contacting the Department of Human Services on 1800 700 270 (hours of operation 8 a.m. to 5 p.m. EST Monday to Friday).</w:t>
            </w:r>
          </w:p>
          <w:p w:rsidR="00F457C8" w:rsidRPr="002E6BC6" w:rsidRDefault="00F457C8" w:rsidP="00F457C8">
            <w:pPr>
              <w:spacing w:before="40" w:after="40"/>
              <w:rPr>
                <w:rFonts w:ascii="Arial Narrow" w:hAnsi="Arial Narrow" w:cs="Arial"/>
                <w:sz w:val="20"/>
                <w:szCs w:val="20"/>
              </w:rPr>
            </w:pPr>
            <w:r w:rsidRPr="002E6BC6">
              <w:rPr>
                <w:rFonts w:ascii="Arial Narrow" w:hAnsi="Arial Narrow" w:cs="Arial"/>
                <w:sz w:val="20"/>
                <w:szCs w:val="20"/>
              </w:rPr>
              <w:t>Written application for authority approval for sufficient therapy to complete a maximum of 16 weeks of treatment should be forwarded to:</w:t>
            </w:r>
          </w:p>
          <w:p w:rsidR="00F457C8" w:rsidRPr="002E6BC6" w:rsidRDefault="00F457C8" w:rsidP="00F457C8">
            <w:pPr>
              <w:spacing w:before="40" w:after="40"/>
              <w:rPr>
                <w:rFonts w:ascii="Arial Narrow" w:hAnsi="Arial Narrow" w:cs="Arial"/>
                <w:sz w:val="20"/>
                <w:szCs w:val="20"/>
              </w:rPr>
            </w:pPr>
            <w:r w:rsidRPr="002E6BC6">
              <w:rPr>
                <w:rFonts w:ascii="Arial Narrow" w:hAnsi="Arial Narrow" w:cs="Arial"/>
                <w:sz w:val="20"/>
                <w:szCs w:val="20"/>
              </w:rPr>
              <w:t>Department of Human Services</w:t>
            </w:r>
          </w:p>
          <w:p w:rsidR="00F457C8" w:rsidRPr="002E6BC6" w:rsidRDefault="00F457C8" w:rsidP="00F457C8">
            <w:pPr>
              <w:spacing w:before="40" w:after="40"/>
              <w:rPr>
                <w:rFonts w:ascii="Arial Narrow" w:hAnsi="Arial Narrow" w:cs="Arial"/>
                <w:sz w:val="20"/>
                <w:szCs w:val="20"/>
              </w:rPr>
            </w:pPr>
            <w:r w:rsidRPr="002E6BC6">
              <w:rPr>
                <w:rFonts w:ascii="Arial Narrow" w:hAnsi="Arial Narrow" w:cs="Arial"/>
                <w:sz w:val="20"/>
                <w:szCs w:val="20"/>
              </w:rPr>
              <w:t>Complex Drugs</w:t>
            </w:r>
          </w:p>
          <w:p w:rsidR="00F457C8" w:rsidRPr="002E6BC6" w:rsidRDefault="00F457C8" w:rsidP="00F457C8">
            <w:pPr>
              <w:spacing w:before="40" w:after="40"/>
              <w:rPr>
                <w:rFonts w:ascii="Arial Narrow" w:hAnsi="Arial Narrow" w:cs="Arial"/>
                <w:sz w:val="20"/>
                <w:szCs w:val="20"/>
              </w:rPr>
            </w:pPr>
            <w:r w:rsidRPr="002E6BC6">
              <w:rPr>
                <w:rFonts w:ascii="Arial Narrow" w:hAnsi="Arial Narrow" w:cs="Arial"/>
                <w:sz w:val="20"/>
                <w:szCs w:val="20"/>
              </w:rPr>
              <w:t>Reply Paid 9826</w:t>
            </w:r>
          </w:p>
          <w:p w:rsidR="00B114BA" w:rsidRPr="002E6BC6" w:rsidRDefault="00F457C8" w:rsidP="00376873">
            <w:pPr>
              <w:spacing w:before="40" w:after="40"/>
              <w:rPr>
                <w:rFonts w:ascii="Arial Narrow" w:hAnsi="Arial Narrow" w:cs="Arial"/>
                <w:sz w:val="20"/>
                <w:szCs w:val="20"/>
              </w:rPr>
            </w:pPr>
            <w:r w:rsidRPr="002E6BC6">
              <w:rPr>
                <w:rFonts w:ascii="Arial Narrow" w:hAnsi="Arial Narrow" w:cs="Arial"/>
                <w:sz w:val="20"/>
                <w:szCs w:val="20"/>
              </w:rPr>
              <w:t>HOBART TAS 7001</w:t>
            </w:r>
          </w:p>
        </w:tc>
      </w:tr>
    </w:tbl>
    <w:p w:rsidR="00E62807" w:rsidRDefault="00E62807" w:rsidP="00441E9F">
      <w:pPr>
        <w:rPr>
          <w:rFonts w:asciiTheme="minorHAnsi" w:hAnsiTheme="minorHAnsi" w:cstheme="minorHAnsi"/>
        </w:rPr>
      </w:pPr>
    </w:p>
    <w:p w:rsidR="00E62807" w:rsidRDefault="00E62807" w:rsidP="00E62807">
      <w:r>
        <w:br w:type="page"/>
      </w:r>
    </w:p>
    <w:p w:rsidR="00441E9F" w:rsidRPr="002E6BC6" w:rsidRDefault="00441E9F" w:rsidP="00441E9F">
      <w:pPr>
        <w:rPr>
          <w:rFonts w:asciiTheme="minorHAnsi" w:hAnsiTheme="minorHAnsi" w:cstheme="minorHAnsi"/>
        </w:rPr>
      </w:pPr>
      <w:r w:rsidRPr="002E6BC6">
        <w:rPr>
          <w:rFonts w:asciiTheme="minorHAnsi" w:hAnsiTheme="minorHAnsi" w:cstheme="minorHAnsi"/>
        </w:rPr>
        <w:lastRenderedPageBreak/>
        <w:t xml:space="preserve">Continuing treatment   (paediatric patients &lt; 30 kg) </w:t>
      </w:r>
    </w:p>
    <w:p w:rsidR="00B114BA" w:rsidRPr="002E6BC6" w:rsidRDefault="00B114BA" w:rsidP="00AE2D8C"/>
    <w:tbl>
      <w:tblPr>
        <w:tblW w:w="5000" w:type="pct"/>
        <w:tblLook w:val="0000" w:firstRow="0" w:lastRow="0" w:firstColumn="0" w:lastColumn="0" w:noHBand="0" w:noVBand="0"/>
      </w:tblPr>
      <w:tblGrid>
        <w:gridCol w:w="1917"/>
        <w:gridCol w:w="7099"/>
      </w:tblGrid>
      <w:tr w:rsidR="00F457C8"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jc w:val="both"/>
              <w:rPr>
                <w:rFonts w:ascii="Arial Narrow" w:hAnsi="Arial Narrow" w:cs="Arial"/>
                <w:b/>
                <w:sz w:val="20"/>
                <w:szCs w:val="20"/>
              </w:rPr>
            </w:pPr>
            <w:r w:rsidRPr="002E6BC6">
              <w:rPr>
                <w:rFonts w:ascii="Arial Narrow" w:hAnsi="Arial Narrow" w:cs="Arial"/>
                <w:b/>
                <w:sz w:val="20"/>
                <w:szCs w:val="20"/>
              </w:rPr>
              <w:t xml:space="preserve">Category / </w:t>
            </w:r>
          </w:p>
          <w:p w:rsidR="00F457C8" w:rsidRPr="002E6BC6" w:rsidRDefault="00F457C8" w:rsidP="00376873">
            <w:pPr>
              <w:spacing w:before="40" w:after="40"/>
              <w:jc w:val="both"/>
              <w:rPr>
                <w:rFonts w:ascii="Arial Narrow" w:hAnsi="Arial Narrow" w:cs="Arial"/>
                <w:b/>
                <w:sz w:val="20"/>
                <w:szCs w:val="20"/>
              </w:rPr>
            </w:pPr>
            <w:r w:rsidRPr="002E6BC6">
              <w:rPr>
                <w:rFonts w:ascii="Arial Narrow" w:hAnsi="Arial Narrow" w:cs="Arial"/>
                <w:b/>
                <w:sz w:val="20"/>
                <w:szCs w:val="20"/>
              </w:rPr>
              <w:t>Program</w:t>
            </w:r>
          </w:p>
        </w:tc>
        <w:tc>
          <w:tcPr>
            <w:tcW w:w="3937"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rPr>
                <w:rFonts w:ascii="Arial Narrow" w:hAnsi="Arial Narrow" w:cs="Arial"/>
                <w:sz w:val="20"/>
                <w:szCs w:val="20"/>
              </w:rPr>
            </w:pPr>
            <w:r w:rsidRPr="002E6BC6">
              <w:rPr>
                <w:rFonts w:ascii="Arial Narrow" w:hAnsi="Arial Narrow" w:cs="Arial"/>
                <w:sz w:val="20"/>
                <w:szCs w:val="20"/>
              </w:rPr>
              <w:t>GENERAL – General Schedule (Code GE)</w:t>
            </w:r>
          </w:p>
          <w:p w:rsidR="00F457C8" w:rsidRPr="002E6BC6" w:rsidRDefault="00F457C8" w:rsidP="00376873">
            <w:pPr>
              <w:spacing w:before="40" w:after="40"/>
              <w:rPr>
                <w:rFonts w:ascii="Arial Narrow" w:hAnsi="Arial Narrow" w:cs="Arial"/>
                <w:sz w:val="20"/>
                <w:szCs w:val="20"/>
              </w:rPr>
            </w:pPr>
          </w:p>
        </w:tc>
      </w:tr>
      <w:tr w:rsidR="00F457C8"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jc w:val="both"/>
              <w:rPr>
                <w:rFonts w:ascii="Arial Narrow" w:hAnsi="Arial Narrow" w:cs="Arial"/>
                <w:b/>
                <w:sz w:val="20"/>
                <w:szCs w:val="20"/>
              </w:rPr>
            </w:pPr>
            <w:r w:rsidRPr="002E6BC6">
              <w:rPr>
                <w:rFonts w:ascii="Arial Narrow" w:hAnsi="Arial Narrow" w:cs="Arial"/>
                <w:b/>
                <w:sz w:val="20"/>
                <w:szCs w:val="20"/>
              </w:rPr>
              <w:t>Prescriber type:</w:t>
            </w:r>
          </w:p>
        </w:tc>
        <w:tc>
          <w:tcPr>
            <w:tcW w:w="3937"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rPr>
                <w:rFonts w:ascii="Arial Narrow" w:hAnsi="Arial Narrow" w:cs="Arial"/>
                <w:sz w:val="20"/>
                <w:szCs w:val="20"/>
              </w:rPr>
            </w:pPr>
            <w:r w:rsidRPr="001423E5">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 xml:space="preserve">Dental  </w:t>
            </w:r>
            <w:r w:rsidRPr="001423E5">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 xml:space="preserve">Medical Practitioners  </w:t>
            </w:r>
            <w:r w:rsidRPr="001423E5">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 xml:space="preserve">Nurse practitioners  </w:t>
            </w:r>
            <w:r w:rsidRPr="001423E5">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Optometrists</w:t>
            </w:r>
          </w:p>
          <w:p w:rsidR="00F457C8" w:rsidRPr="002E6BC6" w:rsidRDefault="00F457C8" w:rsidP="00376873">
            <w:pPr>
              <w:spacing w:before="40" w:after="40"/>
              <w:rPr>
                <w:rFonts w:ascii="Arial Narrow" w:hAnsi="Arial Narrow" w:cs="Arial"/>
                <w:sz w:val="20"/>
                <w:szCs w:val="20"/>
              </w:rPr>
            </w:pPr>
            <w:r w:rsidRPr="001423E5">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Midwives</w:t>
            </w:r>
          </w:p>
        </w:tc>
      </w:tr>
      <w:tr w:rsidR="00F457C8"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jc w:val="both"/>
              <w:rPr>
                <w:rFonts w:ascii="Arial Narrow" w:hAnsi="Arial Narrow" w:cs="Arial"/>
                <w:b/>
                <w:sz w:val="20"/>
                <w:szCs w:val="20"/>
              </w:rPr>
            </w:pPr>
            <w:r w:rsidRPr="002E6BC6">
              <w:rPr>
                <w:rFonts w:ascii="Arial Narrow" w:hAnsi="Arial Narrow" w:cs="Arial"/>
                <w:b/>
                <w:sz w:val="20"/>
                <w:szCs w:val="20"/>
              </w:rPr>
              <w:t>Condition:</w:t>
            </w:r>
          </w:p>
        </w:tc>
        <w:tc>
          <w:tcPr>
            <w:tcW w:w="3937"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F457C8"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jc w:val="both"/>
              <w:rPr>
                <w:rFonts w:ascii="Arial Narrow" w:hAnsi="Arial Narrow" w:cs="Arial"/>
                <w:b/>
                <w:sz w:val="20"/>
                <w:szCs w:val="20"/>
              </w:rPr>
            </w:pPr>
            <w:r w:rsidRPr="002E6BC6">
              <w:rPr>
                <w:rFonts w:ascii="Arial Narrow" w:hAnsi="Arial Narrow" w:cs="Arial"/>
                <w:b/>
                <w:sz w:val="20"/>
                <w:szCs w:val="20"/>
              </w:rPr>
              <w:t>PBS Indication:</w:t>
            </w:r>
          </w:p>
        </w:tc>
        <w:tc>
          <w:tcPr>
            <w:tcW w:w="3937"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F457C8"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jc w:val="both"/>
              <w:rPr>
                <w:rFonts w:ascii="Arial Narrow" w:hAnsi="Arial Narrow" w:cs="Arial"/>
                <w:b/>
                <w:sz w:val="20"/>
                <w:szCs w:val="20"/>
              </w:rPr>
            </w:pPr>
            <w:r w:rsidRPr="002E6BC6">
              <w:rPr>
                <w:rFonts w:ascii="Arial Narrow" w:hAnsi="Arial Narrow" w:cs="Arial"/>
                <w:b/>
                <w:sz w:val="20"/>
                <w:szCs w:val="20"/>
              </w:rPr>
              <w:t>Treatment phase:</w:t>
            </w:r>
          </w:p>
        </w:tc>
        <w:tc>
          <w:tcPr>
            <w:tcW w:w="3937" w:type="pct"/>
            <w:tcBorders>
              <w:top w:val="single" w:sz="4" w:space="0" w:color="auto"/>
              <w:left w:val="single" w:sz="4" w:space="0" w:color="auto"/>
              <w:bottom w:val="single" w:sz="4" w:space="0" w:color="auto"/>
              <w:right w:val="single" w:sz="4" w:space="0" w:color="auto"/>
            </w:tcBorders>
          </w:tcPr>
          <w:p w:rsidR="00F457C8" w:rsidRPr="002E6BC6" w:rsidRDefault="003A717A" w:rsidP="00376873">
            <w:pPr>
              <w:spacing w:before="40" w:after="40"/>
              <w:rPr>
                <w:rFonts w:ascii="Arial Narrow" w:hAnsi="Arial Narrow" w:cs="Arial"/>
                <w:sz w:val="20"/>
                <w:szCs w:val="20"/>
              </w:rPr>
            </w:pPr>
            <w:r w:rsidRPr="002E6BC6">
              <w:rPr>
                <w:rFonts w:ascii="Arial Narrow" w:hAnsi="Arial Narrow" w:cs="Arial"/>
                <w:sz w:val="20"/>
                <w:szCs w:val="20"/>
              </w:rPr>
              <w:t>Continuing</w:t>
            </w:r>
            <w:r w:rsidR="00AE2D8C" w:rsidRPr="002E6BC6">
              <w:rPr>
                <w:rFonts w:ascii="Arial Narrow" w:hAnsi="Arial Narrow" w:cs="Arial"/>
                <w:sz w:val="20"/>
                <w:szCs w:val="20"/>
              </w:rPr>
              <w:t xml:space="preserve"> T</w:t>
            </w:r>
            <w:r w:rsidRPr="002E6BC6">
              <w:rPr>
                <w:rFonts w:ascii="Arial Narrow" w:hAnsi="Arial Narrow" w:cs="Arial"/>
                <w:sz w:val="20"/>
                <w:szCs w:val="20"/>
              </w:rPr>
              <w:t xml:space="preserve">reatment </w:t>
            </w:r>
          </w:p>
        </w:tc>
      </w:tr>
      <w:tr w:rsidR="00F457C8"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jc w:val="both"/>
              <w:rPr>
                <w:rFonts w:ascii="Arial Narrow" w:hAnsi="Arial Narrow" w:cs="Arial"/>
                <w:b/>
                <w:sz w:val="20"/>
                <w:szCs w:val="20"/>
              </w:rPr>
            </w:pPr>
            <w:r w:rsidRPr="002E6BC6">
              <w:rPr>
                <w:rFonts w:ascii="Arial Narrow" w:hAnsi="Arial Narrow" w:cs="Arial"/>
                <w:b/>
                <w:sz w:val="20"/>
                <w:szCs w:val="20"/>
              </w:rPr>
              <w:t>Restriction Level / Method:</w:t>
            </w:r>
          </w:p>
          <w:p w:rsidR="00F457C8" w:rsidRPr="002E6BC6" w:rsidRDefault="00F457C8" w:rsidP="00376873">
            <w:pPr>
              <w:spacing w:before="40" w:after="40"/>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rPr>
                <w:rFonts w:ascii="Arial Narrow" w:hAnsi="Arial Narrow" w:cs="Arial"/>
                <w:sz w:val="20"/>
                <w:szCs w:val="20"/>
              </w:rPr>
            </w:pPr>
            <w:r w:rsidRPr="001423E5">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Restricted benefit</w:t>
            </w:r>
          </w:p>
          <w:p w:rsidR="00F457C8" w:rsidRPr="002E6BC6" w:rsidRDefault="00F457C8" w:rsidP="00376873">
            <w:pPr>
              <w:spacing w:before="40" w:after="40"/>
              <w:rPr>
                <w:rFonts w:ascii="Arial Narrow" w:hAnsi="Arial Narrow" w:cs="Arial"/>
                <w:sz w:val="20"/>
                <w:szCs w:val="20"/>
              </w:rPr>
            </w:pPr>
            <w:r w:rsidRPr="001423E5">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Authority Required - In Writing</w:t>
            </w:r>
          </w:p>
          <w:p w:rsidR="00F457C8" w:rsidRPr="002E6BC6" w:rsidRDefault="00F457C8" w:rsidP="00376873">
            <w:pPr>
              <w:spacing w:before="40" w:after="40"/>
              <w:rPr>
                <w:rFonts w:ascii="Arial Narrow" w:hAnsi="Arial Narrow" w:cs="Arial"/>
                <w:sz w:val="20"/>
                <w:szCs w:val="20"/>
              </w:rPr>
            </w:pPr>
            <w:r w:rsidRPr="001423E5">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Authority Required - Telephone</w:t>
            </w:r>
          </w:p>
          <w:p w:rsidR="00F457C8" w:rsidRPr="002E6BC6" w:rsidRDefault="00F457C8" w:rsidP="00376873">
            <w:pPr>
              <w:spacing w:before="40" w:after="40"/>
              <w:rPr>
                <w:rFonts w:ascii="Arial Narrow" w:hAnsi="Arial Narrow" w:cs="Arial"/>
                <w:sz w:val="20"/>
                <w:szCs w:val="20"/>
              </w:rPr>
            </w:pPr>
            <w:r w:rsidRPr="001423E5">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Authority Required – Emergency</w:t>
            </w:r>
          </w:p>
          <w:p w:rsidR="00F457C8" w:rsidRPr="002E6BC6" w:rsidRDefault="00F457C8" w:rsidP="00376873">
            <w:pPr>
              <w:spacing w:before="40" w:after="40"/>
              <w:rPr>
                <w:rFonts w:ascii="Arial Narrow" w:hAnsi="Arial Narrow" w:cs="Arial"/>
                <w:sz w:val="20"/>
                <w:szCs w:val="20"/>
              </w:rPr>
            </w:pPr>
            <w:r w:rsidRPr="001423E5">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Authority Required - Electronic</w:t>
            </w:r>
          </w:p>
          <w:p w:rsidR="00F457C8" w:rsidRPr="002E6BC6" w:rsidRDefault="00F457C8" w:rsidP="00376873">
            <w:pPr>
              <w:spacing w:before="40" w:after="40"/>
              <w:rPr>
                <w:rFonts w:ascii="Arial Narrow" w:hAnsi="Arial Narrow" w:cs="Arial"/>
                <w:sz w:val="20"/>
                <w:szCs w:val="20"/>
              </w:rPr>
            </w:pPr>
            <w:r w:rsidRPr="001423E5">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1423E5">
              <w:rPr>
                <w:rFonts w:ascii="Arial Narrow" w:hAnsi="Arial Narrow" w:cs="Arial"/>
                <w:sz w:val="20"/>
                <w:szCs w:val="20"/>
              </w:rPr>
              <w:fldChar w:fldCharType="end"/>
            </w:r>
            <w:r w:rsidRPr="002E6BC6">
              <w:rPr>
                <w:rFonts w:ascii="Arial Narrow" w:hAnsi="Arial Narrow" w:cs="Arial"/>
                <w:sz w:val="20"/>
                <w:szCs w:val="20"/>
              </w:rPr>
              <w:t>Streamlined</w:t>
            </w:r>
          </w:p>
        </w:tc>
      </w:tr>
      <w:tr w:rsidR="00F457C8"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jc w:val="both"/>
              <w:rPr>
                <w:rFonts w:ascii="Arial Narrow" w:hAnsi="Arial Narrow" w:cs="Arial"/>
                <w:b/>
                <w:sz w:val="20"/>
                <w:szCs w:val="20"/>
              </w:rPr>
            </w:pPr>
            <w:r w:rsidRPr="002E6BC6">
              <w:rPr>
                <w:rFonts w:ascii="Arial Narrow" w:hAnsi="Arial Narrow" w:cs="Arial"/>
                <w:b/>
                <w:sz w:val="20"/>
                <w:szCs w:val="20"/>
              </w:rPr>
              <w:t xml:space="preserve">Treatment criteria: </w:t>
            </w:r>
          </w:p>
        </w:tc>
        <w:tc>
          <w:tcPr>
            <w:tcW w:w="3937"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rPr>
                <w:rFonts w:ascii="Arial Narrow" w:hAnsi="Arial Narrow" w:cs="Arial"/>
                <w:sz w:val="20"/>
                <w:szCs w:val="20"/>
              </w:rPr>
            </w:pPr>
            <w:r w:rsidRPr="002E6BC6">
              <w:rPr>
                <w:rFonts w:ascii="Arial Narrow" w:hAnsi="Arial Narrow" w:cs="Arial"/>
                <w:sz w:val="20"/>
                <w:szCs w:val="20"/>
              </w:rPr>
              <w:t>Must be treated by a paediatric rheumatologist; or</w:t>
            </w:r>
          </w:p>
          <w:p w:rsidR="00F457C8" w:rsidRPr="002E6BC6" w:rsidRDefault="00F457C8" w:rsidP="00376873">
            <w:pPr>
              <w:spacing w:before="40" w:after="40"/>
              <w:rPr>
                <w:rFonts w:ascii="Arial Narrow" w:hAnsi="Arial Narrow" w:cs="Arial"/>
                <w:sz w:val="20"/>
                <w:szCs w:val="20"/>
              </w:rPr>
            </w:pPr>
            <w:r w:rsidRPr="002E6BC6">
              <w:rPr>
                <w:rFonts w:ascii="Arial Narrow" w:hAnsi="Arial Narrow" w:cs="Arial"/>
                <w:sz w:val="20"/>
                <w:szCs w:val="20"/>
              </w:rPr>
              <w:t xml:space="preserve">Patient must be undergoing treatment under the supervision of a </w:t>
            </w:r>
            <w:proofErr w:type="gramStart"/>
            <w:r w:rsidRPr="002E6BC6">
              <w:rPr>
                <w:rFonts w:ascii="Arial Narrow" w:hAnsi="Arial Narrow" w:cs="Arial"/>
                <w:sz w:val="20"/>
                <w:szCs w:val="20"/>
              </w:rPr>
              <w:t>paediatric rheumatology treatment centre</w:t>
            </w:r>
            <w:proofErr w:type="gramEnd"/>
            <w:r w:rsidRPr="002E6BC6">
              <w:rPr>
                <w:rFonts w:ascii="Arial Narrow" w:hAnsi="Arial Narrow" w:cs="Arial"/>
                <w:sz w:val="20"/>
                <w:szCs w:val="20"/>
              </w:rPr>
              <w:t xml:space="preserve">. </w:t>
            </w:r>
          </w:p>
        </w:tc>
      </w:tr>
      <w:tr w:rsidR="00F457C8"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jc w:val="both"/>
              <w:rPr>
                <w:rFonts w:ascii="Arial Narrow" w:hAnsi="Arial Narrow" w:cs="Arial"/>
                <w:b/>
                <w:sz w:val="20"/>
                <w:szCs w:val="20"/>
              </w:rPr>
            </w:pPr>
            <w:r w:rsidRPr="002E6BC6">
              <w:rPr>
                <w:rFonts w:ascii="Arial Narrow" w:hAnsi="Arial Narrow" w:cs="Arial"/>
                <w:b/>
                <w:sz w:val="20"/>
                <w:szCs w:val="20"/>
              </w:rPr>
              <w:t>Clinical criteria:</w:t>
            </w:r>
          </w:p>
          <w:p w:rsidR="00F457C8" w:rsidRPr="002E6BC6" w:rsidRDefault="00F457C8" w:rsidP="00376873">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3A717A" w:rsidRPr="002E6BC6" w:rsidRDefault="00F457C8" w:rsidP="00376873">
            <w:pPr>
              <w:spacing w:before="40" w:after="40"/>
              <w:rPr>
                <w:rFonts w:ascii="Arial Narrow" w:hAnsi="Arial Narrow" w:cs="Arial"/>
                <w:sz w:val="20"/>
                <w:szCs w:val="20"/>
              </w:rPr>
            </w:pPr>
            <w:r w:rsidRPr="002E6BC6">
              <w:rPr>
                <w:rFonts w:ascii="Arial Narrow" w:hAnsi="Arial Narrow" w:cs="Arial"/>
                <w:sz w:val="20"/>
                <w:szCs w:val="20"/>
              </w:rPr>
              <w:t>Patient must have a documented history of severe active juvenile idiopathic arthritis;</w:t>
            </w:r>
          </w:p>
          <w:p w:rsidR="00F457C8" w:rsidRPr="002E6BC6" w:rsidRDefault="00F457C8" w:rsidP="00376873">
            <w:pPr>
              <w:spacing w:before="40" w:after="40"/>
              <w:rPr>
                <w:rFonts w:ascii="Arial Narrow" w:hAnsi="Arial Narrow" w:cs="Arial"/>
                <w:sz w:val="20"/>
                <w:szCs w:val="20"/>
              </w:rPr>
            </w:pPr>
            <w:r w:rsidRPr="002E6BC6">
              <w:rPr>
                <w:rFonts w:ascii="Arial Narrow" w:hAnsi="Arial Narrow" w:cs="Arial"/>
                <w:sz w:val="20"/>
                <w:szCs w:val="20"/>
              </w:rPr>
              <w:t xml:space="preserve">AND </w:t>
            </w:r>
          </w:p>
          <w:p w:rsidR="003A717A" w:rsidRPr="002E6BC6" w:rsidRDefault="003A717A" w:rsidP="00376873">
            <w:pPr>
              <w:spacing w:before="40" w:after="40"/>
              <w:rPr>
                <w:rFonts w:ascii="Arial Narrow" w:hAnsi="Arial Narrow" w:cs="Arial"/>
                <w:sz w:val="20"/>
                <w:szCs w:val="20"/>
              </w:rPr>
            </w:pPr>
            <w:r w:rsidRPr="002E6BC6">
              <w:rPr>
                <w:rFonts w:ascii="Arial Narrow" w:hAnsi="Arial Narrow" w:cs="Arial"/>
                <w:sz w:val="20"/>
                <w:szCs w:val="20"/>
              </w:rPr>
              <w:t xml:space="preserve">Patient must have demonstrated an adequate response to treatment with </w:t>
            </w:r>
            <w:proofErr w:type="spellStart"/>
            <w:r w:rsidRPr="002E6BC6">
              <w:rPr>
                <w:rFonts w:ascii="Arial Narrow" w:hAnsi="Arial Narrow" w:cs="Arial"/>
                <w:sz w:val="20"/>
                <w:szCs w:val="20"/>
              </w:rPr>
              <w:t>tocilizumab</w:t>
            </w:r>
            <w:proofErr w:type="spellEnd"/>
            <w:r w:rsidR="00F457C8" w:rsidRPr="002E6BC6">
              <w:rPr>
                <w:rFonts w:ascii="Arial Narrow" w:hAnsi="Arial Narrow" w:cs="Arial"/>
                <w:sz w:val="20"/>
                <w:szCs w:val="20"/>
              </w:rPr>
              <w:t>;</w:t>
            </w:r>
          </w:p>
          <w:p w:rsidR="00F457C8" w:rsidRPr="002E6BC6" w:rsidRDefault="00F457C8" w:rsidP="00376873">
            <w:pPr>
              <w:spacing w:before="40" w:after="40"/>
              <w:rPr>
                <w:rFonts w:ascii="Arial Narrow" w:hAnsi="Arial Narrow" w:cs="Arial"/>
                <w:sz w:val="20"/>
                <w:szCs w:val="20"/>
              </w:rPr>
            </w:pPr>
            <w:r w:rsidRPr="002E6BC6">
              <w:rPr>
                <w:rFonts w:ascii="Arial Narrow" w:hAnsi="Arial Narrow" w:cs="Arial"/>
                <w:sz w:val="20"/>
                <w:szCs w:val="20"/>
              </w:rPr>
              <w:t>AND</w:t>
            </w:r>
          </w:p>
          <w:p w:rsidR="00F457C8" w:rsidRPr="002E6BC6" w:rsidRDefault="003A717A" w:rsidP="00376873">
            <w:pPr>
              <w:spacing w:before="40" w:after="40"/>
              <w:rPr>
                <w:rFonts w:ascii="Arial Narrow" w:hAnsi="Arial Narrow" w:cs="Arial"/>
                <w:sz w:val="20"/>
                <w:szCs w:val="20"/>
              </w:rPr>
            </w:pPr>
            <w:r w:rsidRPr="002E6BC6">
              <w:rPr>
                <w:rFonts w:ascii="Arial Narrow" w:hAnsi="Arial Narrow" w:cs="Arial"/>
                <w:sz w:val="20"/>
                <w:szCs w:val="20"/>
              </w:rPr>
              <w:t xml:space="preserve">Patient must have received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as their most recent course of PBS-subsidised biological disease modifying anti-rheumatic drug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treatment in this treatment cycle</w:t>
            </w:r>
            <w:r w:rsidR="00F457C8" w:rsidRPr="002E6BC6">
              <w:rPr>
                <w:rFonts w:ascii="Arial Narrow" w:hAnsi="Arial Narrow" w:cs="Arial"/>
                <w:sz w:val="20"/>
                <w:szCs w:val="20"/>
              </w:rPr>
              <w:t>; AND</w:t>
            </w:r>
          </w:p>
          <w:p w:rsidR="000C6691" w:rsidRPr="002E6BC6" w:rsidRDefault="000C6691" w:rsidP="00376873">
            <w:pPr>
              <w:spacing w:before="40" w:after="40"/>
              <w:rPr>
                <w:rFonts w:ascii="Arial Narrow" w:hAnsi="Arial Narrow" w:cs="Arial"/>
                <w:sz w:val="20"/>
                <w:szCs w:val="20"/>
              </w:rPr>
            </w:pPr>
            <w:r w:rsidRPr="002E6BC6">
              <w:rPr>
                <w:rFonts w:ascii="Arial Narrow" w:hAnsi="Arial Narrow" w:cs="Arial"/>
                <w:sz w:val="20"/>
                <w:szCs w:val="20"/>
              </w:rPr>
              <w:t xml:space="preserve">Patient must be under 30kg </w:t>
            </w:r>
          </w:p>
          <w:p w:rsidR="000C6691" w:rsidRPr="002E6BC6" w:rsidRDefault="000C6691" w:rsidP="00376873">
            <w:pPr>
              <w:spacing w:before="40" w:after="40"/>
              <w:rPr>
                <w:rFonts w:ascii="Arial Narrow" w:hAnsi="Arial Narrow" w:cs="Arial"/>
                <w:sz w:val="20"/>
                <w:szCs w:val="20"/>
              </w:rPr>
            </w:pPr>
            <w:r w:rsidRPr="002E6BC6">
              <w:rPr>
                <w:rFonts w:ascii="Arial Narrow" w:hAnsi="Arial Narrow" w:cs="Arial"/>
                <w:sz w:val="20"/>
                <w:szCs w:val="20"/>
              </w:rPr>
              <w:t>AND</w:t>
            </w:r>
          </w:p>
          <w:p w:rsidR="00F457C8" w:rsidRPr="002E6BC6" w:rsidRDefault="003A717A" w:rsidP="00376873">
            <w:pPr>
              <w:spacing w:before="40" w:after="40"/>
              <w:rPr>
                <w:rFonts w:ascii="Arial Narrow" w:hAnsi="Arial Narrow" w:cs="Arial"/>
                <w:sz w:val="20"/>
                <w:szCs w:val="20"/>
              </w:rPr>
            </w:pPr>
            <w:r w:rsidRPr="002E6BC6">
              <w:rPr>
                <w:rFonts w:ascii="Arial Narrow" w:hAnsi="Arial Narrow" w:cs="Arial"/>
                <w:sz w:val="20"/>
                <w:szCs w:val="20"/>
              </w:rPr>
              <w:t>Patient must not receive more than 24 weeks of treatment per continuing treatment course authorised under this restriction.</w:t>
            </w:r>
          </w:p>
        </w:tc>
      </w:tr>
      <w:tr w:rsidR="00F457C8"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Prescriber Instructions</w:t>
            </w:r>
          </w:p>
          <w:p w:rsidR="00F457C8" w:rsidRPr="002E6BC6" w:rsidRDefault="00F457C8" w:rsidP="00376873">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rPr>
                <w:rFonts w:ascii="Arial Narrow" w:hAnsi="Arial Narrow" w:cs="Arial"/>
                <w:sz w:val="20"/>
                <w:szCs w:val="20"/>
              </w:rPr>
            </w:pPr>
            <w:r w:rsidRPr="002E6BC6">
              <w:rPr>
                <w:rFonts w:ascii="Arial Narrow" w:hAnsi="Arial Narrow" w:cs="Arial"/>
                <w:sz w:val="20"/>
                <w:szCs w:val="20"/>
              </w:rPr>
              <w:t xml:space="preserve">For the purposes of </w:t>
            </w:r>
            <w:proofErr w:type="gramStart"/>
            <w:r w:rsidRPr="002E6BC6">
              <w:rPr>
                <w:rFonts w:ascii="Arial Narrow" w:hAnsi="Arial Narrow" w:cs="Arial"/>
                <w:sz w:val="20"/>
                <w:szCs w:val="20"/>
              </w:rPr>
              <w:t>this</w:t>
            </w:r>
            <w:proofErr w:type="gramEnd"/>
            <w:r w:rsidRPr="002E6BC6">
              <w:rPr>
                <w:rFonts w:ascii="Arial Narrow" w:hAnsi="Arial Narrow" w:cs="Arial"/>
                <w:sz w:val="20"/>
                <w:szCs w:val="20"/>
              </w:rPr>
              <w:t xml:space="preserve"> restriction 'biological disease modifying anti-rheumatic drug' and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mean </w:t>
            </w:r>
            <w:proofErr w:type="spellStart"/>
            <w:r w:rsidRPr="002E6BC6">
              <w:rPr>
                <w:rFonts w:ascii="Arial Narrow" w:hAnsi="Arial Narrow" w:cs="Arial"/>
                <w:sz w:val="20"/>
                <w:szCs w:val="20"/>
              </w:rPr>
              <w:t>adalimumab</w:t>
            </w:r>
            <w:proofErr w:type="spellEnd"/>
            <w:r w:rsidRPr="002E6BC6">
              <w:rPr>
                <w:rFonts w:ascii="Arial Narrow" w:hAnsi="Arial Narrow" w:cs="Arial"/>
                <w:sz w:val="20"/>
                <w:szCs w:val="20"/>
              </w:rPr>
              <w:t xml:space="preserve">, </w:t>
            </w:r>
            <w:proofErr w:type="spellStart"/>
            <w:r w:rsidRPr="002E6BC6">
              <w:rPr>
                <w:rFonts w:ascii="Arial Narrow" w:hAnsi="Arial Narrow" w:cs="Arial"/>
                <w:sz w:val="20"/>
                <w:szCs w:val="20"/>
              </w:rPr>
              <w:t>etanercept</w:t>
            </w:r>
            <w:proofErr w:type="spellEnd"/>
            <w:r w:rsidRPr="002E6BC6">
              <w:rPr>
                <w:rFonts w:ascii="Arial Narrow" w:hAnsi="Arial Narrow" w:cs="Arial"/>
                <w:sz w:val="20"/>
                <w:szCs w:val="20"/>
              </w:rPr>
              <w:t xml:space="preserve"> or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w:t>
            </w:r>
          </w:p>
          <w:p w:rsidR="003A717A" w:rsidRPr="002E6BC6" w:rsidRDefault="003A717A" w:rsidP="003A717A">
            <w:pPr>
              <w:spacing w:before="40" w:after="40"/>
              <w:rPr>
                <w:rFonts w:ascii="Arial Narrow" w:hAnsi="Arial Narrow" w:cs="Arial"/>
                <w:sz w:val="20"/>
                <w:szCs w:val="20"/>
              </w:rPr>
            </w:pPr>
            <w:r w:rsidRPr="002E6BC6">
              <w:rPr>
                <w:rFonts w:ascii="Arial Narrow" w:hAnsi="Arial Narrow" w:cs="Arial"/>
                <w:sz w:val="20"/>
                <w:szCs w:val="20"/>
              </w:rPr>
              <w:t>An adequate response to treatment is defined as:</w:t>
            </w:r>
          </w:p>
          <w:p w:rsidR="003A717A" w:rsidRPr="002E6BC6" w:rsidRDefault="003A717A" w:rsidP="003A717A">
            <w:pPr>
              <w:spacing w:before="40" w:after="40"/>
              <w:rPr>
                <w:rFonts w:ascii="Arial Narrow" w:hAnsi="Arial Narrow" w:cs="Arial"/>
                <w:sz w:val="20"/>
                <w:szCs w:val="20"/>
              </w:rPr>
            </w:pPr>
            <w:r w:rsidRPr="002E6BC6">
              <w:rPr>
                <w:rFonts w:ascii="Arial Narrow" w:hAnsi="Arial Narrow" w:cs="Arial"/>
                <w:sz w:val="20"/>
                <w:szCs w:val="20"/>
              </w:rPr>
              <w:t>(a) a reduction in the total active (swollen and tender) joint count by at least 50% from baseline, where baseline is at least 20 active joints; or</w:t>
            </w:r>
          </w:p>
          <w:p w:rsidR="003A717A" w:rsidRPr="002E6BC6" w:rsidRDefault="003A717A" w:rsidP="003A717A">
            <w:pPr>
              <w:spacing w:before="40" w:after="40"/>
              <w:rPr>
                <w:rFonts w:ascii="Arial Narrow" w:hAnsi="Arial Narrow" w:cs="Arial"/>
                <w:sz w:val="20"/>
                <w:szCs w:val="20"/>
              </w:rPr>
            </w:pPr>
            <w:r w:rsidRPr="002E6BC6">
              <w:rPr>
                <w:rFonts w:ascii="Arial Narrow" w:hAnsi="Arial Narrow" w:cs="Arial"/>
                <w:sz w:val="20"/>
                <w:szCs w:val="20"/>
              </w:rPr>
              <w:t>(b) a reduction in the number of the following active joints, from at least 4, by at least 50%:</w:t>
            </w:r>
          </w:p>
          <w:p w:rsidR="003A717A" w:rsidRPr="002E6BC6" w:rsidRDefault="003A717A" w:rsidP="003A717A">
            <w:pPr>
              <w:spacing w:before="40" w:after="40"/>
              <w:rPr>
                <w:rFonts w:ascii="Arial Narrow" w:hAnsi="Arial Narrow" w:cs="Arial"/>
                <w:sz w:val="20"/>
                <w:szCs w:val="20"/>
              </w:rPr>
            </w:pPr>
            <w:r w:rsidRPr="002E6BC6">
              <w:rPr>
                <w:rFonts w:ascii="Arial Narrow" w:hAnsi="Arial Narrow" w:cs="Arial"/>
                <w:sz w:val="20"/>
                <w:szCs w:val="20"/>
              </w:rPr>
              <w:t>(</w:t>
            </w:r>
            <w:proofErr w:type="spellStart"/>
            <w:r w:rsidRPr="002E6BC6">
              <w:rPr>
                <w:rFonts w:ascii="Arial Narrow" w:hAnsi="Arial Narrow" w:cs="Arial"/>
                <w:sz w:val="20"/>
                <w:szCs w:val="20"/>
              </w:rPr>
              <w:t>i</w:t>
            </w:r>
            <w:proofErr w:type="spellEnd"/>
            <w:r w:rsidRPr="002E6BC6">
              <w:rPr>
                <w:rFonts w:ascii="Arial Narrow" w:hAnsi="Arial Narrow" w:cs="Arial"/>
                <w:sz w:val="20"/>
                <w:szCs w:val="20"/>
              </w:rPr>
              <w:t>) elbow, wrist, knee and/or ankle (assessed as swollen and tender); and/or</w:t>
            </w:r>
          </w:p>
          <w:p w:rsidR="003A717A" w:rsidRPr="002E6BC6" w:rsidRDefault="003A717A" w:rsidP="003A717A">
            <w:pPr>
              <w:spacing w:before="40" w:after="40"/>
              <w:rPr>
                <w:rFonts w:ascii="Arial Narrow" w:hAnsi="Arial Narrow" w:cs="Arial"/>
                <w:sz w:val="20"/>
                <w:szCs w:val="20"/>
              </w:rPr>
            </w:pPr>
            <w:r w:rsidRPr="002E6BC6">
              <w:rPr>
                <w:rFonts w:ascii="Arial Narrow" w:hAnsi="Arial Narrow" w:cs="Arial"/>
                <w:sz w:val="20"/>
                <w:szCs w:val="20"/>
              </w:rPr>
              <w:t xml:space="preserve">(ii) </w:t>
            </w:r>
            <w:proofErr w:type="gramStart"/>
            <w:r w:rsidRPr="002E6BC6">
              <w:rPr>
                <w:rFonts w:ascii="Arial Narrow" w:hAnsi="Arial Narrow" w:cs="Arial"/>
                <w:sz w:val="20"/>
                <w:szCs w:val="20"/>
              </w:rPr>
              <w:t>shoulder</w:t>
            </w:r>
            <w:proofErr w:type="gramEnd"/>
            <w:r w:rsidRPr="002E6BC6">
              <w:rPr>
                <w:rFonts w:ascii="Arial Narrow" w:hAnsi="Arial Narrow" w:cs="Arial"/>
                <w:sz w:val="20"/>
                <w:szCs w:val="20"/>
              </w:rPr>
              <w:t>, cervical spine and/or hip (assessed as pain in passive movement and restriction of passive movement, where pain and limitation of movement are due to active disease and not irreversible damage such as joint destruction or bony overgrowth).</w:t>
            </w:r>
          </w:p>
          <w:p w:rsidR="003A717A" w:rsidRPr="002E6BC6" w:rsidRDefault="003A717A" w:rsidP="00376873">
            <w:pPr>
              <w:spacing w:before="40" w:after="40"/>
              <w:rPr>
                <w:rFonts w:ascii="Arial Narrow" w:hAnsi="Arial Narrow" w:cs="Arial"/>
                <w:sz w:val="20"/>
                <w:szCs w:val="20"/>
              </w:rPr>
            </w:pPr>
          </w:p>
          <w:p w:rsidR="003A717A" w:rsidRPr="002E6BC6" w:rsidRDefault="003A717A" w:rsidP="00376873">
            <w:pPr>
              <w:spacing w:before="40" w:after="40"/>
              <w:rPr>
                <w:rFonts w:ascii="Arial Narrow" w:hAnsi="Arial Narrow" w:cs="Arial"/>
                <w:sz w:val="20"/>
                <w:szCs w:val="20"/>
              </w:rPr>
            </w:pPr>
            <w:r w:rsidRPr="002E6BC6">
              <w:rPr>
                <w:rFonts w:ascii="Arial Narrow" w:hAnsi="Arial Narrow" w:cs="Arial"/>
                <w:sz w:val="20"/>
                <w:szCs w:val="20"/>
              </w:rPr>
              <w:t xml:space="preserve">Determination of whether a response </w:t>
            </w:r>
            <w:proofErr w:type="gramStart"/>
            <w:r w:rsidRPr="002E6BC6">
              <w:rPr>
                <w:rFonts w:ascii="Arial Narrow" w:hAnsi="Arial Narrow" w:cs="Arial"/>
                <w:sz w:val="20"/>
                <w:szCs w:val="20"/>
              </w:rPr>
              <w:t>has been demonstrated</w:t>
            </w:r>
            <w:proofErr w:type="gramEnd"/>
            <w:r w:rsidRPr="002E6BC6">
              <w:rPr>
                <w:rFonts w:ascii="Arial Narrow" w:hAnsi="Arial Narrow" w:cs="Arial"/>
                <w:sz w:val="20"/>
                <w:szCs w:val="20"/>
              </w:rPr>
              <w:t xml:space="preserve"> to initial and subsequent courses of treatment will be based on the baseline measurement of joint count submitted with the initial treatment application.</w:t>
            </w:r>
          </w:p>
          <w:p w:rsidR="003A717A" w:rsidRPr="002E6BC6" w:rsidRDefault="003A717A" w:rsidP="00376873">
            <w:pPr>
              <w:spacing w:before="40" w:after="40"/>
              <w:rPr>
                <w:rFonts w:ascii="Arial Narrow" w:hAnsi="Arial Narrow" w:cs="Arial"/>
                <w:sz w:val="20"/>
                <w:szCs w:val="20"/>
              </w:rPr>
            </w:pPr>
          </w:p>
          <w:p w:rsidR="003A717A" w:rsidRPr="002E6BC6" w:rsidRDefault="003A717A" w:rsidP="003A717A">
            <w:pPr>
              <w:spacing w:before="40" w:after="40"/>
              <w:rPr>
                <w:rFonts w:ascii="Arial Narrow" w:hAnsi="Arial Narrow" w:cs="Arial"/>
                <w:sz w:val="20"/>
                <w:szCs w:val="20"/>
              </w:rPr>
            </w:pPr>
            <w:r w:rsidRPr="002E6BC6">
              <w:rPr>
                <w:rFonts w:ascii="Arial Narrow" w:hAnsi="Arial Narrow" w:cs="Arial"/>
                <w:sz w:val="20"/>
                <w:szCs w:val="20"/>
              </w:rPr>
              <w:t>The authority application must be made in writing and must include:</w:t>
            </w:r>
          </w:p>
          <w:p w:rsidR="003A717A" w:rsidRPr="002E6BC6" w:rsidRDefault="003A717A" w:rsidP="003A717A">
            <w:pPr>
              <w:spacing w:before="40" w:after="40"/>
              <w:rPr>
                <w:rFonts w:ascii="Arial Narrow" w:hAnsi="Arial Narrow" w:cs="Arial"/>
                <w:sz w:val="20"/>
                <w:szCs w:val="20"/>
              </w:rPr>
            </w:pPr>
            <w:r w:rsidRPr="002E6BC6">
              <w:rPr>
                <w:rFonts w:ascii="Arial Narrow" w:hAnsi="Arial Narrow" w:cs="Arial"/>
                <w:sz w:val="20"/>
                <w:szCs w:val="20"/>
              </w:rPr>
              <w:t>(1) completed authority prescription form(s); and</w:t>
            </w:r>
          </w:p>
          <w:p w:rsidR="003A717A" w:rsidRPr="002E6BC6" w:rsidRDefault="003A717A" w:rsidP="003A717A">
            <w:pPr>
              <w:spacing w:before="40" w:after="40"/>
              <w:rPr>
                <w:rFonts w:ascii="Arial Narrow" w:hAnsi="Arial Narrow" w:cs="Arial"/>
                <w:sz w:val="20"/>
                <w:szCs w:val="20"/>
              </w:rPr>
            </w:pPr>
            <w:r w:rsidRPr="002E6BC6">
              <w:rPr>
                <w:rFonts w:ascii="Arial Narrow" w:hAnsi="Arial Narrow" w:cs="Arial"/>
                <w:sz w:val="20"/>
                <w:szCs w:val="20"/>
              </w:rPr>
              <w:t xml:space="preserve">(2) </w:t>
            </w:r>
            <w:proofErr w:type="gramStart"/>
            <w:r w:rsidRPr="002E6BC6">
              <w:rPr>
                <w:rFonts w:ascii="Arial Narrow" w:hAnsi="Arial Narrow" w:cs="Arial"/>
                <w:sz w:val="20"/>
                <w:szCs w:val="20"/>
              </w:rPr>
              <w:t>a</w:t>
            </w:r>
            <w:proofErr w:type="gramEnd"/>
            <w:r w:rsidRPr="002E6BC6">
              <w:rPr>
                <w:rFonts w:ascii="Arial Narrow" w:hAnsi="Arial Narrow" w:cs="Arial"/>
                <w:sz w:val="20"/>
                <w:szCs w:val="20"/>
              </w:rPr>
              <w:t xml:space="preserve"> completed Juvenile Idiopathic Arthritis PBS Authority Applicat</w:t>
            </w:r>
            <w:r w:rsidR="00C80C84" w:rsidRPr="002E6BC6">
              <w:rPr>
                <w:rFonts w:ascii="Arial Narrow" w:hAnsi="Arial Narrow" w:cs="Arial"/>
                <w:sz w:val="20"/>
                <w:szCs w:val="20"/>
              </w:rPr>
              <w:t>ion - Supporting Information Form.</w:t>
            </w:r>
          </w:p>
          <w:p w:rsidR="003A717A" w:rsidRPr="002E6BC6" w:rsidRDefault="003A717A" w:rsidP="00376873">
            <w:pPr>
              <w:spacing w:before="40" w:after="40"/>
              <w:rPr>
                <w:rFonts w:ascii="Arial Narrow" w:hAnsi="Arial Narrow" w:cs="Arial"/>
                <w:sz w:val="20"/>
                <w:szCs w:val="20"/>
              </w:rPr>
            </w:pPr>
          </w:p>
          <w:p w:rsidR="003A717A" w:rsidRPr="002E6BC6" w:rsidRDefault="003A717A" w:rsidP="00376873">
            <w:pPr>
              <w:spacing w:before="40" w:after="40"/>
              <w:rPr>
                <w:rFonts w:ascii="Arial Narrow" w:hAnsi="Arial Narrow" w:cs="Arial"/>
                <w:sz w:val="20"/>
                <w:szCs w:val="20"/>
              </w:rPr>
            </w:pPr>
            <w:r w:rsidRPr="002E6BC6">
              <w:rPr>
                <w:rFonts w:ascii="Arial Narrow" w:hAnsi="Arial Narrow" w:cs="Arial"/>
                <w:sz w:val="20"/>
                <w:szCs w:val="20"/>
              </w:rPr>
              <w:t xml:space="preserve">All applications for continuing treatment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must include a measurement of response to the prior course of therapy. This assessment </w:t>
            </w:r>
            <w:proofErr w:type="gramStart"/>
            <w:r w:rsidRPr="002E6BC6">
              <w:rPr>
                <w:rFonts w:ascii="Arial Narrow" w:hAnsi="Arial Narrow" w:cs="Arial"/>
                <w:sz w:val="20"/>
                <w:szCs w:val="20"/>
              </w:rPr>
              <w:t>must be submitted</w:t>
            </w:r>
            <w:proofErr w:type="gramEnd"/>
            <w:r w:rsidRPr="002E6BC6">
              <w:rPr>
                <w:rFonts w:ascii="Arial Narrow" w:hAnsi="Arial Narrow" w:cs="Arial"/>
                <w:sz w:val="20"/>
                <w:szCs w:val="20"/>
              </w:rPr>
              <w:t xml:space="preserve"> no later than 4 weeks from the cessation of that treatment course. If the application is the first application for continuing treatment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it </w:t>
            </w:r>
            <w:proofErr w:type="gramStart"/>
            <w:r w:rsidRPr="002E6BC6">
              <w:rPr>
                <w:rFonts w:ascii="Arial Narrow" w:hAnsi="Arial Narrow" w:cs="Arial"/>
                <w:sz w:val="20"/>
                <w:szCs w:val="20"/>
              </w:rPr>
              <w:t>must be accompanied</w:t>
            </w:r>
            <w:proofErr w:type="gramEnd"/>
            <w:r w:rsidRPr="002E6BC6">
              <w:rPr>
                <w:rFonts w:ascii="Arial Narrow" w:hAnsi="Arial Narrow" w:cs="Arial"/>
                <w:sz w:val="20"/>
                <w:szCs w:val="20"/>
              </w:rPr>
              <w:t xml:space="preserve"> by an assessment of response to a minimum of 12 weeks of treatment with an initial treatment course.</w:t>
            </w:r>
          </w:p>
          <w:p w:rsidR="003A717A" w:rsidRPr="002E6BC6" w:rsidRDefault="003A717A" w:rsidP="00376873">
            <w:pPr>
              <w:spacing w:before="40" w:after="40"/>
              <w:rPr>
                <w:rFonts w:ascii="Arial Narrow" w:hAnsi="Arial Narrow" w:cs="Arial"/>
                <w:sz w:val="20"/>
                <w:szCs w:val="20"/>
              </w:rPr>
            </w:pPr>
          </w:p>
          <w:p w:rsidR="003A717A" w:rsidRPr="002E6BC6" w:rsidRDefault="003A717A" w:rsidP="00376873">
            <w:pPr>
              <w:spacing w:before="40" w:after="40"/>
              <w:rPr>
                <w:rFonts w:ascii="Arial Narrow" w:hAnsi="Arial Narrow" w:cs="Arial"/>
                <w:sz w:val="20"/>
                <w:szCs w:val="20"/>
              </w:rPr>
            </w:pPr>
            <w:r w:rsidRPr="002E6BC6">
              <w:rPr>
                <w:rFonts w:ascii="Arial Narrow" w:hAnsi="Arial Narrow" w:cs="Arial"/>
                <w:sz w:val="20"/>
                <w:szCs w:val="20"/>
              </w:rPr>
              <w:t xml:space="preserve">Where a response assessment </w:t>
            </w:r>
            <w:proofErr w:type="gramStart"/>
            <w:r w:rsidRPr="002E6BC6">
              <w:rPr>
                <w:rFonts w:ascii="Arial Narrow" w:hAnsi="Arial Narrow" w:cs="Arial"/>
                <w:sz w:val="20"/>
                <w:szCs w:val="20"/>
              </w:rPr>
              <w:t>is not undertaken and submitted within these timeframes, the patient</w:t>
            </w:r>
            <w:proofErr w:type="gramEnd"/>
            <w:r w:rsidRPr="002E6BC6">
              <w:rPr>
                <w:rFonts w:ascii="Arial Narrow" w:hAnsi="Arial Narrow" w:cs="Arial"/>
                <w:sz w:val="20"/>
                <w:szCs w:val="20"/>
              </w:rPr>
              <w:t xml:space="preserve"> will be deemed to have failed to respond to treatment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w:t>
            </w:r>
          </w:p>
          <w:p w:rsidR="003A717A" w:rsidRPr="002E6BC6" w:rsidRDefault="003A717A" w:rsidP="00376873">
            <w:pPr>
              <w:spacing w:before="40" w:after="40"/>
              <w:rPr>
                <w:rFonts w:ascii="Arial Narrow" w:hAnsi="Arial Narrow" w:cs="Arial"/>
                <w:sz w:val="20"/>
                <w:szCs w:val="20"/>
              </w:rPr>
            </w:pPr>
          </w:p>
          <w:p w:rsidR="00F457C8" w:rsidRPr="002E6BC6" w:rsidRDefault="003A717A" w:rsidP="00376873">
            <w:pPr>
              <w:spacing w:before="40" w:after="40"/>
              <w:rPr>
                <w:rFonts w:ascii="Arial Narrow" w:hAnsi="Arial Narrow" w:cs="Arial"/>
                <w:sz w:val="20"/>
                <w:szCs w:val="20"/>
              </w:rPr>
            </w:pPr>
            <w:r w:rsidRPr="002E6BC6">
              <w:rPr>
                <w:rFonts w:ascii="Arial Narrow" w:hAnsi="Arial Narrow" w:cs="Arial"/>
                <w:sz w:val="20"/>
                <w:szCs w:val="20"/>
              </w:rPr>
              <w:t xml:space="preserve">If a patient fails to respond to PBS-subsidised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treatment 3 times (once with each </w:t>
            </w:r>
            <w:proofErr w:type="gramStart"/>
            <w:r w:rsidRPr="002E6BC6">
              <w:rPr>
                <w:rFonts w:ascii="Arial Narrow" w:hAnsi="Arial Narrow" w:cs="Arial"/>
                <w:sz w:val="20"/>
                <w:szCs w:val="20"/>
              </w:rPr>
              <w:t>agent)</w:t>
            </w:r>
            <w:proofErr w:type="gramEnd"/>
            <w:r w:rsidRPr="002E6BC6">
              <w:rPr>
                <w:rFonts w:ascii="Arial Narrow" w:hAnsi="Arial Narrow" w:cs="Arial"/>
                <w:sz w:val="20"/>
                <w:szCs w:val="20"/>
              </w:rPr>
              <w:t xml:space="preserve"> they will not be eligible to receive further PBS-subsidised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therapy in this treatment cycle.</w:t>
            </w:r>
          </w:p>
        </w:tc>
      </w:tr>
      <w:tr w:rsidR="00F457C8"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F457C8" w:rsidRPr="002E6BC6" w:rsidRDefault="00F457C8" w:rsidP="00376873">
            <w:pPr>
              <w:spacing w:before="40" w:after="40"/>
              <w:jc w:val="both"/>
              <w:rPr>
                <w:rFonts w:ascii="Arial Narrow" w:hAnsi="Arial Narrow" w:cs="Arial"/>
                <w:b/>
                <w:sz w:val="20"/>
                <w:szCs w:val="20"/>
              </w:rPr>
            </w:pPr>
            <w:r w:rsidRPr="002E6BC6">
              <w:rPr>
                <w:rFonts w:ascii="Arial Narrow" w:hAnsi="Arial Narrow" w:cs="Arial"/>
                <w:b/>
                <w:sz w:val="20"/>
                <w:szCs w:val="20"/>
              </w:rPr>
              <w:t>Administrative Advice:</w:t>
            </w:r>
          </w:p>
          <w:p w:rsidR="00F457C8" w:rsidRPr="002E6BC6" w:rsidRDefault="00F457C8" w:rsidP="00376873">
            <w:pPr>
              <w:spacing w:before="40" w:after="40"/>
              <w:jc w:val="both"/>
              <w:rPr>
                <w:rFonts w:ascii="Arial Narrow" w:hAnsi="Arial Narrow" w:cs="Arial"/>
                <w:b/>
                <w:sz w:val="20"/>
                <w:szCs w:val="20"/>
              </w:rPr>
            </w:pPr>
          </w:p>
        </w:tc>
        <w:tc>
          <w:tcPr>
            <w:tcW w:w="3937" w:type="pct"/>
            <w:tcBorders>
              <w:top w:val="single" w:sz="4" w:space="0" w:color="auto"/>
              <w:left w:val="single" w:sz="4" w:space="0" w:color="auto"/>
              <w:bottom w:val="single" w:sz="4" w:space="0" w:color="auto"/>
              <w:right w:val="single" w:sz="4" w:space="0" w:color="auto"/>
            </w:tcBorders>
          </w:tcPr>
          <w:p w:rsidR="003A717A" w:rsidRPr="002E6BC6" w:rsidRDefault="003A717A" w:rsidP="003A717A">
            <w:pPr>
              <w:spacing w:before="40" w:after="40"/>
              <w:rPr>
                <w:rFonts w:ascii="Arial Narrow" w:hAnsi="Arial Narrow" w:cs="Arial"/>
                <w:sz w:val="20"/>
                <w:szCs w:val="20"/>
              </w:rPr>
            </w:pPr>
            <w:r w:rsidRPr="002E6BC6">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3A717A" w:rsidRPr="002E6BC6" w:rsidRDefault="003A717A" w:rsidP="003A717A">
            <w:pPr>
              <w:spacing w:before="40" w:after="40"/>
              <w:rPr>
                <w:rFonts w:ascii="Arial Narrow" w:hAnsi="Arial Narrow" w:cs="Arial"/>
                <w:sz w:val="20"/>
                <w:szCs w:val="20"/>
              </w:rPr>
            </w:pPr>
            <w:r w:rsidRPr="002E6BC6">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3A717A" w:rsidRPr="002E6BC6" w:rsidRDefault="003A717A" w:rsidP="003A717A">
            <w:pPr>
              <w:spacing w:before="40" w:after="40"/>
              <w:rPr>
                <w:rFonts w:ascii="Arial Narrow" w:hAnsi="Arial Narrow" w:cs="Arial"/>
                <w:sz w:val="20"/>
                <w:szCs w:val="20"/>
              </w:rPr>
            </w:pPr>
            <w:r w:rsidRPr="002E6BC6">
              <w:rPr>
                <w:rFonts w:ascii="Arial Narrow" w:hAnsi="Arial Narrow" w:cs="Arial"/>
                <w:sz w:val="20"/>
                <w:szCs w:val="20"/>
              </w:rPr>
              <w:t>Applications for authority to prescribe should be forwarded to:</w:t>
            </w:r>
          </w:p>
          <w:p w:rsidR="003A717A" w:rsidRPr="002E6BC6" w:rsidRDefault="003A717A" w:rsidP="003A717A">
            <w:pPr>
              <w:spacing w:before="40" w:after="40"/>
              <w:rPr>
                <w:rFonts w:ascii="Arial Narrow" w:hAnsi="Arial Narrow" w:cs="Arial"/>
                <w:sz w:val="20"/>
                <w:szCs w:val="20"/>
              </w:rPr>
            </w:pPr>
            <w:r w:rsidRPr="002E6BC6">
              <w:rPr>
                <w:rFonts w:ascii="Arial Narrow" w:hAnsi="Arial Narrow" w:cs="Arial"/>
                <w:sz w:val="20"/>
                <w:szCs w:val="20"/>
              </w:rPr>
              <w:t>Department of Human Services</w:t>
            </w:r>
          </w:p>
          <w:p w:rsidR="003A717A" w:rsidRPr="002E6BC6" w:rsidRDefault="003A717A" w:rsidP="003A717A">
            <w:pPr>
              <w:spacing w:before="40" w:after="40"/>
              <w:rPr>
                <w:rFonts w:ascii="Arial Narrow" w:hAnsi="Arial Narrow" w:cs="Arial"/>
                <w:sz w:val="20"/>
                <w:szCs w:val="20"/>
              </w:rPr>
            </w:pPr>
            <w:r w:rsidRPr="002E6BC6">
              <w:rPr>
                <w:rFonts w:ascii="Arial Narrow" w:hAnsi="Arial Narrow" w:cs="Arial"/>
                <w:sz w:val="20"/>
                <w:szCs w:val="20"/>
              </w:rPr>
              <w:t>Complex Drugs</w:t>
            </w:r>
          </w:p>
          <w:p w:rsidR="003A717A" w:rsidRPr="002E6BC6" w:rsidRDefault="003A717A" w:rsidP="003A717A">
            <w:pPr>
              <w:spacing w:before="40" w:after="40"/>
              <w:rPr>
                <w:rFonts w:ascii="Arial Narrow" w:hAnsi="Arial Narrow" w:cs="Arial"/>
                <w:sz w:val="20"/>
                <w:szCs w:val="20"/>
              </w:rPr>
            </w:pPr>
            <w:r w:rsidRPr="002E6BC6">
              <w:rPr>
                <w:rFonts w:ascii="Arial Narrow" w:hAnsi="Arial Narrow" w:cs="Arial"/>
                <w:sz w:val="20"/>
                <w:szCs w:val="20"/>
              </w:rPr>
              <w:t>Reply Paid 9826</w:t>
            </w:r>
          </w:p>
          <w:p w:rsidR="00F457C8" w:rsidRPr="002E6BC6" w:rsidRDefault="003A717A" w:rsidP="00376873">
            <w:pPr>
              <w:spacing w:before="40" w:after="40"/>
              <w:rPr>
                <w:rFonts w:ascii="Arial Narrow" w:hAnsi="Arial Narrow" w:cs="Arial"/>
                <w:sz w:val="20"/>
                <w:szCs w:val="20"/>
              </w:rPr>
            </w:pPr>
            <w:r w:rsidRPr="002E6BC6">
              <w:rPr>
                <w:rFonts w:ascii="Arial Narrow" w:hAnsi="Arial Narrow" w:cs="Arial"/>
                <w:sz w:val="20"/>
                <w:szCs w:val="20"/>
              </w:rPr>
              <w:t>HOBART TAS 7001</w:t>
            </w:r>
          </w:p>
        </w:tc>
      </w:tr>
    </w:tbl>
    <w:p w:rsidR="00E62807" w:rsidRDefault="00E62807" w:rsidP="00DC1927"/>
    <w:p w:rsidR="00E62807" w:rsidRDefault="00E62807" w:rsidP="00E62807">
      <w:r>
        <w:br w:type="page"/>
      </w:r>
    </w:p>
    <w:tbl>
      <w:tblPr>
        <w:tblW w:w="5000" w:type="pct"/>
        <w:tblLook w:val="0000" w:firstRow="0" w:lastRow="0" w:firstColumn="0" w:lastColumn="0" w:noHBand="0" w:noVBand="0"/>
      </w:tblPr>
      <w:tblGrid>
        <w:gridCol w:w="1917"/>
        <w:gridCol w:w="7099"/>
      </w:tblGrid>
      <w:tr w:rsidR="00AE2D8C"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 xml:space="preserve">Category / </w:t>
            </w:r>
          </w:p>
          <w:p w:rsidR="00AE2D8C" w:rsidRPr="002E6BC6" w:rsidRDefault="00AE2D8C" w:rsidP="00376873">
            <w:pPr>
              <w:spacing w:before="40" w:after="40"/>
              <w:jc w:val="both"/>
              <w:rPr>
                <w:rFonts w:ascii="Arial Narrow" w:hAnsi="Arial Narrow" w:cs="Arial"/>
                <w:b/>
                <w:sz w:val="20"/>
                <w:szCs w:val="20"/>
              </w:rPr>
            </w:pPr>
            <w:r w:rsidRPr="002E6BC6">
              <w:rPr>
                <w:rFonts w:ascii="Arial Narrow" w:hAnsi="Arial Narrow" w:cs="Arial"/>
                <w:b/>
                <w:sz w:val="20"/>
                <w:szCs w:val="20"/>
              </w:rPr>
              <w:t>Program</w:t>
            </w:r>
          </w:p>
        </w:tc>
        <w:tc>
          <w:tcPr>
            <w:tcW w:w="3937"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rPr>
                <w:rFonts w:ascii="Arial Narrow" w:hAnsi="Arial Narrow" w:cs="Arial"/>
                <w:sz w:val="20"/>
                <w:szCs w:val="20"/>
              </w:rPr>
            </w:pPr>
            <w:r w:rsidRPr="002E6BC6">
              <w:rPr>
                <w:rFonts w:ascii="Arial Narrow" w:hAnsi="Arial Narrow" w:cs="Arial"/>
                <w:sz w:val="20"/>
                <w:szCs w:val="20"/>
              </w:rPr>
              <w:t>GENERAL – General Schedule (Code GE)</w:t>
            </w:r>
          </w:p>
          <w:p w:rsidR="00AE2D8C" w:rsidRPr="002E6BC6" w:rsidRDefault="00AE2D8C" w:rsidP="00376873">
            <w:pPr>
              <w:spacing w:before="40" w:after="40"/>
              <w:rPr>
                <w:rFonts w:ascii="Arial Narrow" w:hAnsi="Arial Narrow" w:cs="Arial"/>
                <w:sz w:val="20"/>
                <w:szCs w:val="20"/>
              </w:rPr>
            </w:pPr>
          </w:p>
        </w:tc>
      </w:tr>
      <w:tr w:rsidR="00AE2D8C"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jc w:val="both"/>
              <w:rPr>
                <w:rFonts w:ascii="Arial Narrow" w:hAnsi="Arial Narrow" w:cs="Arial"/>
                <w:b/>
                <w:sz w:val="20"/>
                <w:szCs w:val="20"/>
              </w:rPr>
            </w:pPr>
            <w:r w:rsidRPr="002E6BC6">
              <w:rPr>
                <w:rFonts w:ascii="Arial Narrow" w:hAnsi="Arial Narrow" w:cs="Arial"/>
                <w:b/>
                <w:sz w:val="20"/>
                <w:szCs w:val="20"/>
              </w:rPr>
              <w:t>Prescriber type:</w:t>
            </w:r>
          </w:p>
        </w:tc>
        <w:tc>
          <w:tcPr>
            <w:tcW w:w="3937"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rPr>
                <w:rFonts w:ascii="Arial Narrow" w:hAnsi="Arial Narrow" w:cs="Arial"/>
                <w:sz w:val="20"/>
                <w:szCs w:val="20"/>
              </w:rPr>
            </w:pPr>
            <w:r w:rsidRPr="00CE5614">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 xml:space="preserve">Dental  </w:t>
            </w:r>
            <w:r w:rsidRPr="00CE5614">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 xml:space="preserve">Medical Practitioners  </w:t>
            </w:r>
            <w:r w:rsidRPr="00CE5614">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 xml:space="preserve">Nurse practitioners  </w:t>
            </w:r>
            <w:r w:rsidRPr="00CE5614">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Optometrists</w:t>
            </w:r>
          </w:p>
          <w:p w:rsidR="00AE2D8C" w:rsidRPr="002E6BC6" w:rsidRDefault="00AE2D8C" w:rsidP="00376873">
            <w:pPr>
              <w:spacing w:before="40" w:after="40"/>
              <w:rPr>
                <w:rFonts w:ascii="Arial Narrow" w:hAnsi="Arial Narrow" w:cs="Arial"/>
                <w:sz w:val="20"/>
                <w:szCs w:val="20"/>
              </w:rPr>
            </w:pPr>
            <w:r w:rsidRPr="00CE5614">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Midwives</w:t>
            </w:r>
          </w:p>
        </w:tc>
      </w:tr>
      <w:tr w:rsidR="00AE2D8C"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jc w:val="both"/>
              <w:rPr>
                <w:rFonts w:ascii="Arial Narrow" w:hAnsi="Arial Narrow" w:cs="Arial"/>
                <w:b/>
                <w:sz w:val="20"/>
                <w:szCs w:val="20"/>
              </w:rPr>
            </w:pPr>
            <w:r w:rsidRPr="002E6BC6">
              <w:rPr>
                <w:rFonts w:ascii="Arial Narrow" w:hAnsi="Arial Narrow" w:cs="Arial"/>
                <w:b/>
                <w:sz w:val="20"/>
                <w:szCs w:val="20"/>
              </w:rPr>
              <w:t>Condition:</w:t>
            </w:r>
          </w:p>
        </w:tc>
        <w:tc>
          <w:tcPr>
            <w:tcW w:w="3937"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AE2D8C"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jc w:val="both"/>
              <w:rPr>
                <w:rFonts w:ascii="Arial Narrow" w:hAnsi="Arial Narrow" w:cs="Arial"/>
                <w:b/>
                <w:sz w:val="20"/>
                <w:szCs w:val="20"/>
              </w:rPr>
            </w:pPr>
            <w:r w:rsidRPr="002E6BC6">
              <w:rPr>
                <w:rFonts w:ascii="Arial Narrow" w:hAnsi="Arial Narrow" w:cs="Arial"/>
                <w:b/>
                <w:sz w:val="20"/>
                <w:szCs w:val="20"/>
              </w:rPr>
              <w:t>PBS Indication:</w:t>
            </w:r>
          </w:p>
        </w:tc>
        <w:tc>
          <w:tcPr>
            <w:tcW w:w="3937"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AE2D8C"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jc w:val="both"/>
              <w:rPr>
                <w:rFonts w:ascii="Arial Narrow" w:hAnsi="Arial Narrow" w:cs="Arial"/>
                <w:b/>
                <w:sz w:val="20"/>
                <w:szCs w:val="20"/>
              </w:rPr>
            </w:pPr>
            <w:r w:rsidRPr="002E6BC6">
              <w:rPr>
                <w:rFonts w:ascii="Arial Narrow" w:hAnsi="Arial Narrow" w:cs="Arial"/>
                <w:b/>
                <w:sz w:val="20"/>
                <w:szCs w:val="20"/>
              </w:rPr>
              <w:t>Treatment phase:</w:t>
            </w:r>
          </w:p>
        </w:tc>
        <w:tc>
          <w:tcPr>
            <w:tcW w:w="3937"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rPr>
                <w:rFonts w:ascii="Arial Narrow" w:hAnsi="Arial Narrow" w:cs="Arial"/>
                <w:sz w:val="20"/>
                <w:szCs w:val="20"/>
              </w:rPr>
            </w:pPr>
            <w:r w:rsidRPr="002E6BC6">
              <w:rPr>
                <w:rFonts w:ascii="Arial Narrow" w:hAnsi="Arial Narrow" w:cs="Arial"/>
                <w:sz w:val="20"/>
                <w:szCs w:val="20"/>
              </w:rPr>
              <w:t>Continuing Treatment – balance of supply</w:t>
            </w:r>
          </w:p>
        </w:tc>
      </w:tr>
      <w:tr w:rsidR="00AE2D8C"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jc w:val="both"/>
              <w:rPr>
                <w:rFonts w:ascii="Arial Narrow" w:hAnsi="Arial Narrow" w:cs="Arial"/>
                <w:b/>
                <w:sz w:val="20"/>
                <w:szCs w:val="20"/>
              </w:rPr>
            </w:pPr>
            <w:r w:rsidRPr="002E6BC6">
              <w:rPr>
                <w:rFonts w:ascii="Arial Narrow" w:hAnsi="Arial Narrow" w:cs="Arial"/>
                <w:b/>
                <w:sz w:val="20"/>
                <w:szCs w:val="20"/>
              </w:rPr>
              <w:t>Restriction Level / Method:</w:t>
            </w:r>
          </w:p>
          <w:p w:rsidR="00AE2D8C" w:rsidRPr="002E6BC6" w:rsidRDefault="00AE2D8C" w:rsidP="00376873">
            <w:pPr>
              <w:spacing w:before="40" w:after="40"/>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rPr>
                <w:rFonts w:ascii="Arial Narrow" w:hAnsi="Arial Narrow" w:cs="Arial"/>
                <w:sz w:val="20"/>
                <w:szCs w:val="20"/>
              </w:rPr>
            </w:pPr>
            <w:r w:rsidRPr="00CE5614">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Restricted benefit</w:t>
            </w:r>
          </w:p>
          <w:p w:rsidR="00AE2D8C" w:rsidRPr="002E6BC6" w:rsidRDefault="00CE5614" w:rsidP="0037687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Pr>
                <w:rFonts w:ascii="Arial Narrow" w:hAnsi="Arial Narrow" w:cs="Arial"/>
                <w:sz w:val="20"/>
                <w:szCs w:val="20"/>
              </w:rPr>
              <w:fldChar w:fldCharType="end"/>
            </w:r>
            <w:r w:rsidR="00AE2D8C" w:rsidRPr="002E6BC6">
              <w:rPr>
                <w:rFonts w:ascii="Arial Narrow" w:hAnsi="Arial Narrow" w:cs="Arial"/>
                <w:sz w:val="20"/>
                <w:szCs w:val="20"/>
              </w:rPr>
              <w:t>Authority Required - In Writing</w:t>
            </w:r>
          </w:p>
          <w:p w:rsidR="00AE2D8C" w:rsidRPr="002E6BC6" w:rsidRDefault="00CE5614" w:rsidP="0037687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Pr>
                <w:rFonts w:ascii="Arial Narrow" w:hAnsi="Arial Narrow" w:cs="Arial"/>
                <w:sz w:val="20"/>
                <w:szCs w:val="20"/>
              </w:rPr>
              <w:fldChar w:fldCharType="end"/>
            </w:r>
            <w:r w:rsidR="00AE2D8C" w:rsidRPr="002E6BC6">
              <w:rPr>
                <w:rFonts w:ascii="Arial Narrow" w:hAnsi="Arial Narrow" w:cs="Arial"/>
                <w:sz w:val="20"/>
                <w:szCs w:val="20"/>
              </w:rPr>
              <w:t>Authority Required - Telephone</w:t>
            </w:r>
          </w:p>
          <w:p w:rsidR="00AE2D8C" w:rsidRPr="002E6BC6" w:rsidRDefault="00AE2D8C" w:rsidP="00376873">
            <w:pPr>
              <w:spacing w:before="40" w:after="40"/>
              <w:rPr>
                <w:rFonts w:ascii="Arial Narrow" w:hAnsi="Arial Narrow" w:cs="Arial"/>
                <w:sz w:val="20"/>
                <w:szCs w:val="20"/>
              </w:rPr>
            </w:pPr>
            <w:r w:rsidRPr="00CE5614">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Authority Required – Emergency</w:t>
            </w:r>
          </w:p>
          <w:p w:rsidR="00AE2D8C" w:rsidRPr="002E6BC6" w:rsidRDefault="00AE2D8C" w:rsidP="00376873">
            <w:pPr>
              <w:spacing w:before="40" w:after="40"/>
              <w:rPr>
                <w:rFonts w:ascii="Arial Narrow" w:hAnsi="Arial Narrow" w:cs="Arial"/>
                <w:sz w:val="20"/>
                <w:szCs w:val="20"/>
              </w:rPr>
            </w:pPr>
            <w:r w:rsidRPr="00CE5614">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Authority Required - Electronic</w:t>
            </w:r>
          </w:p>
          <w:p w:rsidR="00AE2D8C" w:rsidRPr="002E6BC6" w:rsidRDefault="00AE2D8C" w:rsidP="00376873">
            <w:pPr>
              <w:spacing w:before="40" w:after="40"/>
              <w:rPr>
                <w:rFonts w:ascii="Arial Narrow" w:hAnsi="Arial Narrow" w:cs="Arial"/>
                <w:sz w:val="20"/>
                <w:szCs w:val="20"/>
              </w:rPr>
            </w:pPr>
            <w:r w:rsidRPr="00CE5614">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Streamlined</w:t>
            </w:r>
          </w:p>
        </w:tc>
      </w:tr>
      <w:tr w:rsidR="00AE2D8C"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jc w:val="both"/>
              <w:rPr>
                <w:rFonts w:ascii="Arial Narrow" w:hAnsi="Arial Narrow" w:cs="Arial"/>
                <w:b/>
                <w:sz w:val="20"/>
                <w:szCs w:val="20"/>
              </w:rPr>
            </w:pPr>
            <w:r w:rsidRPr="002E6BC6">
              <w:rPr>
                <w:rFonts w:ascii="Arial Narrow" w:hAnsi="Arial Narrow" w:cs="Arial"/>
                <w:b/>
                <w:sz w:val="20"/>
                <w:szCs w:val="20"/>
              </w:rPr>
              <w:t xml:space="preserve">Treatment criteria: </w:t>
            </w:r>
          </w:p>
        </w:tc>
        <w:tc>
          <w:tcPr>
            <w:tcW w:w="3937"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rPr>
                <w:rFonts w:ascii="Arial Narrow" w:hAnsi="Arial Narrow" w:cs="Arial"/>
                <w:sz w:val="20"/>
                <w:szCs w:val="20"/>
              </w:rPr>
            </w:pPr>
            <w:r w:rsidRPr="002E6BC6">
              <w:rPr>
                <w:rFonts w:ascii="Arial Narrow" w:hAnsi="Arial Narrow" w:cs="Arial"/>
                <w:sz w:val="20"/>
                <w:szCs w:val="20"/>
              </w:rPr>
              <w:t>Must be treated by a paediatric rheumatologist; or</w:t>
            </w:r>
          </w:p>
          <w:p w:rsidR="00AE2D8C" w:rsidRPr="002E6BC6" w:rsidRDefault="00AE2D8C" w:rsidP="00376873">
            <w:pPr>
              <w:spacing w:before="40" w:after="40"/>
              <w:rPr>
                <w:rFonts w:ascii="Arial Narrow" w:hAnsi="Arial Narrow" w:cs="Arial"/>
                <w:sz w:val="20"/>
                <w:szCs w:val="20"/>
              </w:rPr>
            </w:pPr>
            <w:r w:rsidRPr="002E6BC6">
              <w:rPr>
                <w:rFonts w:ascii="Arial Narrow" w:hAnsi="Arial Narrow" w:cs="Arial"/>
                <w:sz w:val="20"/>
                <w:szCs w:val="20"/>
              </w:rPr>
              <w:t xml:space="preserve">Patient must be undergoing treatment under the supervision of a </w:t>
            </w:r>
            <w:proofErr w:type="gramStart"/>
            <w:r w:rsidRPr="002E6BC6">
              <w:rPr>
                <w:rFonts w:ascii="Arial Narrow" w:hAnsi="Arial Narrow" w:cs="Arial"/>
                <w:sz w:val="20"/>
                <w:szCs w:val="20"/>
              </w:rPr>
              <w:t>paediatric rheumatology treatment centre</w:t>
            </w:r>
            <w:proofErr w:type="gramEnd"/>
            <w:r w:rsidRPr="002E6BC6">
              <w:rPr>
                <w:rFonts w:ascii="Arial Narrow" w:hAnsi="Arial Narrow" w:cs="Arial"/>
                <w:sz w:val="20"/>
                <w:szCs w:val="20"/>
              </w:rPr>
              <w:t xml:space="preserve">. </w:t>
            </w:r>
          </w:p>
        </w:tc>
      </w:tr>
      <w:tr w:rsidR="00AE2D8C"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jc w:val="both"/>
              <w:rPr>
                <w:rFonts w:ascii="Arial Narrow" w:hAnsi="Arial Narrow" w:cs="Arial"/>
                <w:b/>
                <w:sz w:val="20"/>
                <w:szCs w:val="20"/>
              </w:rPr>
            </w:pPr>
            <w:r w:rsidRPr="002E6BC6">
              <w:rPr>
                <w:rFonts w:ascii="Arial Narrow" w:hAnsi="Arial Narrow" w:cs="Arial"/>
                <w:b/>
                <w:sz w:val="20"/>
                <w:szCs w:val="20"/>
              </w:rPr>
              <w:t>Clinical criteria:</w:t>
            </w:r>
          </w:p>
          <w:p w:rsidR="00AE2D8C" w:rsidRPr="002E6BC6" w:rsidRDefault="00AE2D8C" w:rsidP="00376873">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rPr>
                <w:rFonts w:ascii="Arial Narrow" w:hAnsi="Arial Narrow" w:cs="Arial"/>
                <w:sz w:val="20"/>
                <w:szCs w:val="20"/>
              </w:rPr>
            </w:pPr>
            <w:r w:rsidRPr="002E6BC6">
              <w:rPr>
                <w:rFonts w:ascii="Arial Narrow" w:hAnsi="Arial Narrow" w:cs="Arial"/>
                <w:sz w:val="20"/>
                <w:szCs w:val="20"/>
              </w:rPr>
              <w:t xml:space="preserve">Patient must have received insufficient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therapy under the Continuing Treatment restriction to complete 24 weeks treatment;</w:t>
            </w:r>
          </w:p>
          <w:p w:rsidR="00AE2D8C" w:rsidRPr="002E6BC6" w:rsidRDefault="00AE2D8C" w:rsidP="00376873">
            <w:pPr>
              <w:spacing w:before="40" w:after="40"/>
              <w:rPr>
                <w:rFonts w:ascii="Arial Narrow" w:hAnsi="Arial Narrow" w:cs="Arial"/>
                <w:sz w:val="20"/>
                <w:szCs w:val="20"/>
              </w:rPr>
            </w:pPr>
            <w:r w:rsidRPr="002E6BC6">
              <w:rPr>
                <w:rFonts w:ascii="Arial Narrow" w:hAnsi="Arial Narrow" w:cs="Arial"/>
                <w:sz w:val="20"/>
                <w:szCs w:val="20"/>
              </w:rPr>
              <w:t>AND</w:t>
            </w:r>
          </w:p>
          <w:p w:rsidR="00AE2D8C" w:rsidRPr="002E6BC6" w:rsidRDefault="00AE2D8C" w:rsidP="00376873">
            <w:pPr>
              <w:spacing w:before="40" w:after="40"/>
              <w:rPr>
                <w:rFonts w:ascii="Arial Narrow" w:hAnsi="Arial Narrow" w:cs="Arial"/>
                <w:sz w:val="20"/>
                <w:szCs w:val="20"/>
              </w:rPr>
            </w:pPr>
            <w:r w:rsidRPr="002E6BC6">
              <w:rPr>
                <w:rFonts w:ascii="Arial Narrow" w:hAnsi="Arial Narrow" w:cs="Arial"/>
                <w:sz w:val="20"/>
                <w:szCs w:val="20"/>
              </w:rPr>
              <w:t>The treatment must provide no more than the balance of up to 24 weeks treatment available under the above restriction.</w:t>
            </w:r>
          </w:p>
        </w:tc>
      </w:tr>
      <w:tr w:rsidR="00AE2D8C"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AE2D8C" w:rsidRPr="002E6BC6" w:rsidRDefault="00AE2D8C" w:rsidP="00376873">
            <w:pPr>
              <w:spacing w:before="40" w:after="40"/>
              <w:jc w:val="both"/>
              <w:rPr>
                <w:rFonts w:ascii="Arial Narrow" w:hAnsi="Arial Narrow" w:cs="Arial"/>
                <w:b/>
                <w:sz w:val="20"/>
                <w:szCs w:val="20"/>
              </w:rPr>
            </w:pPr>
            <w:r w:rsidRPr="002E6BC6">
              <w:rPr>
                <w:rFonts w:ascii="Arial Narrow" w:hAnsi="Arial Narrow" w:cs="Arial"/>
                <w:b/>
                <w:sz w:val="20"/>
                <w:szCs w:val="20"/>
              </w:rPr>
              <w:t>Administrative Advice:</w:t>
            </w:r>
          </w:p>
          <w:p w:rsidR="00AE2D8C" w:rsidRPr="002E6BC6" w:rsidRDefault="00AE2D8C" w:rsidP="00376873">
            <w:pPr>
              <w:spacing w:before="40" w:after="40"/>
              <w:jc w:val="both"/>
              <w:rPr>
                <w:rFonts w:ascii="Arial Narrow" w:hAnsi="Arial Narrow" w:cs="Arial"/>
                <w:b/>
                <w:sz w:val="20"/>
                <w:szCs w:val="20"/>
              </w:rPr>
            </w:pPr>
          </w:p>
        </w:tc>
        <w:tc>
          <w:tcPr>
            <w:tcW w:w="3937" w:type="pct"/>
            <w:tcBorders>
              <w:top w:val="single" w:sz="4" w:space="0" w:color="auto"/>
              <w:left w:val="single" w:sz="4" w:space="0" w:color="auto"/>
              <w:bottom w:val="single" w:sz="4" w:space="0" w:color="auto"/>
              <w:right w:val="single" w:sz="4" w:space="0" w:color="auto"/>
            </w:tcBorders>
          </w:tcPr>
          <w:p w:rsidR="00AE2D8C" w:rsidRPr="002E6BC6" w:rsidRDefault="00AE2D8C" w:rsidP="00AE2D8C">
            <w:pPr>
              <w:spacing w:before="40" w:after="40"/>
              <w:rPr>
                <w:rFonts w:ascii="Arial Narrow" w:hAnsi="Arial Narrow" w:cs="Arial"/>
                <w:sz w:val="20"/>
                <w:szCs w:val="20"/>
              </w:rPr>
            </w:pPr>
            <w:r w:rsidRPr="002E6BC6">
              <w:rPr>
                <w:rFonts w:ascii="Arial Narrow" w:hAnsi="Arial Narrow" w:cs="Arial"/>
                <w:sz w:val="20"/>
                <w:szCs w:val="20"/>
              </w:rPr>
              <w:t>Authority approval for sufficient therapy to complete a maximum of 24 weeks of treatment may be requested by telephone by contacting the Department of Human Services on 1800 700 270 (hours of operation 8 a.m. to 5 p.m. EST Monday to Friday).</w:t>
            </w:r>
          </w:p>
          <w:p w:rsidR="00AE2D8C" w:rsidRPr="002E6BC6" w:rsidRDefault="00AE2D8C" w:rsidP="00AE2D8C">
            <w:pPr>
              <w:spacing w:before="40" w:after="40"/>
              <w:rPr>
                <w:rFonts w:ascii="Arial Narrow" w:hAnsi="Arial Narrow" w:cs="Arial"/>
                <w:sz w:val="20"/>
                <w:szCs w:val="20"/>
              </w:rPr>
            </w:pPr>
            <w:r w:rsidRPr="002E6BC6">
              <w:rPr>
                <w:rFonts w:ascii="Arial Narrow" w:hAnsi="Arial Narrow" w:cs="Arial"/>
                <w:sz w:val="20"/>
                <w:szCs w:val="20"/>
              </w:rPr>
              <w:t>Written application for authority approval for sufficient therapy to complete a maximum of 24 weeks of treatment should be forwarded to:</w:t>
            </w:r>
          </w:p>
          <w:p w:rsidR="00AE2D8C" w:rsidRPr="002E6BC6" w:rsidRDefault="00AE2D8C" w:rsidP="00AE2D8C">
            <w:pPr>
              <w:spacing w:before="40" w:after="40"/>
              <w:rPr>
                <w:rFonts w:ascii="Arial Narrow" w:hAnsi="Arial Narrow" w:cs="Arial"/>
                <w:sz w:val="20"/>
                <w:szCs w:val="20"/>
              </w:rPr>
            </w:pPr>
            <w:r w:rsidRPr="002E6BC6">
              <w:rPr>
                <w:rFonts w:ascii="Arial Narrow" w:hAnsi="Arial Narrow" w:cs="Arial"/>
                <w:sz w:val="20"/>
                <w:szCs w:val="20"/>
              </w:rPr>
              <w:t>Department of Human Services</w:t>
            </w:r>
          </w:p>
          <w:p w:rsidR="00AE2D8C" w:rsidRPr="002E6BC6" w:rsidRDefault="00AE2D8C" w:rsidP="00AE2D8C">
            <w:pPr>
              <w:spacing w:before="40" w:after="40"/>
              <w:rPr>
                <w:rFonts w:ascii="Arial Narrow" w:hAnsi="Arial Narrow" w:cs="Arial"/>
                <w:sz w:val="20"/>
                <w:szCs w:val="20"/>
              </w:rPr>
            </w:pPr>
            <w:r w:rsidRPr="002E6BC6">
              <w:rPr>
                <w:rFonts w:ascii="Arial Narrow" w:hAnsi="Arial Narrow" w:cs="Arial"/>
                <w:sz w:val="20"/>
                <w:szCs w:val="20"/>
              </w:rPr>
              <w:t>Complex Drugs</w:t>
            </w:r>
          </w:p>
          <w:p w:rsidR="00AE2D8C" w:rsidRPr="002E6BC6" w:rsidRDefault="00AE2D8C" w:rsidP="00AE2D8C">
            <w:pPr>
              <w:spacing w:before="40" w:after="40"/>
              <w:rPr>
                <w:rFonts w:ascii="Arial Narrow" w:hAnsi="Arial Narrow" w:cs="Arial"/>
                <w:sz w:val="20"/>
                <w:szCs w:val="20"/>
              </w:rPr>
            </w:pPr>
            <w:r w:rsidRPr="002E6BC6">
              <w:rPr>
                <w:rFonts w:ascii="Arial Narrow" w:hAnsi="Arial Narrow" w:cs="Arial"/>
                <w:sz w:val="20"/>
                <w:szCs w:val="20"/>
              </w:rPr>
              <w:t>Reply Paid 9826</w:t>
            </w:r>
          </w:p>
          <w:p w:rsidR="00AE2D8C" w:rsidRPr="002E6BC6" w:rsidRDefault="00AE2D8C" w:rsidP="00376873">
            <w:pPr>
              <w:spacing w:before="40" w:after="40"/>
              <w:rPr>
                <w:rFonts w:ascii="Arial Narrow" w:hAnsi="Arial Narrow" w:cs="Arial"/>
                <w:sz w:val="20"/>
                <w:szCs w:val="20"/>
              </w:rPr>
            </w:pPr>
            <w:r w:rsidRPr="002E6BC6">
              <w:rPr>
                <w:rFonts w:ascii="Arial Narrow" w:hAnsi="Arial Narrow" w:cs="Arial"/>
                <w:sz w:val="20"/>
                <w:szCs w:val="20"/>
              </w:rPr>
              <w:t>HOBART TAS 7001</w:t>
            </w:r>
          </w:p>
        </w:tc>
      </w:tr>
    </w:tbl>
    <w:p w:rsidR="008F39C1" w:rsidRDefault="008F39C1" w:rsidP="006A4AE2"/>
    <w:p w:rsidR="008F39C1" w:rsidRDefault="008F39C1" w:rsidP="008F39C1">
      <w:r>
        <w:br w:type="page"/>
      </w:r>
    </w:p>
    <w:tbl>
      <w:tblPr>
        <w:tblW w:w="5000" w:type="pct"/>
        <w:tblLook w:val="0000" w:firstRow="0" w:lastRow="0" w:firstColumn="0" w:lastColumn="0" w:noHBand="0" w:noVBand="0"/>
      </w:tblPr>
      <w:tblGrid>
        <w:gridCol w:w="2873"/>
        <w:gridCol w:w="616"/>
        <w:gridCol w:w="1009"/>
        <w:gridCol w:w="1009"/>
        <w:gridCol w:w="1401"/>
        <w:gridCol w:w="827"/>
        <w:gridCol w:w="1291"/>
      </w:tblGrid>
      <w:tr w:rsidR="004A6054" w:rsidRPr="002E6BC6" w:rsidTr="00EC081A">
        <w:trPr>
          <w:trHeight w:val="465"/>
        </w:trPr>
        <w:tc>
          <w:tcPr>
            <w:tcW w:w="1592" w:type="pct"/>
            <w:tcBorders>
              <w:bottom w:val="single" w:sz="4" w:space="0" w:color="auto"/>
            </w:tcBorders>
          </w:tcPr>
          <w:p w:rsidR="004A6054" w:rsidRPr="002E6BC6" w:rsidRDefault="004A6054"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lastRenderedPageBreak/>
              <w:t>Name, Restriction,</w:t>
            </w:r>
          </w:p>
          <w:p w:rsidR="004A6054" w:rsidRPr="002E6BC6" w:rsidRDefault="004A6054"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Manner of administration and form</w:t>
            </w:r>
          </w:p>
        </w:tc>
        <w:tc>
          <w:tcPr>
            <w:tcW w:w="341" w:type="pct"/>
            <w:tcBorders>
              <w:bottom w:val="single" w:sz="4" w:space="0" w:color="auto"/>
            </w:tcBorders>
          </w:tcPr>
          <w:p w:rsidR="004A6054" w:rsidRPr="002E6BC6" w:rsidRDefault="004A6054"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Max.</w:t>
            </w:r>
          </w:p>
          <w:p w:rsidR="004A6054" w:rsidRPr="002E6BC6" w:rsidRDefault="004A6054" w:rsidP="005E11C2">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Qty</w:t>
            </w:r>
            <w:proofErr w:type="spellEnd"/>
          </w:p>
        </w:tc>
        <w:tc>
          <w:tcPr>
            <w:tcW w:w="559" w:type="pct"/>
            <w:tcBorders>
              <w:bottom w:val="single" w:sz="4" w:space="0" w:color="auto"/>
            </w:tcBorders>
          </w:tcPr>
          <w:p w:rsidR="004A6054" w:rsidRPr="002E6BC6" w:rsidRDefault="004A6054" w:rsidP="005E11C2">
            <w:pPr>
              <w:keepNext/>
              <w:spacing w:before="40" w:after="40"/>
              <w:jc w:val="both"/>
              <w:rPr>
                <w:rFonts w:ascii="Arial Narrow" w:hAnsi="Arial Narrow" w:cs="Arial"/>
                <w:b/>
                <w:sz w:val="20"/>
                <w:szCs w:val="20"/>
              </w:rPr>
            </w:pPr>
          </w:p>
        </w:tc>
        <w:tc>
          <w:tcPr>
            <w:tcW w:w="559" w:type="pct"/>
            <w:tcBorders>
              <w:bottom w:val="single" w:sz="4" w:space="0" w:color="auto"/>
            </w:tcBorders>
          </w:tcPr>
          <w:p w:rsidR="004A6054" w:rsidRPr="002E6BC6" w:rsidRDefault="004A6054"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№.of</w:t>
            </w:r>
          </w:p>
          <w:p w:rsidR="004A6054" w:rsidRPr="002E6BC6" w:rsidRDefault="004A6054" w:rsidP="005E11C2">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Rpts</w:t>
            </w:r>
            <w:proofErr w:type="spellEnd"/>
          </w:p>
        </w:tc>
        <w:tc>
          <w:tcPr>
            <w:tcW w:w="776" w:type="pct"/>
            <w:tcBorders>
              <w:bottom w:val="single" w:sz="4" w:space="0" w:color="auto"/>
            </w:tcBorders>
          </w:tcPr>
          <w:p w:rsidR="004A6054" w:rsidRPr="002E6BC6" w:rsidRDefault="004A6054" w:rsidP="005E11C2">
            <w:pPr>
              <w:keepNext/>
              <w:spacing w:before="40" w:after="40"/>
              <w:jc w:val="both"/>
              <w:rPr>
                <w:rFonts w:ascii="Arial Narrow" w:hAnsi="Arial Narrow" w:cs="Arial"/>
                <w:b/>
                <w:sz w:val="20"/>
                <w:szCs w:val="20"/>
              </w:rPr>
            </w:pPr>
          </w:p>
        </w:tc>
        <w:tc>
          <w:tcPr>
            <w:tcW w:w="1173" w:type="pct"/>
            <w:gridSpan w:val="2"/>
            <w:tcBorders>
              <w:bottom w:val="single" w:sz="4" w:space="0" w:color="auto"/>
            </w:tcBorders>
          </w:tcPr>
          <w:p w:rsidR="004A6054" w:rsidRPr="00CE5614" w:rsidRDefault="004A6054"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Proprietary Name and Manufacturer</w:t>
            </w:r>
          </w:p>
        </w:tc>
      </w:tr>
      <w:tr w:rsidR="004A6054" w:rsidRPr="002E6BC6" w:rsidTr="00EC081A">
        <w:trPr>
          <w:trHeight w:val="567"/>
        </w:trPr>
        <w:tc>
          <w:tcPr>
            <w:tcW w:w="1592" w:type="pct"/>
          </w:tcPr>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mallCaps/>
                <w:sz w:val="20"/>
                <w:szCs w:val="20"/>
              </w:rPr>
              <w:t xml:space="preserve">TOCILIZUMAB </w:t>
            </w:r>
          </w:p>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z w:val="20"/>
                <w:szCs w:val="20"/>
              </w:rPr>
              <w:t>162 mg/0.9 mL, 4 x 0.9 mL</w:t>
            </w:r>
          </w:p>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z w:val="20"/>
                <w:szCs w:val="20"/>
              </w:rPr>
              <w:t>auto-injector</w:t>
            </w:r>
          </w:p>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z w:val="20"/>
                <w:szCs w:val="20"/>
              </w:rPr>
              <w:t>162 mg/0.9 mL, 4 x 0.9 mL</w:t>
            </w:r>
          </w:p>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z w:val="20"/>
                <w:szCs w:val="20"/>
              </w:rPr>
              <w:t>syringe</w:t>
            </w:r>
          </w:p>
        </w:tc>
        <w:tc>
          <w:tcPr>
            <w:tcW w:w="341" w:type="pct"/>
          </w:tcPr>
          <w:p w:rsidR="004A6054" w:rsidRPr="002E6BC6" w:rsidRDefault="004A6054" w:rsidP="005E11C2">
            <w:pPr>
              <w:keepNext/>
              <w:spacing w:before="40" w:after="40"/>
              <w:jc w:val="both"/>
              <w:rPr>
                <w:rFonts w:ascii="Arial Narrow" w:hAnsi="Arial Narrow" w:cs="Arial"/>
                <w:sz w:val="20"/>
                <w:szCs w:val="20"/>
              </w:rPr>
            </w:pPr>
          </w:p>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z w:val="20"/>
                <w:szCs w:val="20"/>
              </w:rPr>
              <w:t>1</w:t>
            </w:r>
          </w:p>
          <w:p w:rsidR="004A6054" w:rsidRPr="002E6BC6" w:rsidRDefault="004A6054" w:rsidP="005E11C2">
            <w:pPr>
              <w:keepNext/>
              <w:spacing w:before="40" w:after="40"/>
              <w:jc w:val="both"/>
              <w:rPr>
                <w:rFonts w:ascii="Arial Narrow" w:hAnsi="Arial Narrow" w:cs="Arial"/>
                <w:sz w:val="20"/>
                <w:szCs w:val="20"/>
              </w:rPr>
            </w:pPr>
          </w:p>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z w:val="20"/>
                <w:szCs w:val="20"/>
              </w:rPr>
              <w:t>1</w:t>
            </w:r>
          </w:p>
        </w:tc>
        <w:tc>
          <w:tcPr>
            <w:tcW w:w="559" w:type="pct"/>
          </w:tcPr>
          <w:p w:rsidR="004A6054" w:rsidRPr="002E6BC6" w:rsidRDefault="004A6054" w:rsidP="005E11C2">
            <w:pPr>
              <w:keepNext/>
              <w:spacing w:before="40" w:after="40"/>
              <w:jc w:val="both"/>
              <w:rPr>
                <w:rFonts w:ascii="Arial Narrow" w:hAnsi="Arial Narrow" w:cs="Arial"/>
                <w:sz w:val="20"/>
                <w:szCs w:val="20"/>
              </w:rPr>
            </w:pPr>
          </w:p>
        </w:tc>
        <w:tc>
          <w:tcPr>
            <w:tcW w:w="559" w:type="pct"/>
          </w:tcPr>
          <w:p w:rsidR="004A6054" w:rsidRPr="002E6BC6" w:rsidRDefault="004A6054" w:rsidP="005E11C2">
            <w:pPr>
              <w:keepNext/>
              <w:spacing w:before="40" w:after="40"/>
              <w:jc w:val="both"/>
              <w:rPr>
                <w:rFonts w:ascii="Arial Narrow" w:hAnsi="Arial Narrow" w:cs="Arial"/>
                <w:sz w:val="20"/>
                <w:szCs w:val="20"/>
              </w:rPr>
            </w:pPr>
          </w:p>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z w:val="20"/>
                <w:szCs w:val="20"/>
              </w:rPr>
              <w:t>2</w:t>
            </w:r>
          </w:p>
          <w:p w:rsidR="004A6054" w:rsidRPr="002E6BC6" w:rsidRDefault="004A6054" w:rsidP="005E11C2">
            <w:pPr>
              <w:keepNext/>
              <w:spacing w:before="40" w:after="40"/>
              <w:jc w:val="both"/>
              <w:rPr>
                <w:rFonts w:ascii="Arial Narrow" w:hAnsi="Arial Narrow" w:cs="Arial"/>
                <w:sz w:val="20"/>
                <w:szCs w:val="20"/>
              </w:rPr>
            </w:pPr>
          </w:p>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z w:val="20"/>
                <w:szCs w:val="20"/>
              </w:rPr>
              <w:t>2</w:t>
            </w:r>
          </w:p>
        </w:tc>
        <w:tc>
          <w:tcPr>
            <w:tcW w:w="776" w:type="pct"/>
          </w:tcPr>
          <w:p w:rsidR="004A6054" w:rsidRPr="002E6BC6" w:rsidRDefault="004A6054" w:rsidP="005E11C2">
            <w:pPr>
              <w:keepNext/>
              <w:spacing w:before="40" w:after="40"/>
              <w:jc w:val="both"/>
              <w:rPr>
                <w:rFonts w:ascii="Arial Narrow" w:hAnsi="Arial Narrow" w:cs="Arial"/>
                <w:sz w:val="20"/>
                <w:szCs w:val="20"/>
              </w:rPr>
            </w:pPr>
          </w:p>
          <w:p w:rsidR="004A6054" w:rsidRPr="002E6BC6" w:rsidRDefault="004A6054" w:rsidP="005E11C2">
            <w:pPr>
              <w:keepNext/>
              <w:spacing w:before="40" w:after="40"/>
              <w:jc w:val="both"/>
              <w:rPr>
                <w:rFonts w:ascii="Arial Narrow" w:hAnsi="Arial Narrow" w:cs="Arial"/>
                <w:sz w:val="20"/>
                <w:szCs w:val="20"/>
              </w:rPr>
            </w:pPr>
          </w:p>
        </w:tc>
        <w:tc>
          <w:tcPr>
            <w:tcW w:w="458" w:type="pct"/>
          </w:tcPr>
          <w:p w:rsidR="004A6054" w:rsidRPr="002E6BC6" w:rsidRDefault="004A6054" w:rsidP="005E11C2">
            <w:pPr>
              <w:keepNext/>
              <w:spacing w:before="40" w:after="40"/>
              <w:jc w:val="both"/>
              <w:rPr>
                <w:rFonts w:ascii="Arial Narrow" w:hAnsi="Arial Narrow" w:cs="Arial"/>
                <w:sz w:val="20"/>
                <w:szCs w:val="20"/>
              </w:rPr>
            </w:pPr>
          </w:p>
          <w:p w:rsidR="004A6054" w:rsidRPr="002E6BC6" w:rsidRDefault="004A6054" w:rsidP="005E11C2">
            <w:pPr>
              <w:keepNext/>
              <w:spacing w:before="40" w:after="40"/>
              <w:jc w:val="both"/>
              <w:rPr>
                <w:rFonts w:ascii="Arial Narrow" w:hAnsi="Arial Narrow" w:cs="Arial"/>
                <w:sz w:val="20"/>
                <w:szCs w:val="20"/>
              </w:rPr>
            </w:pPr>
            <w:proofErr w:type="spellStart"/>
            <w:r w:rsidRPr="002E6BC6">
              <w:rPr>
                <w:rFonts w:ascii="Arial Narrow" w:hAnsi="Arial Narrow" w:cs="Arial"/>
                <w:sz w:val="20"/>
                <w:szCs w:val="20"/>
              </w:rPr>
              <w:t>Actemra</w:t>
            </w:r>
            <w:proofErr w:type="spellEnd"/>
          </w:p>
        </w:tc>
        <w:tc>
          <w:tcPr>
            <w:tcW w:w="715" w:type="pct"/>
          </w:tcPr>
          <w:p w:rsidR="004A6054" w:rsidRPr="002E6BC6" w:rsidRDefault="004A6054" w:rsidP="005E11C2">
            <w:pPr>
              <w:keepNext/>
              <w:spacing w:before="40" w:after="40"/>
              <w:jc w:val="both"/>
              <w:rPr>
                <w:rFonts w:ascii="Arial Narrow" w:hAnsi="Arial Narrow" w:cs="Arial"/>
                <w:sz w:val="20"/>
                <w:szCs w:val="20"/>
              </w:rPr>
            </w:pPr>
          </w:p>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z w:val="20"/>
                <w:szCs w:val="20"/>
              </w:rPr>
              <w:t>Roche Products</w:t>
            </w:r>
          </w:p>
        </w:tc>
      </w:tr>
    </w:tbl>
    <w:p w:rsidR="00E62807" w:rsidRDefault="00E62807" w:rsidP="00DC1927">
      <w:pPr>
        <w:rPr>
          <w:rFonts w:asciiTheme="minorHAnsi" w:hAnsiTheme="minorHAnsi" w:cstheme="minorHAnsi"/>
        </w:rPr>
      </w:pPr>
    </w:p>
    <w:p w:rsidR="000C7502" w:rsidRPr="002E6BC6" w:rsidRDefault="000C7502" w:rsidP="00DC1927">
      <w:pPr>
        <w:rPr>
          <w:rFonts w:asciiTheme="minorHAnsi" w:hAnsiTheme="minorHAnsi" w:cstheme="minorHAnsi"/>
        </w:rPr>
      </w:pPr>
      <w:r w:rsidRPr="002E6BC6">
        <w:rPr>
          <w:rFonts w:asciiTheme="minorHAnsi" w:hAnsiTheme="minorHAnsi" w:cstheme="minorHAnsi"/>
        </w:rPr>
        <w:t xml:space="preserve">Continuing treatment   (paediatric patients ≥ 30 kg) </w:t>
      </w:r>
    </w:p>
    <w:p w:rsidR="000C7502" w:rsidRPr="002E6BC6" w:rsidRDefault="000C7502" w:rsidP="00DC1927"/>
    <w:tbl>
      <w:tblPr>
        <w:tblW w:w="5000" w:type="pct"/>
        <w:tblLook w:val="0000" w:firstRow="0" w:lastRow="0" w:firstColumn="0" w:lastColumn="0" w:noHBand="0" w:noVBand="0"/>
      </w:tblPr>
      <w:tblGrid>
        <w:gridCol w:w="1917"/>
        <w:gridCol w:w="7099"/>
      </w:tblGrid>
      <w:tr w:rsidR="00281060"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jc w:val="both"/>
              <w:rPr>
                <w:rFonts w:ascii="Arial Narrow" w:hAnsi="Arial Narrow" w:cs="Arial"/>
                <w:b/>
                <w:sz w:val="20"/>
                <w:szCs w:val="20"/>
              </w:rPr>
            </w:pPr>
            <w:r w:rsidRPr="002E6BC6">
              <w:rPr>
                <w:rFonts w:ascii="Arial Narrow" w:hAnsi="Arial Narrow" w:cs="Arial"/>
                <w:b/>
                <w:sz w:val="20"/>
                <w:szCs w:val="20"/>
              </w:rPr>
              <w:t xml:space="preserve">Category / </w:t>
            </w:r>
          </w:p>
          <w:p w:rsidR="00281060" w:rsidRPr="002E6BC6" w:rsidRDefault="00281060" w:rsidP="005E11C2">
            <w:pPr>
              <w:spacing w:before="40" w:after="40"/>
              <w:jc w:val="both"/>
              <w:rPr>
                <w:rFonts w:ascii="Arial Narrow" w:hAnsi="Arial Narrow" w:cs="Arial"/>
                <w:b/>
                <w:sz w:val="20"/>
                <w:szCs w:val="20"/>
              </w:rPr>
            </w:pPr>
            <w:r w:rsidRPr="002E6BC6">
              <w:rPr>
                <w:rFonts w:ascii="Arial Narrow" w:hAnsi="Arial Narrow" w:cs="Arial"/>
                <w:b/>
                <w:sz w:val="20"/>
                <w:szCs w:val="20"/>
              </w:rPr>
              <w:t>Program</w:t>
            </w:r>
          </w:p>
        </w:tc>
        <w:tc>
          <w:tcPr>
            <w:tcW w:w="3937"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GENERAL – General Schedule (Code GE)</w:t>
            </w:r>
          </w:p>
          <w:p w:rsidR="00281060" w:rsidRPr="002E6BC6" w:rsidRDefault="00281060" w:rsidP="005E11C2">
            <w:pPr>
              <w:spacing w:before="40" w:after="40"/>
              <w:rPr>
                <w:rFonts w:ascii="Arial Narrow" w:hAnsi="Arial Narrow" w:cs="Arial"/>
                <w:sz w:val="20"/>
                <w:szCs w:val="20"/>
              </w:rPr>
            </w:pPr>
          </w:p>
        </w:tc>
      </w:tr>
      <w:tr w:rsidR="00281060"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jc w:val="both"/>
              <w:rPr>
                <w:rFonts w:ascii="Arial Narrow" w:hAnsi="Arial Narrow" w:cs="Arial"/>
                <w:b/>
                <w:sz w:val="20"/>
                <w:szCs w:val="20"/>
              </w:rPr>
            </w:pPr>
            <w:r w:rsidRPr="002E6BC6">
              <w:rPr>
                <w:rFonts w:ascii="Arial Narrow" w:hAnsi="Arial Narrow" w:cs="Arial"/>
                <w:b/>
                <w:sz w:val="20"/>
                <w:szCs w:val="20"/>
              </w:rPr>
              <w:t>Prescriber type:</w:t>
            </w:r>
          </w:p>
        </w:tc>
        <w:tc>
          <w:tcPr>
            <w:tcW w:w="3937"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rPr>
                <w:rFonts w:ascii="Arial Narrow" w:hAnsi="Arial Narrow" w:cs="Arial"/>
                <w:sz w:val="20"/>
                <w:szCs w:val="20"/>
              </w:rPr>
            </w:pPr>
            <w:r w:rsidRPr="00CE5614">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 xml:space="preserve">Dental  </w:t>
            </w:r>
            <w:r w:rsidRPr="00CE5614">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 xml:space="preserve">Medical Practitioners  </w:t>
            </w:r>
            <w:r w:rsidRPr="00CE5614">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 xml:space="preserve">Nurse practitioners  </w:t>
            </w:r>
            <w:r w:rsidRPr="00CE5614">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Optometrists</w:t>
            </w:r>
          </w:p>
          <w:p w:rsidR="00281060" w:rsidRPr="002E6BC6" w:rsidRDefault="00281060" w:rsidP="005E11C2">
            <w:pPr>
              <w:spacing w:before="40" w:after="40"/>
              <w:rPr>
                <w:rFonts w:ascii="Arial Narrow" w:hAnsi="Arial Narrow" w:cs="Arial"/>
                <w:sz w:val="20"/>
                <w:szCs w:val="20"/>
              </w:rPr>
            </w:pPr>
            <w:r w:rsidRPr="00CE5614">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Midwives</w:t>
            </w:r>
          </w:p>
        </w:tc>
      </w:tr>
      <w:tr w:rsidR="00281060"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jc w:val="both"/>
              <w:rPr>
                <w:rFonts w:ascii="Arial Narrow" w:hAnsi="Arial Narrow" w:cs="Arial"/>
                <w:b/>
                <w:sz w:val="20"/>
                <w:szCs w:val="20"/>
              </w:rPr>
            </w:pPr>
            <w:r w:rsidRPr="002E6BC6">
              <w:rPr>
                <w:rFonts w:ascii="Arial Narrow" w:hAnsi="Arial Narrow" w:cs="Arial"/>
                <w:b/>
                <w:sz w:val="20"/>
                <w:szCs w:val="20"/>
              </w:rPr>
              <w:t>Condition:</w:t>
            </w:r>
          </w:p>
        </w:tc>
        <w:tc>
          <w:tcPr>
            <w:tcW w:w="3937"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281060"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jc w:val="both"/>
              <w:rPr>
                <w:rFonts w:ascii="Arial Narrow" w:hAnsi="Arial Narrow" w:cs="Arial"/>
                <w:b/>
                <w:sz w:val="20"/>
                <w:szCs w:val="20"/>
              </w:rPr>
            </w:pPr>
            <w:r w:rsidRPr="002E6BC6">
              <w:rPr>
                <w:rFonts w:ascii="Arial Narrow" w:hAnsi="Arial Narrow" w:cs="Arial"/>
                <w:b/>
                <w:sz w:val="20"/>
                <w:szCs w:val="20"/>
              </w:rPr>
              <w:t>PBS Indication:</w:t>
            </w:r>
          </w:p>
        </w:tc>
        <w:tc>
          <w:tcPr>
            <w:tcW w:w="3937"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281060"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jc w:val="both"/>
              <w:rPr>
                <w:rFonts w:ascii="Arial Narrow" w:hAnsi="Arial Narrow" w:cs="Arial"/>
                <w:b/>
                <w:sz w:val="20"/>
                <w:szCs w:val="20"/>
              </w:rPr>
            </w:pPr>
            <w:r w:rsidRPr="002E6BC6">
              <w:rPr>
                <w:rFonts w:ascii="Arial Narrow" w:hAnsi="Arial Narrow" w:cs="Arial"/>
                <w:b/>
                <w:sz w:val="20"/>
                <w:szCs w:val="20"/>
              </w:rPr>
              <w:t>Treatment phase:</w:t>
            </w:r>
          </w:p>
        </w:tc>
        <w:tc>
          <w:tcPr>
            <w:tcW w:w="3937"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 xml:space="preserve">Continuing </w:t>
            </w:r>
            <w:r w:rsidR="000F32D0" w:rsidRPr="002E6BC6">
              <w:rPr>
                <w:rFonts w:ascii="Arial Narrow" w:hAnsi="Arial Narrow" w:cs="Arial"/>
                <w:sz w:val="20"/>
                <w:szCs w:val="20"/>
              </w:rPr>
              <w:t>T</w:t>
            </w:r>
            <w:r w:rsidRPr="002E6BC6">
              <w:rPr>
                <w:rFonts w:ascii="Arial Narrow" w:hAnsi="Arial Narrow" w:cs="Arial"/>
                <w:sz w:val="20"/>
                <w:szCs w:val="20"/>
              </w:rPr>
              <w:t>reatment</w:t>
            </w:r>
          </w:p>
        </w:tc>
      </w:tr>
      <w:tr w:rsidR="00281060"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jc w:val="both"/>
              <w:rPr>
                <w:rFonts w:ascii="Arial Narrow" w:hAnsi="Arial Narrow" w:cs="Arial"/>
                <w:b/>
                <w:sz w:val="20"/>
                <w:szCs w:val="20"/>
              </w:rPr>
            </w:pPr>
            <w:r w:rsidRPr="002E6BC6">
              <w:rPr>
                <w:rFonts w:ascii="Arial Narrow" w:hAnsi="Arial Narrow" w:cs="Arial"/>
                <w:b/>
                <w:sz w:val="20"/>
                <w:szCs w:val="20"/>
              </w:rPr>
              <w:t>Restriction Level / Method:</w:t>
            </w:r>
          </w:p>
          <w:p w:rsidR="00281060" w:rsidRPr="002E6BC6" w:rsidRDefault="00281060" w:rsidP="005E11C2">
            <w:pPr>
              <w:spacing w:before="40" w:after="40"/>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rPr>
                <w:rFonts w:ascii="Arial Narrow" w:hAnsi="Arial Narrow" w:cs="Arial"/>
                <w:sz w:val="20"/>
                <w:szCs w:val="20"/>
              </w:rPr>
            </w:pPr>
            <w:r w:rsidRPr="00CE5614">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Restricted benefit</w:t>
            </w:r>
          </w:p>
          <w:p w:rsidR="00281060" w:rsidRPr="002E6BC6" w:rsidRDefault="00281060" w:rsidP="005E11C2">
            <w:pPr>
              <w:spacing w:before="40" w:after="40"/>
              <w:rPr>
                <w:rFonts w:ascii="Arial Narrow" w:hAnsi="Arial Narrow" w:cs="Arial"/>
                <w:sz w:val="20"/>
                <w:szCs w:val="20"/>
              </w:rPr>
            </w:pPr>
            <w:r w:rsidRPr="00CE5614">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Authority Required - In Writing</w:t>
            </w:r>
          </w:p>
          <w:p w:rsidR="00281060" w:rsidRPr="002E6BC6" w:rsidRDefault="00281060" w:rsidP="005E11C2">
            <w:pPr>
              <w:spacing w:before="40" w:after="40"/>
              <w:rPr>
                <w:rFonts w:ascii="Arial Narrow" w:hAnsi="Arial Narrow" w:cs="Arial"/>
                <w:sz w:val="20"/>
                <w:szCs w:val="20"/>
              </w:rPr>
            </w:pPr>
            <w:r w:rsidRPr="00CE5614">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Authority Required - Telephone</w:t>
            </w:r>
          </w:p>
          <w:p w:rsidR="00281060" w:rsidRPr="002E6BC6" w:rsidRDefault="00281060" w:rsidP="005E11C2">
            <w:pPr>
              <w:spacing w:before="40" w:after="40"/>
              <w:rPr>
                <w:rFonts w:ascii="Arial Narrow" w:hAnsi="Arial Narrow" w:cs="Arial"/>
                <w:sz w:val="20"/>
                <w:szCs w:val="20"/>
              </w:rPr>
            </w:pPr>
            <w:r w:rsidRPr="00CE5614">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Authority Required – Emergency</w:t>
            </w:r>
          </w:p>
          <w:p w:rsidR="00281060" w:rsidRPr="002E6BC6" w:rsidRDefault="00281060" w:rsidP="005E11C2">
            <w:pPr>
              <w:spacing w:before="40" w:after="40"/>
              <w:rPr>
                <w:rFonts w:ascii="Arial Narrow" w:hAnsi="Arial Narrow" w:cs="Arial"/>
                <w:sz w:val="20"/>
                <w:szCs w:val="20"/>
              </w:rPr>
            </w:pPr>
            <w:r w:rsidRPr="00CE5614">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Authority Required - Electronic</w:t>
            </w:r>
          </w:p>
          <w:p w:rsidR="00281060" w:rsidRPr="002E6BC6" w:rsidRDefault="00281060" w:rsidP="005E11C2">
            <w:pPr>
              <w:spacing w:before="40" w:after="40"/>
              <w:rPr>
                <w:rFonts w:ascii="Arial Narrow" w:hAnsi="Arial Narrow" w:cs="Arial"/>
                <w:sz w:val="20"/>
                <w:szCs w:val="20"/>
              </w:rPr>
            </w:pPr>
            <w:r w:rsidRPr="00CE5614">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CE5614">
              <w:rPr>
                <w:rFonts w:ascii="Arial Narrow" w:hAnsi="Arial Narrow" w:cs="Arial"/>
                <w:sz w:val="20"/>
                <w:szCs w:val="20"/>
              </w:rPr>
              <w:fldChar w:fldCharType="end"/>
            </w:r>
            <w:r w:rsidRPr="002E6BC6">
              <w:rPr>
                <w:rFonts w:ascii="Arial Narrow" w:hAnsi="Arial Narrow" w:cs="Arial"/>
                <w:sz w:val="20"/>
                <w:szCs w:val="20"/>
              </w:rPr>
              <w:t>Streamlined</w:t>
            </w:r>
          </w:p>
        </w:tc>
      </w:tr>
      <w:tr w:rsidR="00281060"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jc w:val="both"/>
              <w:rPr>
                <w:rFonts w:ascii="Arial Narrow" w:hAnsi="Arial Narrow" w:cs="Arial"/>
                <w:b/>
                <w:sz w:val="20"/>
                <w:szCs w:val="20"/>
              </w:rPr>
            </w:pPr>
            <w:r w:rsidRPr="002E6BC6">
              <w:rPr>
                <w:rFonts w:ascii="Arial Narrow" w:hAnsi="Arial Narrow" w:cs="Arial"/>
                <w:b/>
                <w:sz w:val="20"/>
                <w:szCs w:val="20"/>
              </w:rPr>
              <w:t xml:space="preserve">Treatment criteria: </w:t>
            </w:r>
          </w:p>
        </w:tc>
        <w:tc>
          <w:tcPr>
            <w:tcW w:w="3937"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Must be treated by a paediatric rheumatologist; or</w:t>
            </w:r>
          </w:p>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 xml:space="preserve">Patient must be undergoing treatment under the supervision of a </w:t>
            </w:r>
            <w:proofErr w:type="gramStart"/>
            <w:r w:rsidRPr="002E6BC6">
              <w:rPr>
                <w:rFonts w:ascii="Arial Narrow" w:hAnsi="Arial Narrow" w:cs="Arial"/>
                <w:sz w:val="20"/>
                <w:szCs w:val="20"/>
              </w:rPr>
              <w:t>paediatric rheumatology treatment centre</w:t>
            </w:r>
            <w:proofErr w:type="gramEnd"/>
            <w:r w:rsidRPr="002E6BC6">
              <w:rPr>
                <w:rFonts w:ascii="Arial Narrow" w:hAnsi="Arial Narrow" w:cs="Arial"/>
                <w:sz w:val="20"/>
                <w:szCs w:val="20"/>
              </w:rPr>
              <w:t xml:space="preserve">. </w:t>
            </w:r>
          </w:p>
        </w:tc>
      </w:tr>
      <w:tr w:rsidR="00281060"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jc w:val="both"/>
              <w:rPr>
                <w:rFonts w:ascii="Arial Narrow" w:hAnsi="Arial Narrow" w:cs="Arial"/>
                <w:b/>
                <w:sz w:val="20"/>
                <w:szCs w:val="20"/>
              </w:rPr>
            </w:pPr>
            <w:r w:rsidRPr="002E6BC6">
              <w:rPr>
                <w:rFonts w:ascii="Arial Narrow" w:hAnsi="Arial Narrow" w:cs="Arial"/>
                <w:b/>
                <w:sz w:val="20"/>
                <w:szCs w:val="20"/>
              </w:rPr>
              <w:t>Clinical criteria:</w:t>
            </w:r>
          </w:p>
          <w:p w:rsidR="00281060" w:rsidRPr="002E6BC6" w:rsidRDefault="00281060" w:rsidP="005E11C2">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Patient must have a documented history of severe active juvenile idiopathic arthritis; AND</w:t>
            </w:r>
          </w:p>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 xml:space="preserve">Patient must have demonstrated an adequate response to treatment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AND</w:t>
            </w:r>
            <w:r w:rsidRPr="002E6BC6">
              <w:rPr>
                <w:rFonts w:ascii="Arial Narrow" w:hAnsi="Arial Narrow" w:cs="Arial"/>
                <w:sz w:val="20"/>
                <w:szCs w:val="20"/>
              </w:rPr>
              <w:br/>
              <w:t xml:space="preserve">Patient must have received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as their most recent course of PBS-subsidised biological disease modifying anti-rheumatic drug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treatment in this treatment cycle; AND</w:t>
            </w:r>
          </w:p>
          <w:p w:rsidR="000C6691" w:rsidRPr="002E6BC6" w:rsidRDefault="000C6691" w:rsidP="005E11C2">
            <w:pPr>
              <w:spacing w:before="40" w:after="40"/>
              <w:rPr>
                <w:rFonts w:ascii="Arial Narrow" w:hAnsi="Arial Narrow" w:cs="Arial"/>
                <w:sz w:val="20"/>
                <w:szCs w:val="20"/>
              </w:rPr>
            </w:pPr>
            <w:r w:rsidRPr="002E6BC6">
              <w:rPr>
                <w:rFonts w:ascii="Arial Narrow" w:hAnsi="Arial Narrow" w:cs="Arial"/>
                <w:sz w:val="20"/>
                <w:szCs w:val="20"/>
              </w:rPr>
              <w:t xml:space="preserve">Patient must be 30kg or over </w:t>
            </w:r>
          </w:p>
          <w:p w:rsidR="000C6691" w:rsidRPr="002E6BC6" w:rsidRDefault="000C6691" w:rsidP="005E11C2">
            <w:pPr>
              <w:spacing w:before="40" w:after="40"/>
              <w:rPr>
                <w:rFonts w:ascii="Arial Narrow" w:hAnsi="Arial Narrow" w:cs="Arial"/>
                <w:sz w:val="20"/>
                <w:szCs w:val="20"/>
              </w:rPr>
            </w:pPr>
            <w:r w:rsidRPr="002E6BC6">
              <w:rPr>
                <w:rFonts w:ascii="Arial Narrow" w:hAnsi="Arial Narrow" w:cs="Arial"/>
                <w:sz w:val="20"/>
                <w:szCs w:val="20"/>
              </w:rPr>
              <w:t xml:space="preserve">AND </w:t>
            </w:r>
          </w:p>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Patient must not receive more than 24 weeks of treatment per continuing treatment course authorised under this restriction</w:t>
            </w:r>
            <w:r w:rsidR="001774C1" w:rsidRPr="002E6BC6">
              <w:rPr>
                <w:rFonts w:ascii="Arial Narrow" w:hAnsi="Arial Narrow" w:cs="Arial"/>
                <w:sz w:val="20"/>
                <w:szCs w:val="20"/>
              </w:rPr>
              <w:t>.</w:t>
            </w:r>
          </w:p>
        </w:tc>
      </w:tr>
      <w:tr w:rsidR="00281060"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Prescriber Instructions</w:t>
            </w:r>
          </w:p>
          <w:p w:rsidR="00281060" w:rsidRPr="002E6BC6" w:rsidRDefault="00281060" w:rsidP="005E11C2">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281060" w:rsidRPr="002E6BC6" w:rsidRDefault="00307902" w:rsidP="00307902">
            <w:pPr>
              <w:spacing w:before="40" w:after="40"/>
              <w:rPr>
                <w:rFonts w:ascii="Arial Narrow" w:hAnsi="Arial Narrow" w:cs="Arial"/>
                <w:sz w:val="20"/>
                <w:szCs w:val="20"/>
              </w:rPr>
            </w:pPr>
            <w:r w:rsidRPr="002E6BC6">
              <w:rPr>
                <w:rFonts w:ascii="Arial Narrow" w:hAnsi="Arial Narrow" w:cs="Arial"/>
                <w:sz w:val="20"/>
                <w:szCs w:val="20"/>
              </w:rPr>
              <w:t xml:space="preserve">For the purposes of </w:t>
            </w:r>
            <w:proofErr w:type="gramStart"/>
            <w:r w:rsidRPr="002E6BC6">
              <w:rPr>
                <w:rFonts w:ascii="Arial Narrow" w:hAnsi="Arial Narrow" w:cs="Arial"/>
                <w:sz w:val="20"/>
                <w:szCs w:val="20"/>
              </w:rPr>
              <w:t>this</w:t>
            </w:r>
            <w:proofErr w:type="gramEnd"/>
            <w:r w:rsidRPr="002E6BC6">
              <w:rPr>
                <w:rFonts w:ascii="Arial Narrow" w:hAnsi="Arial Narrow" w:cs="Arial"/>
                <w:sz w:val="20"/>
                <w:szCs w:val="20"/>
              </w:rPr>
              <w:t xml:space="preserve"> restriction 'biological disease modifying anti-rheumatic drug' and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mean </w:t>
            </w:r>
            <w:proofErr w:type="spellStart"/>
            <w:r w:rsidRPr="002E6BC6">
              <w:rPr>
                <w:rFonts w:ascii="Arial Narrow" w:hAnsi="Arial Narrow" w:cs="Arial"/>
                <w:sz w:val="20"/>
                <w:szCs w:val="20"/>
              </w:rPr>
              <w:t>adalimumab</w:t>
            </w:r>
            <w:proofErr w:type="spellEnd"/>
            <w:r w:rsidRPr="002E6BC6">
              <w:rPr>
                <w:rFonts w:ascii="Arial Narrow" w:hAnsi="Arial Narrow" w:cs="Arial"/>
                <w:sz w:val="20"/>
                <w:szCs w:val="20"/>
              </w:rPr>
              <w:t xml:space="preserve">, </w:t>
            </w:r>
            <w:proofErr w:type="spellStart"/>
            <w:r w:rsidRPr="002E6BC6">
              <w:rPr>
                <w:rFonts w:ascii="Arial Narrow" w:hAnsi="Arial Narrow" w:cs="Arial"/>
                <w:sz w:val="20"/>
                <w:szCs w:val="20"/>
              </w:rPr>
              <w:t>etanercept</w:t>
            </w:r>
            <w:proofErr w:type="spellEnd"/>
            <w:r w:rsidRPr="002E6BC6">
              <w:rPr>
                <w:rFonts w:ascii="Arial Narrow" w:hAnsi="Arial Narrow" w:cs="Arial"/>
                <w:sz w:val="20"/>
                <w:szCs w:val="20"/>
              </w:rPr>
              <w:t xml:space="preserve"> or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w:t>
            </w:r>
          </w:p>
          <w:p w:rsidR="001774C1" w:rsidRPr="002E6BC6" w:rsidRDefault="001774C1" w:rsidP="00307902">
            <w:pPr>
              <w:spacing w:before="40" w:after="40"/>
              <w:rPr>
                <w:rFonts w:ascii="Arial Narrow" w:hAnsi="Arial Narrow" w:cs="Arial"/>
                <w:sz w:val="20"/>
                <w:szCs w:val="20"/>
              </w:rPr>
            </w:pPr>
          </w:p>
          <w:p w:rsidR="00307902" w:rsidRPr="002E6BC6" w:rsidRDefault="00307902" w:rsidP="00307902">
            <w:pPr>
              <w:spacing w:before="40" w:after="40"/>
              <w:rPr>
                <w:rFonts w:ascii="Arial Narrow" w:hAnsi="Arial Narrow" w:cs="Arial"/>
                <w:sz w:val="20"/>
                <w:szCs w:val="20"/>
              </w:rPr>
            </w:pPr>
            <w:r w:rsidRPr="002E6BC6">
              <w:rPr>
                <w:rFonts w:ascii="Arial Narrow" w:hAnsi="Arial Narrow" w:cs="Arial"/>
                <w:sz w:val="20"/>
                <w:szCs w:val="20"/>
              </w:rPr>
              <w:t>An adequate response to treatment is defined as:</w:t>
            </w:r>
          </w:p>
          <w:p w:rsidR="00307902" w:rsidRPr="002E6BC6" w:rsidRDefault="00307902" w:rsidP="00307902">
            <w:pPr>
              <w:spacing w:before="40" w:after="40"/>
              <w:rPr>
                <w:rFonts w:ascii="Arial Narrow" w:hAnsi="Arial Narrow" w:cs="Arial"/>
                <w:sz w:val="20"/>
                <w:szCs w:val="20"/>
              </w:rPr>
            </w:pPr>
            <w:r w:rsidRPr="002E6BC6">
              <w:rPr>
                <w:rFonts w:ascii="Arial Narrow" w:hAnsi="Arial Narrow" w:cs="Arial"/>
                <w:sz w:val="20"/>
                <w:szCs w:val="20"/>
              </w:rPr>
              <w:t xml:space="preserve">(a) a reduction in the total active (swollen and tender) joint count by at least 50% from baseline, where baseline is at least 20 active joints; or </w:t>
            </w:r>
          </w:p>
          <w:p w:rsidR="00307902" w:rsidRPr="002E6BC6" w:rsidRDefault="00307902" w:rsidP="00307902">
            <w:pPr>
              <w:spacing w:before="40" w:after="40"/>
              <w:rPr>
                <w:rFonts w:ascii="Arial Narrow" w:hAnsi="Arial Narrow" w:cs="Arial"/>
                <w:sz w:val="20"/>
                <w:szCs w:val="20"/>
              </w:rPr>
            </w:pPr>
            <w:r w:rsidRPr="002E6BC6">
              <w:rPr>
                <w:rFonts w:ascii="Arial Narrow" w:hAnsi="Arial Narrow" w:cs="Arial"/>
                <w:sz w:val="20"/>
                <w:szCs w:val="20"/>
              </w:rPr>
              <w:t>(b) a reduction in the number of the following active joints, from at least 4, by at least 50%:</w:t>
            </w:r>
          </w:p>
          <w:p w:rsidR="00307902" w:rsidRPr="002E6BC6" w:rsidRDefault="00307902" w:rsidP="00307902">
            <w:pPr>
              <w:spacing w:before="40" w:after="40"/>
              <w:rPr>
                <w:rFonts w:ascii="Arial Narrow" w:hAnsi="Arial Narrow" w:cs="Arial"/>
                <w:sz w:val="20"/>
                <w:szCs w:val="20"/>
              </w:rPr>
            </w:pPr>
            <w:r w:rsidRPr="002E6BC6">
              <w:rPr>
                <w:rFonts w:ascii="Arial Narrow" w:hAnsi="Arial Narrow" w:cs="Arial"/>
                <w:sz w:val="20"/>
                <w:szCs w:val="20"/>
              </w:rPr>
              <w:t>(</w:t>
            </w:r>
            <w:proofErr w:type="spellStart"/>
            <w:r w:rsidRPr="002E6BC6">
              <w:rPr>
                <w:rFonts w:ascii="Arial Narrow" w:hAnsi="Arial Narrow" w:cs="Arial"/>
                <w:sz w:val="20"/>
                <w:szCs w:val="20"/>
              </w:rPr>
              <w:t>i</w:t>
            </w:r>
            <w:proofErr w:type="spellEnd"/>
            <w:r w:rsidRPr="002E6BC6">
              <w:rPr>
                <w:rFonts w:ascii="Arial Narrow" w:hAnsi="Arial Narrow" w:cs="Arial"/>
                <w:sz w:val="20"/>
                <w:szCs w:val="20"/>
              </w:rPr>
              <w:t>) elbow, wrist, knee and/or ankle (assessed as swollen and tender); and/or</w:t>
            </w:r>
          </w:p>
          <w:p w:rsidR="00307902" w:rsidRPr="002E6BC6" w:rsidRDefault="00307902" w:rsidP="00307902">
            <w:pPr>
              <w:spacing w:before="40" w:after="40"/>
              <w:rPr>
                <w:rFonts w:ascii="Arial Narrow" w:hAnsi="Arial Narrow" w:cs="Arial"/>
                <w:sz w:val="20"/>
                <w:szCs w:val="20"/>
              </w:rPr>
            </w:pPr>
            <w:r w:rsidRPr="002E6BC6">
              <w:rPr>
                <w:rFonts w:ascii="Arial Narrow" w:hAnsi="Arial Narrow" w:cs="Arial"/>
                <w:sz w:val="20"/>
                <w:szCs w:val="20"/>
              </w:rPr>
              <w:t xml:space="preserve">(ii) </w:t>
            </w:r>
            <w:proofErr w:type="gramStart"/>
            <w:r w:rsidRPr="002E6BC6">
              <w:rPr>
                <w:rFonts w:ascii="Arial Narrow" w:hAnsi="Arial Narrow" w:cs="Arial"/>
                <w:sz w:val="20"/>
                <w:szCs w:val="20"/>
              </w:rPr>
              <w:t>shoulder</w:t>
            </w:r>
            <w:proofErr w:type="gramEnd"/>
            <w:r w:rsidRPr="002E6BC6">
              <w:rPr>
                <w:rFonts w:ascii="Arial Narrow" w:hAnsi="Arial Narrow" w:cs="Arial"/>
                <w:sz w:val="20"/>
                <w:szCs w:val="20"/>
              </w:rPr>
              <w:t>, cervical spine and/or hip (assessed as pain in passive movement and restriction of passive movement, where pain and limitation of movement are due to active disease and not irreversible damage such as joint destruction or bony overgrowth).</w:t>
            </w:r>
          </w:p>
          <w:p w:rsidR="00307902" w:rsidRPr="002E6BC6" w:rsidRDefault="00307902" w:rsidP="00307902">
            <w:pPr>
              <w:spacing w:before="40" w:after="40"/>
              <w:rPr>
                <w:rFonts w:ascii="Arial Narrow" w:hAnsi="Arial Narrow" w:cs="Arial"/>
                <w:sz w:val="20"/>
                <w:szCs w:val="20"/>
              </w:rPr>
            </w:pPr>
          </w:p>
          <w:p w:rsidR="00307902" w:rsidRPr="002E6BC6" w:rsidRDefault="00307902" w:rsidP="00307902">
            <w:pPr>
              <w:spacing w:before="40" w:after="40"/>
              <w:rPr>
                <w:rFonts w:ascii="Arial Narrow" w:hAnsi="Arial Narrow" w:cs="Arial"/>
                <w:sz w:val="20"/>
                <w:szCs w:val="20"/>
              </w:rPr>
            </w:pPr>
            <w:r w:rsidRPr="002E6BC6">
              <w:rPr>
                <w:rFonts w:ascii="Arial Narrow" w:hAnsi="Arial Narrow" w:cs="Arial"/>
                <w:sz w:val="20"/>
                <w:szCs w:val="20"/>
              </w:rPr>
              <w:t xml:space="preserve">Determination of whether a response </w:t>
            </w:r>
            <w:proofErr w:type="gramStart"/>
            <w:r w:rsidRPr="002E6BC6">
              <w:rPr>
                <w:rFonts w:ascii="Arial Narrow" w:hAnsi="Arial Narrow" w:cs="Arial"/>
                <w:sz w:val="20"/>
                <w:szCs w:val="20"/>
              </w:rPr>
              <w:t>has been demonstrated</w:t>
            </w:r>
            <w:proofErr w:type="gramEnd"/>
            <w:r w:rsidRPr="002E6BC6">
              <w:rPr>
                <w:rFonts w:ascii="Arial Narrow" w:hAnsi="Arial Narrow" w:cs="Arial"/>
                <w:sz w:val="20"/>
                <w:szCs w:val="20"/>
              </w:rPr>
              <w:t xml:space="preserve"> to initial and subsequent courses of treatment will be based on the baseline measurement of joint count submitted with the initial treatment application.</w:t>
            </w:r>
          </w:p>
          <w:p w:rsidR="00307902" w:rsidRPr="002E6BC6" w:rsidRDefault="00307902" w:rsidP="00307902">
            <w:pPr>
              <w:spacing w:before="40" w:after="40"/>
              <w:rPr>
                <w:rFonts w:ascii="Arial Narrow" w:hAnsi="Arial Narrow" w:cs="Arial"/>
                <w:sz w:val="20"/>
                <w:szCs w:val="20"/>
              </w:rPr>
            </w:pPr>
          </w:p>
          <w:p w:rsidR="00307902" w:rsidRPr="002E6BC6" w:rsidRDefault="00307902" w:rsidP="00307902">
            <w:pPr>
              <w:spacing w:before="40" w:after="40"/>
              <w:rPr>
                <w:rFonts w:ascii="Arial Narrow" w:hAnsi="Arial Narrow" w:cs="Arial"/>
                <w:sz w:val="20"/>
                <w:szCs w:val="20"/>
              </w:rPr>
            </w:pPr>
            <w:r w:rsidRPr="002E6BC6">
              <w:rPr>
                <w:rFonts w:ascii="Arial Narrow" w:hAnsi="Arial Narrow" w:cs="Arial"/>
                <w:sz w:val="20"/>
                <w:szCs w:val="20"/>
              </w:rPr>
              <w:t>The authority application must be made in writing and must include:</w:t>
            </w:r>
          </w:p>
          <w:p w:rsidR="00307902" w:rsidRPr="002E6BC6" w:rsidRDefault="00307902" w:rsidP="00307902">
            <w:pPr>
              <w:spacing w:before="40" w:after="40"/>
              <w:rPr>
                <w:rFonts w:ascii="Arial Narrow" w:hAnsi="Arial Narrow" w:cs="Arial"/>
                <w:sz w:val="20"/>
                <w:szCs w:val="20"/>
              </w:rPr>
            </w:pPr>
            <w:r w:rsidRPr="002E6BC6">
              <w:rPr>
                <w:rFonts w:ascii="Arial Narrow" w:hAnsi="Arial Narrow" w:cs="Arial"/>
                <w:sz w:val="20"/>
                <w:szCs w:val="20"/>
              </w:rPr>
              <w:t>(1) completed authority prescription form(s); and</w:t>
            </w:r>
          </w:p>
          <w:p w:rsidR="00307902" w:rsidRPr="002E6BC6" w:rsidRDefault="00307902" w:rsidP="00307902">
            <w:pPr>
              <w:spacing w:before="40" w:after="40"/>
              <w:rPr>
                <w:rFonts w:ascii="Arial Narrow" w:hAnsi="Arial Narrow" w:cs="Arial"/>
                <w:sz w:val="20"/>
                <w:szCs w:val="20"/>
              </w:rPr>
            </w:pPr>
            <w:r w:rsidRPr="002E6BC6">
              <w:rPr>
                <w:rFonts w:ascii="Arial Narrow" w:hAnsi="Arial Narrow" w:cs="Arial"/>
                <w:sz w:val="20"/>
                <w:szCs w:val="20"/>
              </w:rPr>
              <w:t xml:space="preserve">(2) </w:t>
            </w:r>
            <w:proofErr w:type="gramStart"/>
            <w:r w:rsidRPr="002E6BC6">
              <w:rPr>
                <w:rFonts w:ascii="Arial Narrow" w:hAnsi="Arial Narrow" w:cs="Arial"/>
                <w:sz w:val="20"/>
                <w:szCs w:val="20"/>
              </w:rPr>
              <w:t>a</w:t>
            </w:r>
            <w:proofErr w:type="gramEnd"/>
            <w:r w:rsidRPr="002E6BC6">
              <w:rPr>
                <w:rFonts w:ascii="Arial Narrow" w:hAnsi="Arial Narrow" w:cs="Arial"/>
                <w:sz w:val="20"/>
                <w:szCs w:val="20"/>
              </w:rPr>
              <w:t xml:space="preserve"> completed Juvenile Idiopathic Arthritis PBS Authority Application - Supporting Information Form.</w:t>
            </w:r>
          </w:p>
          <w:p w:rsidR="001774C1" w:rsidRPr="002E6BC6" w:rsidRDefault="001774C1" w:rsidP="00307902">
            <w:pPr>
              <w:spacing w:before="40" w:after="40"/>
              <w:rPr>
                <w:rFonts w:ascii="Arial Narrow" w:hAnsi="Arial Narrow" w:cs="Arial"/>
                <w:i/>
                <w:sz w:val="20"/>
                <w:szCs w:val="20"/>
              </w:rPr>
            </w:pPr>
          </w:p>
          <w:p w:rsidR="00307902" w:rsidRPr="002E6BC6" w:rsidRDefault="00307902" w:rsidP="00307902">
            <w:pPr>
              <w:spacing w:before="40" w:after="40"/>
              <w:rPr>
                <w:rFonts w:ascii="Arial Narrow" w:hAnsi="Arial Narrow" w:cs="Arial"/>
                <w:sz w:val="20"/>
                <w:szCs w:val="20"/>
              </w:rPr>
            </w:pPr>
            <w:r w:rsidRPr="002E6BC6">
              <w:rPr>
                <w:rFonts w:ascii="Arial Narrow" w:hAnsi="Arial Narrow" w:cs="Arial"/>
                <w:sz w:val="20"/>
                <w:szCs w:val="20"/>
              </w:rPr>
              <w:t xml:space="preserve">All applications for continuing treatment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must include a measurement of response to the prior course of therapy. This assessment </w:t>
            </w:r>
            <w:proofErr w:type="gramStart"/>
            <w:r w:rsidRPr="002E6BC6">
              <w:rPr>
                <w:rFonts w:ascii="Arial Narrow" w:hAnsi="Arial Narrow" w:cs="Arial"/>
                <w:sz w:val="20"/>
                <w:szCs w:val="20"/>
              </w:rPr>
              <w:t>must be submitted</w:t>
            </w:r>
            <w:proofErr w:type="gramEnd"/>
            <w:r w:rsidRPr="002E6BC6">
              <w:rPr>
                <w:rFonts w:ascii="Arial Narrow" w:hAnsi="Arial Narrow" w:cs="Arial"/>
                <w:sz w:val="20"/>
                <w:szCs w:val="20"/>
              </w:rPr>
              <w:t xml:space="preserve"> no later than 4 weeks from the cessation of that treatment course. If the application is the first application for continuing treatment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it </w:t>
            </w:r>
            <w:proofErr w:type="gramStart"/>
            <w:r w:rsidRPr="002E6BC6">
              <w:rPr>
                <w:rFonts w:ascii="Arial Narrow" w:hAnsi="Arial Narrow" w:cs="Arial"/>
                <w:sz w:val="20"/>
                <w:szCs w:val="20"/>
              </w:rPr>
              <w:t>must be accompanied</w:t>
            </w:r>
            <w:proofErr w:type="gramEnd"/>
            <w:r w:rsidRPr="002E6BC6">
              <w:rPr>
                <w:rFonts w:ascii="Arial Narrow" w:hAnsi="Arial Narrow" w:cs="Arial"/>
                <w:sz w:val="20"/>
                <w:szCs w:val="20"/>
              </w:rPr>
              <w:t xml:space="preserve"> by an assessment of response to a minimum of 12 weeks of treatment with an initial treatment course.</w:t>
            </w:r>
          </w:p>
          <w:p w:rsidR="001774C1" w:rsidRPr="002E6BC6" w:rsidRDefault="001774C1" w:rsidP="00307902">
            <w:pPr>
              <w:spacing w:before="40" w:after="40"/>
              <w:rPr>
                <w:rFonts w:ascii="Arial Narrow" w:hAnsi="Arial Narrow" w:cs="Arial"/>
                <w:sz w:val="20"/>
                <w:szCs w:val="20"/>
              </w:rPr>
            </w:pPr>
          </w:p>
          <w:p w:rsidR="00307902" w:rsidRPr="002E6BC6" w:rsidRDefault="00307902" w:rsidP="00307902">
            <w:pPr>
              <w:spacing w:before="40" w:after="40"/>
              <w:rPr>
                <w:rFonts w:ascii="Arial Narrow" w:hAnsi="Arial Narrow" w:cs="Arial"/>
                <w:sz w:val="20"/>
                <w:szCs w:val="20"/>
              </w:rPr>
            </w:pPr>
            <w:r w:rsidRPr="002E6BC6">
              <w:rPr>
                <w:rFonts w:ascii="Arial Narrow" w:hAnsi="Arial Narrow" w:cs="Arial"/>
                <w:sz w:val="20"/>
                <w:szCs w:val="20"/>
              </w:rPr>
              <w:t xml:space="preserve">Where a response assessment </w:t>
            </w:r>
            <w:proofErr w:type="gramStart"/>
            <w:r w:rsidRPr="002E6BC6">
              <w:rPr>
                <w:rFonts w:ascii="Arial Narrow" w:hAnsi="Arial Narrow" w:cs="Arial"/>
                <w:sz w:val="20"/>
                <w:szCs w:val="20"/>
              </w:rPr>
              <w:t>is not undertaken and submitted within these timeframes, the patient</w:t>
            </w:r>
            <w:proofErr w:type="gramEnd"/>
            <w:r w:rsidRPr="002E6BC6">
              <w:rPr>
                <w:rFonts w:ascii="Arial Narrow" w:hAnsi="Arial Narrow" w:cs="Arial"/>
                <w:sz w:val="20"/>
                <w:szCs w:val="20"/>
              </w:rPr>
              <w:t xml:space="preserve"> will be deemed to have failed to respond to treatment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w:t>
            </w:r>
          </w:p>
          <w:p w:rsidR="001774C1" w:rsidRPr="002E6BC6" w:rsidRDefault="001774C1" w:rsidP="00307902">
            <w:pPr>
              <w:spacing w:before="40" w:after="40"/>
              <w:rPr>
                <w:rFonts w:ascii="Arial Narrow" w:hAnsi="Arial Narrow" w:cs="Arial"/>
                <w:sz w:val="20"/>
                <w:szCs w:val="20"/>
              </w:rPr>
            </w:pPr>
          </w:p>
          <w:p w:rsidR="00307902" w:rsidRPr="002E6BC6" w:rsidRDefault="00307902" w:rsidP="00307902">
            <w:pPr>
              <w:spacing w:before="40" w:after="40"/>
              <w:rPr>
                <w:rFonts w:ascii="Arial Narrow" w:hAnsi="Arial Narrow" w:cs="Arial"/>
                <w:sz w:val="20"/>
                <w:szCs w:val="20"/>
              </w:rPr>
            </w:pPr>
            <w:r w:rsidRPr="002E6BC6">
              <w:rPr>
                <w:rFonts w:ascii="Arial Narrow" w:hAnsi="Arial Narrow" w:cs="Arial"/>
                <w:sz w:val="20"/>
                <w:szCs w:val="20"/>
              </w:rPr>
              <w:t xml:space="preserve">If a patient fails to respond to PBS-subsidised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treatment 3 times (once with each </w:t>
            </w:r>
            <w:proofErr w:type="gramStart"/>
            <w:r w:rsidRPr="002E6BC6">
              <w:rPr>
                <w:rFonts w:ascii="Arial Narrow" w:hAnsi="Arial Narrow" w:cs="Arial"/>
                <w:sz w:val="20"/>
                <w:szCs w:val="20"/>
              </w:rPr>
              <w:t>agent)</w:t>
            </w:r>
            <w:proofErr w:type="gramEnd"/>
            <w:r w:rsidRPr="002E6BC6">
              <w:rPr>
                <w:rFonts w:ascii="Arial Narrow" w:hAnsi="Arial Narrow" w:cs="Arial"/>
                <w:sz w:val="20"/>
                <w:szCs w:val="20"/>
              </w:rPr>
              <w:t xml:space="preserve"> they will not be eligible to receive further PBS-subsidised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therapy in this treatment cycle.</w:t>
            </w:r>
          </w:p>
        </w:tc>
      </w:tr>
      <w:tr w:rsidR="00281060"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jc w:val="both"/>
              <w:rPr>
                <w:rFonts w:ascii="Arial Narrow" w:hAnsi="Arial Narrow" w:cs="Arial"/>
                <w:b/>
                <w:sz w:val="20"/>
                <w:szCs w:val="20"/>
              </w:rPr>
            </w:pPr>
            <w:r w:rsidRPr="002E6BC6">
              <w:rPr>
                <w:rFonts w:ascii="Arial Narrow" w:hAnsi="Arial Narrow" w:cs="Arial"/>
                <w:b/>
                <w:sz w:val="20"/>
                <w:szCs w:val="20"/>
              </w:rPr>
              <w:t>Administrative Advice:</w:t>
            </w:r>
          </w:p>
          <w:p w:rsidR="00281060" w:rsidRPr="002E6BC6" w:rsidRDefault="00281060" w:rsidP="005E11C2">
            <w:pPr>
              <w:spacing w:before="40" w:after="40"/>
              <w:jc w:val="both"/>
              <w:rPr>
                <w:rFonts w:ascii="Arial Narrow" w:hAnsi="Arial Narrow" w:cs="Arial"/>
                <w:b/>
                <w:sz w:val="20"/>
                <w:szCs w:val="20"/>
              </w:rPr>
            </w:pPr>
          </w:p>
        </w:tc>
        <w:tc>
          <w:tcPr>
            <w:tcW w:w="3937" w:type="pct"/>
            <w:tcBorders>
              <w:top w:val="single" w:sz="4" w:space="0" w:color="auto"/>
              <w:left w:val="single" w:sz="4" w:space="0" w:color="auto"/>
              <w:bottom w:val="single" w:sz="4" w:space="0" w:color="auto"/>
              <w:right w:val="single" w:sz="4" w:space="0" w:color="auto"/>
            </w:tcBorders>
          </w:tcPr>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Use of alternative DMARDs in children is dependent on approval by the Therapeutic Goods Administration as age restrictions may apply.</w:t>
            </w:r>
          </w:p>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 xml:space="preserve">Any queries concerning the arrangements to prescribe may be directed to the Department of Human Services on 1800 700 270 (hours of operation 8 a.m. to 5 p.m. EST Monday to Friday). </w:t>
            </w:r>
          </w:p>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 xml:space="preserve">Applications for authority to prescribe should be forwarded to: </w:t>
            </w:r>
          </w:p>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Department of Human Services</w:t>
            </w:r>
          </w:p>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 xml:space="preserve">Complex Drugs </w:t>
            </w:r>
          </w:p>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 xml:space="preserve">Reply Paid 9826 </w:t>
            </w:r>
          </w:p>
          <w:p w:rsidR="00281060" w:rsidRPr="002E6BC6" w:rsidRDefault="00281060" w:rsidP="005E11C2">
            <w:pPr>
              <w:spacing w:before="40" w:after="40"/>
              <w:rPr>
                <w:rFonts w:ascii="Arial Narrow" w:hAnsi="Arial Narrow" w:cs="Arial"/>
                <w:sz w:val="20"/>
                <w:szCs w:val="20"/>
              </w:rPr>
            </w:pPr>
            <w:r w:rsidRPr="002E6BC6">
              <w:rPr>
                <w:rFonts w:ascii="Arial Narrow" w:hAnsi="Arial Narrow" w:cs="Arial"/>
                <w:sz w:val="20"/>
                <w:szCs w:val="20"/>
              </w:rPr>
              <w:t>HOBART TAS 7001</w:t>
            </w:r>
          </w:p>
        </w:tc>
      </w:tr>
    </w:tbl>
    <w:p w:rsidR="00281060" w:rsidRDefault="00281060" w:rsidP="00DC1927"/>
    <w:p w:rsidR="008D4253" w:rsidRPr="002E6BC6" w:rsidRDefault="00DC4EE1" w:rsidP="00DC1927">
      <w:r>
        <w:br w:type="column"/>
      </w:r>
    </w:p>
    <w:tbl>
      <w:tblPr>
        <w:tblW w:w="5000" w:type="pct"/>
        <w:tblLook w:val="0000" w:firstRow="0" w:lastRow="0" w:firstColumn="0" w:lastColumn="0" w:noHBand="0" w:noVBand="0"/>
      </w:tblPr>
      <w:tblGrid>
        <w:gridCol w:w="1917"/>
        <w:gridCol w:w="7099"/>
      </w:tblGrid>
      <w:tr w:rsidR="00271D92"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271D92" w:rsidRPr="002E6BC6" w:rsidRDefault="00271D92" w:rsidP="00376873">
            <w:pPr>
              <w:spacing w:before="40" w:after="40"/>
              <w:jc w:val="both"/>
              <w:rPr>
                <w:rFonts w:ascii="Arial Narrow" w:hAnsi="Arial Narrow" w:cs="Arial"/>
                <w:b/>
                <w:sz w:val="20"/>
                <w:szCs w:val="20"/>
              </w:rPr>
            </w:pPr>
            <w:r w:rsidRPr="002E6BC6">
              <w:rPr>
                <w:rFonts w:ascii="Arial Narrow" w:hAnsi="Arial Narrow" w:cs="Arial"/>
                <w:b/>
                <w:sz w:val="20"/>
                <w:szCs w:val="20"/>
              </w:rPr>
              <w:t xml:space="preserve">Category / </w:t>
            </w:r>
          </w:p>
          <w:p w:rsidR="00271D92" w:rsidRPr="002E6BC6" w:rsidRDefault="00271D92" w:rsidP="00376873">
            <w:pPr>
              <w:spacing w:before="40" w:after="40"/>
              <w:jc w:val="both"/>
              <w:rPr>
                <w:rFonts w:ascii="Arial Narrow" w:hAnsi="Arial Narrow" w:cs="Arial"/>
                <w:b/>
                <w:sz w:val="20"/>
                <w:szCs w:val="20"/>
              </w:rPr>
            </w:pPr>
            <w:r w:rsidRPr="002E6BC6">
              <w:rPr>
                <w:rFonts w:ascii="Arial Narrow" w:hAnsi="Arial Narrow" w:cs="Arial"/>
                <w:b/>
                <w:sz w:val="20"/>
                <w:szCs w:val="20"/>
              </w:rPr>
              <w:t>Program</w:t>
            </w:r>
          </w:p>
        </w:tc>
        <w:tc>
          <w:tcPr>
            <w:tcW w:w="3937" w:type="pct"/>
            <w:tcBorders>
              <w:top w:val="single" w:sz="4" w:space="0" w:color="auto"/>
              <w:left w:val="single" w:sz="4" w:space="0" w:color="auto"/>
              <w:bottom w:val="single" w:sz="4" w:space="0" w:color="auto"/>
              <w:right w:val="single" w:sz="4" w:space="0" w:color="auto"/>
            </w:tcBorders>
          </w:tcPr>
          <w:p w:rsidR="00271D92" w:rsidRPr="002E6BC6" w:rsidRDefault="00271D92" w:rsidP="00376873">
            <w:pPr>
              <w:spacing w:before="40" w:after="40"/>
              <w:rPr>
                <w:rFonts w:ascii="Arial Narrow" w:hAnsi="Arial Narrow" w:cs="Arial"/>
                <w:sz w:val="20"/>
                <w:szCs w:val="20"/>
              </w:rPr>
            </w:pPr>
            <w:r w:rsidRPr="002E6BC6">
              <w:rPr>
                <w:rFonts w:ascii="Arial Narrow" w:hAnsi="Arial Narrow" w:cs="Arial"/>
                <w:sz w:val="20"/>
                <w:szCs w:val="20"/>
              </w:rPr>
              <w:t>GENERAL – General Schedule (Code GE)</w:t>
            </w:r>
          </w:p>
          <w:p w:rsidR="00271D92" w:rsidRPr="002E6BC6" w:rsidRDefault="00271D92" w:rsidP="00376873">
            <w:pPr>
              <w:spacing w:before="40" w:after="40"/>
              <w:rPr>
                <w:rFonts w:ascii="Arial Narrow" w:hAnsi="Arial Narrow" w:cs="Arial"/>
                <w:sz w:val="20"/>
                <w:szCs w:val="20"/>
              </w:rPr>
            </w:pPr>
          </w:p>
        </w:tc>
      </w:tr>
      <w:tr w:rsidR="00271D92"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271D92" w:rsidRPr="002E6BC6" w:rsidRDefault="00271D92" w:rsidP="00376873">
            <w:pPr>
              <w:spacing w:before="40" w:after="40"/>
              <w:jc w:val="both"/>
              <w:rPr>
                <w:rFonts w:ascii="Arial Narrow" w:hAnsi="Arial Narrow" w:cs="Arial"/>
                <w:b/>
                <w:sz w:val="20"/>
                <w:szCs w:val="20"/>
              </w:rPr>
            </w:pPr>
            <w:r w:rsidRPr="002E6BC6">
              <w:rPr>
                <w:rFonts w:ascii="Arial Narrow" w:hAnsi="Arial Narrow" w:cs="Arial"/>
                <w:b/>
                <w:sz w:val="20"/>
                <w:szCs w:val="20"/>
              </w:rPr>
              <w:t>Prescriber type:</w:t>
            </w:r>
          </w:p>
        </w:tc>
        <w:tc>
          <w:tcPr>
            <w:tcW w:w="3937" w:type="pct"/>
            <w:tcBorders>
              <w:top w:val="single" w:sz="4" w:space="0" w:color="auto"/>
              <w:left w:val="single" w:sz="4" w:space="0" w:color="auto"/>
              <w:bottom w:val="single" w:sz="4" w:space="0" w:color="auto"/>
              <w:right w:val="single" w:sz="4" w:space="0" w:color="auto"/>
            </w:tcBorders>
          </w:tcPr>
          <w:p w:rsidR="00271D92" w:rsidRPr="002E6BC6" w:rsidRDefault="00271D92"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Dental  </w:t>
            </w:r>
            <w:r w:rsidRPr="00A12DB8">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Medical Practitioners  </w:t>
            </w:r>
            <w:r w:rsidRPr="00A12DB8">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Nurse practitioners  </w:t>
            </w:r>
            <w:r w:rsidRPr="00A12DB8">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Optometrists</w:t>
            </w:r>
          </w:p>
          <w:p w:rsidR="00271D92" w:rsidRPr="002E6BC6" w:rsidRDefault="00271D92"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Midwives</w:t>
            </w:r>
          </w:p>
        </w:tc>
      </w:tr>
      <w:tr w:rsidR="00271D92"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271D92" w:rsidRPr="002E6BC6" w:rsidRDefault="00271D92" w:rsidP="00376873">
            <w:pPr>
              <w:spacing w:before="40" w:after="40"/>
              <w:jc w:val="both"/>
              <w:rPr>
                <w:rFonts w:ascii="Arial Narrow" w:hAnsi="Arial Narrow" w:cs="Arial"/>
                <w:b/>
                <w:sz w:val="20"/>
                <w:szCs w:val="20"/>
              </w:rPr>
            </w:pPr>
            <w:r w:rsidRPr="002E6BC6">
              <w:rPr>
                <w:rFonts w:ascii="Arial Narrow" w:hAnsi="Arial Narrow" w:cs="Arial"/>
                <w:b/>
                <w:sz w:val="20"/>
                <w:szCs w:val="20"/>
              </w:rPr>
              <w:t>Condition:</w:t>
            </w:r>
          </w:p>
        </w:tc>
        <w:tc>
          <w:tcPr>
            <w:tcW w:w="3937" w:type="pct"/>
            <w:tcBorders>
              <w:top w:val="single" w:sz="4" w:space="0" w:color="auto"/>
              <w:left w:val="single" w:sz="4" w:space="0" w:color="auto"/>
              <w:bottom w:val="single" w:sz="4" w:space="0" w:color="auto"/>
              <w:right w:val="single" w:sz="4" w:space="0" w:color="auto"/>
            </w:tcBorders>
          </w:tcPr>
          <w:p w:rsidR="00271D92" w:rsidRPr="002E6BC6" w:rsidRDefault="00271D92" w:rsidP="00376873">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A12DB8"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A12DB8" w:rsidRPr="002E6BC6" w:rsidRDefault="00A12DB8" w:rsidP="00376873">
            <w:pPr>
              <w:spacing w:before="40" w:after="40"/>
              <w:jc w:val="both"/>
              <w:rPr>
                <w:rFonts w:ascii="Arial Narrow" w:hAnsi="Arial Narrow" w:cs="Arial"/>
                <w:b/>
                <w:sz w:val="20"/>
                <w:szCs w:val="20"/>
              </w:rPr>
            </w:pPr>
            <w:r w:rsidRPr="002E6BC6">
              <w:rPr>
                <w:rFonts w:ascii="Arial Narrow" w:hAnsi="Arial Narrow" w:cs="Arial"/>
                <w:b/>
                <w:sz w:val="20"/>
                <w:szCs w:val="20"/>
              </w:rPr>
              <w:t>PBS Indication:</w:t>
            </w:r>
          </w:p>
        </w:tc>
        <w:tc>
          <w:tcPr>
            <w:tcW w:w="3937" w:type="pct"/>
            <w:tcBorders>
              <w:top w:val="single" w:sz="4" w:space="0" w:color="auto"/>
              <w:left w:val="single" w:sz="4" w:space="0" w:color="auto"/>
              <w:bottom w:val="single" w:sz="4" w:space="0" w:color="auto"/>
              <w:right w:val="single" w:sz="4" w:space="0" w:color="auto"/>
            </w:tcBorders>
          </w:tcPr>
          <w:p w:rsidR="00A12DB8" w:rsidRPr="002E6BC6" w:rsidRDefault="00A12DB8" w:rsidP="00376873">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A12DB8"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A12DB8" w:rsidRPr="002E6BC6" w:rsidRDefault="00A12DB8" w:rsidP="00376873">
            <w:pPr>
              <w:spacing w:before="40" w:after="40"/>
              <w:jc w:val="both"/>
              <w:rPr>
                <w:rFonts w:ascii="Arial Narrow" w:hAnsi="Arial Narrow" w:cs="Arial"/>
                <w:b/>
                <w:sz w:val="20"/>
                <w:szCs w:val="20"/>
              </w:rPr>
            </w:pPr>
            <w:r w:rsidRPr="002E6BC6">
              <w:rPr>
                <w:rFonts w:ascii="Arial Narrow" w:hAnsi="Arial Narrow" w:cs="Arial"/>
                <w:b/>
                <w:sz w:val="20"/>
                <w:szCs w:val="20"/>
              </w:rPr>
              <w:t>Treatment phase:</w:t>
            </w:r>
          </w:p>
        </w:tc>
        <w:tc>
          <w:tcPr>
            <w:tcW w:w="3937" w:type="pct"/>
            <w:tcBorders>
              <w:top w:val="single" w:sz="4" w:space="0" w:color="auto"/>
              <w:left w:val="single" w:sz="4" w:space="0" w:color="auto"/>
              <w:bottom w:val="single" w:sz="4" w:space="0" w:color="auto"/>
              <w:right w:val="single" w:sz="4" w:space="0" w:color="auto"/>
            </w:tcBorders>
          </w:tcPr>
          <w:p w:rsidR="00A12DB8" w:rsidRPr="002E6BC6" w:rsidRDefault="00A12DB8" w:rsidP="00376873">
            <w:pPr>
              <w:spacing w:before="40" w:after="40"/>
              <w:rPr>
                <w:rFonts w:ascii="Arial Narrow" w:hAnsi="Arial Narrow" w:cs="Arial"/>
                <w:sz w:val="20"/>
                <w:szCs w:val="20"/>
              </w:rPr>
            </w:pPr>
            <w:r w:rsidRPr="002E6BC6">
              <w:rPr>
                <w:rFonts w:ascii="Arial Narrow" w:hAnsi="Arial Narrow" w:cs="Arial"/>
                <w:sz w:val="20"/>
                <w:szCs w:val="20"/>
              </w:rPr>
              <w:t>Continuing Treatment – balance of supply</w:t>
            </w:r>
          </w:p>
        </w:tc>
      </w:tr>
      <w:tr w:rsidR="00A12DB8"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A12DB8" w:rsidRPr="002E6BC6" w:rsidRDefault="00A12DB8" w:rsidP="00376873">
            <w:pPr>
              <w:spacing w:before="40" w:after="40"/>
              <w:jc w:val="both"/>
              <w:rPr>
                <w:rFonts w:ascii="Arial Narrow" w:hAnsi="Arial Narrow" w:cs="Arial"/>
                <w:b/>
                <w:sz w:val="20"/>
                <w:szCs w:val="20"/>
              </w:rPr>
            </w:pPr>
            <w:r w:rsidRPr="002E6BC6">
              <w:rPr>
                <w:rFonts w:ascii="Arial Narrow" w:hAnsi="Arial Narrow" w:cs="Arial"/>
                <w:b/>
                <w:sz w:val="20"/>
                <w:szCs w:val="20"/>
              </w:rPr>
              <w:t>Restriction Level / Method:</w:t>
            </w:r>
          </w:p>
          <w:p w:rsidR="00A12DB8" w:rsidRPr="002E6BC6" w:rsidRDefault="00A12DB8" w:rsidP="00376873">
            <w:pPr>
              <w:spacing w:before="40" w:after="40"/>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A12DB8" w:rsidRPr="002E6BC6" w:rsidRDefault="00A12DB8"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Restricted benefit</w:t>
            </w:r>
          </w:p>
          <w:p w:rsidR="00A12DB8" w:rsidRPr="002E6BC6" w:rsidRDefault="00A12DB8"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In Writing</w:t>
            </w:r>
          </w:p>
          <w:p w:rsidR="00A12DB8" w:rsidRPr="002E6BC6" w:rsidRDefault="00A12DB8"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Telephone</w:t>
            </w:r>
          </w:p>
          <w:p w:rsidR="00A12DB8" w:rsidRPr="002E6BC6" w:rsidRDefault="00A12DB8"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Emergency</w:t>
            </w:r>
          </w:p>
          <w:p w:rsidR="00A12DB8" w:rsidRPr="002E6BC6" w:rsidRDefault="00A12DB8"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Electronic</w:t>
            </w:r>
          </w:p>
          <w:p w:rsidR="00A12DB8" w:rsidRPr="002E6BC6" w:rsidRDefault="00A12DB8"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Streamlined</w:t>
            </w:r>
          </w:p>
        </w:tc>
      </w:tr>
      <w:tr w:rsidR="00A12DB8"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A12DB8" w:rsidRPr="002E6BC6" w:rsidRDefault="00A12DB8" w:rsidP="00376873">
            <w:pPr>
              <w:spacing w:before="40" w:after="40"/>
              <w:jc w:val="both"/>
              <w:rPr>
                <w:rFonts w:ascii="Arial Narrow" w:hAnsi="Arial Narrow" w:cs="Arial"/>
                <w:b/>
                <w:sz w:val="20"/>
                <w:szCs w:val="20"/>
              </w:rPr>
            </w:pPr>
            <w:r w:rsidRPr="002E6BC6">
              <w:rPr>
                <w:rFonts w:ascii="Arial Narrow" w:hAnsi="Arial Narrow" w:cs="Arial"/>
                <w:b/>
                <w:sz w:val="20"/>
                <w:szCs w:val="20"/>
              </w:rPr>
              <w:t xml:space="preserve">Treatment criteria: </w:t>
            </w:r>
          </w:p>
        </w:tc>
        <w:tc>
          <w:tcPr>
            <w:tcW w:w="3937" w:type="pct"/>
            <w:tcBorders>
              <w:top w:val="single" w:sz="4" w:space="0" w:color="auto"/>
              <w:left w:val="single" w:sz="4" w:space="0" w:color="auto"/>
              <w:bottom w:val="single" w:sz="4" w:space="0" w:color="auto"/>
              <w:right w:val="single" w:sz="4" w:space="0" w:color="auto"/>
            </w:tcBorders>
          </w:tcPr>
          <w:p w:rsidR="00A12DB8" w:rsidRPr="002E6BC6" w:rsidRDefault="00A12DB8" w:rsidP="00376873">
            <w:pPr>
              <w:spacing w:before="40" w:after="40"/>
              <w:rPr>
                <w:rFonts w:ascii="Arial Narrow" w:hAnsi="Arial Narrow" w:cs="Arial"/>
                <w:sz w:val="20"/>
                <w:szCs w:val="20"/>
              </w:rPr>
            </w:pPr>
            <w:r w:rsidRPr="002E6BC6">
              <w:rPr>
                <w:rFonts w:ascii="Arial Narrow" w:hAnsi="Arial Narrow" w:cs="Arial"/>
                <w:sz w:val="20"/>
                <w:szCs w:val="20"/>
              </w:rPr>
              <w:t>Must be treated by a paediatric rheumatologist; or</w:t>
            </w:r>
          </w:p>
          <w:p w:rsidR="00A12DB8" w:rsidRPr="002E6BC6" w:rsidRDefault="00A12DB8" w:rsidP="00376873">
            <w:pPr>
              <w:spacing w:before="40" w:after="40"/>
              <w:rPr>
                <w:rFonts w:ascii="Arial Narrow" w:hAnsi="Arial Narrow" w:cs="Arial"/>
                <w:sz w:val="20"/>
                <w:szCs w:val="20"/>
              </w:rPr>
            </w:pPr>
            <w:r w:rsidRPr="002E6BC6">
              <w:rPr>
                <w:rFonts w:ascii="Arial Narrow" w:hAnsi="Arial Narrow" w:cs="Arial"/>
                <w:sz w:val="20"/>
                <w:szCs w:val="20"/>
              </w:rPr>
              <w:t xml:space="preserve">Patient must be undergoing treatment under the supervision of a </w:t>
            </w:r>
            <w:proofErr w:type="gramStart"/>
            <w:r w:rsidRPr="002E6BC6">
              <w:rPr>
                <w:rFonts w:ascii="Arial Narrow" w:hAnsi="Arial Narrow" w:cs="Arial"/>
                <w:sz w:val="20"/>
                <w:szCs w:val="20"/>
              </w:rPr>
              <w:t>paediatric rheumatology treatment centre</w:t>
            </w:r>
            <w:proofErr w:type="gramEnd"/>
            <w:r w:rsidRPr="002E6BC6">
              <w:rPr>
                <w:rFonts w:ascii="Arial Narrow" w:hAnsi="Arial Narrow" w:cs="Arial"/>
                <w:sz w:val="20"/>
                <w:szCs w:val="20"/>
              </w:rPr>
              <w:t xml:space="preserve">. </w:t>
            </w:r>
          </w:p>
        </w:tc>
      </w:tr>
      <w:tr w:rsidR="00A12DB8"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A12DB8" w:rsidRPr="002E6BC6" w:rsidRDefault="00A12DB8" w:rsidP="00376873">
            <w:pPr>
              <w:spacing w:before="40" w:after="40"/>
              <w:jc w:val="both"/>
              <w:rPr>
                <w:rFonts w:ascii="Arial Narrow" w:hAnsi="Arial Narrow" w:cs="Arial"/>
                <w:b/>
                <w:sz w:val="20"/>
                <w:szCs w:val="20"/>
              </w:rPr>
            </w:pPr>
            <w:r w:rsidRPr="002E6BC6">
              <w:rPr>
                <w:rFonts w:ascii="Arial Narrow" w:hAnsi="Arial Narrow" w:cs="Arial"/>
                <w:b/>
                <w:sz w:val="20"/>
                <w:szCs w:val="20"/>
              </w:rPr>
              <w:t>Clinical criteria:</w:t>
            </w:r>
          </w:p>
          <w:p w:rsidR="00A12DB8" w:rsidRPr="002E6BC6" w:rsidRDefault="00A12DB8" w:rsidP="00376873">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A12DB8" w:rsidRPr="002E6BC6" w:rsidRDefault="00A12DB8" w:rsidP="00376873">
            <w:pPr>
              <w:spacing w:before="40" w:after="40"/>
              <w:rPr>
                <w:rFonts w:ascii="Arial Narrow" w:hAnsi="Arial Narrow" w:cs="Arial"/>
                <w:sz w:val="20"/>
                <w:szCs w:val="20"/>
              </w:rPr>
            </w:pPr>
            <w:r w:rsidRPr="002E6BC6">
              <w:rPr>
                <w:rFonts w:ascii="Arial Narrow" w:hAnsi="Arial Narrow" w:cs="Arial"/>
                <w:sz w:val="20"/>
                <w:szCs w:val="20"/>
              </w:rPr>
              <w:t xml:space="preserve">Patient must have received insufficient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therapy under the Continuing Treatment restriction to complete 24 weeks treatment;</w:t>
            </w:r>
          </w:p>
          <w:p w:rsidR="00A12DB8" w:rsidRPr="002E6BC6" w:rsidRDefault="00A12DB8" w:rsidP="00376873">
            <w:pPr>
              <w:spacing w:before="40" w:after="40"/>
              <w:rPr>
                <w:rFonts w:ascii="Arial Narrow" w:hAnsi="Arial Narrow" w:cs="Arial"/>
                <w:sz w:val="20"/>
                <w:szCs w:val="20"/>
              </w:rPr>
            </w:pPr>
            <w:r w:rsidRPr="002E6BC6">
              <w:rPr>
                <w:rFonts w:ascii="Arial Narrow" w:hAnsi="Arial Narrow" w:cs="Arial"/>
                <w:sz w:val="20"/>
                <w:szCs w:val="20"/>
              </w:rPr>
              <w:t>AND</w:t>
            </w:r>
          </w:p>
          <w:p w:rsidR="00A12DB8" w:rsidRPr="002E6BC6" w:rsidRDefault="00A12DB8" w:rsidP="00376873">
            <w:pPr>
              <w:spacing w:before="40" w:after="40"/>
              <w:rPr>
                <w:rFonts w:ascii="Arial Narrow" w:hAnsi="Arial Narrow" w:cs="Arial"/>
                <w:sz w:val="20"/>
                <w:szCs w:val="20"/>
              </w:rPr>
            </w:pPr>
            <w:r w:rsidRPr="002E6BC6">
              <w:rPr>
                <w:rFonts w:ascii="Arial Narrow" w:hAnsi="Arial Narrow" w:cs="Arial"/>
                <w:sz w:val="20"/>
                <w:szCs w:val="20"/>
              </w:rPr>
              <w:t>The treatment must provide no more than the balance of up to 24 weeks treatment available under the above restriction.</w:t>
            </w:r>
          </w:p>
        </w:tc>
      </w:tr>
      <w:tr w:rsidR="00A12DB8"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A12DB8" w:rsidRPr="002E6BC6" w:rsidRDefault="00A12DB8" w:rsidP="00376873">
            <w:pPr>
              <w:spacing w:before="40" w:after="40"/>
              <w:jc w:val="both"/>
              <w:rPr>
                <w:rFonts w:ascii="Arial Narrow" w:hAnsi="Arial Narrow" w:cs="Arial"/>
                <w:b/>
                <w:sz w:val="20"/>
                <w:szCs w:val="20"/>
              </w:rPr>
            </w:pPr>
            <w:r w:rsidRPr="002E6BC6">
              <w:rPr>
                <w:rFonts w:ascii="Arial Narrow" w:hAnsi="Arial Narrow" w:cs="Arial"/>
                <w:b/>
                <w:sz w:val="20"/>
                <w:szCs w:val="20"/>
              </w:rPr>
              <w:t>Administrative Advice:</w:t>
            </w:r>
          </w:p>
          <w:p w:rsidR="00A12DB8" w:rsidRPr="002E6BC6" w:rsidRDefault="00A12DB8" w:rsidP="00376873">
            <w:pPr>
              <w:spacing w:before="40" w:after="40"/>
              <w:jc w:val="both"/>
              <w:rPr>
                <w:rFonts w:ascii="Arial Narrow" w:hAnsi="Arial Narrow" w:cs="Arial"/>
                <w:b/>
                <w:sz w:val="20"/>
                <w:szCs w:val="20"/>
              </w:rPr>
            </w:pPr>
          </w:p>
        </w:tc>
        <w:tc>
          <w:tcPr>
            <w:tcW w:w="3937" w:type="pct"/>
            <w:tcBorders>
              <w:top w:val="single" w:sz="4" w:space="0" w:color="auto"/>
              <w:left w:val="single" w:sz="4" w:space="0" w:color="auto"/>
              <w:bottom w:val="single" w:sz="4" w:space="0" w:color="auto"/>
              <w:right w:val="single" w:sz="4" w:space="0" w:color="auto"/>
            </w:tcBorders>
          </w:tcPr>
          <w:p w:rsidR="00A12DB8" w:rsidRPr="002E6BC6" w:rsidRDefault="00A12DB8" w:rsidP="00376873">
            <w:pPr>
              <w:spacing w:before="40" w:after="40"/>
              <w:rPr>
                <w:rFonts w:ascii="Arial Narrow" w:hAnsi="Arial Narrow" w:cs="Arial"/>
                <w:sz w:val="20"/>
                <w:szCs w:val="20"/>
              </w:rPr>
            </w:pPr>
            <w:r w:rsidRPr="002E6BC6">
              <w:rPr>
                <w:rFonts w:ascii="Arial Narrow" w:hAnsi="Arial Narrow" w:cs="Arial"/>
                <w:sz w:val="20"/>
                <w:szCs w:val="20"/>
              </w:rPr>
              <w:t>Authority approval for sufficient therapy to complete a maximum of 24 weeks of treatment may be requested by telephone by contacting the Department of Human Services on 1800 700 270 (hours of operation 8 a.m. to 5 p.m. EST Monday to Friday).</w:t>
            </w:r>
          </w:p>
          <w:p w:rsidR="00A12DB8" w:rsidRPr="002E6BC6" w:rsidRDefault="00A12DB8" w:rsidP="00376873">
            <w:pPr>
              <w:spacing w:before="40" w:after="40"/>
              <w:rPr>
                <w:rFonts w:ascii="Arial Narrow" w:hAnsi="Arial Narrow" w:cs="Arial"/>
                <w:sz w:val="20"/>
                <w:szCs w:val="20"/>
              </w:rPr>
            </w:pPr>
            <w:r w:rsidRPr="002E6BC6">
              <w:rPr>
                <w:rFonts w:ascii="Arial Narrow" w:hAnsi="Arial Narrow" w:cs="Arial"/>
                <w:sz w:val="20"/>
                <w:szCs w:val="20"/>
              </w:rPr>
              <w:t>Written application for authority approval for sufficient therapy to complete a maximum of 24 weeks of treatment should be forwarded to:</w:t>
            </w:r>
          </w:p>
          <w:p w:rsidR="00A12DB8" w:rsidRPr="002E6BC6" w:rsidRDefault="00A12DB8" w:rsidP="00376873">
            <w:pPr>
              <w:spacing w:before="40" w:after="40"/>
              <w:rPr>
                <w:rFonts w:ascii="Arial Narrow" w:hAnsi="Arial Narrow" w:cs="Arial"/>
                <w:sz w:val="20"/>
                <w:szCs w:val="20"/>
              </w:rPr>
            </w:pPr>
            <w:r w:rsidRPr="002E6BC6">
              <w:rPr>
                <w:rFonts w:ascii="Arial Narrow" w:hAnsi="Arial Narrow" w:cs="Arial"/>
                <w:sz w:val="20"/>
                <w:szCs w:val="20"/>
              </w:rPr>
              <w:t>Department of Human Services</w:t>
            </w:r>
          </w:p>
          <w:p w:rsidR="00A12DB8" w:rsidRPr="002E6BC6" w:rsidRDefault="00A12DB8" w:rsidP="00376873">
            <w:pPr>
              <w:spacing w:before="40" w:after="40"/>
              <w:rPr>
                <w:rFonts w:ascii="Arial Narrow" w:hAnsi="Arial Narrow" w:cs="Arial"/>
                <w:sz w:val="20"/>
                <w:szCs w:val="20"/>
              </w:rPr>
            </w:pPr>
            <w:r w:rsidRPr="002E6BC6">
              <w:rPr>
                <w:rFonts w:ascii="Arial Narrow" w:hAnsi="Arial Narrow" w:cs="Arial"/>
                <w:sz w:val="20"/>
                <w:szCs w:val="20"/>
              </w:rPr>
              <w:t>Complex Drugs</w:t>
            </w:r>
          </w:p>
          <w:p w:rsidR="00A12DB8" w:rsidRPr="002E6BC6" w:rsidRDefault="00A12DB8" w:rsidP="00376873">
            <w:pPr>
              <w:spacing w:before="40" w:after="40"/>
              <w:rPr>
                <w:rFonts w:ascii="Arial Narrow" w:hAnsi="Arial Narrow" w:cs="Arial"/>
                <w:sz w:val="20"/>
                <w:szCs w:val="20"/>
              </w:rPr>
            </w:pPr>
            <w:r w:rsidRPr="002E6BC6">
              <w:rPr>
                <w:rFonts w:ascii="Arial Narrow" w:hAnsi="Arial Narrow" w:cs="Arial"/>
                <w:sz w:val="20"/>
                <w:szCs w:val="20"/>
              </w:rPr>
              <w:t>Reply Paid 9826</w:t>
            </w:r>
          </w:p>
          <w:p w:rsidR="00A12DB8" w:rsidRPr="002E6BC6" w:rsidRDefault="00A12DB8" w:rsidP="00376873">
            <w:pPr>
              <w:spacing w:before="40" w:after="40"/>
              <w:rPr>
                <w:rFonts w:ascii="Arial Narrow" w:hAnsi="Arial Narrow" w:cs="Arial"/>
                <w:sz w:val="20"/>
                <w:szCs w:val="20"/>
              </w:rPr>
            </w:pPr>
            <w:r w:rsidRPr="002E6BC6">
              <w:rPr>
                <w:rFonts w:ascii="Arial Narrow" w:hAnsi="Arial Narrow" w:cs="Arial"/>
                <w:sz w:val="20"/>
                <w:szCs w:val="20"/>
              </w:rPr>
              <w:t>HOBART TAS 7001</w:t>
            </w:r>
          </w:p>
        </w:tc>
      </w:tr>
    </w:tbl>
    <w:p w:rsidR="004A6054" w:rsidRPr="002E6BC6" w:rsidRDefault="004A6054" w:rsidP="00DC1927"/>
    <w:p w:rsidR="00E62807" w:rsidRDefault="00E62807">
      <w:pPr>
        <w:rPr>
          <w:rFonts w:asciiTheme="minorHAnsi" w:hAnsiTheme="minorHAnsi" w:cstheme="minorHAnsi"/>
        </w:rPr>
      </w:pPr>
      <w:r>
        <w:rPr>
          <w:rFonts w:asciiTheme="minorHAnsi" w:hAnsiTheme="minorHAnsi" w:cstheme="minorHAnsi"/>
        </w:rPr>
        <w:br w:type="page"/>
      </w:r>
    </w:p>
    <w:p w:rsidR="000C7502" w:rsidRPr="002E6BC6" w:rsidRDefault="000C7502" w:rsidP="000C7502">
      <w:pPr>
        <w:rPr>
          <w:rFonts w:asciiTheme="minorHAnsi" w:hAnsiTheme="minorHAnsi" w:cstheme="minorHAnsi"/>
        </w:rPr>
      </w:pPr>
      <w:r w:rsidRPr="002E6BC6">
        <w:rPr>
          <w:rFonts w:asciiTheme="minorHAnsi" w:hAnsiTheme="minorHAnsi" w:cstheme="minorHAnsi"/>
        </w:rPr>
        <w:lastRenderedPageBreak/>
        <w:t xml:space="preserve">Initial </w:t>
      </w:r>
      <w:r w:rsidR="00DA5D89" w:rsidRPr="002E6BC6">
        <w:rPr>
          <w:rFonts w:asciiTheme="minorHAnsi" w:hAnsiTheme="minorHAnsi" w:cstheme="minorHAnsi"/>
        </w:rPr>
        <w:t xml:space="preserve">treatment </w:t>
      </w:r>
      <w:r w:rsidRPr="002E6BC6">
        <w:rPr>
          <w:rFonts w:asciiTheme="minorHAnsi" w:hAnsiTheme="minorHAnsi" w:cstheme="minorHAnsi"/>
        </w:rPr>
        <w:t xml:space="preserve">(adult patients) </w:t>
      </w:r>
    </w:p>
    <w:p w:rsidR="000B2305" w:rsidRPr="002E6BC6" w:rsidRDefault="000B2305" w:rsidP="00DC1927"/>
    <w:tbl>
      <w:tblPr>
        <w:tblW w:w="5000" w:type="pct"/>
        <w:tblLook w:val="0000" w:firstRow="0" w:lastRow="0" w:firstColumn="0" w:lastColumn="0" w:noHBand="0" w:noVBand="0"/>
      </w:tblPr>
      <w:tblGrid>
        <w:gridCol w:w="2873"/>
        <w:gridCol w:w="615"/>
        <w:gridCol w:w="1010"/>
        <w:gridCol w:w="1010"/>
        <w:gridCol w:w="1401"/>
        <w:gridCol w:w="827"/>
        <w:gridCol w:w="1290"/>
      </w:tblGrid>
      <w:tr w:rsidR="004A6054" w:rsidRPr="002E6BC6" w:rsidTr="005E11C2">
        <w:trPr>
          <w:trHeight w:val="465"/>
        </w:trPr>
        <w:tc>
          <w:tcPr>
            <w:tcW w:w="1594" w:type="pct"/>
            <w:tcBorders>
              <w:bottom w:val="single" w:sz="4" w:space="0" w:color="auto"/>
            </w:tcBorders>
          </w:tcPr>
          <w:p w:rsidR="004A6054" w:rsidRPr="002E6BC6" w:rsidRDefault="004A6054"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Name, Restriction,</w:t>
            </w:r>
          </w:p>
          <w:p w:rsidR="004A6054" w:rsidRPr="002E6BC6" w:rsidRDefault="004A6054"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Manner of administration and form</w:t>
            </w:r>
          </w:p>
        </w:tc>
        <w:tc>
          <w:tcPr>
            <w:tcW w:w="343" w:type="pct"/>
            <w:tcBorders>
              <w:bottom w:val="single" w:sz="4" w:space="0" w:color="auto"/>
            </w:tcBorders>
          </w:tcPr>
          <w:p w:rsidR="004A6054" w:rsidRPr="002E6BC6" w:rsidRDefault="004A6054"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Max.</w:t>
            </w:r>
          </w:p>
          <w:p w:rsidR="004A6054" w:rsidRPr="002E6BC6" w:rsidRDefault="004A6054" w:rsidP="005E11C2">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Qty</w:t>
            </w:r>
            <w:proofErr w:type="spellEnd"/>
          </w:p>
        </w:tc>
        <w:tc>
          <w:tcPr>
            <w:tcW w:w="561" w:type="pct"/>
            <w:tcBorders>
              <w:bottom w:val="single" w:sz="4" w:space="0" w:color="auto"/>
            </w:tcBorders>
          </w:tcPr>
          <w:p w:rsidR="004A6054" w:rsidRPr="002E6BC6" w:rsidRDefault="004A6054" w:rsidP="005E11C2">
            <w:pPr>
              <w:keepNext/>
              <w:spacing w:before="40" w:after="40"/>
              <w:jc w:val="both"/>
              <w:rPr>
                <w:rFonts w:ascii="Arial Narrow" w:hAnsi="Arial Narrow" w:cs="Arial"/>
                <w:b/>
                <w:sz w:val="20"/>
                <w:szCs w:val="20"/>
              </w:rPr>
            </w:pPr>
          </w:p>
        </w:tc>
        <w:tc>
          <w:tcPr>
            <w:tcW w:w="561" w:type="pct"/>
            <w:tcBorders>
              <w:bottom w:val="single" w:sz="4" w:space="0" w:color="auto"/>
            </w:tcBorders>
          </w:tcPr>
          <w:p w:rsidR="004A6054" w:rsidRPr="002E6BC6" w:rsidRDefault="004A6054"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№.of</w:t>
            </w:r>
          </w:p>
          <w:p w:rsidR="004A6054" w:rsidRPr="002E6BC6" w:rsidRDefault="004A6054" w:rsidP="005E11C2">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Rpts</w:t>
            </w:r>
            <w:proofErr w:type="spellEnd"/>
          </w:p>
        </w:tc>
        <w:tc>
          <w:tcPr>
            <w:tcW w:w="778" w:type="pct"/>
            <w:tcBorders>
              <w:bottom w:val="single" w:sz="4" w:space="0" w:color="auto"/>
            </w:tcBorders>
          </w:tcPr>
          <w:p w:rsidR="004A6054" w:rsidRPr="002E6BC6" w:rsidRDefault="004A6054" w:rsidP="005E11C2">
            <w:pPr>
              <w:keepNext/>
              <w:spacing w:before="40" w:after="40"/>
              <w:jc w:val="both"/>
              <w:rPr>
                <w:rFonts w:ascii="Arial Narrow" w:hAnsi="Arial Narrow" w:cs="Arial"/>
                <w:b/>
                <w:sz w:val="20"/>
                <w:szCs w:val="20"/>
              </w:rPr>
            </w:pPr>
          </w:p>
        </w:tc>
        <w:tc>
          <w:tcPr>
            <w:tcW w:w="1163" w:type="pct"/>
            <w:gridSpan w:val="2"/>
            <w:tcBorders>
              <w:bottom w:val="single" w:sz="4" w:space="0" w:color="auto"/>
            </w:tcBorders>
          </w:tcPr>
          <w:p w:rsidR="004A6054" w:rsidRPr="00A12DB8" w:rsidRDefault="004A6054"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Proprietary Name and Manufacturer</w:t>
            </w:r>
          </w:p>
        </w:tc>
      </w:tr>
      <w:tr w:rsidR="004A6054" w:rsidRPr="002E6BC6" w:rsidTr="005E11C2">
        <w:trPr>
          <w:trHeight w:val="567"/>
        </w:trPr>
        <w:tc>
          <w:tcPr>
            <w:tcW w:w="1594" w:type="pct"/>
          </w:tcPr>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mallCaps/>
                <w:sz w:val="20"/>
                <w:szCs w:val="20"/>
              </w:rPr>
              <w:t xml:space="preserve">TOCILIZUMAB </w:t>
            </w:r>
          </w:p>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z w:val="20"/>
                <w:szCs w:val="20"/>
              </w:rPr>
              <w:t>162 mg/0.9 mL, 4 x 0.9 mL</w:t>
            </w:r>
          </w:p>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z w:val="20"/>
                <w:szCs w:val="20"/>
              </w:rPr>
              <w:t>auto-injector</w:t>
            </w:r>
          </w:p>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z w:val="20"/>
                <w:szCs w:val="20"/>
              </w:rPr>
              <w:t>162 mg/0.9 mL, 4 x 0.9 mL</w:t>
            </w:r>
          </w:p>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z w:val="20"/>
                <w:szCs w:val="20"/>
              </w:rPr>
              <w:t>syringe</w:t>
            </w:r>
          </w:p>
        </w:tc>
        <w:tc>
          <w:tcPr>
            <w:tcW w:w="343" w:type="pct"/>
          </w:tcPr>
          <w:p w:rsidR="004A6054" w:rsidRPr="002E6BC6" w:rsidRDefault="004A6054" w:rsidP="005E11C2">
            <w:pPr>
              <w:keepNext/>
              <w:spacing w:before="40" w:after="40"/>
              <w:jc w:val="both"/>
              <w:rPr>
                <w:rFonts w:ascii="Arial Narrow" w:hAnsi="Arial Narrow" w:cs="Arial"/>
                <w:sz w:val="20"/>
                <w:szCs w:val="20"/>
              </w:rPr>
            </w:pPr>
          </w:p>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z w:val="20"/>
                <w:szCs w:val="20"/>
              </w:rPr>
              <w:t>1</w:t>
            </w:r>
          </w:p>
          <w:p w:rsidR="004A6054" w:rsidRPr="002E6BC6" w:rsidRDefault="004A6054" w:rsidP="005E11C2">
            <w:pPr>
              <w:keepNext/>
              <w:spacing w:before="40" w:after="40"/>
              <w:jc w:val="both"/>
              <w:rPr>
                <w:rFonts w:ascii="Arial Narrow" w:hAnsi="Arial Narrow" w:cs="Arial"/>
                <w:sz w:val="20"/>
                <w:szCs w:val="20"/>
              </w:rPr>
            </w:pPr>
          </w:p>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z w:val="20"/>
                <w:szCs w:val="20"/>
              </w:rPr>
              <w:t>1</w:t>
            </w:r>
          </w:p>
        </w:tc>
        <w:tc>
          <w:tcPr>
            <w:tcW w:w="561" w:type="pct"/>
          </w:tcPr>
          <w:p w:rsidR="004A6054" w:rsidRPr="002E6BC6" w:rsidRDefault="004A6054" w:rsidP="005E11C2">
            <w:pPr>
              <w:keepNext/>
              <w:spacing w:before="40" w:after="40"/>
              <w:jc w:val="both"/>
              <w:rPr>
                <w:rFonts w:ascii="Arial Narrow" w:hAnsi="Arial Narrow" w:cs="Arial"/>
                <w:sz w:val="20"/>
                <w:szCs w:val="20"/>
              </w:rPr>
            </w:pPr>
          </w:p>
        </w:tc>
        <w:tc>
          <w:tcPr>
            <w:tcW w:w="561" w:type="pct"/>
          </w:tcPr>
          <w:p w:rsidR="004A6054" w:rsidRPr="002E6BC6" w:rsidRDefault="004A6054" w:rsidP="005E11C2">
            <w:pPr>
              <w:keepNext/>
              <w:spacing w:before="40" w:after="40"/>
              <w:jc w:val="both"/>
              <w:rPr>
                <w:rFonts w:ascii="Arial Narrow" w:hAnsi="Arial Narrow" w:cs="Arial"/>
                <w:sz w:val="20"/>
                <w:szCs w:val="20"/>
              </w:rPr>
            </w:pPr>
          </w:p>
          <w:p w:rsidR="004A6054" w:rsidRPr="002E6BC6" w:rsidRDefault="00FA2B80" w:rsidP="005E11C2">
            <w:pPr>
              <w:keepNext/>
              <w:spacing w:before="40" w:after="40"/>
              <w:jc w:val="both"/>
              <w:rPr>
                <w:rFonts w:ascii="Arial Narrow" w:hAnsi="Arial Narrow" w:cs="Arial"/>
                <w:sz w:val="20"/>
                <w:szCs w:val="20"/>
              </w:rPr>
            </w:pPr>
            <w:r w:rsidRPr="002E6BC6">
              <w:rPr>
                <w:rFonts w:ascii="Arial Narrow" w:hAnsi="Arial Narrow" w:cs="Arial"/>
                <w:sz w:val="20"/>
                <w:szCs w:val="20"/>
              </w:rPr>
              <w:t>3</w:t>
            </w:r>
          </w:p>
          <w:p w:rsidR="004A6054" w:rsidRPr="002E6BC6" w:rsidRDefault="004A6054" w:rsidP="005E11C2">
            <w:pPr>
              <w:keepNext/>
              <w:spacing w:before="40" w:after="40"/>
              <w:jc w:val="both"/>
              <w:rPr>
                <w:rFonts w:ascii="Arial Narrow" w:hAnsi="Arial Narrow" w:cs="Arial"/>
                <w:sz w:val="20"/>
                <w:szCs w:val="20"/>
              </w:rPr>
            </w:pPr>
          </w:p>
          <w:p w:rsidR="004A6054" w:rsidRPr="002E6BC6" w:rsidRDefault="00FA2B80" w:rsidP="005E11C2">
            <w:pPr>
              <w:keepNext/>
              <w:spacing w:before="40" w:after="40"/>
              <w:jc w:val="both"/>
              <w:rPr>
                <w:rFonts w:ascii="Arial Narrow" w:hAnsi="Arial Narrow" w:cs="Arial"/>
                <w:sz w:val="20"/>
                <w:szCs w:val="20"/>
              </w:rPr>
            </w:pPr>
            <w:r w:rsidRPr="002E6BC6">
              <w:rPr>
                <w:rFonts w:ascii="Arial Narrow" w:hAnsi="Arial Narrow" w:cs="Arial"/>
                <w:sz w:val="20"/>
                <w:szCs w:val="20"/>
              </w:rPr>
              <w:t>3</w:t>
            </w:r>
          </w:p>
        </w:tc>
        <w:tc>
          <w:tcPr>
            <w:tcW w:w="778" w:type="pct"/>
          </w:tcPr>
          <w:p w:rsidR="004A6054" w:rsidRPr="002E6BC6" w:rsidRDefault="004A6054" w:rsidP="005E11C2">
            <w:pPr>
              <w:keepNext/>
              <w:spacing w:before="40" w:after="40"/>
              <w:jc w:val="both"/>
              <w:rPr>
                <w:rFonts w:ascii="Arial Narrow" w:hAnsi="Arial Narrow" w:cs="Arial"/>
                <w:sz w:val="20"/>
                <w:szCs w:val="20"/>
              </w:rPr>
            </w:pPr>
          </w:p>
          <w:p w:rsidR="004A6054" w:rsidRPr="002E6BC6" w:rsidRDefault="004A6054" w:rsidP="005E11C2">
            <w:pPr>
              <w:keepNext/>
              <w:spacing w:before="40" w:after="40"/>
              <w:jc w:val="both"/>
              <w:rPr>
                <w:rFonts w:ascii="Arial Narrow" w:hAnsi="Arial Narrow" w:cs="Arial"/>
                <w:sz w:val="20"/>
                <w:szCs w:val="20"/>
              </w:rPr>
            </w:pPr>
          </w:p>
        </w:tc>
        <w:tc>
          <w:tcPr>
            <w:tcW w:w="447" w:type="pct"/>
          </w:tcPr>
          <w:p w:rsidR="004A6054" w:rsidRPr="002E6BC6" w:rsidRDefault="004A6054" w:rsidP="005E11C2">
            <w:pPr>
              <w:keepNext/>
              <w:spacing w:before="40" w:after="40"/>
              <w:jc w:val="both"/>
              <w:rPr>
                <w:rFonts w:ascii="Arial Narrow" w:hAnsi="Arial Narrow" w:cs="Arial"/>
                <w:sz w:val="20"/>
                <w:szCs w:val="20"/>
              </w:rPr>
            </w:pPr>
          </w:p>
          <w:p w:rsidR="004A6054" w:rsidRPr="002E6BC6" w:rsidRDefault="004A6054" w:rsidP="005E11C2">
            <w:pPr>
              <w:keepNext/>
              <w:spacing w:before="40" w:after="40"/>
              <w:jc w:val="both"/>
              <w:rPr>
                <w:rFonts w:ascii="Arial Narrow" w:hAnsi="Arial Narrow" w:cs="Arial"/>
                <w:sz w:val="20"/>
                <w:szCs w:val="20"/>
              </w:rPr>
            </w:pPr>
            <w:proofErr w:type="spellStart"/>
            <w:r w:rsidRPr="002E6BC6">
              <w:rPr>
                <w:rFonts w:ascii="Arial Narrow" w:hAnsi="Arial Narrow" w:cs="Arial"/>
                <w:sz w:val="20"/>
                <w:szCs w:val="20"/>
              </w:rPr>
              <w:t>Actemra</w:t>
            </w:r>
            <w:proofErr w:type="spellEnd"/>
          </w:p>
        </w:tc>
        <w:tc>
          <w:tcPr>
            <w:tcW w:w="716" w:type="pct"/>
          </w:tcPr>
          <w:p w:rsidR="004A6054" w:rsidRPr="002E6BC6" w:rsidRDefault="004A6054" w:rsidP="005E11C2">
            <w:pPr>
              <w:keepNext/>
              <w:spacing w:before="40" w:after="40"/>
              <w:jc w:val="both"/>
              <w:rPr>
                <w:rFonts w:ascii="Arial Narrow" w:hAnsi="Arial Narrow" w:cs="Arial"/>
                <w:sz w:val="20"/>
                <w:szCs w:val="20"/>
              </w:rPr>
            </w:pPr>
          </w:p>
          <w:p w:rsidR="004A6054" w:rsidRPr="002E6BC6" w:rsidRDefault="004A6054" w:rsidP="005E11C2">
            <w:pPr>
              <w:keepNext/>
              <w:spacing w:before="40" w:after="40"/>
              <w:jc w:val="both"/>
              <w:rPr>
                <w:rFonts w:ascii="Arial Narrow" w:hAnsi="Arial Narrow" w:cs="Arial"/>
                <w:sz w:val="20"/>
                <w:szCs w:val="20"/>
              </w:rPr>
            </w:pPr>
            <w:r w:rsidRPr="002E6BC6">
              <w:rPr>
                <w:rFonts w:ascii="Arial Narrow" w:hAnsi="Arial Narrow" w:cs="Arial"/>
                <w:sz w:val="20"/>
                <w:szCs w:val="20"/>
              </w:rPr>
              <w:t>Roche Products</w:t>
            </w:r>
          </w:p>
        </w:tc>
      </w:tr>
    </w:tbl>
    <w:p w:rsidR="004A6054" w:rsidRDefault="004A6054" w:rsidP="00DC1927"/>
    <w:p w:rsidR="008D4253" w:rsidRPr="002E6BC6" w:rsidRDefault="008D4253" w:rsidP="00DC1927"/>
    <w:tbl>
      <w:tblPr>
        <w:tblW w:w="5000" w:type="pct"/>
        <w:tblLook w:val="0000" w:firstRow="0" w:lastRow="0" w:firstColumn="0" w:lastColumn="0" w:noHBand="0" w:noVBand="0"/>
      </w:tblPr>
      <w:tblGrid>
        <w:gridCol w:w="1917"/>
        <w:gridCol w:w="7099"/>
      </w:tblGrid>
      <w:tr w:rsidR="004063DF"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063DF" w:rsidRPr="002E6BC6" w:rsidRDefault="004063DF" w:rsidP="005E11C2">
            <w:pPr>
              <w:spacing w:before="40" w:after="40"/>
              <w:jc w:val="both"/>
              <w:rPr>
                <w:rFonts w:ascii="Arial Narrow" w:hAnsi="Arial Narrow" w:cs="Arial"/>
                <w:b/>
                <w:sz w:val="20"/>
                <w:szCs w:val="20"/>
              </w:rPr>
            </w:pPr>
            <w:r w:rsidRPr="002E6BC6">
              <w:rPr>
                <w:rFonts w:ascii="Arial Narrow" w:hAnsi="Arial Narrow" w:cs="Arial"/>
                <w:b/>
                <w:sz w:val="20"/>
                <w:szCs w:val="20"/>
              </w:rPr>
              <w:t xml:space="preserve">Category / </w:t>
            </w:r>
          </w:p>
          <w:p w:rsidR="004063DF" w:rsidRPr="002E6BC6" w:rsidRDefault="004063DF" w:rsidP="005E11C2">
            <w:pPr>
              <w:spacing w:before="40" w:after="40"/>
              <w:jc w:val="both"/>
              <w:rPr>
                <w:rFonts w:ascii="Arial Narrow" w:hAnsi="Arial Narrow" w:cs="Arial"/>
                <w:b/>
                <w:sz w:val="20"/>
                <w:szCs w:val="20"/>
              </w:rPr>
            </w:pPr>
            <w:r w:rsidRPr="002E6BC6">
              <w:rPr>
                <w:rFonts w:ascii="Arial Narrow" w:hAnsi="Arial Narrow" w:cs="Arial"/>
                <w:b/>
                <w:sz w:val="20"/>
                <w:szCs w:val="20"/>
              </w:rPr>
              <w:t>Program</w:t>
            </w:r>
          </w:p>
        </w:tc>
        <w:tc>
          <w:tcPr>
            <w:tcW w:w="3937" w:type="pct"/>
            <w:tcBorders>
              <w:top w:val="single" w:sz="4" w:space="0" w:color="auto"/>
              <w:left w:val="single" w:sz="4" w:space="0" w:color="auto"/>
              <w:bottom w:val="single" w:sz="4" w:space="0" w:color="auto"/>
              <w:right w:val="single" w:sz="4" w:space="0" w:color="auto"/>
            </w:tcBorders>
          </w:tcPr>
          <w:p w:rsidR="004063DF" w:rsidRPr="002E6BC6" w:rsidRDefault="004063DF" w:rsidP="005E11C2">
            <w:pPr>
              <w:spacing w:before="40" w:after="40"/>
              <w:rPr>
                <w:rFonts w:ascii="Arial Narrow" w:hAnsi="Arial Narrow" w:cs="Arial"/>
                <w:sz w:val="20"/>
                <w:szCs w:val="20"/>
              </w:rPr>
            </w:pPr>
            <w:r w:rsidRPr="002E6BC6">
              <w:rPr>
                <w:rFonts w:ascii="Arial Narrow" w:hAnsi="Arial Narrow" w:cs="Arial"/>
                <w:sz w:val="20"/>
                <w:szCs w:val="20"/>
              </w:rPr>
              <w:t>GENERAL – General Schedule (Code GE)</w:t>
            </w:r>
          </w:p>
          <w:p w:rsidR="004063DF" w:rsidRPr="002E6BC6" w:rsidRDefault="004063DF" w:rsidP="005E11C2">
            <w:pPr>
              <w:spacing w:before="40" w:after="40"/>
              <w:rPr>
                <w:rFonts w:ascii="Arial Narrow" w:hAnsi="Arial Narrow" w:cs="Arial"/>
                <w:sz w:val="20"/>
                <w:szCs w:val="20"/>
              </w:rPr>
            </w:pPr>
          </w:p>
        </w:tc>
      </w:tr>
      <w:tr w:rsidR="00A12DB8"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A12DB8" w:rsidRPr="002E6BC6" w:rsidRDefault="00A12DB8" w:rsidP="005E11C2">
            <w:pPr>
              <w:spacing w:before="40" w:after="40"/>
              <w:jc w:val="both"/>
              <w:rPr>
                <w:rFonts w:ascii="Arial Narrow" w:hAnsi="Arial Narrow" w:cs="Arial"/>
                <w:b/>
                <w:sz w:val="20"/>
                <w:szCs w:val="20"/>
              </w:rPr>
            </w:pPr>
          </w:p>
        </w:tc>
        <w:tc>
          <w:tcPr>
            <w:tcW w:w="3937" w:type="pct"/>
            <w:tcBorders>
              <w:top w:val="single" w:sz="4" w:space="0" w:color="auto"/>
              <w:left w:val="single" w:sz="4" w:space="0" w:color="auto"/>
              <w:bottom w:val="single" w:sz="4" w:space="0" w:color="auto"/>
              <w:right w:val="single" w:sz="4" w:space="0" w:color="auto"/>
            </w:tcBorders>
          </w:tcPr>
          <w:p w:rsidR="00A12DB8" w:rsidRPr="002E6BC6" w:rsidRDefault="00A12DB8" w:rsidP="005E11C2">
            <w:pPr>
              <w:spacing w:before="40" w:after="40"/>
              <w:rPr>
                <w:rFonts w:ascii="Arial Narrow" w:hAnsi="Arial Narrow" w:cs="Arial"/>
                <w:sz w:val="20"/>
                <w:szCs w:val="20"/>
              </w:rPr>
            </w:pPr>
          </w:p>
        </w:tc>
      </w:tr>
      <w:tr w:rsidR="004063DF"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063DF" w:rsidRPr="002E6BC6" w:rsidRDefault="004063DF" w:rsidP="005E11C2">
            <w:pPr>
              <w:spacing w:before="40" w:after="40"/>
              <w:jc w:val="both"/>
              <w:rPr>
                <w:rFonts w:ascii="Arial Narrow" w:hAnsi="Arial Narrow" w:cs="Arial"/>
                <w:b/>
                <w:sz w:val="20"/>
                <w:szCs w:val="20"/>
              </w:rPr>
            </w:pPr>
            <w:r w:rsidRPr="002E6BC6">
              <w:rPr>
                <w:rFonts w:ascii="Arial Narrow" w:hAnsi="Arial Narrow" w:cs="Arial"/>
                <w:b/>
                <w:sz w:val="20"/>
                <w:szCs w:val="20"/>
              </w:rPr>
              <w:t>Prescriber type:</w:t>
            </w:r>
          </w:p>
        </w:tc>
        <w:tc>
          <w:tcPr>
            <w:tcW w:w="3937" w:type="pct"/>
            <w:tcBorders>
              <w:top w:val="single" w:sz="4" w:space="0" w:color="auto"/>
              <w:left w:val="single" w:sz="4" w:space="0" w:color="auto"/>
              <w:bottom w:val="single" w:sz="4" w:space="0" w:color="auto"/>
              <w:right w:val="single" w:sz="4" w:space="0" w:color="auto"/>
            </w:tcBorders>
          </w:tcPr>
          <w:p w:rsidR="004063DF" w:rsidRPr="002E6BC6" w:rsidRDefault="004063DF"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Dental  </w:t>
            </w:r>
            <w:r w:rsidRPr="00A12DB8">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Medical Practitioners  </w:t>
            </w:r>
            <w:r w:rsidRPr="00A12DB8">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Nurse practitioners  </w:t>
            </w:r>
            <w:r w:rsidRPr="00A12DB8">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Optometrists</w:t>
            </w:r>
          </w:p>
          <w:p w:rsidR="004063DF" w:rsidRPr="002E6BC6" w:rsidRDefault="004063DF"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Midwives</w:t>
            </w:r>
          </w:p>
        </w:tc>
      </w:tr>
      <w:tr w:rsidR="004063DF"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063DF" w:rsidRPr="002E6BC6" w:rsidRDefault="004063DF" w:rsidP="005E11C2">
            <w:pPr>
              <w:spacing w:before="40" w:after="40"/>
              <w:jc w:val="both"/>
              <w:rPr>
                <w:rFonts w:ascii="Arial Narrow" w:hAnsi="Arial Narrow" w:cs="Arial"/>
                <w:b/>
                <w:sz w:val="20"/>
                <w:szCs w:val="20"/>
              </w:rPr>
            </w:pPr>
            <w:r w:rsidRPr="002E6BC6">
              <w:rPr>
                <w:rFonts w:ascii="Arial Narrow" w:hAnsi="Arial Narrow" w:cs="Arial"/>
                <w:b/>
                <w:sz w:val="20"/>
                <w:szCs w:val="20"/>
              </w:rPr>
              <w:t>Condition:</w:t>
            </w:r>
          </w:p>
        </w:tc>
        <w:tc>
          <w:tcPr>
            <w:tcW w:w="3937" w:type="pct"/>
            <w:tcBorders>
              <w:top w:val="single" w:sz="4" w:space="0" w:color="auto"/>
              <w:left w:val="single" w:sz="4" w:space="0" w:color="auto"/>
              <w:bottom w:val="single" w:sz="4" w:space="0" w:color="auto"/>
              <w:right w:val="single" w:sz="4" w:space="0" w:color="auto"/>
            </w:tcBorders>
          </w:tcPr>
          <w:p w:rsidR="004063DF" w:rsidRPr="002E6BC6" w:rsidRDefault="004063DF" w:rsidP="005E11C2">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4063DF"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063DF" w:rsidRPr="002E6BC6" w:rsidRDefault="004063DF" w:rsidP="005E11C2">
            <w:pPr>
              <w:spacing w:before="40" w:after="40"/>
              <w:jc w:val="both"/>
              <w:rPr>
                <w:rFonts w:ascii="Arial Narrow" w:hAnsi="Arial Narrow" w:cs="Arial"/>
                <w:b/>
                <w:sz w:val="20"/>
                <w:szCs w:val="20"/>
              </w:rPr>
            </w:pPr>
            <w:r w:rsidRPr="002E6BC6">
              <w:rPr>
                <w:rFonts w:ascii="Arial Narrow" w:hAnsi="Arial Narrow" w:cs="Arial"/>
                <w:b/>
                <w:sz w:val="20"/>
                <w:szCs w:val="20"/>
              </w:rPr>
              <w:t>PBS Indication:</w:t>
            </w:r>
          </w:p>
        </w:tc>
        <w:tc>
          <w:tcPr>
            <w:tcW w:w="3937" w:type="pct"/>
            <w:tcBorders>
              <w:top w:val="single" w:sz="4" w:space="0" w:color="auto"/>
              <w:left w:val="single" w:sz="4" w:space="0" w:color="auto"/>
              <w:bottom w:val="single" w:sz="4" w:space="0" w:color="auto"/>
              <w:right w:val="single" w:sz="4" w:space="0" w:color="auto"/>
            </w:tcBorders>
          </w:tcPr>
          <w:p w:rsidR="004063DF" w:rsidRPr="002E6BC6" w:rsidRDefault="004063DF" w:rsidP="005E11C2">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4063DF"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063DF" w:rsidRPr="002E6BC6" w:rsidRDefault="004063DF" w:rsidP="005E11C2">
            <w:pPr>
              <w:spacing w:before="40" w:after="40"/>
              <w:jc w:val="both"/>
              <w:rPr>
                <w:rFonts w:ascii="Arial Narrow" w:hAnsi="Arial Narrow" w:cs="Arial"/>
                <w:b/>
                <w:sz w:val="20"/>
                <w:szCs w:val="20"/>
              </w:rPr>
            </w:pPr>
            <w:r w:rsidRPr="002E6BC6">
              <w:rPr>
                <w:rFonts w:ascii="Arial Narrow" w:hAnsi="Arial Narrow" w:cs="Arial"/>
                <w:b/>
                <w:sz w:val="20"/>
                <w:szCs w:val="20"/>
              </w:rPr>
              <w:t>Treatment phase:</w:t>
            </w:r>
          </w:p>
          <w:p w:rsidR="004063DF" w:rsidRPr="002E6BC6" w:rsidRDefault="004063DF" w:rsidP="005E11C2">
            <w:pPr>
              <w:spacing w:before="40" w:after="40"/>
              <w:jc w:val="both"/>
              <w:rPr>
                <w:rFonts w:ascii="Arial Narrow" w:hAnsi="Arial Narrow" w:cs="Arial"/>
                <w:i/>
                <w:sz w:val="20"/>
                <w:szCs w:val="20"/>
              </w:rPr>
            </w:pPr>
          </w:p>
        </w:tc>
        <w:tc>
          <w:tcPr>
            <w:tcW w:w="3937" w:type="pct"/>
            <w:tcBorders>
              <w:top w:val="single" w:sz="4" w:space="0" w:color="auto"/>
              <w:left w:val="single" w:sz="4" w:space="0" w:color="auto"/>
              <w:bottom w:val="single" w:sz="4" w:space="0" w:color="auto"/>
              <w:right w:val="single" w:sz="4" w:space="0" w:color="auto"/>
            </w:tcBorders>
          </w:tcPr>
          <w:p w:rsidR="004063DF" w:rsidRPr="002E6BC6" w:rsidRDefault="00625087" w:rsidP="0045439D">
            <w:pPr>
              <w:spacing w:before="40" w:after="40"/>
              <w:rPr>
                <w:rFonts w:ascii="Arial Narrow" w:hAnsi="Arial Narrow" w:cs="Arial"/>
                <w:sz w:val="20"/>
                <w:szCs w:val="20"/>
              </w:rPr>
            </w:pPr>
            <w:r w:rsidRPr="002E6BC6">
              <w:rPr>
                <w:rFonts w:ascii="Arial Narrow" w:hAnsi="Arial Narrow" w:cs="Arial"/>
                <w:sz w:val="20"/>
                <w:szCs w:val="20"/>
              </w:rPr>
              <w:t>Initial treatment - Initial 1 (new patient or patient recommencing treatment after a break of more than 24 months)</w:t>
            </w:r>
          </w:p>
        </w:tc>
      </w:tr>
      <w:tr w:rsidR="004063DF"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063DF" w:rsidRPr="002E6BC6" w:rsidRDefault="004063DF" w:rsidP="005E11C2">
            <w:pPr>
              <w:spacing w:before="40" w:after="40"/>
              <w:jc w:val="both"/>
              <w:rPr>
                <w:rFonts w:ascii="Arial Narrow" w:hAnsi="Arial Narrow" w:cs="Arial"/>
                <w:b/>
                <w:sz w:val="20"/>
                <w:szCs w:val="20"/>
              </w:rPr>
            </w:pPr>
            <w:r w:rsidRPr="002E6BC6">
              <w:rPr>
                <w:rFonts w:ascii="Arial Narrow" w:hAnsi="Arial Narrow" w:cs="Arial"/>
                <w:b/>
                <w:sz w:val="20"/>
                <w:szCs w:val="20"/>
              </w:rPr>
              <w:t>Restriction Level / Method:</w:t>
            </w:r>
          </w:p>
          <w:p w:rsidR="004063DF" w:rsidRPr="002E6BC6" w:rsidRDefault="004063DF" w:rsidP="005E11C2">
            <w:pPr>
              <w:spacing w:before="40" w:after="40"/>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4063DF" w:rsidRPr="002E6BC6" w:rsidRDefault="004063DF"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Restricted benefit</w:t>
            </w:r>
          </w:p>
          <w:p w:rsidR="004063DF" w:rsidRPr="002E6BC6" w:rsidRDefault="004063DF"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In Writing</w:t>
            </w:r>
          </w:p>
          <w:p w:rsidR="004063DF" w:rsidRPr="002E6BC6" w:rsidRDefault="004063DF"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Telephone</w:t>
            </w:r>
          </w:p>
          <w:p w:rsidR="004063DF" w:rsidRPr="002E6BC6" w:rsidRDefault="004063DF"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Emergency</w:t>
            </w:r>
          </w:p>
          <w:p w:rsidR="004063DF" w:rsidRPr="002E6BC6" w:rsidRDefault="004063DF"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Electronic</w:t>
            </w:r>
          </w:p>
          <w:p w:rsidR="004063DF" w:rsidRPr="002E6BC6" w:rsidRDefault="004063DF"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Streamlined</w:t>
            </w:r>
          </w:p>
        </w:tc>
      </w:tr>
      <w:tr w:rsidR="004063DF"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063DF" w:rsidRPr="002E6BC6" w:rsidRDefault="004063DF" w:rsidP="005E11C2">
            <w:pPr>
              <w:spacing w:before="40" w:after="40"/>
              <w:jc w:val="both"/>
              <w:rPr>
                <w:rFonts w:ascii="Arial Narrow" w:hAnsi="Arial Narrow" w:cs="Arial"/>
                <w:b/>
                <w:sz w:val="20"/>
                <w:szCs w:val="20"/>
              </w:rPr>
            </w:pPr>
            <w:r w:rsidRPr="002E6BC6">
              <w:rPr>
                <w:rFonts w:ascii="Arial Narrow" w:hAnsi="Arial Narrow" w:cs="Arial"/>
                <w:b/>
                <w:sz w:val="20"/>
                <w:szCs w:val="20"/>
              </w:rPr>
              <w:t xml:space="preserve">Treatment criteria: </w:t>
            </w:r>
          </w:p>
        </w:tc>
        <w:tc>
          <w:tcPr>
            <w:tcW w:w="3937" w:type="pct"/>
            <w:tcBorders>
              <w:top w:val="single" w:sz="4" w:space="0" w:color="auto"/>
              <w:left w:val="single" w:sz="4" w:space="0" w:color="auto"/>
              <w:bottom w:val="single" w:sz="4" w:space="0" w:color="auto"/>
              <w:right w:val="single" w:sz="4" w:space="0" w:color="auto"/>
            </w:tcBorders>
          </w:tcPr>
          <w:p w:rsidR="004063DF" w:rsidRPr="002E6BC6" w:rsidRDefault="00625087" w:rsidP="005E11C2">
            <w:pPr>
              <w:spacing w:before="40" w:after="40"/>
              <w:rPr>
                <w:rFonts w:ascii="Arial Narrow" w:hAnsi="Arial Narrow" w:cs="Arial"/>
                <w:sz w:val="20"/>
                <w:szCs w:val="20"/>
              </w:rPr>
            </w:pPr>
            <w:r w:rsidRPr="002E6BC6">
              <w:rPr>
                <w:rFonts w:ascii="Arial Narrow" w:hAnsi="Arial Narrow" w:cs="Arial"/>
                <w:sz w:val="20"/>
                <w:szCs w:val="20"/>
              </w:rPr>
              <w:t>Must be treated by a rheumatologist; or</w:t>
            </w:r>
          </w:p>
          <w:p w:rsidR="00625087" w:rsidRPr="002E6BC6" w:rsidRDefault="00625087" w:rsidP="005E11C2">
            <w:pPr>
              <w:spacing w:before="40" w:after="40"/>
              <w:rPr>
                <w:rFonts w:ascii="Arial Narrow" w:hAnsi="Arial Narrow" w:cs="Arial"/>
                <w:sz w:val="20"/>
                <w:szCs w:val="20"/>
              </w:rPr>
            </w:pPr>
            <w:r w:rsidRPr="002E6BC6">
              <w:rPr>
                <w:rFonts w:ascii="Arial Narrow" w:hAnsi="Arial Narrow" w:cs="Arial"/>
                <w:sz w:val="20"/>
                <w:szCs w:val="20"/>
              </w:rPr>
              <w:t>Must be treated by a clinical immunologist with expertise in the management of rheumatoid arthritis</w:t>
            </w:r>
          </w:p>
        </w:tc>
      </w:tr>
      <w:tr w:rsidR="004063DF"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063DF" w:rsidRPr="002E6BC6" w:rsidRDefault="004063DF" w:rsidP="005E11C2">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Clinical criteria:</w:t>
            </w:r>
          </w:p>
          <w:p w:rsidR="004063DF" w:rsidRPr="002E6BC6" w:rsidRDefault="004063DF" w:rsidP="005E11C2">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FA2B80" w:rsidRPr="002E6BC6" w:rsidRDefault="00625087" w:rsidP="005E11C2">
            <w:pPr>
              <w:spacing w:before="40" w:after="40"/>
              <w:rPr>
                <w:rFonts w:ascii="Arial Narrow" w:hAnsi="Arial Narrow" w:cs="Arial"/>
                <w:sz w:val="20"/>
                <w:szCs w:val="20"/>
              </w:rPr>
            </w:pPr>
            <w:r w:rsidRPr="002E6BC6">
              <w:rPr>
                <w:rFonts w:ascii="Arial Narrow" w:hAnsi="Arial Narrow" w:cs="Arial"/>
                <w:sz w:val="20"/>
                <w:szCs w:val="20"/>
              </w:rPr>
              <w:t>Patient must have a documented history of severe active juvenile idiopathic arthritis with onset prior to the age of 18 years;</w:t>
            </w:r>
          </w:p>
          <w:p w:rsidR="004063DF" w:rsidRPr="002E6BC6" w:rsidRDefault="00625087" w:rsidP="005E11C2">
            <w:pPr>
              <w:spacing w:before="40" w:after="40"/>
              <w:rPr>
                <w:rFonts w:ascii="Arial Narrow" w:hAnsi="Arial Narrow" w:cs="Arial"/>
                <w:sz w:val="20"/>
                <w:szCs w:val="20"/>
              </w:rPr>
            </w:pPr>
            <w:r w:rsidRPr="002E6BC6">
              <w:rPr>
                <w:rFonts w:ascii="Arial Narrow" w:hAnsi="Arial Narrow" w:cs="Arial"/>
                <w:sz w:val="20"/>
                <w:szCs w:val="20"/>
              </w:rPr>
              <w:t>AND</w:t>
            </w:r>
          </w:p>
          <w:p w:rsidR="00625087" w:rsidRPr="002E6BC6" w:rsidRDefault="00625087" w:rsidP="005E11C2">
            <w:pPr>
              <w:spacing w:before="40" w:after="40"/>
              <w:rPr>
                <w:rFonts w:ascii="Arial Narrow" w:hAnsi="Arial Narrow" w:cs="Arial"/>
                <w:sz w:val="20"/>
                <w:szCs w:val="20"/>
              </w:rPr>
            </w:pPr>
            <w:r w:rsidRPr="002E6BC6">
              <w:rPr>
                <w:rFonts w:ascii="Arial Narrow" w:hAnsi="Arial Narrow" w:cs="Arial"/>
                <w:sz w:val="20"/>
                <w:szCs w:val="20"/>
              </w:rPr>
              <w:t>Patient must have received no PBS-subsidised treatment with a biological disease modifying anti-rheumatic drug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for this condition in the previous 24 months; or</w:t>
            </w: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 xml:space="preserve">Patient must have received no PBS-subsidised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treatment for at least 5 years if they failed or ceased to respond to PBS-subsidised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treatment 3 times (once with each agent) in their last treatment cycle</w:t>
            </w:r>
            <w:r w:rsidR="00FA2B80" w:rsidRPr="002E6BC6">
              <w:rPr>
                <w:rFonts w:ascii="Arial Narrow" w:hAnsi="Arial Narrow" w:cs="Arial"/>
                <w:sz w:val="20"/>
                <w:szCs w:val="20"/>
              </w:rPr>
              <w:t>;</w:t>
            </w:r>
          </w:p>
          <w:p w:rsidR="00FA2B80" w:rsidRPr="002E6BC6" w:rsidRDefault="00FA2B80" w:rsidP="00625087">
            <w:pPr>
              <w:spacing w:before="40" w:after="40"/>
              <w:rPr>
                <w:rFonts w:ascii="Arial Narrow" w:hAnsi="Arial Narrow" w:cs="Arial"/>
                <w:sz w:val="20"/>
                <w:szCs w:val="20"/>
              </w:rPr>
            </w:pPr>
            <w:r w:rsidRPr="002E6BC6">
              <w:rPr>
                <w:rFonts w:ascii="Arial Narrow" w:hAnsi="Arial Narrow" w:cs="Arial"/>
                <w:sz w:val="20"/>
                <w:szCs w:val="20"/>
              </w:rPr>
              <w:t>AND</w:t>
            </w:r>
          </w:p>
          <w:p w:rsidR="00625087" w:rsidRPr="002E6BC6" w:rsidRDefault="00625087" w:rsidP="005E11C2">
            <w:pPr>
              <w:spacing w:before="40" w:after="40"/>
              <w:rPr>
                <w:rFonts w:ascii="Arial Narrow" w:hAnsi="Arial Narrow" w:cs="Arial"/>
                <w:sz w:val="20"/>
                <w:szCs w:val="20"/>
              </w:rPr>
            </w:pPr>
            <w:r w:rsidRPr="002E6BC6">
              <w:rPr>
                <w:rFonts w:ascii="Arial Narrow" w:hAnsi="Arial Narrow" w:cs="Arial"/>
                <w:sz w:val="20"/>
                <w:szCs w:val="20"/>
              </w:rPr>
              <w:t>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each of at least 2 DMARDs, one of which must be methotrexate at a dose of at least 20 mg weekly and one of which must be: (</w:t>
            </w:r>
            <w:proofErr w:type="spellStart"/>
            <w:r w:rsidRPr="002E6BC6">
              <w:rPr>
                <w:rFonts w:ascii="Arial Narrow" w:hAnsi="Arial Narrow" w:cs="Arial"/>
                <w:sz w:val="20"/>
                <w:szCs w:val="20"/>
              </w:rPr>
              <w:t>i</w:t>
            </w:r>
            <w:proofErr w:type="spellEnd"/>
            <w:r w:rsidRPr="002E6BC6">
              <w:rPr>
                <w:rFonts w:ascii="Arial Narrow" w:hAnsi="Arial Narrow" w:cs="Arial"/>
                <w:sz w:val="20"/>
                <w:szCs w:val="20"/>
              </w:rPr>
              <w:t xml:space="preserve">) </w:t>
            </w:r>
            <w:proofErr w:type="spellStart"/>
            <w:r w:rsidRPr="002E6BC6">
              <w:rPr>
                <w:rFonts w:ascii="Arial Narrow" w:hAnsi="Arial Narrow" w:cs="Arial"/>
                <w:sz w:val="20"/>
                <w:szCs w:val="20"/>
              </w:rPr>
              <w:t>hydroxychloroquine</w:t>
            </w:r>
            <w:proofErr w:type="spellEnd"/>
            <w:r w:rsidRPr="002E6BC6">
              <w:rPr>
                <w:rFonts w:ascii="Arial Narrow" w:hAnsi="Arial Narrow" w:cs="Arial"/>
                <w:sz w:val="20"/>
                <w:szCs w:val="20"/>
              </w:rPr>
              <w:t xml:space="preserve"> at a dose of at least 200 mg daily; or (ii) </w:t>
            </w:r>
            <w:proofErr w:type="spellStart"/>
            <w:r w:rsidRPr="002E6BC6">
              <w:rPr>
                <w:rFonts w:ascii="Arial Narrow" w:hAnsi="Arial Narrow" w:cs="Arial"/>
                <w:sz w:val="20"/>
                <w:szCs w:val="20"/>
              </w:rPr>
              <w:t>leflunomide</w:t>
            </w:r>
            <w:proofErr w:type="spellEnd"/>
            <w:r w:rsidRPr="002E6BC6">
              <w:rPr>
                <w:rFonts w:ascii="Arial Narrow" w:hAnsi="Arial Narrow" w:cs="Arial"/>
                <w:sz w:val="20"/>
                <w:szCs w:val="20"/>
              </w:rPr>
              <w:t xml:space="preserve"> at a dose of at least 10 mg daily; or (iii) sulfasalazine at a dose of at least 2 g daily; or</w:t>
            </w:r>
          </w:p>
          <w:p w:rsidR="00625087" w:rsidRPr="002E6BC6" w:rsidRDefault="00625087" w:rsidP="005E11C2">
            <w:pPr>
              <w:spacing w:before="40" w:after="40"/>
              <w:rPr>
                <w:rFonts w:ascii="Arial Narrow" w:hAnsi="Arial Narrow" w:cs="Arial"/>
                <w:sz w:val="20"/>
                <w:szCs w:val="20"/>
              </w:rPr>
            </w:pPr>
            <w:r w:rsidRPr="002E6BC6">
              <w:rPr>
                <w:rFonts w:ascii="Arial Narrow" w:hAnsi="Arial Narrow" w:cs="Arial"/>
                <w:sz w:val="20"/>
                <w:szCs w:val="20"/>
              </w:rP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 or cannot be tolerated at a 20 mg weekly dose, must include at least 3 months continuous treatment with each of at least 2 of the following DMARDs: (</w:t>
            </w:r>
            <w:proofErr w:type="spellStart"/>
            <w:r w:rsidRPr="002E6BC6">
              <w:rPr>
                <w:rFonts w:ascii="Arial Narrow" w:hAnsi="Arial Narrow" w:cs="Arial"/>
                <w:sz w:val="20"/>
                <w:szCs w:val="20"/>
              </w:rPr>
              <w:t>i</w:t>
            </w:r>
            <w:proofErr w:type="spellEnd"/>
            <w:r w:rsidRPr="002E6BC6">
              <w:rPr>
                <w:rFonts w:ascii="Arial Narrow" w:hAnsi="Arial Narrow" w:cs="Arial"/>
                <w:sz w:val="20"/>
                <w:szCs w:val="20"/>
              </w:rPr>
              <w:t xml:space="preserve">) </w:t>
            </w:r>
            <w:proofErr w:type="spellStart"/>
            <w:r w:rsidRPr="002E6BC6">
              <w:rPr>
                <w:rFonts w:ascii="Arial Narrow" w:hAnsi="Arial Narrow" w:cs="Arial"/>
                <w:sz w:val="20"/>
                <w:szCs w:val="20"/>
              </w:rPr>
              <w:t>hydroxychloroquine</w:t>
            </w:r>
            <w:proofErr w:type="spellEnd"/>
            <w:r w:rsidRPr="002E6BC6">
              <w:rPr>
                <w:rFonts w:ascii="Arial Narrow" w:hAnsi="Arial Narrow" w:cs="Arial"/>
                <w:sz w:val="20"/>
                <w:szCs w:val="20"/>
              </w:rPr>
              <w:t xml:space="preserve"> at a dose of at least 200 mg daily; and/or (ii) </w:t>
            </w:r>
            <w:proofErr w:type="spellStart"/>
            <w:r w:rsidRPr="002E6BC6">
              <w:rPr>
                <w:rFonts w:ascii="Arial Narrow" w:hAnsi="Arial Narrow" w:cs="Arial"/>
                <w:sz w:val="20"/>
                <w:szCs w:val="20"/>
              </w:rPr>
              <w:t>leflunomide</w:t>
            </w:r>
            <w:proofErr w:type="spellEnd"/>
            <w:r w:rsidRPr="002E6BC6">
              <w:rPr>
                <w:rFonts w:ascii="Arial Narrow" w:hAnsi="Arial Narrow" w:cs="Arial"/>
                <w:sz w:val="20"/>
                <w:szCs w:val="20"/>
              </w:rPr>
              <w:t xml:space="preserve"> at a dose of at least 10 mg daily; and/or (iii) sulfasalazine at a dose of at least 2 g daily; or</w:t>
            </w:r>
          </w:p>
          <w:p w:rsidR="00184B35" w:rsidRPr="002E6BC6" w:rsidRDefault="00625087" w:rsidP="005E11C2">
            <w:pPr>
              <w:spacing w:before="40" w:after="40"/>
              <w:rPr>
                <w:rFonts w:ascii="Arial Narrow" w:hAnsi="Arial Narrow" w:cs="Arial"/>
                <w:sz w:val="20"/>
                <w:szCs w:val="20"/>
              </w:rPr>
            </w:pPr>
            <w:r w:rsidRPr="002E6BC6">
              <w:rPr>
                <w:rFonts w:ascii="Arial Narrow" w:hAnsi="Arial Narrow" w:cs="Arial"/>
                <w:sz w:val="20"/>
                <w:szCs w:val="20"/>
              </w:rPr>
              <w:t xml:space="preserve">Patient must have failed, in the 24 months immediately prior to the date of the application, to achieve an adequate response to a trial of at least 6 months of intensive treatment with DMARDs which, if 3 or more of methotrexate, </w:t>
            </w:r>
            <w:proofErr w:type="spellStart"/>
            <w:r w:rsidRPr="002E6BC6">
              <w:rPr>
                <w:rFonts w:ascii="Arial Narrow" w:hAnsi="Arial Narrow" w:cs="Arial"/>
                <w:sz w:val="20"/>
                <w:szCs w:val="20"/>
              </w:rPr>
              <w:t>hydroxychloroquine</w:t>
            </w:r>
            <w:proofErr w:type="spellEnd"/>
            <w:r w:rsidRPr="002E6BC6">
              <w:rPr>
                <w:rFonts w:ascii="Arial Narrow" w:hAnsi="Arial Narrow" w:cs="Arial"/>
                <w:sz w:val="20"/>
                <w:szCs w:val="20"/>
              </w:rPr>
              <w:t xml:space="preserve">, </w:t>
            </w:r>
            <w:proofErr w:type="spellStart"/>
            <w:r w:rsidRPr="002E6BC6">
              <w:rPr>
                <w:rFonts w:ascii="Arial Narrow" w:hAnsi="Arial Narrow" w:cs="Arial"/>
                <w:sz w:val="20"/>
                <w:szCs w:val="20"/>
              </w:rPr>
              <w:t>leflunomide</w:t>
            </w:r>
            <w:proofErr w:type="spellEnd"/>
            <w:r w:rsidRPr="002E6BC6">
              <w:rPr>
                <w:rFonts w:ascii="Arial Narrow" w:hAnsi="Arial Narrow" w:cs="Arial"/>
                <w:sz w:val="20"/>
                <w:szCs w:val="20"/>
              </w:rPr>
              <w:t xml:space="preserve"> and sulfasalazine are contraindicated according to the relevant TGA-approved Product Information or cannot be tolerated at the doses specified above, must include at least 3 months continuous treatment with each of at least 2 DMARDs, with one or more of the following DMARDs being used in place of the DMARDS which are contraindicated or not tolerated: (</w:t>
            </w:r>
            <w:proofErr w:type="spellStart"/>
            <w:r w:rsidRPr="002E6BC6">
              <w:rPr>
                <w:rFonts w:ascii="Arial Narrow" w:hAnsi="Arial Narrow" w:cs="Arial"/>
                <w:sz w:val="20"/>
                <w:szCs w:val="20"/>
              </w:rPr>
              <w:t>i</w:t>
            </w:r>
            <w:proofErr w:type="spellEnd"/>
            <w:r w:rsidRPr="002E6BC6">
              <w:rPr>
                <w:rFonts w:ascii="Arial Narrow" w:hAnsi="Arial Narrow" w:cs="Arial"/>
                <w:sz w:val="20"/>
                <w:szCs w:val="20"/>
              </w:rPr>
              <w:t xml:space="preserve">) azathioprine at a dose of at least 1 mg/kg per day; and/or (ii) </w:t>
            </w:r>
            <w:proofErr w:type="spellStart"/>
            <w:r w:rsidRPr="002E6BC6">
              <w:rPr>
                <w:rFonts w:ascii="Arial Narrow" w:hAnsi="Arial Narrow" w:cs="Arial"/>
                <w:sz w:val="20"/>
                <w:szCs w:val="20"/>
              </w:rPr>
              <w:t>cyclosporin</w:t>
            </w:r>
            <w:proofErr w:type="spellEnd"/>
            <w:r w:rsidRPr="002E6BC6">
              <w:rPr>
                <w:rFonts w:ascii="Arial Narrow" w:hAnsi="Arial Narrow" w:cs="Arial"/>
                <w:sz w:val="20"/>
                <w:szCs w:val="20"/>
              </w:rPr>
              <w:t xml:space="preserve"> at a dose of at least 2 mg/kg/day; and/or (iii) sodium </w:t>
            </w:r>
            <w:proofErr w:type="spellStart"/>
            <w:r w:rsidRPr="002E6BC6">
              <w:rPr>
                <w:rFonts w:ascii="Arial Narrow" w:hAnsi="Arial Narrow" w:cs="Arial"/>
                <w:sz w:val="20"/>
                <w:szCs w:val="20"/>
              </w:rPr>
              <w:t>aurothiomalate</w:t>
            </w:r>
            <w:proofErr w:type="spellEnd"/>
            <w:r w:rsidRPr="002E6BC6">
              <w:rPr>
                <w:rFonts w:ascii="Arial Narrow" w:hAnsi="Arial Narrow" w:cs="Arial"/>
                <w:sz w:val="20"/>
                <w:szCs w:val="20"/>
              </w:rPr>
              <w:t xml:space="preserve"> at a dose of 50 mg weekly; </w:t>
            </w:r>
          </w:p>
          <w:p w:rsidR="00625087" w:rsidRPr="002E6BC6" w:rsidRDefault="00625087" w:rsidP="005E11C2">
            <w:pPr>
              <w:spacing w:before="40" w:after="40"/>
              <w:rPr>
                <w:rFonts w:ascii="Arial Narrow" w:hAnsi="Arial Narrow" w:cs="Arial"/>
                <w:sz w:val="20"/>
                <w:szCs w:val="20"/>
              </w:rPr>
            </w:pPr>
            <w:r w:rsidRPr="002E6BC6">
              <w:rPr>
                <w:rFonts w:ascii="Arial Narrow" w:hAnsi="Arial Narrow" w:cs="Arial"/>
                <w:sz w:val="20"/>
                <w:szCs w:val="20"/>
              </w:rPr>
              <w:t>AND</w:t>
            </w:r>
          </w:p>
          <w:p w:rsidR="00625087" w:rsidRPr="002E6BC6" w:rsidRDefault="00625087" w:rsidP="005E11C2">
            <w:pPr>
              <w:spacing w:before="40" w:after="40"/>
              <w:rPr>
                <w:rFonts w:ascii="Arial Narrow" w:hAnsi="Arial Narrow" w:cs="Arial"/>
                <w:sz w:val="20"/>
                <w:szCs w:val="20"/>
              </w:rPr>
            </w:pPr>
            <w:r w:rsidRPr="002E6BC6">
              <w:rPr>
                <w:rFonts w:ascii="Arial Narrow" w:hAnsi="Arial Narrow" w:cs="Arial"/>
                <w:sz w:val="20"/>
                <w:szCs w:val="20"/>
              </w:rPr>
              <w:t xml:space="preserve">Patient must not receive more than 16 weeks of treatment under this restriction. </w:t>
            </w:r>
          </w:p>
        </w:tc>
      </w:tr>
      <w:tr w:rsidR="00E71F2F"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E71F2F" w:rsidRPr="002E6BC6" w:rsidRDefault="00E71F2F" w:rsidP="005E11C2">
            <w:pPr>
              <w:spacing w:before="40" w:after="40"/>
              <w:jc w:val="both"/>
              <w:rPr>
                <w:rFonts w:ascii="Arial Narrow" w:hAnsi="Arial Narrow" w:cs="Arial"/>
                <w:b/>
                <w:sz w:val="20"/>
                <w:szCs w:val="20"/>
              </w:rPr>
            </w:pPr>
            <w:r w:rsidRPr="002E6BC6">
              <w:rPr>
                <w:rFonts w:ascii="Arial Narrow" w:hAnsi="Arial Narrow" w:cs="Arial"/>
                <w:b/>
                <w:sz w:val="20"/>
                <w:szCs w:val="20"/>
              </w:rPr>
              <w:t>Population Criteria:</w:t>
            </w:r>
          </w:p>
        </w:tc>
        <w:tc>
          <w:tcPr>
            <w:tcW w:w="3937" w:type="pct"/>
            <w:tcBorders>
              <w:top w:val="single" w:sz="4" w:space="0" w:color="auto"/>
              <w:left w:val="single" w:sz="4" w:space="0" w:color="auto"/>
              <w:bottom w:val="single" w:sz="4" w:space="0" w:color="auto"/>
              <w:right w:val="single" w:sz="4" w:space="0" w:color="auto"/>
            </w:tcBorders>
          </w:tcPr>
          <w:p w:rsidR="00E71F2F" w:rsidRPr="002E6BC6" w:rsidRDefault="00E71F2F" w:rsidP="005E11C2">
            <w:pPr>
              <w:spacing w:before="40" w:after="40"/>
              <w:rPr>
                <w:rFonts w:ascii="Arial Narrow" w:hAnsi="Arial Narrow" w:cs="Arial"/>
                <w:sz w:val="20"/>
                <w:szCs w:val="20"/>
              </w:rPr>
            </w:pPr>
            <w:r w:rsidRPr="002E6BC6">
              <w:rPr>
                <w:rFonts w:ascii="Arial Narrow" w:hAnsi="Arial Narrow" w:cs="Arial"/>
                <w:sz w:val="20"/>
                <w:szCs w:val="20"/>
              </w:rPr>
              <w:t>Patient must be aged 18 years or older</w:t>
            </w:r>
            <w:r w:rsidR="00184B35" w:rsidRPr="002E6BC6">
              <w:rPr>
                <w:rFonts w:ascii="Arial Narrow" w:hAnsi="Arial Narrow" w:cs="Arial"/>
                <w:sz w:val="20"/>
                <w:szCs w:val="20"/>
              </w:rPr>
              <w:t>.</w:t>
            </w:r>
          </w:p>
        </w:tc>
      </w:tr>
      <w:tr w:rsidR="004063DF"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063DF" w:rsidRPr="002E6BC6" w:rsidRDefault="004063DF" w:rsidP="005E11C2">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Prescriber Instructions</w:t>
            </w:r>
          </w:p>
          <w:p w:rsidR="004063DF" w:rsidRPr="002E6BC6" w:rsidRDefault="004063DF" w:rsidP="005E11C2">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4063DF" w:rsidRPr="002E6BC6" w:rsidRDefault="00625087" w:rsidP="0045439D">
            <w:pPr>
              <w:spacing w:before="40" w:after="40"/>
              <w:rPr>
                <w:rFonts w:ascii="Arial Narrow" w:hAnsi="Arial Narrow" w:cs="Arial"/>
                <w:sz w:val="20"/>
                <w:szCs w:val="20"/>
              </w:rPr>
            </w:pPr>
            <w:r w:rsidRPr="002E6BC6">
              <w:rPr>
                <w:rFonts w:ascii="Arial Narrow" w:hAnsi="Arial Narrow" w:cs="Arial"/>
                <w:sz w:val="20"/>
                <w:szCs w:val="20"/>
              </w:rPr>
              <w:t xml:space="preserve">For the purposes of </w:t>
            </w:r>
            <w:proofErr w:type="gramStart"/>
            <w:r w:rsidRPr="002E6BC6">
              <w:rPr>
                <w:rFonts w:ascii="Arial Narrow" w:hAnsi="Arial Narrow" w:cs="Arial"/>
                <w:sz w:val="20"/>
                <w:szCs w:val="20"/>
              </w:rPr>
              <w:t>this</w:t>
            </w:r>
            <w:proofErr w:type="gramEnd"/>
            <w:r w:rsidRPr="002E6BC6">
              <w:rPr>
                <w:rFonts w:ascii="Arial Narrow" w:hAnsi="Arial Narrow" w:cs="Arial"/>
                <w:sz w:val="20"/>
                <w:szCs w:val="20"/>
              </w:rPr>
              <w:t xml:space="preserve"> restriction 'biological disease modifying anti-rheumatic drug' and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mean </w:t>
            </w:r>
            <w:proofErr w:type="spellStart"/>
            <w:r w:rsidRPr="002E6BC6">
              <w:rPr>
                <w:rFonts w:ascii="Arial Narrow" w:hAnsi="Arial Narrow" w:cs="Arial"/>
                <w:sz w:val="20"/>
                <w:szCs w:val="20"/>
              </w:rPr>
              <w:t>adalimumab</w:t>
            </w:r>
            <w:proofErr w:type="spellEnd"/>
            <w:r w:rsidRPr="002E6BC6">
              <w:rPr>
                <w:rFonts w:ascii="Arial Narrow" w:hAnsi="Arial Narrow" w:cs="Arial"/>
                <w:sz w:val="20"/>
                <w:szCs w:val="20"/>
              </w:rPr>
              <w:t xml:space="preserve">, </w:t>
            </w:r>
            <w:proofErr w:type="spellStart"/>
            <w:r w:rsidRPr="002E6BC6">
              <w:rPr>
                <w:rFonts w:ascii="Arial Narrow" w:hAnsi="Arial Narrow" w:cs="Arial"/>
                <w:sz w:val="20"/>
                <w:szCs w:val="20"/>
              </w:rPr>
              <w:t>etanercept</w:t>
            </w:r>
            <w:proofErr w:type="spellEnd"/>
            <w:r w:rsidRPr="002E6BC6">
              <w:rPr>
                <w:rFonts w:ascii="Arial Narrow" w:hAnsi="Arial Narrow" w:cs="Arial"/>
                <w:sz w:val="20"/>
                <w:szCs w:val="20"/>
              </w:rPr>
              <w:t xml:space="preserve"> or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w:t>
            </w:r>
          </w:p>
          <w:p w:rsidR="00184B35" w:rsidRPr="002E6BC6" w:rsidRDefault="00184B35" w:rsidP="0045439D">
            <w:pPr>
              <w:spacing w:before="40" w:after="40"/>
              <w:rPr>
                <w:rFonts w:ascii="Arial Narrow" w:hAnsi="Arial Narrow" w:cs="Arial"/>
                <w:sz w:val="20"/>
                <w:szCs w:val="20"/>
              </w:rPr>
            </w:pP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 xml:space="preserve">If methotrexate </w:t>
            </w:r>
            <w:proofErr w:type="gramStart"/>
            <w:r w:rsidRPr="002E6BC6">
              <w:rPr>
                <w:rFonts w:ascii="Arial Narrow" w:hAnsi="Arial Narrow" w:cs="Arial"/>
                <w:sz w:val="20"/>
                <w:szCs w:val="20"/>
              </w:rPr>
              <w:t>is contraindicated</w:t>
            </w:r>
            <w:proofErr w:type="gramEnd"/>
            <w:r w:rsidRPr="002E6BC6">
              <w:rPr>
                <w:rFonts w:ascii="Arial Narrow" w:hAnsi="Arial Narrow" w:cs="Arial"/>
                <w:sz w:val="20"/>
                <w:szCs w:val="20"/>
              </w:rPr>
              <w:t xml:space="preserve"> according to the TGA-approved Product Information or cannot be tolerated at a 20 mg weekly dose, the application must include details of the contraindication or intolerance to methotrexate. The maximum tolerated dose of methotrexate </w:t>
            </w:r>
            <w:proofErr w:type="gramStart"/>
            <w:r w:rsidRPr="002E6BC6">
              <w:rPr>
                <w:rFonts w:ascii="Arial Narrow" w:hAnsi="Arial Narrow" w:cs="Arial"/>
                <w:sz w:val="20"/>
                <w:szCs w:val="20"/>
              </w:rPr>
              <w:t>must be documented</w:t>
            </w:r>
            <w:proofErr w:type="gramEnd"/>
            <w:r w:rsidRPr="002E6BC6">
              <w:rPr>
                <w:rFonts w:ascii="Arial Narrow" w:hAnsi="Arial Narrow" w:cs="Arial"/>
                <w:sz w:val="20"/>
                <w:szCs w:val="20"/>
              </w:rPr>
              <w:t xml:space="preserve"> in the application, if applicable.</w:t>
            </w: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 xml:space="preserve">The application must include details of the DMARDs trialled, their doses and duration of treatment, and all relevant contraindications and/or intolerances. </w:t>
            </w: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 xml:space="preserve">The requirement to trial at least 2 DMARDs for periods of at least 3 months each can be met using single agents sequentially or by using one or more combinations of DMARDs. </w:t>
            </w: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 xml:space="preserve">If the requirement to trial 6 months of intensive DMARD therapy with at least 2 DMARDs </w:t>
            </w:r>
            <w:proofErr w:type="gramStart"/>
            <w:r w:rsidRPr="002E6BC6">
              <w:rPr>
                <w:rFonts w:ascii="Arial Narrow" w:hAnsi="Arial Narrow" w:cs="Arial"/>
                <w:sz w:val="20"/>
                <w:szCs w:val="20"/>
              </w:rPr>
              <w:t>cannot be met</w:t>
            </w:r>
            <w:proofErr w:type="gramEnd"/>
            <w:r w:rsidRPr="002E6BC6">
              <w:rPr>
                <w:rFonts w:ascii="Arial Narrow" w:hAnsi="Arial Narrow" w:cs="Arial"/>
                <w:sz w:val="20"/>
                <w:szCs w:val="20"/>
              </w:rPr>
              <w:t xml:space="preserve"> because of contraindications and/or intolerances of a severity necessitating permanent treatment withdrawal to all of the DMARDs specified above, details of the contraindication or intolerance and dose for each DMARD must be provided in the authority application.</w:t>
            </w:r>
          </w:p>
          <w:p w:rsidR="00184B35" w:rsidRPr="002E6BC6" w:rsidRDefault="00184B35" w:rsidP="00625087">
            <w:pPr>
              <w:spacing w:before="40" w:after="40"/>
              <w:rPr>
                <w:rFonts w:ascii="Arial Narrow" w:hAnsi="Arial Narrow" w:cs="Arial"/>
                <w:sz w:val="20"/>
                <w:szCs w:val="20"/>
              </w:rPr>
            </w:pP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 xml:space="preserve">The following criteria indicate failure to achieve an adequate response and must be demonstrated in all patients at the time of the initial application: </w:t>
            </w: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 xml:space="preserve">an elevated erythrocyte sedimentation rate (ESR) greater than 25 mm per hour or a C-reactive protein (CRP) level greater than 15 mg per L; AND either </w:t>
            </w: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(a) an active joint count of at least 20 active (swollen and tender) joints; or</w:t>
            </w: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(b) at least 4 active joints from the following list:</w:t>
            </w: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w:t>
            </w:r>
            <w:proofErr w:type="spellStart"/>
            <w:r w:rsidRPr="002E6BC6">
              <w:rPr>
                <w:rFonts w:ascii="Arial Narrow" w:hAnsi="Arial Narrow" w:cs="Arial"/>
                <w:sz w:val="20"/>
                <w:szCs w:val="20"/>
              </w:rPr>
              <w:t>i</w:t>
            </w:r>
            <w:proofErr w:type="spellEnd"/>
            <w:r w:rsidRPr="002E6BC6">
              <w:rPr>
                <w:rFonts w:ascii="Arial Narrow" w:hAnsi="Arial Narrow" w:cs="Arial"/>
                <w:sz w:val="20"/>
                <w:szCs w:val="20"/>
              </w:rPr>
              <w:t>) elbow, wrist, knee and/or ankle (assessed as swollen and tender); and/or</w:t>
            </w: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 xml:space="preserve">(ii) </w:t>
            </w:r>
            <w:proofErr w:type="gramStart"/>
            <w:r w:rsidRPr="002E6BC6">
              <w:rPr>
                <w:rFonts w:ascii="Arial Narrow" w:hAnsi="Arial Narrow" w:cs="Arial"/>
                <w:sz w:val="20"/>
                <w:szCs w:val="20"/>
              </w:rPr>
              <w:t>shoulder</w:t>
            </w:r>
            <w:proofErr w:type="gramEnd"/>
            <w:r w:rsidRPr="002E6BC6">
              <w:rPr>
                <w:rFonts w:ascii="Arial Narrow" w:hAnsi="Arial Narrow" w:cs="Arial"/>
                <w:sz w:val="20"/>
                <w:szCs w:val="20"/>
              </w:rPr>
              <w:t xml:space="preserve">, cervical spine and/or hip (assessed as pain in passive movement and restriction of passive movement, where pain and limitation of movement are due to active disease and not irreversible damage such as joint destruction or bony overgrowth). </w:t>
            </w: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 xml:space="preserve">The joint count and ESR and/or CRP must be determined at the completion of the </w:t>
            </w:r>
            <w:proofErr w:type="gramStart"/>
            <w:r w:rsidRPr="002E6BC6">
              <w:rPr>
                <w:rFonts w:ascii="Arial Narrow" w:hAnsi="Arial Narrow" w:cs="Arial"/>
                <w:sz w:val="20"/>
                <w:szCs w:val="20"/>
              </w:rPr>
              <w:t>6 month</w:t>
            </w:r>
            <w:proofErr w:type="gramEnd"/>
            <w:r w:rsidRPr="002E6BC6">
              <w:rPr>
                <w:rFonts w:ascii="Arial Narrow" w:hAnsi="Arial Narrow" w:cs="Arial"/>
                <w:sz w:val="20"/>
                <w:szCs w:val="20"/>
              </w:rPr>
              <w:t xml:space="preserve"> intensive DMARD trial, but prior to ceasing DMARD therapy. All measures must be no more than one month old at the time of initial application. </w:t>
            </w: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 xml:space="preserve">If the above requirement to demonstrate an elevated ESR or CRP </w:t>
            </w:r>
            <w:proofErr w:type="gramStart"/>
            <w:r w:rsidRPr="002E6BC6">
              <w:rPr>
                <w:rFonts w:ascii="Arial Narrow" w:hAnsi="Arial Narrow" w:cs="Arial"/>
                <w:sz w:val="20"/>
                <w:szCs w:val="20"/>
              </w:rPr>
              <w:t>cannot be met</w:t>
            </w:r>
            <w:proofErr w:type="gramEnd"/>
            <w:r w:rsidRPr="002E6BC6">
              <w:rPr>
                <w:rFonts w:ascii="Arial Narrow" w:hAnsi="Arial Narrow" w:cs="Arial"/>
                <w:sz w:val="20"/>
                <w:szCs w:val="20"/>
              </w:rPr>
              <w:t>, the application must state the reasons why this criterion cannot be satisfied.</w:t>
            </w:r>
          </w:p>
          <w:p w:rsidR="00184B35" w:rsidRPr="002E6BC6" w:rsidRDefault="00184B35" w:rsidP="00625087">
            <w:pPr>
              <w:spacing w:before="40" w:after="40"/>
              <w:rPr>
                <w:rFonts w:ascii="Arial Narrow" w:hAnsi="Arial Narrow" w:cs="Arial"/>
                <w:sz w:val="20"/>
                <w:szCs w:val="20"/>
              </w:rPr>
            </w:pP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The authority application must be made in writing and must include:</w:t>
            </w: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(1) completed authority prescription form(s); and</w:t>
            </w:r>
          </w:p>
          <w:p w:rsidR="00184B35"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 xml:space="preserve">(2) </w:t>
            </w:r>
            <w:proofErr w:type="gramStart"/>
            <w:r w:rsidRPr="002E6BC6">
              <w:rPr>
                <w:rFonts w:ascii="Arial Narrow" w:hAnsi="Arial Narrow" w:cs="Arial"/>
                <w:sz w:val="20"/>
                <w:szCs w:val="20"/>
              </w:rPr>
              <w:t>a</w:t>
            </w:r>
            <w:proofErr w:type="gramEnd"/>
            <w:r w:rsidRPr="002E6BC6">
              <w:rPr>
                <w:rFonts w:ascii="Arial Narrow" w:hAnsi="Arial Narrow" w:cs="Arial"/>
                <w:sz w:val="20"/>
                <w:szCs w:val="20"/>
              </w:rPr>
              <w:t xml:space="preserve"> completed Juvenile Idiopathic Arthritis PBS Authority Application - Supporting Information Form</w:t>
            </w:r>
            <w:r w:rsidR="00184B35" w:rsidRPr="002E6BC6">
              <w:rPr>
                <w:rFonts w:ascii="Arial Narrow" w:hAnsi="Arial Narrow" w:cs="Arial"/>
                <w:sz w:val="20"/>
                <w:szCs w:val="20"/>
              </w:rPr>
              <w:t>.</w:t>
            </w: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 xml:space="preserve"> </w:t>
            </w:r>
          </w:p>
          <w:p w:rsidR="00625087" w:rsidRPr="002E6BC6" w:rsidRDefault="00625087" w:rsidP="0045439D">
            <w:pPr>
              <w:spacing w:before="40" w:after="40"/>
              <w:rPr>
                <w:rFonts w:ascii="Arial Narrow" w:hAnsi="Arial Narrow" w:cs="Arial"/>
                <w:sz w:val="20"/>
                <w:szCs w:val="20"/>
              </w:rPr>
            </w:pPr>
            <w:r w:rsidRPr="002E6BC6">
              <w:rPr>
                <w:rFonts w:ascii="Arial Narrow" w:hAnsi="Arial Narrow" w:cs="Arial"/>
                <w:sz w:val="20"/>
                <w:szCs w:val="20"/>
              </w:rPr>
              <w:t xml:space="preserve">If a patient fails to respond to PBS-subsidised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treatment 3 times (once with each </w:t>
            </w:r>
            <w:proofErr w:type="gramStart"/>
            <w:r w:rsidRPr="002E6BC6">
              <w:rPr>
                <w:rFonts w:ascii="Arial Narrow" w:hAnsi="Arial Narrow" w:cs="Arial"/>
                <w:sz w:val="20"/>
                <w:szCs w:val="20"/>
              </w:rPr>
              <w:t>agent)</w:t>
            </w:r>
            <w:proofErr w:type="gramEnd"/>
            <w:r w:rsidRPr="002E6BC6">
              <w:rPr>
                <w:rFonts w:ascii="Arial Narrow" w:hAnsi="Arial Narrow" w:cs="Arial"/>
                <w:sz w:val="20"/>
                <w:szCs w:val="20"/>
              </w:rPr>
              <w:t xml:space="preserve"> they will not be eligible to receive further PBS-subsidised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therapy in this treatment cycle. A </w:t>
            </w:r>
            <w:proofErr w:type="gramStart"/>
            <w:r w:rsidRPr="002E6BC6">
              <w:rPr>
                <w:rFonts w:ascii="Arial Narrow" w:hAnsi="Arial Narrow" w:cs="Arial"/>
                <w:sz w:val="20"/>
                <w:szCs w:val="20"/>
              </w:rPr>
              <w:t xml:space="preserve">patient may re-trial </w:t>
            </w:r>
            <w:proofErr w:type="spellStart"/>
            <w:r w:rsidRPr="002E6BC6">
              <w:rPr>
                <w:rFonts w:ascii="Arial Narrow" w:hAnsi="Arial Narrow" w:cs="Arial"/>
                <w:sz w:val="20"/>
                <w:szCs w:val="20"/>
              </w:rPr>
              <w:t>tocilizumab</w:t>
            </w:r>
            <w:proofErr w:type="spellEnd"/>
            <w:proofErr w:type="gramEnd"/>
            <w:r w:rsidRPr="002E6BC6">
              <w:rPr>
                <w:rFonts w:ascii="Arial Narrow" w:hAnsi="Arial Narrow" w:cs="Arial"/>
                <w:sz w:val="20"/>
                <w:szCs w:val="20"/>
              </w:rPr>
              <w:t xml:space="preserve"> after a minimum of 5 years have elapsed between the date of the last approval for PBS-subsidised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therapy in the last treatment cycle and the date of the first application under a new treatment cycle.</w:t>
            </w:r>
          </w:p>
        </w:tc>
      </w:tr>
      <w:tr w:rsidR="004063DF"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063DF" w:rsidRPr="002E6BC6" w:rsidRDefault="004063DF" w:rsidP="005E11C2">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Administrative Advice:</w:t>
            </w:r>
          </w:p>
          <w:p w:rsidR="004063DF" w:rsidRPr="002E6BC6" w:rsidRDefault="004063DF" w:rsidP="005E11C2">
            <w:pPr>
              <w:spacing w:before="40" w:after="40"/>
              <w:jc w:val="both"/>
              <w:rPr>
                <w:rFonts w:ascii="Arial Narrow" w:hAnsi="Arial Narrow" w:cs="Arial"/>
                <w:b/>
                <w:sz w:val="20"/>
                <w:szCs w:val="20"/>
              </w:rPr>
            </w:pPr>
          </w:p>
        </w:tc>
        <w:tc>
          <w:tcPr>
            <w:tcW w:w="3937" w:type="pct"/>
            <w:tcBorders>
              <w:top w:val="single" w:sz="4" w:space="0" w:color="auto"/>
              <w:left w:val="single" w:sz="4" w:space="0" w:color="auto"/>
              <w:bottom w:val="single" w:sz="4" w:space="0" w:color="auto"/>
              <w:right w:val="single" w:sz="4" w:space="0" w:color="auto"/>
            </w:tcBorders>
          </w:tcPr>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The Department of Human Services website (www.humanservices.gov.au) has details of the toxicities, including severity, which will be accepted for the following purposes:</w:t>
            </w: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 xml:space="preserve">(a) exempting a patient from the requirement to undertake a minimum 3 month trial of methotrexate at a 20 mg weekly dose; </w:t>
            </w: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 xml:space="preserve">(b) substituting azathioprine, </w:t>
            </w:r>
            <w:proofErr w:type="spellStart"/>
            <w:r w:rsidRPr="002E6BC6">
              <w:rPr>
                <w:rFonts w:ascii="Arial Narrow" w:hAnsi="Arial Narrow" w:cs="Arial"/>
                <w:sz w:val="20"/>
                <w:szCs w:val="20"/>
              </w:rPr>
              <w:t>cyclosporin</w:t>
            </w:r>
            <w:proofErr w:type="spellEnd"/>
            <w:r w:rsidRPr="002E6BC6">
              <w:rPr>
                <w:rFonts w:ascii="Arial Narrow" w:hAnsi="Arial Narrow" w:cs="Arial"/>
                <w:sz w:val="20"/>
                <w:szCs w:val="20"/>
              </w:rPr>
              <w:t xml:space="preserve"> or sodium </w:t>
            </w:r>
            <w:proofErr w:type="spellStart"/>
            <w:r w:rsidRPr="002E6BC6">
              <w:rPr>
                <w:rFonts w:ascii="Arial Narrow" w:hAnsi="Arial Narrow" w:cs="Arial"/>
                <w:sz w:val="20"/>
                <w:szCs w:val="20"/>
              </w:rPr>
              <w:t>aurothiomalate</w:t>
            </w:r>
            <w:proofErr w:type="spellEnd"/>
            <w:r w:rsidRPr="002E6BC6">
              <w:rPr>
                <w:rFonts w:ascii="Arial Narrow" w:hAnsi="Arial Narrow" w:cs="Arial"/>
                <w:sz w:val="20"/>
                <w:szCs w:val="20"/>
              </w:rPr>
              <w:t xml:space="preserve"> for another DMARD as part of the 6 month intensive DMARD trial;</w:t>
            </w:r>
          </w:p>
          <w:p w:rsidR="00625087" w:rsidRPr="002E6BC6" w:rsidRDefault="00625087" w:rsidP="00625087">
            <w:pPr>
              <w:spacing w:before="40" w:after="40"/>
              <w:rPr>
                <w:rFonts w:ascii="Arial Narrow" w:hAnsi="Arial Narrow" w:cs="Arial"/>
                <w:sz w:val="20"/>
                <w:szCs w:val="20"/>
              </w:rPr>
            </w:pPr>
            <w:r w:rsidRPr="002E6BC6">
              <w:rPr>
                <w:rFonts w:ascii="Arial Narrow" w:hAnsi="Arial Narrow" w:cs="Arial"/>
                <w:sz w:val="20"/>
                <w:szCs w:val="20"/>
              </w:rPr>
              <w:t xml:space="preserve">(c) </w:t>
            </w:r>
            <w:proofErr w:type="gramStart"/>
            <w:r w:rsidRPr="002E6BC6">
              <w:rPr>
                <w:rFonts w:ascii="Arial Narrow" w:hAnsi="Arial Narrow" w:cs="Arial"/>
                <w:sz w:val="20"/>
                <w:szCs w:val="20"/>
              </w:rPr>
              <w:t>exempting</w:t>
            </w:r>
            <w:proofErr w:type="gramEnd"/>
            <w:r w:rsidRPr="002E6BC6">
              <w:rPr>
                <w:rFonts w:ascii="Arial Narrow" w:hAnsi="Arial Narrow" w:cs="Arial"/>
                <w:sz w:val="20"/>
                <w:szCs w:val="20"/>
              </w:rPr>
              <w:t xml:space="preserve"> a patient from the requirement for a 6 month trial of intensive DMARD therapy.</w:t>
            </w:r>
          </w:p>
          <w:p w:rsidR="00625087" w:rsidRPr="002E6BC6" w:rsidRDefault="00625087" w:rsidP="005E11C2">
            <w:pPr>
              <w:spacing w:before="40" w:after="40"/>
              <w:rPr>
                <w:rFonts w:ascii="Arial Narrow" w:hAnsi="Arial Narrow" w:cs="Arial"/>
                <w:sz w:val="20"/>
                <w:szCs w:val="20"/>
              </w:rPr>
            </w:pPr>
          </w:p>
          <w:p w:rsidR="004063DF" w:rsidRPr="002E6BC6" w:rsidRDefault="004063DF" w:rsidP="005E11C2">
            <w:pPr>
              <w:spacing w:before="40" w:after="40"/>
              <w:rPr>
                <w:rFonts w:ascii="Arial Narrow" w:hAnsi="Arial Narrow" w:cs="Arial"/>
                <w:sz w:val="20"/>
                <w:szCs w:val="20"/>
              </w:rPr>
            </w:pPr>
            <w:r w:rsidRPr="002E6BC6">
              <w:rPr>
                <w:rFonts w:ascii="Arial Narrow" w:hAnsi="Arial Narrow" w:cs="Arial"/>
                <w:sz w:val="20"/>
                <w:szCs w:val="20"/>
              </w:rPr>
              <w:t xml:space="preserve">Any queries concerning the arrangements to prescribe may be directed to the Department of Human Services on 1800 700 270 (hours of operation 8 a.m. to 5 p.m. EST Monday to Friday). </w:t>
            </w:r>
          </w:p>
          <w:p w:rsidR="004063DF" w:rsidRPr="002E6BC6" w:rsidRDefault="004063DF" w:rsidP="005E11C2">
            <w:pPr>
              <w:spacing w:before="40" w:after="40"/>
              <w:rPr>
                <w:rFonts w:ascii="Arial Narrow" w:hAnsi="Arial Narrow" w:cs="Arial"/>
                <w:sz w:val="20"/>
                <w:szCs w:val="20"/>
              </w:rPr>
            </w:pPr>
            <w:r w:rsidRPr="002E6BC6">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4063DF" w:rsidRPr="002E6BC6" w:rsidRDefault="004063DF" w:rsidP="005E11C2">
            <w:pPr>
              <w:spacing w:before="40" w:after="40"/>
              <w:rPr>
                <w:rFonts w:ascii="Arial Narrow" w:hAnsi="Arial Narrow" w:cs="Arial"/>
                <w:sz w:val="20"/>
                <w:szCs w:val="20"/>
              </w:rPr>
            </w:pPr>
            <w:r w:rsidRPr="002E6BC6">
              <w:rPr>
                <w:rFonts w:ascii="Arial Narrow" w:hAnsi="Arial Narrow" w:cs="Arial"/>
                <w:sz w:val="20"/>
                <w:szCs w:val="20"/>
              </w:rPr>
              <w:t xml:space="preserve">Applications for authority to prescribe should be forwarded to: </w:t>
            </w:r>
          </w:p>
          <w:p w:rsidR="004063DF" w:rsidRPr="002E6BC6" w:rsidRDefault="004063DF" w:rsidP="005E11C2">
            <w:pPr>
              <w:spacing w:before="40" w:after="40"/>
              <w:rPr>
                <w:rFonts w:ascii="Arial Narrow" w:hAnsi="Arial Narrow" w:cs="Arial"/>
                <w:sz w:val="20"/>
                <w:szCs w:val="20"/>
              </w:rPr>
            </w:pPr>
            <w:r w:rsidRPr="002E6BC6">
              <w:rPr>
                <w:rFonts w:ascii="Arial Narrow" w:hAnsi="Arial Narrow" w:cs="Arial"/>
                <w:sz w:val="20"/>
                <w:szCs w:val="20"/>
              </w:rPr>
              <w:t>Department of Human Services</w:t>
            </w:r>
          </w:p>
          <w:p w:rsidR="004063DF" w:rsidRPr="002E6BC6" w:rsidRDefault="004063DF" w:rsidP="005E11C2">
            <w:pPr>
              <w:spacing w:before="40" w:after="40"/>
              <w:rPr>
                <w:rFonts w:ascii="Arial Narrow" w:hAnsi="Arial Narrow" w:cs="Arial"/>
                <w:sz w:val="20"/>
                <w:szCs w:val="20"/>
              </w:rPr>
            </w:pPr>
            <w:r w:rsidRPr="002E6BC6">
              <w:rPr>
                <w:rFonts w:ascii="Arial Narrow" w:hAnsi="Arial Narrow" w:cs="Arial"/>
                <w:sz w:val="20"/>
                <w:szCs w:val="20"/>
              </w:rPr>
              <w:t xml:space="preserve">Complex Drugs </w:t>
            </w:r>
          </w:p>
          <w:p w:rsidR="004063DF" w:rsidRPr="002E6BC6" w:rsidRDefault="004063DF" w:rsidP="005E11C2">
            <w:pPr>
              <w:spacing w:before="40" w:after="40"/>
              <w:rPr>
                <w:rFonts w:ascii="Arial Narrow" w:hAnsi="Arial Narrow" w:cs="Arial"/>
                <w:sz w:val="20"/>
                <w:szCs w:val="20"/>
              </w:rPr>
            </w:pPr>
            <w:r w:rsidRPr="002E6BC6">
              <w:rPr>
                <w:rFonts w:ascii="Arial Narrow" w:hAnsi="Arial Narrow" w:cs="Arial"/>
                <w:sz w:val="20"/>
                <w:szCs w:val="20"/>
              </w:rPr>
              <w:t xml:space="preserve">Reply Paid 9826 </w:t>
            </w:r>
          </w:p>
          <w:p w:rsidR="004063DF" w:rsidRPr="002E6BC6" w:rsidRDefault="004063DF" w:rsidP="005E11C2">
            <w:pPr>
              <w:spacing w:before="40" w:after="40"/>
              <w:rPr>
                <w:rFonts w:ascii="Arial Narrow" w:hAnsi="Arial Narrow" w:cs="Arial"/>
                <w:sz w:val="20"/>
                <w:szCs w:val="20"/>
              </w:rPr>
            </w:pPr>
            <w:r w:rsidRPr="002E6BC6">
              <w:rPr>
                <w:rFonts w:ascii="Arial Narrow" w:hAnsi="Arial Narrow" w:cs="Arial"/>
                <w:sz w:val="20"/>
                <w:szCs w:val="20"/>
              </w:rPr>
              <w:t>HOBART TAS 7001</w:t>
            </w:r>
          </w:p>
        </w:tc>
      </w:tr>
    </w:tbl>
    <w:p w:rsidR="0045439D" w:rsidRPr="002E6BC6" w:rsidRDefault="0045439D" w:rsidP="00DC1927"/>
    <w:tbl>
      <w:tblPr>
        <w:tblW w:w="5000" w:type="pct"/>
        <w:tblLook w:val="0000" w:firstRow="0" w:lastRow="0" w:firstColumn="0" w:lastColumn="0" w:noHBand="0" w:noVBand="0"/>
      </w:tblPr>
      <w:tblGrid>
        <w:gridCol w:w="1917"/>
        <w:gridCol w:w="7099"/>
      </w:tblGrid>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 xml:space="preserve">Category / </w:t>
            </w:r>
          </w:p>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Program</w:t>
            </w: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GENERAL – General Schedule (Code GE)</w:t>
            </w:r>
          </w:p>
          <w:p w:rsidR="0045439D" w:rsidRPr="002E6BC6" w:rsidRDefault="0045439D" w:rsidP="005E11C2">
            <w:pPr>
              <w:spacing w:before="40" w:after="40"/>
              <w:rPr>
                <w:rFonts w:ascii="Arial Narrow" w:hAnsi="Arial Narrow" w:cs="Arial"/>
                <w:sz w:val="20"/>
                <w:szCs w:val="20"/>
              </w:rPr>
            </w:pP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Prescriber type:</w:t>
            </w: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Dental  </w:t>
            </w:r>
            <w:r w:rsidRPr="00A12DB8">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Medical Practitioners  </w:t>
            </w:r>
            <w:r w:rsidRPr="00A12DB8">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Nurse practitioners  </w:t>
            </w:r>
            <w:r w:rsidRPr="00A12DB8">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Optometrists</w:t>
            </w:r>
          </w:p>
          <w:p w:rsidR="0045439D" w:rsidRPr="002E6BC6" w:rsidRDefault="0045439D"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Midwives</w:t>
            </w: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Condition:</w:t>
            </w: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PBS Indication:</w:t>
            </w: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Treatment phase:</w:t>
            </w:r>
          </w:p>
          <w:p w:rsidR="0045439D" w:rsidRPr="002E6BC6" w:rsidRDefault="0045439D" w:rsidP="005E11C2">
            <w:pPr>
              <w:spacing w:before="40" w:after="40"/>
              <w:jc w:val="both"/>
              <w:rPr>
                <w:rFonts w:ascii="Arial Narrow" w:hAnsi="Arial Narrow" w:cs="Arial"/>
                <w:i/>
                <w:sz w:val="20"/>
                <w:szCs w:val="20"/>
              </w:rPr>
            </w:pP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486072" w:rsidP="005E11C2">
            <w:pPr>
              <w:spacing w:before="40" w:after="40"/>
              <w:rPr>
                <w:rFonts w:ascii="Arial Narrow" w:hAnsi="Arial Narrow" w:cs="Arial"/>
                <w:sz w:val="20"/>
                <w:szCs w:val="20"/>
              </w:rPr>
            </w:pPr>
            <w:r w:rsidRPr="002E6BC6">
              <w:rPr>
                <w:rFonts w:ascii="Arial Narrow" w:hAnsi="Arial Narrow" w:cs="Arial"/>
                <w:sz w:val="20"/>
                <w:szCs w:val="20"/>
              </w:rPr>
              <w:t>Initial treatment - Initial 2 (change or recommencement of treatment after break of less than 24 months)</w:t>
            </w: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Restriction Level / Method:</w:t>
            </w:r>
          </w:p>
          <w:p w:rsidR="0045439D" w:rsidRPr="002E6BC6" w:rsidRDefault="0045439D" w:rsidP="005E11C2">
            <w:pPr>
              <w:spacing w:before="40" w:after="40"/>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Restricted benefit</w:t>
            </w:r>
          </w:p>
          <w:p w:rsidR="0045439D" w:rsidRPr="002E6BC6" w:rsidRDefault="0045439D"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In Writing</w:t>
            </w:r>
          </w:p>
          <w:p w:rsidR="0045439D" w:rsidRPr="002E6BC6" w:rsidRDefault="0045439D"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Telephone</w:t>
            </w:r>
          </w:p>
          <w:p w:rsidR="0045439D" w:rsidRPr="002E6BC6" w:rsidRDefault="0045439D"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Emergency</w:t>
            </w:r>
          </w:p>
          <w:p w:rsidR="0045439D" w:rsidRPr="002E6BC6" w:rsidRDefault="0045439D"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Electronic</w:t>
            </w:r>
          </w:p>
          <w:p w:rsidR="0045439D" w:rsidRPr="002E6BC6" w:rsidRDefault="0045439D"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Streamlined</w:t>
            </w: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 xml:space="preserve">Treatment criteria: </w:t>
            </w: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486072" w:rsidP="005E11C2">
            <w:pPr>
              <w:spacing w:before="40" w:after="40"/>
              <w:rPr>
                <w:rFonts w:ascii="Arial Narrow" w:hAnsi="Arial Narrow" w:cs="Arial"/>
                <w:sz w:val="20"/>
                <w:szCs w:val="20"/>
              </w:rPr>
            </w:pPr>
            <w:r w:rsidRPr="002E6BC6">
              <w:rPr>
                <w:rFonts w:ascii="Arial Narrow" w:hAnsi="Arial Narrow" w:cs="Arial"/>
                <w:sz w:val="20"/>
                <w:szCs w:val="20"/>
              </w:rPr>
              <w:t>Must be treated by a rheumatologist; or</w:t>
            </w:r>
          </w:p>
          <w:p w:rsidR="00E71F2F" w:rsidRPr="002E6BC6" w:rsidRDefault="00E71F2F" w:rsidP="005E11C2">
            <w:pPr>
              <w:spacing w:before="40" w:after="40"/>
              <w:rPr>
                <w:rFonts w:ascii="Arial Narrow" w:hAnsi="Arial Narrow" w:cs="Arial"/>
                <w:sz w:val="20"/>
                <w:szCs w:val="20"/>
              </w:rPr>
            </w:pPr>
            <w:r w:rsidRPr="002E6BC6">
              <w:rPr>
                <w:rFonts w:ascii="Arial Narrow" w:hAnsi="Arial Narrow" w:cs="Arial"/>
                <w:sz w:val="20"/>
                <w:szCs w:val="20"/>
              </w:rPr>
              <w:t>Must be treated by a clinical immunologist with expertise in the management of rheumatoid arthritis</w:t>
            </w: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Clinical criteria:</w:t>
            </w:r>
          </w:p>
          <w:p w:rsidR="0045439D" w:rsidRPr="002E6BC6" w:rsidRDefault="0045439D" w:rsidP="005E11C2">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EC081A" w:rsidRPr="002E6BC6" w:rsidRDefault="00E71F2F" w:rsidP="005E11C2">
            <w:pPr>
              <w:spacing w:before="40" w:after="40"/>
              <w:rPr>
                <w:rFonts w:ascii="Arial Narrow" w:hAnsi="Arial Narrow" w:cs="Arial"/>
                <w:sz w:val="20"/>
                <w:szCs w:val="20"/>
              </w:rPr>
            </w:pPr>
            <w:r w:rsidRPr="002E6BC6">
              <w:rPr>
                <w:rFonts w:ascii="Arial Narrow" w:hAnsi="Arial Narrow" w:cs="Arial"/>
                <w:sz w:val="20"/>
                <w:szCs w:val="20"/>
              </w:rPr>
              <w:t xml:space="preserve">Patient must have a documented history of severe active juvenile idiopathic arthritis with onset prior to the age of 18 years; </w:t>
            </w:r>
          </w:p>
          <w:p w:rsidR="0045439D" w:rsidRPr="002E6BC6" w:rsidRDefault="00E71F2F" w:rsidP="005E11C2">
            <w:pPr>
              <w:spacing w:before="40" w:after="40"/>
              <w:rPr>
                <w:rFonts w:ascii="Arial Narrow" w:hAnsi="Arial Narrow" w:cs="Arial"/>
                <w:sz w:val="20"/>
                <w:szCs w:val="20"/>
              </w:rPr>
            </w:pPr>
            <w:r w:rsidRPr="002E6BC6">
              <w:rPr>
                <w:rFonts w:ascii="Arial Narrow" w:hAnsi="Arial Narrow" w:cs="Arial"/>
                <w:sz w:val="20"/>
                <w:szCs w:val="20"/>
              </w:rPr>
              <w:t>AND</w:t>
            </w:r>
          </w:p>
          <w:p w:rsidR="00EC081A" w:rsidRPr="002E6BC6" w:rsidRDefault="00E71F2F" w:rsidP="005E11C2">
            <w:pPr>
              <w:spacing w:before="40" w:after="40"/>
              <w:rPr>
                <w:rFonts w:ascii="Arial Narrow" w:hAnsi="Arial Narrow" w:cs="Arial"/>
                <w:sz w:val="20"/>
                <w:szCs w:val="20"/>
              </w:rPr>
            </w:pPr>
            <w:r w:rsidRPr="002E6BC6">
              <w:rPr>
                <w:rFonts w:ascii="Arial Narrow" w:hAnsi="Arial Narrow" w:cs="Arial"/>
                <w:sz w:val="20"/>
                <w:szCs w:val="20"/>
              </w:rPr>
              <w:t xml:space="preserve">Patient must have received prior PBS-subsidised treatment with </w:t>
            </w:r>
            <w:proofErr w:type="spellStart"/>
            <w:r w:rsidRPr="002E6BC6">
              <w:rPr>
                <w:rFonts w:ascii="Arial Narrow" w:hAnsi="Arial Narrow" w:cs="Arial"/>
                <w:sz w:val="20"/>
                <w:szCs w:val="20"/>
              </w:rPr>
              <w:t>adalimumab</w:t>
            </w:r>
            <w:proofErr w:type="spellEnd"/>
            <w:r w:rsidRPr="002E6BC6">
              <w:rPr>
                <w:rFonts w:ascii="Arial Narrow" w:hAnsi="Arial Narrow" w:cs="Arial"/>
                <w:sz w:val="20"/>
                <w:szCs w:val="20"/>
              </w:rPr>
              <w:t xml:space="preserve">, </w:t>
            </w:r>
            <w:proofErr w:type="spellStart"/>
            <w:r w:rsidRPr="002E6BC6">
              <w:rPr>
                <w:rFonts w:ascii="Arial Narrow" w:hAnsi="Arial Narrow" w:cs="Arial"/>
                <w:sz w:val="20"/>
                <w:szCs w:val="20"/>
              </w:rPr>
              <w:t>etanercept</w:t>
            </w:r>
            <w:proofErr w:type="spellEnd"/>
            <w:r w:rsidRPr="002E6BC6">
              <w:rPr>
                <w:rFonts w:ascii="Arial Narrow" w:hAnsi="Arial Narrow" w:cs="Arial"/>
                <w:sz w:val="20"/>
                <w:szCs w:val="20"/>
              </w:rPr>
              <w:t xml:space="preserve"> or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for this condition in this treatment cycle; </w:t>
            </w:r>
          </w:p>
          <w:p w:rsidR="00E71F2F" w:rsidRPr="002E6BC6" w:rsidRDefault="00E71F2F" w:rsidP="005E11C2">
            <w:pPr>
              <w:spacing w:before="40" w:after="40"/>
              <w:rPr>
                <w:rFonts w:ascii="Arial Narrow" w:hAnsi="Arial Narrow" w:cs="Arial"/>
                <w:sz w:val="20"/>
                <w:szCs w:val="20"/>
              </w:rPr>
            </w:pPr>
            <w:r w:rsidRPr="002E6BC6">
              <w:rPr>
                <w:rFonts w:ascii="Arial Narrow" w:hAnsi="Arial Narrow" w:cs="Arial"/>
                <w:sz w:val="20"/>
                <w:szCs w:val="20"/>
              </w:rPr>
              <w:t>AND</w:t>
            </w:r>
          </w:p>
          <w:p w:rsidR="00E71F2F" w:rsidRPr="002E6BC6" w:rsidRDefault="00E71F2F" w:rsidP="005E11C2">
            <w:pPr>
              <w:spacing w:before="40" w:after="40"/>
              <w:rPr>
                <w:rFonts w:ascii="Arial Narrow" w:hAnsi="Arial Narrow" w:cs="Arial"/>
                <w:sz w:val="20"/>
                <w:szCs w:val="20"/>
              </w:rPr>
            </w:pPr>
            <w:r w:rsidRPr="002E6BC6">
              <w:rPr>
                <w:rFonts w:ascii="Arial Narrow" w:hAnsi="Arial Narrow" w:cs="Arial"/>
                <w:sz w:val="20"/>
                <w:szCs w:val="20"/>
              </w:rPr>
              <w:t xml:space="preserve">Patient must not have failed PBS-subsidised therapy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for this condition in the current treatment cycle;</w:t>
            </w:r>
          </w:p>
          <w:p w:rsidR="00E71F2F" w:rsidRPr="002E6BC6" w:rsidRDefault="00E71F2F" w:rsidP="005E11C2">
            <w:pPr>
              <w:spacing w:before="40" w:after="40"/>
              <w:rPr>
                <w:rFonts w:ascii="Arial Narrow" w:hAnsi="Arial Narrow" w:cs="Arial"/>
                <w:sz w:val="20"/>
                <w:szCs w:val="20"/>
              </w:rPr>
            </w:pPr>
            <w:r w:rsidRPr="002E6BC6">
              <w:rPr>
                <w:rFonts w:ascii="Arial Narrow" w:hAnsi="Arial Narrow" w:cs="Arial"/>
                <w:sz w:val="20"/>
                <w:szCs w:val="20"/>
              </w:rPr>
              <w:t>Patient must not receive more than 16 weeks of treatment under this restriction;</w:t>
            </w:r>
          </w:p>
        </w:tc>
      </w:tr>
      <w:tr w:rsidR="00E71F2F"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E71F2F" w:rsidRPr="002E6BC6" w:rsidRDefault="00E71F2F" w:rsidP="005E11C2">
            <w:pPr>
              <w:spacing w:before="40" w:after="40"/>
              <w:jc w:val="both"/>
              <w:rPr>
                <w:rFonts w:ascii="Arial Narrow" w:hAnsi="Arial Narrow" w:cs="Arial"/>
                <w:b/>
                <w:sz w:val="20"/>
                <w:szCs w:val="20"/>
              </w:rPr>
            </w:pPr>
            <w:r w:rsidRPr="002E6BC6">
              <w:rPr>
                <w:rFonts w:ascii="Arial Narrow" w:hAnsi="Arial Narrow" w:cs="Arial"/>
                <w:b/>
                <w:sz w:val="20"/>
                <w:szCs w:val="20"/>
              </w:rPr>
              <w:t>Population Criteria:</w:t>
            </w:r>
          </w:p>
        </w:tc>
        <w:tc>
          <w:tcPr>
            <w:tcW w:w="3937" w:type="pct"/>
            <w:tcBorders>
              <w:top w:val="single" w:sz="4" w:space="0" w:color="auto"/>
              <w:left w:val="single" w:sz="4" w:space="0" w:color="auto"/>
              <w:bottom w:val="single" w:sz="4" w:space="0" w:color="auto"/>
              <w:right w:val="single" w:sz="4" w:space="0" w:color="auto"/>
            </w:tcBorders>
          </w:tcPr>
          <w:p w:rsidR="00E71F2F" w:rsidRPr="002E6BC6" w:rsidRDefault="00E71F2F" w:rsidP="005E11C2">
            <w:pPr>
              <w:spacing w:before="40" w:after="40"/>
              <w:rPr>
                <w:rFonts w:ascii="Arial Narrow" w:hAnsi="Arial Narrow" w:cs="Arial"/>
                <w:sz w:val="20"/>
                <w:szCs w:val="20"/>
              </w:rPr>
            </w:pPr>
            <w:r w:rsidRPr="002E6BC6">
              <w:rPr>
                <w:rFonts w:ascii="Arial Narrow" w:hAnsi="Arial Narrow" w:cs="Arial"/>
                <w:sz w:val="20"/>
                <w:szCs w:val="20"/>
              </w:rPr>
              <w:t>Patient must be aged 18 years or older</w:t>
            </w: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Prescriber Instructions</w:t>
            </w:r>
          </w:p>
          <w:p w:rsidR="0045439D" w:rsidRPr="002E6BC6" w:rsidRDefault="0045439D" w:rsidP="005E11C2">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E71F2F" w:rsidP="005E11C2">
            <w:pPr>
              <w:spacing w:before="40" w:after="40"/>
              <w:rPr>
                <w:rFonts w:ascii="Arial Narrow" w:hAnsi="Arial Narrow" w:cs="Arial"/>
                <w:sz w:val="20"/>
                <w:szCs w:val="20"/>
              </w:rPr>
            </w:pPr>
            <w:r w:rsidRPr="002E6BC6">
              <w:rPr>
                <w:rFonts w:ascii="Arial Narrow" w:hAnsi="Arial Narrow" w:cs="Arial"/>
                <w:sz w:val="20"/>
                <w:szCs w:val="20"/>
              </w:rPr>
              <w:t xml:space="preserve">For the purposes of </w:t>
            </w:r>
            <w:proofErr w:type="gramStart"/>
            <w:r w:rsidRPr="002E6BC6">
              <w:rPr>
                <w:rFonts w:ascii="Arial Narrow" w:hAnsi="Arial Narrow" w:cs="Arial"/>
                <w:sz w:val="20"/>
                <w:szCs w:val="20"/>
              </w:rPr>
              <w:t>this</w:t>
            </w:r>
            <w:proofErr w:type="gramEnd"/>
            <w:r w:rsidRPr="002E6BC6">
              <w:rPr>
                <w:rFonts w:ascii="Arial Narrow" w:hAnsi="Arial Narrow" w:cs="Arial"/>
                <w:sz w:val="20"/>
                <w:szCs w:val="20"/>
              </w:rPr>
              <w:t xml:space="preserve"> restriction 'biological disease modifying anti-rheumatic drug' and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mean </w:t>
            </w:r>
            <w:proofErr w:type="spellStart"/>
            <w:r w:rsidRPr="002E6BC6">
              <w:rPr>
                <w:rFonts w:ascii="Arial Narrow" w:hAnsi="Arial Narrow" w:cs="Arial"/>
                <w:sz w:val="20"/>
                <w:szCs w:val="20"/>
              </w:rPr>
              <w:t>adalimumab</w:t>
            </w:r>
            <w:proofErr w:type="spellEnd"/>
            <w:r w:rsidRPr="002E6BC6">
              <w:rPr>
                <w:rFonts w:ascii="Arial Narrow" w:hAnsi="Arial Narrow" w:cs="Arial"/>
                <w:sz w:val="20"/>
                <w:szCs w:val="20"/>
              </w:rPr>
              <w:t xml:space="preserve">, </w:t>
            </w:r>
            <w:proofErr w:type="spellStart"/>
            <w:r w:rsidRPr="002E6BC6">
              <w:rPr>
                <w:rFonts w:ascii="Arial Narrow" w:hAnsi="Arial Narrow" w:cs="Arial"/>
                <w:sz w:val="20"/>
                <w:szCs w:val="20"/>
              </w:rPr>
              <w:t>etanercept</w:t>
            </w:r>
            <w:proofErr w:type="spellEnd"/>
            <w:r w:rsidRPr="002E6BC6">
              <w:rPr>
                <w:rFonts w:ascii="Arial Narrow" w:hAnsi="Arial Narrow" w:cs="Arial"/>
                <w:sz w:val="20"/>
                <w:szCs w:val="20"/>
              </w:rPr>
              <w:t xml:space="preserve"> or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w:t>
            </w:r>
          </w:p>
          <w:p w:rsidR="00E71F2F" w:rsidRPr="002E6BC6" w:rsidRDefault="00E71F2F" w:rsidP="00E71F2F">
            <w:pPr>
              <w:spacing w:before="40" w:after="40"/>
              <w:rPr>
                <w:rFonts w:ascii="Arial Narrow" w:hAnsi="Arial Narrow" w:cs="Arial"/>
                <w:sz w:val="20"/>
                <w:szCs w:val="20"/>
              </w:rPr>
            </w:pPr>
            <w:r w:rsidRPr="002E6BC6">
              <w:rPr>
                <w:rFonts w:ascii="Arial Narrow" w:hAnsi="Arial Narrow" w:cs="Arial"/>
                <w:sz w:val="20"/>
                <w:szCs w:val="20"/>
              </w:rPr>
              <w:t>The authority application must be made in writing and must include:</w:t>
            </w:r>
          </w:p>
          <w:p w:rsidR="00E71F2F" w:rsidRPr="002E6BC6" w:rsidRDefault="00E71F2F" w:rsidP="00E71F2F">
            <w:pPr>
              <w:spacing w:before="40" w:after="40"/>
              <w:rPr>
                <w:rFonts w:ascii="Arial Narrow" w:hAnsi="Arial Narrow" w:cs="Arial"/>
                <w:sz w:val="20"/>
                <w:szCs w:val="20"/>
              </w:rPr>
            </w:pPr>
            <w:r w:rsidRPr="002E6BC6">
              <w:rPr>
                <w:rFonts w:ascii="Arial Narrow" w:hAnsi="Arial Narrow" w:cs="Arial"/>
                <w:sz w:val="20"/>
                <w:szCs w:val="20"/>
              </w:rPr>
              <w:t>(1) completed authority prescription form(s); and</w:t>
            </w:r>
          </w:p>
          <w:p w:rsidR="00E71F2F" w:rsidRPr="002E6BC6" w:rsidRDefault="00E71F2F" w:rsidP="00E71F2F">
            <w:pPr>
              <w:spacing w:before="40" w:after="40"/>
              <w:rPr>
                <w:rFonts w:ascii="Arial Narrow" w:hAnsi="Arial Narrow" w:cs="Arial"/>
                <w:sz w:val="20"/>
                <w:szCs w:val="20"/>
              </w:rPr>
            </w:pPr>
            <w:r w:rsidRPr="002E6BC6">
              <w:rPr>
                <w:rFonts w:ascii="Arial Narrow" w:hAnsi="Arial Narrow" w:cs="Arial"/>
                <w:sz w:val="20"/>
                <w:szCs w:val="20"/>
              </w:rPr>
              <w:t xml:space="preserve">(2) </w:t>
            </w:r>
            <w:proofErr w:type="gramStart"/>
            <w:r w:rsidRPr="002E6BC6">
              <w:rPr>
                <w:rFonts w:ascii="Arial Narrow" w:hAnsi="Arial Narrow" w:cs="Arial"/>
                <w:sz w:val="20"/>
                <w:szCs w:val="20"/>
              </w:rPr>
              <w:t>a</w:t>
            </w:r>
            <w:proofErr w:type="gramEnd"/>
            <w:r w:rsidRPr="002E6BC6">
              <w:rPr>
                <w:rFonts w:ascii="Arial Narrow" w:hAnsi="Arial Narrow" w:cs="Arial"/>
                <w:sz w:val="20"/>
                <w:szCs w:val="20"/>
              </w:rPr>
              <w:t xml:space="preserve"> completed Juvenile Idiopathic Arthritis PBS Authority Application - Supporting Information Form.</w:t>
            </w:r>
          </w:p>
          <w:p w:rsidR="00EC081A" w:rsidRPr="002E6BC6" w:rsidRDefault="00EC081A" w:rsidP="00E71F2F">
            <w:pPr>
              <w:spacing w:before="40" w:after="40"/>
              <w:rPr>
                <w:rFonts w:ascii="Arial Narrow" w:hAnsi="Arial Narrow" w:cs="Arial"/>
                <w:sz w:val="20"/>
                <w:szCs w:val="20"/>
              </w:rPr>
            </w:pPr>
          </w:p>
          <w:p w:rsidR="00E71F2F" w:rsidRPr="002E6BC6" w:rsidRDefault="00E71F2F" w:rsidP="00E71F2F">
            <w:pPr>
              <w:spacing w:before="40" w:after="40"/>
              <w:rPr>
                <w:rFonts w:ascii="Arial Narrow" w:hAnsi="Arial Narrow" w:cs="Arial"/>
                <w:sz w:val="20"/>
                <w:szCs w:val="20"/>
              </w:rPr>
            </w:pPr>
            <w:r w:rsidRPr="002E6BC6">
              <w:rPr>
                <w:rFonts w:ascii="Arial Narrow" w:hAnsi="Arial Narrow" w:cs="Arial"/>
                <w:sz w:val="20"/>
                <w:szCs w:val="20"/>
              </w:rPr>
              <w:t xml:space="preserve">Applications for a patient who has received PBS-subsidised treatment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in this treatment cycle and who wishes to recommence therapy with this </w:t>
            </w:r>
            <w:proofErr w:type="gramStart"/>
            <w:r w:rsidRPr="002E6BC6">
              <w:rPr>
                <w:rFonts w:ascii="Arial Narrow" w:hAnsi="Arial Narrow" w:cs="Arial"/>
                <w:sz w:val="20"/>
                <w:szCs w:val="20"/>
              </w:rPr>
              <w:t>drug,</w:t>
            </w:r>
            <w:proofErr w:type="gramEnd"/>
            <w:r w:rsidRPr="002E6BC6">
              <w:rPr>
                <w:rFonts w:ascii="Arial Narrow" w:hAnsi="Arial Narrow" w:cs="Arial"/>
                <w:sz w:val="20"/>
                <w:szCs w:val="20"/>
              </w:rPr>
              <w:t xml:space="preserve"> must be accompanied by evidence of a response to the patient's most recent course of PBS-subsidised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treatment, within the timeframes specified below.</w:t>
            </w:r>
          </w:p>
          <w:p w:rsidR="00E71F2F" w:rsidRPr="002E6BC6" w:rsidRDefault="00E71F2F" w:rsidP="00E71F2F">
            <w:pPr>
              <w:spacing w:before="40" w:after="40"/>
              <w:rPr>
                <w:rFonts w:ascii="Arial Narrow" w:hAnsi="Arial Narrow" w:cs="Arial"/>
                <w:sz w:val="20"/>
                <w:szCs w:val="20"/>
              </w:rPr>
            </w:pPr>
            <w:r w:rsidRPr="002E6BC6">
              <w:rPr>
                <w:rFonts w:ascii="Arial Narrow" w:hAnsi="Arial Narrow" w:cs="Arial"/>
                <w:sz w:val="20"/>
                <w:szCs w:val="20"/>
              </w:rPr>
              <w:t xml:space="preserve">Where the most recent course of PBS-subsidised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treatment </w:t>
            </w:r>
            <w:proofErr w:type="gramStart"/>
            <w:r w:rsidRPr="002E6BC6">
              <w:rPr>
                <w:rFonts w:ascii="Arial Narrow" w:hAnsi="Arial Narrow" w:cs="Arial"/>
                <w:sz w:val="20"/>
                <w:szCs w:val="20"/>
              </w:rPr>
              <w:t>was approved</w:t>
            </w:r>
            <w:proofErr w:type="gramEnd"/>
            <w:r w:rsidRPr="002E6BC6">
              <w:rPr>
                <w:rFonts w:ascii="Arial Narrow" w:hAnsi="Arial Narrow" w:cs="Arial"/>
                <w:sz w:val="20"/>
                <w:szCs w:val="20"/>
              </w:rPr>
              <w:t xml:space="preserve"> under either of the Initial 1 or 2 treatment restrictions, the patient must have been assessed for response following a minimum of 12 weeks of therapy. This assessment </w:t>
            </w:r>
            <w:proofErr w:type="gramStart"/>
            <w:r w:rsidRPr="002E6BC6">
              <w:rPr>
                <w:rFonts w:ascii="Arial Narrow" w:hAnsi="Arial Narrow" w:cs="Arial"/>
                <w:sz w:val="20"/>
                <w:szCs w:val="20"/>
              </w:rPr>
              <w:t>must be submitted</w:t>
            </w:r>
            <w:proofErr w:type="gramEnd"/>
            <w:r w:rsidRPr="002E6BC6">
              <w:rPr>
                <w:rFonts w:ascii="Arial Narrow" w:hAnsi="Arial Narrow" w:cs="Arial"/>
                <w:sz w:val="20"/>
                <w:szCs w:val="20"/>
              </w:rPr>
              <w:t xml:space="preserve"> no later than 4 weeks from the date that course was ceased. </w:t>
            </w:r>
          </w:p>
          <w:p w:rsidR="00E71F2F" w:rsidRPr="002E6BC6" w:rsidRDefault="00E71F2F" w:rsidP="00E71F2F">
            <w:pPr>
              <w:spacing w:before="40" w:after="40"/>
              <w:rPr>
                <w:rFonts w:ascii="Arial Narrow" w:hAnsi="Arial Narrow" w:cs="Arial"/>
                <w:sz w:val="20"/>
                <w:szCs w:val="20"/>
              </w:rPr>
            </w:pPr>
            <w:r w:rsidRPr="002E6BC6">
              <w:rPr>
                <w:rFonts w:ascii="Arial Narrow" w:hAnsi="Arial Narrow" w:cs="Arial"/>
                <w:sz w:val="20"/>
                <w:szCs w:val="20"/>
              </w:rPr>
              <w:t xml:space="preserve">Where the most recent course of PBS-subsidised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treatment </w:t>
            </w:r>
            <w:proofErr w:type="gramStart"/>
            <w:r w:rsidRPr="002E6BC6">
              <w:rPr>
                <w:rFonts w:ascii="Arial Narrow" w:hAnsi="Arial Narrow" w:cs="Arial"/>
                <w:sz w:val="20"/>
                <w:szCs w:val="20"/>
              </w:rPr>
              <w:t>was approved</w:t>
            </w:r>
            <w:proofErr w:type="gramEnd"/>
            <w:r w:rsidRPr="002E6BC6">
              <w:rPr>
                <w:rFonts w:ascii="Arial Narrow" w:hAnsi="Arial Narrow" w:cs="Arial"/>
                <w:sz w:val="20"/>
                <w:szCs w:val="20"/>
              </w:rPr>
              <w:t xml:space="preserve"> under the continuing treatment criteria, the patient must have been assessed for response, and the assessment must be submitted no later than 4 weeks from the date that course was ceased.</w:t>
            </w:r>
          </w:p>
          <w:p w:rsidR="00EC081A" w:rsidRPr="002E6BC6" w:rsidRDefault="00EC081A" w:rsidP="00E71F2F">
            <w:pPr>
              <w:spacing w:before="40" w:after="40"/>
              <w:rPr>
                <w:rFonts w:ascii="Arial Narrow" w:hAnsi="Arial Narrow" w:cs="Arial"/>
                <w:sz w:val="20"/>
                <w:szCs w:val="20"/>
              </w:rPr>
            </w:pPr>
          </w:p>
          <w:p w:rsidR="00E71F2F" w:rsidRPr="002E6BC6" w:rsidRDefault="00E71F2F" w:rsidP="00E71F2F">
            <w:pPr>
              <w:spacing w:before="40" w:after="40"/>
              <w:rPr>
                <w:rFonts w:ascii="Arial Narrow" w:hAnsi="Arial Narrow" w:cs="Arial"/>
                <w:sz w:val="20"/>
                <w:szCs w:val="20"/>
              </w:rPr>
            </w:pPr>
            <w:r w:rsidRPr="002E6BC6">
              <w:rPr>
                <w:rFonts w:ascii="Arial Narrow" w:hAnsi="Arial Narrow" w:cs="Arial"/>
                <w:sz w:val="20"/>
                <w:szCs w:val="20"/>
              </w:rPr>
              <w:t xml:space="preserve">Where a response assessment </w:t>
            </w:r>
            <w:proofErr w:type="gramStart"/>
            <w:r w:rsidRPr="002E6BC6">
              <w:rPr>
                <w:rFonts w:ascii="Arial Narrow" w:hAnsi="Arial Narrow" w:cs="Arial"/>
                <w:sz w:val="20"/>
                <w:szCs w:val="20"/>
              </w:rPr>
              <w:t>is not undertaken and submitted within these timeframes, the patient</w:t>
            </w:r>
            <w:proofErr w:type="gramEnd"/>
            <w:r w:rsidRPr="002E6BC6">
              <w:rPr>
                <w:rFonts w:ascii="Arial Narrow" w:hAnsi="Arial Narrow" w:cs="Arial"/>
                <w:sz w:val="20"/>
                <w:szCs w:val="20"/>
              </w:rPr>
              <w:t xml:space="preserve"> will be deemed to have failed to respond to treatment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w:t>
            </w:r>
          </w:p>
          <w:p w:rsidR="00EC081A" w:rsidRPr="002E6BC6" w:rsidRDefault="00EC081A" w:rsidP="00E71F2F">
            <w:pPr>
              <w:spacing w:before="40" w:after="40"/>
              <w:rPr>
                <w:rFonts w:ascii="Arial Narrow" w:hAnsi="Arial Narrow" w:cs="Arial"/>
                <w:sz w:val="20"/>
                <w:szCs w:val="20"/>
              </w:rPr>
            </w:pPr>
          </w:p>
          <w:p w:rsidR="00E71F2F" w:rsidRPr="002E6BC6" w:rsidRDefault="00E71F2F" w:rsidP="00E71F2F">
            <w:pPr>
              <w:spacing w:before="40" w:after="40"/>
              <w:rPr>
                <w:rFonts w:ascii="Arial Narrow" w:hAnsi="Arial Narrow" w:cs="Arial"/>
                <w:sz w:val="20"/>
                <w:szCs w:val="20"/>
              </w:rPr>
            </w:pPr>
            <w:r w:rsidRPr="002E6BC6">
              <w:rPr>
                <w:rFonts w:ascii="Arial Narrow" w:hAnsi="Arial Narrow" w:cs="Arial"/>
                <w:sz w:val="20"/>
                <w:szCs w:val="20"/>
              </w:rPr>
              <w:t>If a patient fails to respond to PBS-subsidised biological disease modifying anti-rheumatic drug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treatment 3 times (once with each agent) </w:t>
            </w:r>
            <w:proofErr w:type="gramStart"/>
            <w:r w:rsidRPr="002E6BC6">
              <w:rPr>
                <w:rFonts w:ascii="Arial Narrow" w:hAnsi="Arial Narrow" w:cs="Arial"/>
                <w:sz w:val="20"/>
                <w:szCs w:val="20"/>
              </w:rPr>
              <w:t>they</w:t>
            </w:r>
            <w:proofErr w:type="gramEnd"/>
            <w:r w:rsidRPr="002E6BC6">
              <w:rPr>
                <w:rFonts w:ascii="Arial Narrow" w:hAnsi="Arial Narrow" w:cs="Arial"/>
                <w:sz w:val="20"/>
                <w:szCs w:val="20"/>
              </w:rPr>
              <w:t xml:space="preserve"> will not be eligible to receive further PBS-subsidised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therapy in this treatment cycle.</w:t>
            </w:r>
          </w:p>
          <w:p w:rsidR="00EC081A" w:rsidRPr="002E6BC6" w:rsidRDefault="00EC081A" w:rsidP="00E71F2F">
            <w:pPr>
              <w:spacing w:before="40" w:after="40"/>
              <w:rPr>
                <w:rFonts w:ascii="Arial Narrow" w:hAnsi="Arial Narrow" w:cs="Arial"/>
                <w:sz w:val="20"/>
                <w:szCs w:val="20"/>
              </w:rPr>
            </w:pPr>
          </w:p>
          <w:p w:rsidR="00E71F2F" w:rsidRPr="002E6BC6" w:rsidRDefault="00E71F2F" w:rsidP="00E71F2F">
            <w:pPr>
              <w:spacing w:before="40" w:after="40"/>
              <w:rPr>
                <w:rFonts w:ascii="Arial Narrow" w:hAnsi="Arial Narrow" w:cs="Arial"/>
                <w:sz w:val="20"/>
                <w:szCs w:val="20"/>
              </w:rPr>
            </w:pPr>
            <w:r w:rsidRPr="002E6BC6">
              <w:rPr>
                <w:rFonts w:ascii="Arial Narrow" w:hAnsi="Arial Narrow" w:cs="Arial"/>
                <w:sz w:val="20"/>
                <w:szCs w:val="20"/>
              </w:rPr>
              <w:t>An adequate response to treatment is defined as:</w:t>
            </w:r>
          </w:p>
          <w:p w:rsidR="00E71F2F" w:rsidRPr="002E6BC6" w:rsidRDefault="00E71F2F" w:rsidP="00E71F2F">
            <w:pPr>
              <w:spacing w:before="40" w:after="40"/>
              <w:rPr>
                <w:rFonts w:ascii="Arial Narrow" w:hAnsi="Arial Narrow" w:cs="Arial"/>
                <w:sz w:val="20"/>
                <w:szCs w:val="20"/>
              </w:rPr>
            </w:pPr>
            <w:r w:rsidRPr="002E6BC6">
              <w:rPr>
                <w:rFonts w:ascii="Arial Narrow" w:hAnsi="Arial Narrow" w:cs="Arial"/>
                <w:sz w:val="20"/>
                <w:szCs w:val="20"/>
              </w:rPr>
              <w:t xml:space="preserve">an ESR no greater than 25 mm per hour or a CRP level no greater than 15 mg per L or either marker reduced by at least 20% from baseline; </w:t>
            </w:r>
          </w:p>
          <w:p w:rsidR="00E71F2F" w:rsidRPr="002E6BC6" w:rsidRDefault="00E71F2F" w:rsidP="00E71F2F">
            <w:pPr>
              <w:spacing w:before="40" w:after="40"/>
              <w:rPr>
                <w:rFonts w:ascii="Arial Narrow" w:hAnsi="Arial Narrow" w:cs="Arial"/>
                <w:sz w:val="20"/>
                <w:szCs w:val="20"/>
              </w:rPr>
            </w:pPr>
            <w:r w:rsidRPr="002E6BC6">
              <w:rPr>
                <w:rFonts w:ascii="Arial Narrow" w:hAnsi="Arial Narrow" w:cs="Arial"/>
                <w:sz w:val="20"/>
                <w:szCs w:val="20"/>
              </w:rPr>
              <w:t>AND either of the following:</w:t>
            </w:r>
          </w:p>
          <w:p w:rsidR="00E71F2F" w:rsidRPr="002E6BC6" w:rsidRDefault="00E71F2F" w:rsidP="00E71F2F">
            <w:pPr>
              <w:spacing w:before="40" w:after="40"/>
              <w:rPr>
                <w:rFonts w:ascii="Arial Narrow" w:hAnsi="Arial Narrow" w:cs="Arial"/>
                <w:sz w:val="20"/>
                <w:szCs w:val="20"/>
              </w:rPr>
            </w:pPr>
            <w:r w:rsidRPr="002E6BC6">
              <w:rPr>
                <w:rFonts w:ascii="Arial Narrow" w:hAnsi="Arial Narrow" w:cs="Arial"/>
                <w:sz w:val="20"/>
                <w:szCs w:val="20"/>
              </w:rPr>
              <w:t>(a) an active joint count of fewer than 10 active (swollen and tender) joints; or</w:t>
            </w:r>
          </w:p>
          <w:p w:rsidR="00E71F2F" w:rsidRPr="002E6BC6" w:rsidRDefault="00E71F2F" w:rsidP="00E71F2F">
            <w:pPr>
              <w:spacing w:before="40" w:after="40"/>
              <w:rPr>
                <w:rFonts w:ascii="Arial Narrow" w:hAnsi="Arial Narrow" w:cs="Arial"/>
                <w:sz w:val="20"/>
                <w:szCs w:val="20"/>
              </w:rPr>
            </w:pPr>
            <w:r w:rsidRPr="002E6BC6">
              <w:rPr>
                <w:rFonts w:ascii="Arial Narrow" w:hAnsi="Arial Narrow" w:cs="Arial"/>
                <w:sz w:val="20"/>
                <w:szCs w:val="20"/>
              </w:rPr>
              <w:t>(b) a reduction in the active (swollen and tender) joint count by at least 50% from baseline; or</w:t>
            </w:r>
          </w:p>
          <w:p w:rsidR="00E71F2F" w:rsidRPr="002E6BC6" w:rsidRDefault="00E71F2F" w:rsidP="00E71F2F">
            <w:pPr>
              <w:spacing w:before="40" w:after="40"/>
              <w:rPr>
                <w:rFonts w:ascii="Arial Narrow" w:hAnsi="Arial Narrow" w:cs="Arial"/>
                <w:sz w:val="20"/>
                <w:szCs w:val="20"/>
              </w:rPr>
            </w:pPr>
            <w:r w:rsidRPr="002E6BC6">
              <w:rPr>
                <w:rFonts w:ascii="Arial Narrow" w:hAnsi="Arial Narrow" w:cs="Arial"/>
                <w:sz w:val="20"/>
                <w:szCs w:val="20"/>
              </w:rPr>
              <w:t>(c) a reduction in the number of the following active joints, from at least 4, by at least 50%:</w:t>
            </w:r>
          </w:p>
          <w:p w:rsidR="00E71F2F" w:rsidRPr="002E6BC6" w:rsidRDefault="00E71F2F" w:rsidP="00E71F2F">
            <w:pPr>
              <w:spacing w:before="40" w:after="40"/>
              <w:rPr>
                <w:rFonts w:ascii="Arial Narrow" w:hAnsi="Arial Narrow" w:cs="Arial"/>
                <w:sz w:val="20"/>
                <w:szCs w:val="20"/>
              </w:rPr>
            </w:pPr>
            <w:r w:rsidRPr="002E6BC6">
              <w:rPr>
                <w:rFonts w:ascii="Arial Narrow" w:hAnsi="Arial Narrow" w:cs="Arial"/>
                <w:sz w:val="20"/>
                <w:szCs w:val="20"/>
              </w:rPr>
              <w:t>(</w:t>
            </w:r>
            <w:proofErr w:type="spellStart"/>
            <w:r w:rsidRPr="002E6BC6">
              <w:rPr>
                <w:rFonts w:ascii="Arial Narrow" w:hAnsi="Arial Narrow" w:cs="Arial"/>
                <w:sz w:val="20"/>
                <w:szCs w:val="20"/>
              </w:rPr>
              <w:t>i</w:t>
            </w:r>
            <w:proofErr w:type="spellEnd"/>
            <w:r w:rsidRPr="002E6BC6">
              <w:rPr>
                <w:rFonts w:ascii="Arial Narrow" w:hAnsi="Arial Narrow" w:cs="Arial"/>
                <w:sz w:val="20"/>
                <w:szCs w:val="20"/>
              </w:rPr>
              <w:t>) elbow, wrist, knee and/or ankle (assessed as swollen and tender); and/or</w:t>
            </w:r>
          </w:p>
          <w:p w:rsidR="00E71F2F" w:rsidRPr="002E6BC6" w:rsidRDefault="00E71F2F" w:rsidP="005E11C2">
            <w:pPr>
              <w:spacing w:before="40" w:after="40"/>
              <w:rPr>
                <w:rFonts w:ascii="Arial Narrow" w:hAnsi="Arial Narrow" w:cs="Arial"/>
                <w:sz w:val="20"/>
                <w:szCs w:val="20"/>
              </w:rPr>
            </w:pPr>
            <w:r w:rsidRPr="002E6BC6">
              <w:rPr>
                <w:rFonts w:ascii="Arial Narrow" w:hAnsi="Arial Narrow" w:cs="Arial"/>
                <w:sz w:val="20"/>
                <w:szCs w:val="20"/>
              </w:rPr>
              <w:t xml:space="preserve">(ii) </w:t>
            </w:r>
            <w:proofErr w:type="gramStart"/>
            <w:r w:rsidRPr="002E6BC6">
              <w:rPr>
                <w:rFonts w:ascii="Arial Narrow" w:hAnsi="Arial Narrow" w:cs="Arial"/>
                <w:sz w:val="20"/>
                <w:szCs w:val="20"/>
              </w:rPr>
              <w:t>shoulder</w:t>
            </w:r>
            <w:proofErr w:type="gramEnd"/>
            <w:r w:rsidRPr="002E6BC6">
              <w:rPr>
                <w:rFonts w:ascii="Arial Narrow" w:hAnsi="Arial Narrow" w:cs="Arial"/>
                <w:sz w:val="20"/>
                <w:szCs w:val="20"/>
              </w:rPr>
              <w:t>, cervical spine and/or hip (assessed as pain in passive movement and restriction of passive movement, where pain and limitation of movement are due to active disease and not irreversible damage such as joint destruction or bony overgrowth).</w:t>
            </w: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Administrative Advice:</w:t>
            </w:r>
          </w:p>
          <w:p w:rsidR="0045439D" w:rsidRPr="002E6BC6" w:rsidRDefault="0045439D" w:rsidP="005E11C2">
            <w:pPr>
              <w:spacing w:before="40" w:after="40"/>
              <w:jc w:val="both"/>
              <w:rPr>
                <w:rFonts w:ascii="Arial Narrow" w:hAnsi="Arial Narrow" w:cs="Arial"/>
                <w:b/>
                <w:sz w:val="20"/>
                <w:szCs w:val="20"/>
              </w:rPr>
            </w:pP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 xml:space="preserve">Any queries concerning the arrangements to prescribe may be directed to the Department of Human Services on 1800 700 270 (hours of operation 8 a.m. to 5 p.m. EST Monday to Friday). </w:t>
            </w:r>
          </w:p>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 xml:space="preserve">Applications for authority to prescribe should be forwarded to: </w:t>
            </w:r>
          </w:p>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Department of Human Services</w:t>
            </w:r>
          </w:p>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 xml:space="preserve">Complex Drugs </w:t>
            </w:r>
          </w:p>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 xml:space="preserve">Reply Paid 9826 </w:t>
            </w:r>
          </w:p>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HOBART TAS 7001</w:t>
            </w:r>
          </w:p>
        </w:tc>
      </w:tr>
      <w:tr w:rsidR="00EC081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jc w:val="both"/>
              <w:rPr>
                <w:rFonts w:ascii="Arial Narrow" w:hAnsi="Arial Narrow" w:cs="Arial"/>
                <w:b/>
                <w:sz w:val="20"/>
                <w:szCs w:val="20"/>
              </w:rPr>
            </w:pPr>
            <w:r w:rsidRPr="002E6BC6">
              <w:rPr>
                <w:rFonts w:ascii="Arial Narrow" w:hAnsi="Arial Narrow" w:cs="Arial"/>
                <w:b/>
                <w:sz w:val="20"/>
                <w:szCs w:val="20"/>
              </w:rPr>
              <w:t xml:space="preserve">Category / </w:t>
            </w:r>
          </w:p>
          <w:p w:rsidR="00EC081A" w:rsidRPr="002E6BC6" w:rsidRDefault="00EC081A" w:rsidP="00376873">
            <w:pPr>
              <w:spacing w:before="40" w:after="40"/>
              <w:jc w:val="both"/>
              <w:rPr>
                <w:rFonts w:ascii="Arial Narrow" w:hAnsi="Arial Narrow" w:cs="Arial"/>
                <w:b/>
                <w:sz w:val="20"/>
                <w:szCs w:val="20"/>
              </w:rPr>
            </w:pPr>
            <w:r w:rsidRPr="002E6BC6">
              <w:rPr>
                <w:rFonts w:ascii="Arial Narrow" w:hAnsi="Arial Narrow" w:cs="Arial"/>
                <w:b/>
                <w:sz w:val="20"/>
                <w:szCs w:val="20"/>
              </w:rPr>
              <w:t>Program</w:t>
            </w:r>
          </w:p>
        </w:tc>
        <w:tc>
          <w:tcPr>
            <w:tcW w:w="3937"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rPr>
                <w:rFonts w:ascii="Arial Narrow" w:hAnsi="Arial Narrow" w:cs="Arial"/>
                <w:sz w:val="20"/>
                <w:szCs w:val="20"/>
              </w:rPr>
            </w:pPr>
            <w:r w:rsidRPr="002E6BC6">
              <w:rPr>
                <w:rFonts w:ascii="Arial Narrow" w:hAnsi="Arial Narrow" w:cs="Arial"/>
                <w:sz w:val="20"/>
                <w:szCs w:val="20"/>
              </w:rPr>
              <w:t>GENERAL – General Schedule (Code GE)</w:t>
            </w:r>
          </w:p>
          <w:p w:rsidR="00EC081A" w:rsidRPr="002E6BC6" w:rsidRDefault="00EC081A" w:rsidP="00376873">
            <w:pPr>
              <w:spacing w:before="40" w:after="40"/>
              <w:rPr>
                <w:rFonts w:ascii="Arial Narrow" w:hAnsi="Arial Narrow" w:cs="Arial"/>
                <w:sz w:val="20"/>
                <w:szCs w:val="20"/>
              </w:rPr>
            </w:pPr>
          </w:p>
        </w:tc>
      </w:tr>
      <w:tr w:rsidR="00EC081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Prescriber type:</w:t>
            </w:r>
          </w:p>
        </w:tc>
        <w:tc>
          <w:tcPr>
            <w:tcW w:w="3937"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Dental  </w:t>
            </w:r>
            <w:r w:rsidRPr="00A12DB8">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Medical Practitioners  </w:t>
            </w:r>
            <w:r w:rsidRPr="00A12DB8">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Nurse practitioners  </w:t>
            </w:r>
            <w:r w:rsidRPr="00A12DB8">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Optometrists</w:t>
            </w:r>
          </w:p>
          <w:p w:rsidR="00EC081A" w:rsidRPr="002E6BC6" w:rsidRDefault="00EC081A"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Midwives</w:t>
            </w:r>
          </w:p>
        </w:tc>
      </w:tr>
      <w:tr w:rsidR="00EC081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jc w:val="both"/>
              <w:rPr>
                <w:rFonts w:ascii="Arial Narrow" w:hAnsi="Arial Narrow" w:cs="Arial"/>
                <w:b/>
                <w:sz w:val="20"/>
                <w:szCs w:val="20"/>
              </w:rPr>
            </w:pPr>
            <w:r w:rsidRPr="002E6BC6">
              <w:rPr>
                <w:rFonts w:ascii="Arial Narrow" w:hAnsi="Arial Narrow" w:cs="Arial"/>
                <w:b/>
                <w:sz w:val="20"/>
                <w:szCs w:val="20"/>
              </w:rPr>
              <w:t>Condition:</w:t>
            </w:r>
          </w:p>
        </w:tc>
        <w:tc>
          <w:tcPr>
            <w:tcW w:w="3937"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EC081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jc w:val="both"/>
              <w:rPr>
                <w:rFonts w:ascii="Arial Narrow" w:hAnsi="Arial Narrow" w:cs="Arial"/>
                <w:b/>
                <w:sz w:val="20"/>
                <w:szCs w:val="20"/>
              </w:rPr>
            </w:pPr>
            <w:r w:rsidRPr="002E6BC6">
              <w:rPr>
                <w:rFonts w:ascii="Arial Narrow" w:hAnsi="Arial Narrow" w:cs="Arial"/>
                <w:b/>
                <w:sz w:val="20"/>
                <w:szCs w:val="20"/>
              </w:rPr>
              <w:t>PBS Indication:</w:t>
            </w:r>
          </w:p>
        </w:tc>
        <w:tc>
          <w:tcPr>
            <w:tcW w:w="3937"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EC081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jc w:val="both"/>
              <w:rPr>
                <w:rFonts w:ascii="Arial Narrow" w:hAnsi="Arial Narrow" w:cs="Arial"/>
                <w:b/>
                <w:sz w:val="20"/>
                <w:szCs w:val="20"/>
              </w:rPr>
            </w:pPr>
            <w:r w:rsidRPr="002E6BC6">
              <w:rPr>
                <w:rFonts w:ascii="Arial Narrow" w:hAnsi="Arial Narrow" w:cs="Arial"/>
                <w:b/>
                <w:sz w:val="20"/>
                <w:szCs w:val="20"/>
              </w:rPr>
              <w:t>Treatment phase:</w:t>
            </w:r>
          </w:p>
          <w:p w:rsidR="00EC081A" w:rsidRPr="002E6BC6" w:rsidRDefault="00EC081A" w:rsidP="00376873">
            <w:pPr>
              <w:spacing w:before="40" w:after="40"/>
              <w:jc w:val="both"/>
              <w:rPr>
                <w:rFonts w:ascii="Arial Narrow" w:hAnsi="Arial Narrow" w:cs="Arial"/>
                <w:i/>
                <w:sz w:val="20"/>
                <w:szCs w:val="20"/>
              </w:rPr>
            </w:pPr>
          </w:p>
        </w:tc>
        <w:tc>
          <w:tcPr>
            <w:tcW w:w="3937"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rPr>
                <w:rFonts w:ascii="Arial Narrow" w:hAnsi="Arial Narrow" w:cs="Arial"/>
                <w:sz w:val="20"/>
                <w:szCs w:val="20"/>
              </w:rPr>
            </w:pPr>
            <w:r w:rsidRPr="002E6BC6">
              <w:rPr>
                <w:rFonts w:ascii="Arial Narrow" w:hAnsi="Arial Narrow" w:cs="Arial"/>
                <w:sz w:val="20"/>
                <w:szCs w:val="20"/>
              </w:rPr>
              <w:t>Initial Treatment - Initial 1 (new patient or patient recommencing treatme</w:t>
            </w:r>
            <w:r w:rsidR="003A5980">
              <w:rPr>
                <w:rFonts w:ascii="Arial Narrow" w:hAnsi="Arial Narrow" w:cs="Arial"/>
                <w:sz w:val="20"/>
                <w:szCs w:val="20"/>
              </w:rPr>
              <w:t>nt after a break of more than 24</w:t>
            </w:r>
            <w:r w:rsidRPr="002E6BC6">
              <w:rPr>
                <w:rFonts w:ascii="Arial Narrow" w:hAnsi="Arial Narrow" w:cs="Arial"/>
                <w:sz w:val="20"/>
                <w:szCs w:val="20"/>
              </w:rPr>
              <w:t xml:space="preserve"> months) or Initial 2 (change or recommencement of treat</w:t>
            </w:r>
            <w:r w:rsidR="003A5980">
              <w:rPr>
                <w:rFonts w:ascii="Arial Narrow" w:hAnsi="Arial Narrow" w:cs="Arial"/>
                <w:sz w:val="20"/>
                <w:szCs w:val="20"/>
              </w:rPr>
              <w:t>ment after break of less than 24</w:t>
            </w:r>
            <w:r w:rsidRPr="002E6BC6">
              <w:rPr>
                <w:rFonts w:ascii="Arial Narrow" w:hAnsi="Arial Narrow" w:cs="Arial"/>
                <w:sz w:val="20"/>
                <w:szCs w:val="20"/>
              </w:rPr>
              <w:t xml:space="preserve"> months) – balance of supply.</w:t>
            </w:r>
          </w:p>
        </w:tc>
      </w:tr>
      <w:tr w:rsidR="00EC081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jc w:val="both"/>
              <w:rPr>
                <w:rFonts w:ascii="Arial Narrow" w:hAnsi="Arial Narrow" w:cs="Arial"/>
                <w:b/>
                <w:sz w:val="20"/>
                <w:szCs w:val="20"/>
              </w:rPr>
            </w:pPr>
            <w:r w:rsidRPr="002E6BC6">
              <w:rPr>
                <w:rFonts w:ascii="Arial Narrow" w:hAnsi="Arial Narrow" w:cs="Arial"/>
                <w:b/>
                <w:sz w:val="20"/>
                <w:szCs w:val="20"/>
              </w:rPr>
              <w:t>Restriction Level / Method:</w:t>
            </w:r>
          </w:p>
          <w:p w:rsidR="00EC081A" w:rsidRPr="002E6BC6" w:rsidRDefault="00EC081A" w:rsidP="00376873">
            <w:pPr>
              <w:spacing w:before="40" w:after="40"/>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Restricted benefit</w:t>
            </w:r>
          </w:p>
          <w:p w:rsidR="00EC081A" w:rsidRPr="002E6BC6" w:rsidRDefault="00A12DB8" w:rsidP="0037687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Pr>
                <w:rFonts w:ascii="Arial Narrow" w:hAnsi="Arial Narrow" w:cs="Arial"/>
                <w:sz w:val="20"/>
                <w:szCs w:val="20"/>
              </w:rPr>
              <w:fldChar w:fldCharType="end"/>
            </w:r>
            <w:r w:rsidR="00EC081A" w:rsidRPr="002E6BC6">
              <w:rPr>
                <w:rFonts w:ascii="Arial Narrow" w:hAnsi="Arial Narrow" w:cs="Arial"/>
                <w:sz w:val="20"/>
                <w:szCs w:val="20"/>
              </w:rPr>
              <w:t>Authority Required - In Writing</w:t>
            </w:r>
          </w:p>
          <w:p w:rsidR="00EC081A" w:rsidRPr="002E6BC6" w:rsidRDefault="00A12DB8" w:rsidP="0037687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Pr>
                <w:rFonts w:ascii="Arial Narrow" w:hAnsi="Arial Narrow" w:cs="Arial"/>
                <w:sz w:val="20"/>
                <w:szCs w:val="20"/>
              </w:rPr>
              <w:fldChar w:fldCharType="end"/>
            </w:r>
            <w:r w:rsidR="00EC081A" w:rsidRPr="002E6BC6">
              <w:rPr>
                <w:rFonts w:ascii="Arial Narrow" w:hAnsi="Arial Narrow" w:cs="Arial"/>
                <w:sz w:val="20"/>
                <w:szCs w:val="20"/>
              </w:rPr>
              <w:t>Authority Required - Telephone</w:t>
            </w:r>
          </w:p>
          <w:p w:rsidR="00EC081A" w:rsidRPr="002E6BC6" w:rsidRDefault="00EC081A"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Emergency</w:t>
            </w:r>
          </w:p>
          <w:p w:rsidR="00EC081A" w:rsidRPr="002E6BC6" w:rsidRDefault="00EC081A"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Electronic</w:t>
            </w:r>
          </w:p>
          <w:p w:rsidR="00EC081A" w:rsidRPr="002E6BC6" w:rsidRDefault="00EC081A"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Streamlined</w:t>
            </w:r>
          </w:p>
        </w:tc>
      </w:tr>
      <w:tr w:rsidR="00EC081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jc w:val="both"/>
              <w:rPr>
                <w:rFonts w:ascii="Arial Narrow" w:hAnsi="Arial Narrow" w:cs="Arial"/>
                <w:b/>
                <w:sz w:val="20"/>
                <w:szCs w:val="20"/>
              </w:rPr>
            </w:pPr>
            <w:r w:rsidRPr="002E6BC6">
              <w:rPr>
                <w:rFonts w:ascii="Arial Narrow" w:hAnsi="Arial Narrow" w:cs="Arial"/>
                <w:b/>
                <w:sz w:val="20"/>
                <w:szCs w:val="20"/>
              </w:rPr>
              <w:t xml:space="preserve">Treatment criteria: </w:t>
            </w:r>
          </w:p>
        </w:tc>
        <w:tc>
          <w:tcPr>
            <w:tcW w:w="3937"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rPr>
                <w:rFonts w:ascii="Arial Narrow" w:hAnsi="Arial Narrow" w:cs="Arial"/>
                <w:sz w:val="20"/>
                <w:szCs w:val="20"/>
              </w:rPr>
            </w:pPr>
            <w:r w:rsidRPr="002E6BC6">
              <w:rPr>
                <w:rFonts w:ascii="Arial Narrow" w:hAnsi="Arial Narrow" w:cs="Arial"/>
                <w:sz w:val="20"/>
                <w:szCs w:val="20"/>
              </w:rPr>
              <w:t>Must be treated by a paediatric rheumatologist; or</w:t>
            </w:r>
          </w:p>
          <w:p w:rsidR="00EC081A" w:rsidRPr="002E6BC6" w:rsidRDefault="00EC081A" w:rsidP="00376873">
            <w:pPr>
              <w:spacing w:before="40" w:after="40"/>
              <w:rPr>
                <w:rFonts w:ascii="Arial Narrow" w:hAnsi="Arial Narrow" w:cs="Arial"/>
                <w:sz w:val="20"/>
                <w:szCs w:val="20"/>
              </w:rPr>
            </w:pPr>
            <w:r w:rsidRPr="002E6BC6">
              <w:rPr>
                <w:rFonts w:ascii="Arial Narrow" w:hAnsi="Arial Narrow" w:cs="Arial"/>
                <w:sz w:val="20"/>
                <w:szCs w:val="20"/>
              </w:rPr>
              <w:t xml:space="preserve">Patient must be undergoing treatment under the supervision of a </w:t>
            </w:r>
            <w:proofErr w:type="gramStart"/>
            <w:r w:rsidRPr="002E6BC6">
              <w:rPr>
                <w:rFonts w:ascii="Arial Narrow" w:hAnsi="Arial Narrow" w:cs="Arial"/>
                <w:sz w:val="20"/>
                <w:szCs w:val="20"/>
              </w:rPr>
              <w:t>paediatric rheumatology treatment centre</w:t>
            </w:r>
            <w:proofErr w:type="gramEnd"/>
            <w:r w:rsidRPr="002E6BC6">
              <w:rPr>
                <w:rFonts w:ascii="Arial Narrow" w:hAnsi="Arial Narrow" w:cs="Arial"/>
                <w:sz w:val="20"/>
                <w:szCs w:val="20"/>
              </w:rPr>
              <w:t xml:space="preserve">. </w:t>
            </w:r>
          </w:p>
        </w:tc>
      </w:tr>
      <w:tr w:rsidR="00EC081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jc w:val="both"/>
              <w:rPr>
                <w:rFonts w:ascii="Arial Narrow" w:hAnsi="Arial Narrow" w:cs="Arial"/>
                <w:b/>
                <w:sz w:val="20"/>
                <w:szCs w:val="20"/>
              </w:rPr>
            </w:pPr>
            <w:r w:rsidRPr="002E6BC6">
              <w:rPr>
                <w:rFonts w:ascii="Arial Narrow" w:hAnsi="Arial Narrow" w:cs="Arial"/>
                <w:b/>
                <w:sz w:val="20"/>
                <w:szCs w:val="20"/>
              </w:rPr>
              <w:t>Clinical criteria:</w:t>
            </w:r>
          </w:p>
          <w:p w:rsidR="00EC081A" w:rsidRPr="002E6BC6" w:rsidRDefault="00EC081A" w:rsidP="00376873">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rPr>
                <w:rFonts w:ascii="Arial Narrow" w:hAnsi="Arial Narrow" w:cs="Arial"/>
                <w:sz w:val="20"/>
                <w:szCs w:val="20"/>
              </w:rPr>
            </w:pPr>
            <w:r w:rsidRPr="002E6BC6">
              <w:rPr>
                <w:rFonts w:ascii="Arial Narrow" w:hAnsi="Arial Narrow" w:cs="Arial"/>
                <w:sz w:val="20"/>
                <w:szCs w:val="20"/>
              </w:rPr>
              <w:t xml:space="preserve">Patient must have received insufficient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therapy under the Initial 1 (new patient or patient recommencing treatment after break of more than 12 months) restriction to complete 16 weeks treatment; or</w:t>
            </w:r>
          </w:p>
          <w:p w:rsidR="00EC081A" w:rsidRPr="002E6BC6" w:rsidRDefault="00EC081A" w:rsidP="00376873">
            <w:pPr>
              <w:spacing w:before="40" w:after="40"/>
              <w:rPr>
                <w:rFonts w:ascii="Arial Narrow" w:hAnsi="Arial Narrow" w:cs="Arial"/>
                <w:sz w:val="20"/>
                <w:szCs w:val="20"/>
              </w:rPr>
            </w:pPr>
            <w:r w:rsidRPr="002E6BC6">
              <w:rPr>
                <w:rFonts w:ascii="Arial Narrow" w:hAnsi="Arial Narrow" w:cs="Arial"/>
                <w:sz w:val="20"/>
                <w:szCs w:val="20"/>
              </w:rPr>
              <w:t xml:space="preserve">Patient must have received insufficient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therapy under the Initial 2 (change or recommencement of treatment after break of less than 12 months) restriction to complete 16 weeks treatment;</w:t>
            </w:r>
          </w:p>
          <w:p w:rsidR="00EC081A" w:rsidRPr="002E6BC6" w:rsidRDefault="00EC081A" w:rsidP="00376873">
            <w:pPr>
              <w:spacing w:before="40" w:after="40"/>
              <w:rPr>
                <w:rFonts w:ascii="Arial Narrow" w:hAnsi="Arial Narrow" w:cs="Arial"/>
                <w:sz w:val="20"/>
                <w:szCs w:val="20"/>
              </w:rPr>
            </w:pPr>
            <w:r w:rsidRPr="002E6BC6">
              <w:rPr>
                <w:rFonts w:ascii="Arial Narrow" w:hAnsi="Arial Narrow" w:cs="Arial"/>
                <w:sz w:val="20"/>
                <w:szCs w:val="20"/>
              </w:rPr>
              <w:t>AND</w:t>
            </w:r>
          </w:p>
          <w:p w:rsidR="00EC081A" w:rsidRPr="002E6BC6" w:rsidRDefault="00E6233D" w:rsidP="00A5381D">
            <w:pPr>
              <w:rPr>
                <w:rFonts w:ascii="Arial Narrow" w:hAnsi="Arial Narrow" w:cs="Arial"/>
                <w:sz w:val="20"/>
                <w:szCs w:val="20"/>
              </w:rPr>
            </w:pPr>
            <w:r w:rsidRPr="002E6BC6">
              <w:rPr>
                <w:rFonts w:ascii="Arial Narrow" w:hAnsi="Arial Narrow" w:cs="Arial"/>
                <w:sz w:val="20"/>
                <w:szCs w:val="20"/>
              </w:rPr>
              <w:t>The treatment must provide no more than the balance of up to 16 weeks treatment available under the above restrictions.</w:t>
            </w:r>
          </w:p>
        </w:tc>
      </w:tr>
      <w:tr w:rsidR="00EC081A"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jc w:val="both"/>
              <w:rPr>
                <w:rFonts w:ascii="Arial Narrow" w:hAnsi="Arial Narrow" w:cs="Arial"/>
                <w:b/>
                <w:sz w:val="20"/>
                <w:szCs w:val="20"/>
              </w:rPr>
            </w:pPr>
            <w:r w:rsidRPr="002E6BC6">
              <w:rPr>
                <w:rFonts w:ascii="Arial Narrow" w:hAnsi="Arial Narrow" w:cs="Arial"/>
                <w:b/>
                <w:sz w:val="20"/>
                <w:szCs w:val="20"/>
              </w:rPr>
              <w:t>Administrative Advice:</w:t>
            </w:r>
          </w:p>
          <w:p w:rsidR="00EC081A" w:rsidRPr="002E6BC6" w:rsidRDefault="00EC081A" w:rsidP="00376873">
            <w:pPr>
              <w:spacing w:before="40" w:after="40"/>
              <w:jc w:val="both"/>
              <w:rPr>
                <w:rFonts w:ascii="Arial Narrow" w:hAnsi="Arial Narrow" w:cs="Arial"/>
                <w:b/>
                <w:sz w:val="20"/>
                <w:szCs w:val="20"/>
              </w:rPr>
            </w:pPr>
          </w:p>
        </w:tc>
        <w:tc>
          <w:tcPr>
            <w:tcW w:w="3937" w:type="pct"/>
            <w:tcBorders>
              <w:top w:val="single" w:sz="4" w:space="0" w:color="auto"/>
              <w:left w:val="single" w:sz="4" w:space="0" w:color="auto"/>
              <w:bottom w:val="single" w:sz="4" w:space="0" w:color="auto"/>
              <w:right w:val="single" w:sz="4" w:space="0" w:color="auto"/>
            </w:tcBorders>
          </w:tcPr>
          <w:p w:rsidR="00EC081A" w:rsidRPr="002E6BC6" w:rsidRDefault="00EC081A" w:rsidP="00376873">
            <w:pPr>
              <w:spacing w:before="40" w:after="40"/>
              <w:rPr>
                <w:rFonts w:ascii="Arial Narrow" w:hAnsi="Arial Narrow" w:cs="Arial"/>
                <w:sz w:val="20"/>
                <w:szCs w:val="20"/>
              </w:rPr>
            </w:pPr>
            <w:r w:rsidRPr="002E6BC6">
              <w:rPr>
                <w:rFonts w:ascii="Arial Narrow" w:hAnsi="Arial Narrow" w:cs="Arial"/>
                <w:sz w:val="20"/>
                <w:szCs w:val="20"/>
              </w:rPr>
              <w:t>Authority approval for sufficient therapy to complete a maximum of 16 weeks of treatment may be requested by telephone by contacting the Department of Human Services on 1800 700 270 (hours of operation 8 a.m. to 5 p.m. EST Monday to Friday).</w:t>
            </w:r>
          </w:p>
          <w:p w:rsidR="00EC081A" w:rsidRPr="002E6BC6" w:rsidRDefault="00EC081A" w:rsidP="00376873">
            <w:pPr>
              <w:spacing w:before="40" w:after="40"/>
              <w:rPr>
                <w:rFonts w:ascii="Arial Narrow" w:hAnsi="Arial Narrow" w:cs="Arial"/>
                <w:sz w:val="20"/>
                <w:szCs w:val="20"/>
              </w:rPr>
            </w:pPr>
            <w:r w:rsidRPr="002E6BC6">
              <w:rPr>
                <w:rFonts w:ascii="Arial Narrow" w:hAnsi="Arial Narrow" w:cs="Arial"/>
                <w:sz w:val="20"/>
                <w:szCs w:val="20"/>
              </w:rPr>
              <w:t>Written application for authority approval for sufficient therapy to complete a maximum of 16 weeks of treatment should be forwarded to:</w:t>
            </w:r>
          </w:p>
          <w:p w:rsidR="00EC081A" w:rsidRPr="002E6BC6" w:rsidRDefault="00EC081A" w:rsidP="00376873">
            <w:pPr>
              <w:spacing w:before="40" w:after="40"/>
              <w:rPr>
                <w:rFonts w:ascii="Arial Narrow" w:hAnsi="Arial Narrow" w:cs="Arial"/>
                <w:sz w:val="20"/>
                <w:szCs w:val="20"/>
              </w:rPr>
            </w:pPr>
            <w:r w:rsidRPr="002E6BC6">
              <w:rPr>
                <w:rFonts w:ascii="Arial Narrow" w:hAnsi="Arial Narrow" w:cs="Arial"/>
                <w:sz w:val="20"/>
                <w:szCs w:val="20"/>
              </w:rPr>
              <w:t>Department of Human Services</w:t>
            </w:r>
          </w:p>
          <w:p w:rsidR="00EC081A" w:rsidRPr="002E6BC6" w:rsidRDefault="00EC081A" w:rsidP="00376873">
            <w:pPr>
              <w:spacing w:before="40" w:after="40"/>
              <w:rPr>
                <w:rFonts w:ascii="Arial Narrow" w:hAnsi="Arial Narrow" w:cs="Arial"/>
                <w:sz w:val="20"/>
                <w:szCs w:val="20"/>
              </w:rPr>
            </w:pPr>
            <w:r w:rsidRPr="002E6BC6">
              <w:rPr>
                <w:rFonts w:ascii="Arial Narrow" w:hAnsi="Arial Narrow" w:cs="Arial"/>
                <w:sz w:val="20"/>
                <w:szCs w:val="20"/>
              </w:rPr>
              <w:t>Complex Drugs</w:t>
            </w:r>
          </w:p>
          <w:p w:rsidR="00EC081A" w:rsidRPr="002E6BC6" w:rsidRDefault="00EC081A" w:rsidP="00376873">
            <w:pPr>
              <w:spacing w:before="40" w:after="40"/>
              <w:rPr>
                <w:rFonts w:ascii="Arial Narrow" w:hAnsi="Arial Narrow" w:cs="Arial"/>
                <w:sz w:val="20"/>
                <w:szCs w:val="20"/>
              </w:rPr>
            </w:pPr>
            <w:r w:rsidRPr="002E6BC6">
              <w:rPr>
                <w:rFonts w:ascii="Arial Narrow" w:hAnsi="Arial Narrow" w:cs="Arial"/>
                <w:sz w:val="20"/>
                <w:szCs w:val="20"/>
              </w:rPr>
              <w:t>Reply Paid 9826</w:t>
            </w:r>
          </w:p>
          <w:p w:rsidR="00EC081A" w:rsidRPr="002E6BC6" w:rsidRDefault="00EC081A" w:rsidP="00376873">
            <w:pPr>
              <w:spacing w:before="40" w:after="40"/>
              <w:rPr>
                <w:rFonts w:ascii="Arial Narrow" w:hAnsi="Arial Narrow" w:cs="Arial"/>
                <w:sz w:val="20"/>
                <w:szCs w:val="20"/>
              </w:rPr>
            </w:pPr>
            <w:r w:rsidRPr="002E6BC6">
              <w:rPr>
                <w:rFonts w:ascii="Arial Narrow" w:hAnsi="Arial Narrow" w:cs="Arial"/>
                <w:sz w:val="20"/>
                <w:szCs w:val="20"/>
              </w:rPr>
              <w:t>HOBART TAS 7001</w:t>
            </w:r>
          </w:p>
        </w:tc>
      </w:tr>
    </w:tbl>
    <w:p w:rsidR="00EC081A" w:rsidRDefault="00EC081A" w:rsidP="00DC1927"/>
    <w:p w:rsidR="00C4269E" w:rsidRDefault="00C4269E">
      <w:r>
        <w:br w:type="page"/>
      </w:r>
    </w:p>
    <w:tbl>
      <w:tblPr>
        <w:tblW w:w="5000" w:type="pct"/>
        <w:tblLook w:val="0000" w:firstRow="0" w:lastRow="0" w:firstColumn="0" w:lastColumn="0" w:noHBand="0" w:noVBand="0"/>
      </w:tblPr>
      <w:tblGrid>
        <w:gridCol w:w="2873"/>
        <w:gridCol w:w="616"/>
        <w:gridCol w:w="1009"/>
        <w:gridCol w:w="1009"/>
        <w:gridCol w:w="1401"/>
        <w:gridCol w:w="827"/>
        <w:gridCol w:w="1291"/>
      </w:tblGrid>
      <w:tr w:rsidR="00F35D71" w:rsidRPr="002E6BC6" w:rsidTr="00DE486C">
        <w:trPr>
          <w:trHeight w:val="465"/>
        </w:trPr>
        <w:tc>
          <w:tcPr>
            <w:tcW w:w="1592" w:type="pct"/>
            <w:tcBorders>
              <w:bottom w:val="single" w:sz="4" w:space="0" w:color="auto"/>
            </w:tcBorders>
          </w:tcPr>
          <w:p w:rsidR="00F35D71" w:rsidRPr="002E6BC6" w:rsidRDefault="00F35D71"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Name, Restriction,</w:t>
            </w:r>
          </w:p>
          <w:p w:rsidR="00F35D71" w:rsidRPr="002E6BC6" w:rsidRDefault="00F35D71"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Manner of administration and form</w:t>
            </w:r>
          </w:p>
        </w:tc>
        <w:tc>
          <w:tcPr>
            <w:tcW w:w="341" w:type="pct"/>
            <w:tcBorders>
              <w:bottom w:val="single" w:sz="4" w:space="0" w:color="auto"/>
            </w:tcBorders>
          </w:tcPr>
          <w:p w:rsidR="00F35D71" w:rsidRPr="002E6BC6" w:rsidRDefault="00F35D71"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Max.</w:t>
            </w:r>
          </w:p>
          <w:p w:rsidR="00F35D71" w:rsidRPr="002E6BC6" w:rsidRDefault="00F35D71" w:rsidP="005E11C2">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Qty</w:t>
            </w:r>
            <w:proofErr w:type="spellEnd"/>
          </w:p>
        </w:tc>
        <w:tc>
          <w:tcPr>
            <w:tcW w:w="559" w:type="pct"/>
            <w:tcBorders>
              <w:bottom w:val="single" w:sz="4" w:space="0" w:color="auto"/>
            </w:tcBorders>
          </w:tcPr>
          <w:p w:rsidR="00F35D71" w:rsidRPr="002E6BC6" w:rsidRDefault="00F35D71" w:rsidP="005E11C2">
            <w:pPr>
              <w:keepNext/>
              <w:spacing w:before="40" w:after="40"/>
              <w:jc w:val="both"/>
              <w:rPr>
                <w:rFonts w:ascii="Arial Narrow" w:hAnsi="Arial Narrow" w:cs="Arial"/>
                <w:b/>
                <w:sz w:val="20"/>
                <w:szCs w:val="20"/>
              </w:rPr>
            </w:pPr>
          </w:p>
        </w:tc>
        <w:tc>
          <w:tcPr>
            <w:tcW w:w="559" w:type="pct"/>
            <w:tcBorders>
              <w:bottom w:val="single" w:sz="4" w:space="0" w:color="auto"/>
            </w:tcBorders>
          </w:tcPr>
          <w:p w:rsidR="00F35D71" w:rsidRPr="002E6BC6" w:rsidRDefault="00F35D71"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№.of</w:t>
            </w:r>
          </w:p>
          <w:p w:rsidR="00F35D71" w:rsidRPr="002E6BC6" w:rsidRDefault="00F35D71" w:rsidP="005E11C2">
            <w:pPr>
              <w:keepNext/>
              <w:spacing w:before="40" w:after="40"/>
              <w:jc w:val="both"/>
              <w:rPr>
                <w:rFonts w:ascii="Arial Narrow" w:hAnsi="Arial Narrow" w:cs="Arial"/>
                <w:b/>
                <w:sz w:val="20"/>
                <w:szCs w:val="20"/>
              </w:rPr>
            </w:pPr>
            <w:proofErr w:type="spellStart"/>
            <w:r w:rsidRPr="002E6BC6">
              <w:rPr>
                <w:rFonts w:ascii="Arial Narrow" w:hAnsi="Arial Narrow" w:cs="Arial"/>
                <w:b/>
                <w:sz w:val="20"/>
                <w:szCs w:val="20"/>
              </w:rPr>
              <w:t>Rpts</w:t>
            </w:r>
            <w:proofErr w:type="spellEnd"/>
          </w:p>
        </w:tc>
        <w:tc>
          <w:tcPr>
            <w:tcW w:w="776" w:type="pct"/>
            <w:tcBorders>
              <w:bottom w:val="single" w:sz="4" w:space="0" w:color="auto"/>
            </w:tcBorders>
          </w:tcPr>
          <w:p w:rsidR="00F35D71" w:rsidRPr="002E6BC6" w:rsidRDefault="00F35D71" w:rsidP="005E11C2">
            <w:pPr>
              <w:keepNext/>
              <w:spacing w:before="40" w:after="40"/>
              <w:jc w:val="both"/>
              <w:rPr>
                <w:rFonts w:ascii="Arial Narrow" w:hAnsi="Arial Narrow" w:cs="Arial"/>
                <w:b/>
                <w:sz w:val="20"/>
                <w:szCs w:val="20"/>
              </w:rPr>
            </w:pPr>
          </w:p>
        </w:tc>
        <w:tc>
          <w:tcPr>
            <w:tcW w:w="1173" w:type="pct"/>
            <w:gridSpan w:val="2"/>
            <w:tcBorders>
              <w:bottom w:val="single" w:sz="4" w:space="0" w:color="auto"/>
            </w:tcBorders>
          </w:tcPr>
          <w:p w:rsidR="00F35D71" w:rsidRPr="00A12DB8" w:rsidRDefault="00F35D71" w:rsidP="005E11C2">
            <w:pPr>
              <w:keepNext/>
              <w:spacing w:before="40" w:after="40"/>
              <w:jc w:val="both"/>
              <w:rPr>
                <w:rFonts w:ascii="Arial Narrow" w:hAnsi="Arial Narrow" w:cs="Arial"/>
                <w:b/>
                <w:sz w:val="20"/>
                <w:szCs w:val="20"/>
              </w:rPr>
            </w:pPr>
            <w:r w:rsidRPr="002E6BC6">
              <w:rPr>
                <w:rFonts w:ascii="Arial Narrow" w:hAnsi="Arial Narrow" w:cs="Arial"/>
                <w:b/>
                <w:sz w:val="20"/>
                <w:szCs w:val="20"/>
              </w:rPr>
              <w:t>Proprietary Name and Manufacturer</w:t>
            </w:r>
          </w:p>
        </w:tc>
      </w:tr>
      <w:tr w:rsidR="00F35D71" w:rsidRPr="002E6BC6" w:rsidTr="00DE486C">
        <w:trPr>
          <w:trHeight w:val="567"/>
        </w:trPr>
        <w:tc>
          <w:tcPr>
            <w:tcW w:w="1592" w:type="pct"/>
          </w:tcPr>
          <w:p w:rsidR="00F35D71" w:rsidRPr="002E6BC6" w:rsidRDefault="00F35D71" w:rsidP="005E11C2">
            <w:pPr>
              <w:keepNext/>
              <w:spacing w:before="40" w:after="40"/>
              <w:jc w:val="both"/>
              <w:rPr>
                <w:rFonts w:ascii="Arial Narrow" w:hAnsi="Arial Narrow" w:cs="Arial"/>
                <w:sz w:val="20"/>
                <w:szCs w:val="20"/>
              </w:rPr>
            </w:pPr>
            <w:r w:rsidRPr="002E6BC6">
              <w:rPr>
                <w:rFonts w:ascii="Arial Narrow" w:hAnsi="Arial Narrow" w:cs="Arial"/>
                <w:smallCaps/>
                <w:sz w:val="20"/>
                <w:szCs w:val="20"/>
              </w:rPr>
              <w:t xml:space="preserve">TOCILIZUMAB </w:t>
            </w:r>
          </w:p>
          <w:p w:rsidR="00F35D71" w:rsidRPr="002E6BC6" w:rsidRDefault="00F35D71" w:rsidP="005E11C2">
            <w:pPr>
              <w:keepNext/>
              <w:spacing w:before="40" w:after="40"/>
              <w:jc w:val="both"/>
              <w:rPr>
                <w:rFonts w:ascii="Arial Narrow" w:hAnsi="Arial Narrow" w:cs="Arial"/>
                <w:sz w:val="20"/>
                <w:szCs w:val="20"/>
              </w:rPr>
            </w:pPr>
            <w:r w:rsidRPr="002E6BC6">
              <w:rPr>
                <w:rFonts w:ascii="Arial Narrow" w:hAnsi="Arial Narrow" w:cs="Arial"/>
                <w:sz w:val="20"/>
                <w:szCs w:val="20"/>
              </w:rPr>
              <w:t>162 mg/0.9 mL, 4 x 0.9 mL</w:t>
            </w:r>
          </w:p>
          <w:p w:rsidR="00F35D71" w:rsidRPr="002E6BC6" w:rsidRDefault="00F35D71" w:rsidP="005E11C2">
            <w:pPr>
              <w:keepNext/>
              <w:spacing w:before="40" w:after="40"/>
              <w:jc w:val="both"/>
              <w:rPr>
                <w:rFonts w:ascii="Arial Narrow" w:hAnsi="Arial Narrow" w:cs="Arial"/>
                <w:sz w:val="20"/>
                <w:szCs w:val="20"/>
              </w:rPr>
            </w:pPr>
            <w:r w:rsidRPr="002E6BC6">
              <w:rPr>
                <w:rFonts w:ascii="Arial Narrow" w:hAnsi="Arial Narrow" w:cs="Arial"/>
                <w:sz w:val="20"/>
                <w:szCs w:val="20"/>
              </w:rPr>
              <w:t>auto-injector</w:t>
            </w:r>
          </w:p>
          <w:p w:rsidR="00F35D71" w:rsidRPr="002E6BC6" w:rsidRDefault="00F35D71" w:rsidP="005E11C2">
            <w:pPr>
              <w:keepNext/>
              <w:spacing w:before="40" w:after="40"/>
              <w:jc w:val="both"/>
              <w:rPr>
                <w:rFonts w:ascii="Arial Narrow" w:hAnsi="Arial Narrow" w:cs="Arial"/>
                <w:sz w:val="20"/>
                <w:szCs w:val="20"/>
              </w:rPr>
            </w:pPr>
            <w:r w:rsidRPr="002E6BC6">
              <w:rPr>
                <w:rFonts w:ascii="Arial Narrow" w:hAnsi="Arial Narrow" w:cs="Arial"/>
                <w:sz w:val="20"/>
                <w:szCs w:val="20"/>
              </w:rPr>
              <w:t>162 mg/0.9 mL, 4 x 0.9 mL</w:t>
            </w:r>
          </w:p>
          <w:p w:rsidR="00F35D71" w:rsidRPr="002E6BC6" w:rsidRDefault="00F35D71" w:rsidP="005E11C2">
            <w:pPr>
              <w:keepNext/>
              <w:spacing w:before="40" w:after="40"/>
              <w:jc w:val="both"/>
              <w:rPr>
                <w:rFonts w:ascii="Arial Narrow" w:hAnsi="Arial Narrow" w:cs="Arial"/>
                <w:sz w:val="20"/>
                <w:szCs w:val="20"/>
              </w:rPr>
            </w:pPr>
            <w:r w:rsidRPr="002E6BC6">
              <w:rPr>
                <w:rFonts w:ascii="Arial Narrow" w:hAnsi="Arial Narrow" w:cs="Arial"/>
                <w:sz w:val="20"/>
                <w:szCs w:val="20"/>
              </w:rPr>
              <w:t>syringe</w:t>
            </w:r>
          </w:p>
        </w:tc>
        <w:tc>
          <w:tcPr>
            <w:tcW w:w="341" w:type="pct"/>
          </w:tcPr>
          <w:p w:rsidR="00F35D71" w:rsidRPr="002E6BC6" w:rsidRDefault="00F35D71" w:rsidP="005E11C2">
            <w:pPr>
              <w:keepNext/>
              <w:spacing w:before="40" w:after="40"/>
              <w:jc w:val="both"/>
              <w:rPr>
                <w:rFonts w:ascii="Arial Narrow" w:hAnsi="Arial Narrow" w:cs="Arial"/>
                <w:sz w:val="20"/>
                <w:szCs w:val="20"/>
              </w:rPr>
            </w:pPr>
          </w:p>
          <w:p w:rsidR="00F35D71" w:rsidRPr="002E6BC6" w:rsidRDefault="00F35D71" w:rsidP="005E11C2">
            <w:pPr>
              <w:keepNext/>
              <w:spacing w:before="40" w:after="40"/>
              <w:jc w:val="both"/>
              <w:rPr>
                <w:rFonts w:ascii="Arial Narrow" w:hAnsi="Arial Narrow" w:cs="Arial"/>
                <w:sz w:val="20"/>
                <w:szCs w:val="20"/>
              </w:rPr>
            </w:pPr>
            <w:r w:rsidRPr="002E6BC6">
              <w:rPr>
                <w:rFonts w:ascii="Arial Narrow" w:hAnsi="Arial Narrow" w:cs="Arial"/>
                <w:sz w:val="20"/>
                <w:szCs w:val="20"/>
              </w:rPr>
              <w:t>1</w:t>
            </w:r>
          </w:p>
          <w:p w:rsidR="00F35D71" w:rsidRPr="002E6BC6" w:rsidRDefault="00F35D71" w:rsidP="005E11C2">
            <w:pPr>
              <w:keepNext/>
              <w:spacing w:before="40" w:after="40"/>
              <w:jc w:val="both"/>
              <w:rPr>
                <w:rFonts w:ascii="Arial Narrow" w:hAnsi="Arial Narrow" w:cs="Arial"/>
                <w:sz w:val="20"/>
                <w:szCs w:val="20"/>
              </w:rPr>
            </w:pPr>
          </w:p>
          <w:p w:rsidR="00F35D71" w:rsidRPr="002E6BC6" w:rsidRDefault="00DE486C" w:rsidP="005E11C2">
            <w:pPr>
              <w:keepNext/>
              <w:spacing w:before="40" w:after="40"/>
              <w:jc w:val="both"/>
              <w:rPr>
                <w:rFonts w:ascii="Arial Narrow" w:hAnsi="Arial Narrow" w:cs="Arial"/>
                <w:sz w:val="20"/>
                <w:szCs w:val="20"/>
              </w:rPr>
            </w:pPr>
            <w:r w:rsidRPr="002E6BC6">
              <w:rPr>
                <w:rFonts w:ascii="Arial Narrow" w:hAnsi="Arial Narrow" w:cs="Arial"/>
                <w:sz w:val="20"/>
                <w:szCs w:val="20"/>
              </w:rPr>
              <w:t>1</w:t>
            </w:r>
          </w:p>
        </w:tc>
        <w:tc>
          <w:tcPr>
            <w:tcW w:w="559" w:type="pct"/>
          </w:tcPr>
          <w:p w:rsidR="00F35D71" w:rsidRPr="002E6BC6" w:rsidRDefault="00F35D71" w:rsidP="005E11C2">
            <w:pPr>
              <w:keepNext/>
              <w:spacing w:before="40" w:after="40"/>
              <w:jc w:val="both"/>
              <w:rPr>
                <w:rFonts w:ascii="Arial Narrow" w:hAnsi="Arial Narrow" w:cs="Arial"/>
                <w:sz w:val="20"/>
                <w:szCs w:val="20"/>
              </w:rPr>
            </w:pPr>
          </w:p>
        </w:tc>
        <w:tc>
          <w:tcPr>
            <w:tcW w:w="559" w:type="pct"/>
          </w:tcPr>
          <w:p w:rsidR="00F35D71" w:rsidRPr="002E6BC6" w:rsidRDefault="00F35D71" w:rsidP="005E11C2">
            <w:pPr>
              <w:keepNext/>
              <w:spacing w:before="40" w:after="40"/>
              <w:jc w:val="both"/>
              <w:rPr>
                <w:rFonts w:ascii="Arial Narrow" w:hAnsi="Arial Narrow" w:cs="Arial"/>
                <w:sz w:val="20"/>
                <w:szCs w:val="20"/>
              </w:rPr>
            </w:pPr>
          </w:p>
          <w:p w:rsidR="00F35D71" w:rsidRPr="002E6BC6" w:rsidRDefault="00686E52" w:rsidP="005E11C2">
            <w:pPr>
              <w:keepNext/>
              <w:spacing w:before="40" w:after="40"/>
              <w:jc w:val="both"/>
              <w:rPr>
                <w:rFonts w:ascii="Arial Narrow" w:hAnsi="Arial Narrow" w:cs="Arial"/>
                <w:sz w:val="20"/>
                <w:szCs w:val="20"/>
              </w:rPr>
            </w:pPr>
            <w:r w:rsidRPr="002E6BC6">
              <w:rPr>
                <w:rFonts w:ascii="Arial Narrow" w:hAnsi="Arial Narrow" w:cs="Arial"/>
                <w:sz w:val="20"/>
                <w:szCs w:val="20"/>
              </w:rPr>
              <w:t>5</w:t>
            </w:r>
          </w:p>
          <w:p w:rsidR="00F35D71" w:rsidRPr="002E6BC6" w:rsidRDefault="00F35D71" w:rsidP="005E11C2">
            <w:pPr>
              <w:keepNext/>
              <w:spacing w:before="40" w:after="40"/>
              <w:jc w:val="both"/>
              <w:rPr>
                <w:rFonts w:ascii="Arial Narrow" w:hAnsi="Arial Narrow" w:cs="Arial"/>
                <w:sz w:val="20"/>
                <w:szCs w:val="20"/>
              </w:rPr>
            </w:pPr>
          </w:p>
          <w:p w:rsidR="00F35D71" w:rsidRPr="002E6BC6" w:rsidRDefault="00686E52" w:rsidP="005E11C2">
            <w:pPr>
              <w:keepNext/>
              <w:spacing w:before="40" w:after="40"/>
              <w:jc w:val="both"/>
              <w:rPr>
                <w:rFonts w:ascii="Arial Narrow" w:hAnsi="Arial Narrow" w:cs="Arial"/>
                <w:sz w:val="20"/>
                <w:szCs w:val="20"/>
              </w:rPr>
            </w:pPr>
            <w:r w:rsidRPr="002E6BC6">
              <w:rPr>
                <w:rFonts w:ascii="Arial Narrow" w:hAnsi="Arial Narrow" w:cs="Arial"/>
                <w:sz w:val="20"/>
                <w:szCs w:val="20"/>
              </w:rPr>
              <w:t>5</w:t>
            </w:r>
          </w:p>
        </w:tc>
        <w:tc>
          <w:tcPr>
            <w:tcW w:w="776" w:type="pct"/>
          </w:tcPr>
          <w:p w:rsidR="00F35D71" w:rsidRPr="002E6BC6" w:rsidRDefault="00F35D71" w:rsidP="005E11C2">
            <w:pPr>
              <w:keepNext/>
              <w:spacing w:before="40" w:after="40"/>
              <w:jc w:val="both"/>
              <w:rPr>
                <w:rFonts w:ascii="Arial Narrow" w:hAnsi="Arial Narrow" w:cs="Arial"/>
                <w:sz w:val="20"/>
                <w:szCs w:val="20"/>
              </w:rPr>
            </w:pPr>
          </w:p>
          <w:p w:rsidR="00F35D71" w:rsidRPr="002E6BC6" w:rsidRDefault="00F35D71" w:rsidP="005E11C2">
            <w:pPr>
              <w:keepNext/>
              <w:spacing w:before="40" w:after="40"/>
              <w:jc w:val="both"/>
              <w:rPr>
                <w:rFonts w:ascii="Arial Narrow" w:hAnsi="Arial Narrow" w:cs="Arial"/>
                <w:sz w:val="20"/>
                <w:szCs w:val="20"/>
              </w:rPr>
            </w:pPr>
          </w:p>
        </w:tc>
        <w:tc>
          <w:tcPr>
            <w:tcW w:w="458" w:type="pct"/>
          </w:tcPr>
          <w:p w:rsidR="00F35D71" w:rsidRPr="002E6BC6" w:rsidRDefault="00F35D71" w:rsidP="005E11C2">
            <w:pPr>
              <w:keepNext/>
              <w:spacing w:before="40" w:after="40"/>
              <w:jc w:val="both"/>
              <w:rPr>
                <w:rFonts w:ascii="Arial Narrow" w:hAnsi="Arial Narrow" w:cs="Arial"/>
                <w:sz w:val="20"/>
                <w:szCs w:val="20"/>
              </w:rPr>
            </w:pPr>
          </w:p>
          <w:p w:rsidR="00F35D71" w:rsidRPr="002E6BC6" w:rsidRDefault="00F35D71" w:rsidP="005E11C2">
            <w:pPr>
              <w:keepNext/>
              <w:spacing w:before="40" w:after="40"/>
              <w:jc w:val="both"/>
              <w:rPr>
                <w:rFonts w:ascii="Arial Narrow" w:hAnsi="Arial Narrow" w:cs="Arial"/>
                <w:sz w:val="20"/>
                <w:szCs w:val="20"/>
              </w:rPr>
            </w:pPr>
            <w:proofErr w:type="spellStart"/>
            <w:r w:rsidRPr="002E6BC6">
              <w:rPr>
                <w:rFonts w:ascii="Arial Narrow" w:hAnsi="Arial Narrow" w:cs="Arial"/>
                <w:sz w:val="20"/>
                <w:szCs w:val="20"/>
              </w:rPr>
              <w:t>Actemra</w:t>
            </w:r>
            <w:proofErr w:type="spellEnd"/>
          </w:p>
        </w:tc>
        <w:tc>
          <w:tcPr>
            <w:tcW w:w="715" w:type="pct"/>
          </w:tcPr>
          <w:p w:rsidR="00F35D71" w:rsidRPr="002E6BC6" w:rsidRDefault="00F35D71" w:rsidP="005E11C2">
            <w:pPr>
              <w:keepNext/>
              <w:spacing w:before="40" w:after="40"/>
              <w:jc w:val="both"/>
              <w:rPr>
                <w:rFonts w:ascii="Arial Narrow" w:hAnsi="Arial Narrow" w:cs="Arial"/>
                <w:sz w:val="20"/>
                <w:szCs w:val="20"/>
              </w:rPr>
            </w:pPr>
          </w:p>
          <w:p w:rsidR="00F35D71" w:rsidRPr="002E6BC6" w:rsidRDefault="00F35D71" w:rsidP="005E11C2">
            <w:pPr>
              <w:keepNext/>
              <w:spacing w:before="40" w:after="40"/>
              <w:jc w:val="both"/>
              <w:rPr>
                <w:rFonts w:ascii="Arial Narrow" w:hAnsi="Arial Narrow" w:cs="Arial"/>
                <w:sz w:val="20"/>
                <w:szCs w:val="20"/>
              </w:rPr>
            </w:pPr>
            <w:r w:rsidRPr="002E6BC6">
              <w:rPr>
                <w:rFonts w:ascii="Arial Narrow" w:hAnsi="Arial Narrow" w:cs="Arial"/>
                <w:sz w:val="20"/>
                <w:szCs w:val="20"/>
              </w:rPr>
              <w:t>Roche Products</w:t>
            </w:r>
          </w:p>
        </w:tc>
      </w:tr>
    </w:tbl>
    <w:p w:rsidR="00F35D71" w:rsidRPr="002E6BC6" w:rsidRDefault="00F35D71" w:rsidP="00DC1927"/>
    <w:p w:rsidR="00DA5D89" w:rsidRPr="002E6BC6" w:rsidRDefault="00DA5D89" w:rsidP="00DA5D89">
      <w:pPr>
        <w:rPr>
          <w:rFonts w:asciiTheme="minorHAnsi" w:hAnsiTheme="minorHAnsi" w:cstheme="minorHAnsi"/>
        </w:rPr>
      </w:pPr>
      <w:bookmarkStart w:id="1" w:name="_GoBack"/>
      <w:bookmarkEnd w:id="1"/>
      <w:r w:rsidRPr="002E6BC6">
        <w:rPr>
          <w:rFonts w:asciiTheme="minorHAnsi" w:hAnsiTheme="minorHAnsi" w:cstheme="minorHAnsi"/>
        </w:rPr>
        <w:t xml:space="preserve">Continuing treatment   (adult patients) </w:t>
      </w:r>
    </w:p>
    <w:p w:rsidR="00DA5D89" w:rsidRPr="002E6BC6" w:rsidRDefault="00DA5D89" w:rsidP="00DC1927"/>
    <w:tbl>
      <w:tblPr>
        <w:tblW w:w="5000" w:type="pct"/>
        <w:tblLook w:val="0000" w:firstRow="0" w:lastRow="0" w:firstColumn="0" w:lastColumn="0" w:noHBand="0" w:noVBand="0"/>
      </w:tblPr>
      <w:tblGrid>
        <w:gridCol w:w="1917"/>
        <w:gridCol w:w="7099"/>
      </w:tblGrid>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 xml:space="preserve">Category / </w:t>
            </w:r>
          </w:p>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Program</w:t>
            </w: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GENERAL – General Schedule (Code GE)</w:t>
            </w:r>
          </w:p>
          <w:p w:rsidR="0045439D" w:rsidRPr="002E6BC6" w:rsidRDefault="0045439D" w:rsidP="005E11C2">
            <w:pPr>
              <w:spacing w:before="40" w:after="40"/>
              <w:rPr>
                <w:rFonts w:ascii="Arial Narrow" w:hAnsi="Arial Narrow" w:cs="Arial"/>
                <w:sz w:val="20"/>
                <w:szCs w:val="20"/>
              </w:rPr>
            </w:pP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Prescriber type:</w:t>
            </w: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Dental  </w:t>
            </w:r>
            <w:r w:rsidRPr="00A12DB8">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Medical Practitioners  </w:t>
            </w:r>
            <w:r w:rsidRPr="00A12DB8">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Nurse practitioners  </w:t>
            </w:r>
            <w:r w:rsidRPr="00A12DB8">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Optometrists</w:t>
            </w:r>
          </w:p>
          <w:p w:rsidR="0045439D" w:rsidRPr="002E6BC6" w:rsidRDefault="0045439D"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Midwives</w:t>
            </w: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Condition:</w:t>
            </w: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PBS Indication:</w:t>
            </w: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Treatment phase:</w:t>
            </w: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5E0279" w:rsidP="005E11C2">
            <w:pPr>
              <w:spacing w:before="40" w:after="40"/>
              <w:rPr>
                <w:rFonts w:ascii="Arial Narrow" w:hAnsi="Arial Narrow" w:cs="Arial"/>
                <w:sz w:val="20"/>
                <w:szCs w:val="20"/>
              </w:rPr>
            </w:pPr>
            <w:r w:rsidRPr="002E6BC6">
              <w:rPr>
                <w:rFonts w:ascii="Arial Narrow" w:hAnsi="Arial Narrow" w:cs="Arial"/>
                <w:sz w:val="20"/>
                <w:szCs w:val="20"/>
              </w:rPr>
              <w:t xml:space="preserve">Continuing </w:t>
            </w:r>
            <w:r w:rsidR="00DE486C" w:rsidRPr="002E6BC6">
              <w:rPr>
                <w:rFonts w:ascii="Arial Narrow" w:hAnsi="Arial Narrow" w:cs="Arial"/>
                <w:sz w:val="20"/>
                <w:szCs w:val="20"/>
              </w:rPr>
              <w:t>T</w:t>
            </w:r>
            <w:r w:rsidRPr="002E6BC6">
              <w:rPr>
                <w:rFonts w:ascii="Arial Narrow" w:hAnsi="Arial Narrow" w:cs="Arial"/>
                <w:sz w:val="20"/>
                <w:szCs w:val="20"/>
              </w:rPr>
              <w:t>reatment</w:t>
            </w: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Restriction Level / Method:</w:t>
            </w:r>
          </w:p>
          <w:p w:rsidR="0045439D" w:rsidRPr="002E6BC6" w:rsidRDefault="0045439D" w:rsidP="005E11C2">
            <w:pPr>
              <w:spacing w:before="40" w:after="40"/>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Restricted benefit</w:t>
            </w:r>
          </w:p>
          <w:p w:rsidR="0045439D" w:rsidRPr="002E6BC6" w:rsidRDefault="0045439D"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In Writing</w:t>
            </w:r>
          </w:p>
          <w:p w:rsidR="0045439D" w:rsidRPr="002E6BC6" w:rsidRDefault="0045439D"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Telephone</w:t>
            </w:r>
          </w:p>
          <w:p w:rsidR="0045439D" w:rsidRPr="002E6BC6" w:rsidRDefault="0045439D"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Emergency</w:t>
            </w:r>
          </w:p>
          <w:p w:rsidR="0045439D" w:rsidRPr="002E6BC6" w:rsidRDefault="0045439D"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Electronic</w:t>
            </w:r>
          </w:p>
          <w:p w:rsidR="0045439D" w:rsidRPr="002E6BC6" w:rsidRDefault="0045439D" w:rsidP="005E11C2">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Streamlined</w:t>
            </w: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 xml:space="preserve">Treatment criteria: </w:t>
            </w: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5E0279" w:rsidP="005E11C2">
            <w:pPr>
              <w:spacing w:before="40" w:after="40"/>
              <w:rPr>
                <w:rFonts w:ascii="Arial Narrow" w:hAnsi="Arial Narrow" w:cs="Arial"/>
                <w:sz w:val="20"/>
                <w:szCs w:val="20"/>
              </w:rPr>
            </w:pPr>
            <w:r w:rsidRPr="002E6BC6">
              <w:rPr>
                <w:rFonts w:ascii="Arial Narrow" w:hAnsi="Arial Narrow" w:cs="Arial"/>
                <w:sz w:val="20"/>
                <w:szCs w:val="20"/>
              </w:rPr>
              <w:t>Must be treated by a rheumatologist; or</w:t>
            </w:r>
          </w:p>
          <w:p w:rsidR="005E0279" w:rsidRPr="002E6BC6" w:rsidRDefault="005E0279" w:rsidP="005E11C2">
            <w:pPr>
              <w:spacing w:before="40" w:after="40"/>
              <w:rPr>
                <w:rFonts w:ascii="Arial Narrow" w:hAnsi="Arial Narrow" w:cs="Arial"/>
                <w:sz w:val="20"/>
                <w:szCs w:val="20"/>
              </w:rPr>
            </w:pPr>
            <w:proofErr w:type="gramStart"/>
            <w:r w:rsidRPr="002E6BC6">
              <w:rPr>
                <w:rFonts w:ascii="Arial Narrow" w:hAnsi="Arial Narrow" w:cs="Arial"/>
                <w:sz w:val="20"/>
                <w:szCs w:val="20"/>
              </w:rPr>
              <w:t>Must be treated</w:t>
            </w:r>
            <w:proofErr w:type="gramEnd"/>
            <w:r w:rsidRPr="002E6BC6">
              <w:rPr>
                <w:rFonts w:ascii="Arial Narrow" w:hAnsi="Arial Narrow" w:cs="Arial"/>
                <w:sz w:val="20"/>
                <w:szCs w:val="20"/>
              </w:rPr>
              <w:t xml:space="preserve"> by a clinical immunologist with expertise in the management of rheumatoid arthritis</w:t>
            </w:r>
            <w:r w:rsidR="00DE486C" w:rsidRPr="002E6BC6">
              <w:rPr>
                <w:rFonts w:ascii="Arial Narrow" w:hAnsi="Arial Narrow" w:cs="Arial"/>
                <w:sz w:val="20"/>
                <w:szCs w:val="20"/>
              </w:rPr>
              <w:t>.</w:t>
            </w: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Clinical criteria:</w:t>
            </w:r>
          </w:p>
          <w:p w:rsidR="0045439D" w:rsidRPr="002E6BC6" w:rsidRDefault="0045439D" w:rsidP="005E11C2">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DE486C"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 xml:space="preserve">Patient must have a documented history of severe active juvenile idiopathic arthritis with onset prior to the age of 18 years; </w:t>
            </w: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AND</w:t>
            </w:r>
          </w:p>
          <w:p w:rsidR="00DE486C"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 xml:space="preserve">Patient must have demonstrated an adequate response to treatment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w:t>
            </w: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 xml:space="preserve">AND </w:t>
            </w: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 xml:space="preserve">Patient must have received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as their most recent course of PBS-subsidised biological disease modifying anti-rheumatic drug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treatment in this treatment cycle; AND</w:t>
            </w:r>
          </w:p>
          <w:p w:rsidR="0045439D" w:rsidRPr="002E6BC6" w:rsidRDefault="005E0279" w:rsidP="005E11C2">
            <w:pPr>
              <w:spacing w:before="40" w:after="40"/>
              <w:rPr>
                <w:rFonts w:ascii="Arial Narrow" w:hAnsi="Arial Narrow" w:cs="Arial"/>
                <w:sz w:val="20"/>
                <w:szCs w:val="20"/>
              </w:rPr>
            </w:pPr>
            <w:r w:rsidRPr="002E6BC6">
              <w:rPr>
                <w:rFonts w:ascii="Arial Narrow" w:hAnsi="Arial Narrow" w:cs="Arial"/>
                <w:sz w:val="20"/>
                <w:szCs w:val="20"/>
              </w:rPr>
              <w:t>Patient must not receive more than 24 weeks of treatment per continuing treatment course authorised under this restriction.</w:t>
            </w:r>
          </w:p>
        </w:tc>
      </w:tr>
      <w:tr w:rsidR="005E0279"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5E0279" w:rsidRPr="002E6BC6" w:rsidRDefault="005E0279" w:rsidP="005E11C2">
            <w:pPr>
              <w:spacing w:before="40" w:after="40"/>
              <w:jc w:val="both"/>
              <w:rPr>
                <w:rFonts w:ascii="Arial Narrow" w:hAnsi="Arial Narrow" w:cs="Arial"/>
                <w:b/>
                <w:sz w:val="20"/>
                <w:szCs w:val="20"/>
              </w:rPr>
            </w:pPr>
            <w:r w:rsidRPr="002E6BC6">
              <w:rPr>
                <w:rFonts w:ascii="Arial Narrow" w:hAnsi="Arial Narrow" w:cs="Arial"/>
                <w:b/>
                <w:sz w:val="20"/>
                <w:szCs w:val="20"/>
              </w:rPr>
              <w:t>Population Criteria:</w:t>
            </w:r>
          </w:p>
        </w:tc>
        <w:tc>
          <w:tcPr>
            <w:tcW w:w="3937" w:type="pct"/>
            <w:tcBorders>
              <w:top w:val="single" w:sz="4" w:space="0" w:color="auto"/>
              <w:left w:val="single" w:sz="4" w:space="0" w:color="auto"/>
              <w:bottom w:val="single" w:sz="4" w:space="0" w:color="auto"/>
              <w:right w:val="single" w:sz="4" w:space="0" w:color="auto"/>
            </w:tcBorders>
          </w:tcPr>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Patient must be aged 18 years or older</w:t>
            </w: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Prescriber Instructions</w:t>
            </w:r>
          </w:p>
          <w:p w:rsidR="0045439D" w:rsidRPr="002E6BC6" w:rsidRDefault="0045439D" w:rsidP="005E11C2">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5E0279" w:rsidP="005E11C2">
            <w:pPr>
              <w:spacing w:before="40" w:after="40"/>
              <w:rPr>
                <w:rFonts w:ascii="Arial Narrow" w:hAnsi="Arial Narrow" w:cs="Arial"/>
                <w:sz w:val="20"/>
                <w:szCs w:val="20"/>
              </w:rPr>
            </w:pPr>
            <w:r w:rsidRPr="002E6BC6">
              <w:rPr>
                <w:rFonts w:ascii="Arial Narrow" w:hAnsi="Arial Narrow" w:cs="Arial"/>
                <w:sz w:val="20"/>
                <w:szCs w:val="20"/>
              </w:rPr>
              <w:t xml:space="preserve">For the purposes of </w:t>
            </w:r>
            <w:proofErr w:type="gramStart"/>
            <w:r w:rsidRPr="002E6BC6">
              <w:rPr>
                <w:rFonts w:ascii="Arial Narrow" w:hAnsi="Arial Narrow" w:cs="Arial"/>
                <w:sz w:val="20"/>
                <w:szCs w:val="20"/>
              </w:rPr>
              <w:t>this</w:t>
            </w:r>
            <w:proofErr w:type="gramEnd"/>
            <w:r w:rsidRPr="002E6BC6">
              <w:rPr>
                <w:rFonts w:ascii="Arial Narrow" w:hAnsi="Arial Narrow" w:cs="Arial"/>
                <w:sz w:val="20"/>
                <w:szCs w:val="20"/>
              </w:rPr>
              <w:t xml:space="preserve"> restriction 'biological disease modifying anti-rheumatic drug' and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mean </w:t>
            </w:r>
            <w:proofErr w:type="spellStart"/>
            <w:r w:rsidRPr="002E6BC6">
              <w:rPr>
                <w:rFonts w:ascii="Arial Narrow" w:hAnsi="Arial Narrow" w:cs="Arial"/>
                <w:sz w:val="20"/>
                <w:szCs w:val="20"/>
              </w:rPr>
              <w:t>adalimumab</w:t>
            </w:r>
            <w:proofErr w:type="spellEnd"/>
            <w:r w:rsidRPr="002E6BC6">
              <w:rPr>
                <w:rFonts w:ascii="Arial Narrow" w:hAnsi="Arial Narrow" w:cs="Arial"/>
                <w:sz w:val="20"/>
                <w:szCs w:val="20"/>
              </w:rPr>
              <w:t xml:space="preserve">, </w:t>
            </w:r>
            <w:proofErr w:type="spellStart"/>
            <w:r w:rsidRPr="002E6BC6">
              <w:rPr>
                <w:rFonts w:ascii="Arial Narrow" w:hAnsi="Arial Narrow" w:cs="Arial"/>
                <w:sz w:val="20"/>
                <w:szCs w:val="20"/>
              </w:rPr>
              <w:t>etanercept</w:t>
            </w:r>
            <w:proofErr w:type="spellEnd"/>
            <w:r w:rsidRPr="002E6BC6">
              <w:rPr>
                <w:rFonts w:ascii="Arial Narrow" w:hAnsi="Arial Narrow" w:cs="Arial"/>
                <w:sz w:val="20"/>
                <w:szCs w:val="20"/>
              </w:rPr>
              <w:t xml:space="preserve"> or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w:t>
            </w:r>
          </w:p>
          <w:p w:rsidR="00DE486C" w:rsidRPr="002E6BC6" w:rsidRDefault="00DE486C" w:rsidP="005E11C2">
            <w:pPr>
              <w:spacing w:before="40" w:after="40"/>
              <w:rPr>
                <w:rFonts w:ascii="Arial Narrow" w:hAnsi="Arial Narrow" w:cs="Arial"/>
                <w:sz w:val="20"/>
                <w:szCs w:val="20"/>
              </w:rPr>
            </w:pP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An adequate response to treatment is defined as:</w:t>
            </w: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 xml:space="preserve">an ESR no greater than 25 mm per hour or a CRP level no greater than 15 mg per L or either marker reduced by at least 20% from baseline; </w:t>
            </w: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AND either of the following:</w:t>
            </w: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(a) an active joint count of fewer than 10 active (swollen and tender) joints; or</w:t>
            </w: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(b) a reduction in the active (swollen and tender) joint count by at least 50% from baseline; or</w:t>
            </w: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(c) a reduction in the number of the following active joints, from at least 4, by at least 50%:</w:t>
            </w: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w:t>
            </w:r>
            <w:proofErr w:type="spellStart"/>
            <w:r w:rsidRPr="002E6BC6">
              <w:rPr>
                <w:rFonts w:ascii="Arial Narrow" w:hAnsi="Arial Narrow" w:cs="Arial"/>
                <w:sz w:val="20"/>
                <w:szCs w:val="20"/>
              </w:rPr>
              <w:t>i</w:t>
            </w:r>
            <w:proofErr w:type="spellEnd"/>
            <w:r w:rsidRPr="002E6BC6">
              <w:rPr>
                <w:rFonts w:ascii="Arial Narrow" w:hAnsi="Arial Narrow" w:cs="Arial"/>
                <w:sz w:val="20"/>
                <w:szCs w:val="20"/>
              </w:rPr>
              <w:t>) elbow, wrist, knee and/or ankle (assessed as swollen and tender); and/or</w:t>
            </w: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 xml:space="preserve">(ii) </w:t>
            </w:r>
            <w:proofErr w:type="gramStart"/>
            <w:r w:rsidRPr="002E6BC6">
              <w:rPr>
                <w:rFonts w:ascii="Arial Narrow" w:hAnsi="Arial Narrow" w:cs="Arial"/>
                <w:sz w:val="20"/>
                <w:szCs w:val="20"/>
              </w:rPr>
              <w:t>shoulder</w:t>
            </w:r>
            <w:proofErr w:type="gramEnd"/>
            <w:r w:rsidRPr="002E6BC6">
              <w:rPr>
                <w:rFonts w:ascii="Arial Narrow" w:hAnsi="Arial Narrow" w:cs="Arial"/>
                <w:sz w:val="20"/>
                <w:szCs w:val="20"/>
              </w:rPr>
              <w:t>, cervical spine and/or hip (assessed as pain in passive movement and restriction of passive movement, where pain and limitation of movement are due to active disease and not irreversible damage such as joint destruction or bony overgrowth).</w:t>
            </w:r>
          </w:p>
          <w:p w:rsidR="00DE486C" w:rsidRPr="002E6BC6" w:rsidRDefault="00DE486C" w:rsidP="005E0279">
            <w:pPr>
              <w:spacing w:before="40" w:after="40"/>
              <w:rPr>
                <w:rFonts w:ascii="Arial Narrow" w:hAnsi="Arial Narrow" w:cs="Arial"/>
                <w:sz w:val="20"/>
                <w:szCs w:val="20"/>
              </w:rPr>
            </w:pP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 xml:space="preserve">Where the baseline active joint count is based on total active joints (i.e. more than 20 active joints), response will be determined according to the reduction in the total number of active joints. Where the baseline is determined on total number of major joints, the response </w:t>
            </w:r>
            <w:proofErr w:type="gramStart"/>
            <w:r w:rsidRPr="002E6BC6">
              <w:rPr>
                <w:rFonts w:ascii="Arial Narrow" w:hAnsi="Arial Narrow" w:cs="Arial"/>
                <w:sz w:val="20"/>
                <w:szCs w:val="20"/>
              </w:rPr>
              <w:t>must be demonstrated</w:t>
            </w:r>
            <w:proofErr w:type="gramEnd"/>
            <w:r w:rsidRPr="002E6BC6">
              <w:rPr>
                <w:rFonts w:ascii="Arial Narrow" w:hAnsi="Arial Narrow" w:cs="Arial"/>
                <w:sz w:val="20"/>
                <w:szCs w:val="20"/>
              </w:rPr>
              <w:t xml:space="preserve"> on the total number of major joints. If only an ESR or CRP level </w:t>
            </w:r>
            <w:proofErr w:type="gramStart"/>
            <w:r w:rsidRPr="002E6BC6">
              <w:rPr>
                <w:rFonts w:ascii="Arial Narrow" w:hAnsi="Arial Narrow" w:cs="Arial"/>
                <w:sz w:val="20"/>
                <w:szCs w:val="20"/>
              </w:rPr>
              <w:t>is provided</w:t>
            </w:r>
            <w:proofErr w:type="gramEnd"/>
            <w:r w:rsidRPr="002E6BC6">
              <w:rPr>
                <w:rFonts w:ascii="Arial Narrow" w:hAnsi="Arial Narrow" w:cs="Arial"/>
                <w:sz w:val="20"/>
                <w:szCs w:val="20"/>
              </w:rPr>
              <w:t xml:space="preserve"> with the initial application, the same marker will be used to determine response.</w:t>
            </w:r>
          </w:p>
          <w:p w:rsidR="00DE486C" w:rsidRPr="002E6BC6" w:rsidRDefault="00DE486C" w:rsidP="005E0279">
            <w:pPr>
              <w:spacing w:before="40" w:after="40"/>
              <w:rPr>
                <w:rFonts w:ascii="Arial Narrow" w:hAnsi="Arial Narrow" w:cs="Arial"/>
                <w:sz w:val="20"/>
                <w:szCs w:val="20"/>
              </w:rPr>
            </w:pP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The authority application must be made in writing and must include:</w:t>
            </w: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(1) completed authority prescription form(s); and</w:t>
            </w: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 xml:space="preserve">(2) </w:t>
            </w:r>
            <w:proofErr w:type="gramStart"/>
            <w:r w:rsidRPr="002E6BC6">
              <w:rPr>
                <w:rFonts w:ascii="Arial Narrow" w:hAnsi="Arial Narrow" w:cs="Arial"/>
                <w:sz w:val="20"/>
                <w:szCs w:val="20"/>
              </w:rPr>
              <w:t>a</w:t>
            </w:r>
            <w:proofErr w:type="gramEnd"/>
            <w:r w:rsidRPr="002E6BC6">
              <w:rPr>
                <w:rFonts w:ascii="Arial Narrow" w:hAnsi="Arial Narrow" w:cs="Arial"/>
                <w:sz w:val="20"/>
                <w:szCs w:val="20"/>
              </w:rPr>
              <w:t xml:space="preserve"> completed Juvenile Idiopathic Arthritis PBS Authority Application - Supporting Information Form.</w:t>
            </w:r>
          </w:p>
          <w:p w:rsidR="00DE486C" w:rsidRPr="002E6BC6" w:rsidRDefault="00DE486C" w:rsidP="005E0279">
            <w:pPr>
              <w:spacing w:before="40" w:after="40"/>
              <w:rPr>
                <w:rFonts w:ascii="Arial Narrow" w:hAnsi="Arial Narrow" w:cs="Arial"/>
                <w:sz w:val="20"/>
                <w:szCs w:val="20"/>
              </w:rPr>
            </w:pP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 xml:space="preserve">All applications for continuing treatment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must include a measurement of response to the prior course of therapy. This assessment </w:t>
            </w:r>
            <w:proofErr w:type="gramStart"/>
            <w:r w:rsidRPr="002E6BC6">
              <w:rPr>
                <w:rFonts w:ascii="Arial Narrow" w:hAnsi="Arial Narrow" w:cs="Arial"/>
                <w:sz w:val="20"/>
                <w:szCs w:val="20"/>
              </w:rPr>
              <w:t>must be submitted</w:t>
            </w:r>
            <w:proofErr w:type="gramEnd"/>
            <w:r w:rsidRPr="002E6BC6">
              <w:rPr>
                <w:rFonts w:ascii="Arial Narrow" w:hAnsi="Arial Narrow" w:cs="Arial"/>
                <w:sz w:val="20"/>
                <w:szCs w:val="20"/>
              </w:rPr>
              <w:t xml:space="preserve"> no later than 4 weeks from the cessation of that treatment course. If the application is the first application for continuing treatment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it </w:t>
            </w:r>
            <w:proofErr w:type="gramStart"/>
            <w:r w:rsidRPr="002E6BC6">
              <w:rPr>
                <w:rFonts w:ascii="Arial Narrow" w:hAnsi="Arial Narrow" w:cs="Arial"/>
                <w:sz w:val="20"/>
                <w:szCs w:val="20"/>
              </w:rPr>
              <w:t>must be accompanied</w:t>
            </w:r>
            <w:proofErr w:type="gramEnd"/>
            <w:r w:rsidRPr="002E6BC6">
              <w:rPr>
                <w:rFonts w:ascii="Arial Narrow" w:hAnsi="Arial Narrow" w:cs="Arial"/>
                <w:sz w:val="20"/>
                <w:szCs w:val="20"/>
              </w:rPr>
              <w:t xml:space="preserve"> by an assessment of response to a minimum of 12 weeks of treatment with an initial treatment course.</w:t>
            </w:r>
          </w:p>
          <w:p w:rsidR="00DE486C" w:rsidRPr="002E6BC6" w:rsidRDefault="00DE486C" w:rsidP="005E0279">
            <w:pPr>
              <w:spacing w:before="40" w:after="40"/>
              <w:rPr>
                <w:rFonts w:ascii="Arial Narrow" w:hAnsi="Arial Narrow" w:cs="Arial"/>
                <w:sz w:val="20"/>
                <w:szCs w:val="20"/>
              </w:rPr>
            </w:pP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 xml:space="preserve">Where a response assessment </w:t>
            </w:r>
            <w:proofErr w:type="gramStart"/>
            <w:r w:rsidRPr="002E6BC6">
              <w:rPr>
                <w:rFonts w:ascii="Arial Narrow" w:hAnsi="Arial Narrow" w:cs="Arial"/>
                <w:sz w:val="20"/>
                <w:szCs w:val="20"/>
              </w:rPr>
              <w:t>is not undertaken and submitted within these timeframes, the patient</w:t>
            </w:r>
            <w:proofErr w:type="gramEnd"/>
            <w:r w:rsidRPr="002E6BC6">
              <w:rPr>
                <w:rFonts w:ascii="Arial Narrow" w:hAnsi="Arial Narrow" w:cs="Arial"/>
                <w:sz w:val="20"/>
                <w:szCs w:val="20"/>
              </w:rPr>
              <w:t xml:space="preserve"> will be deemed to have failed to respond to treatment with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w:t>
            </w:r>
          </w:p>
          <w:p w:rsidR="00DE486C" w:rsidRPr="002E6BC6" w:rsidRDefault="00DE486C" w:rsidP="005E0279">
            <w:pPr>
              <w:spacing w:before="40" w:after="40"/>
              <w:rPr>
                <w:rFonts w:ascii="Arial Narrow" w:hAnsi="Arial Narrow" w:cs="Arial"/>
                <w:sz w:val="20"/>
                <w:szCs w:val="20"/>
              </w:rPr>
            </w:pPr>
          </w:p>
          <w:p w:rsidR="005E0279" w:rsidRPr="002E6BC6" w:rsidRDefault="005E0279" w:rsidP="005E0279">
            <w:pPr>
              <w:spacing w:before="40" w:after="40"/>
              <w:rPr>
                <w:rFonts w:ascii="Arial Narrow" w:hAnsi="Arial Narrow" w:cs="Arial"/>
                <w:sz w:val="20"/>
                <w:szCs w:val="20"/>
              </w:rPr>
            </w:pPr>
            <w:r w:rsidRPr="002E6BC6">
              <w:rPr>
                <w:rFonts w:ascii="Arial Narrow" w:hAnsi="Arial Narrow" w:cs="Arial"/>
                <w:sz w:val="20"/>
                <w:szCs w:val="20"/>
              </w:rPr>
              <w:t xml:space="preserve">If a patient fails to respond to PBS-subsidised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treatment 3 times (once with each </w:t>
            </w:r>
            <w:proofErr w:type="gramStart"/>
            <w:r w:rsidRPr="002E6BC6">
              <w:rPr>
                <w:rFonts w:ascii="Arial Narrow" w:hAnsi="Arial Narrow" w:cs="Arial"/>
                <w:sz w:val="20"/>
                <w:szCs w:val="20"/>
              </w:rPr>
              <w:t>agent)</w:t>
            </w:r>
            <w:proofErr w:type="gramEnd"/>
            <w:r w:rsidRPr="002E6BC6">
              <w:rPr>
                <w:rFonts w:ascii="Arial Narrow" w:hAnsi="Arial Narrow" w:cs="Arial"/>
                <w:sz w:val="20"/>
                <w:szCs w:val="20"/>
              </w:rPr>
              <w:t xml:space="preserve"> they will not be eligible to receive further PBS-subsidised </w:t>
            </w:r>
            <w:proofErr w:type="spellStart"/>
            <w:r w:rsidRPr="002E6BC6">
              <w:rPr>
                <w:rFonts w:ascii="Arial Narrow" w:hAnsi="Arial Narrow" w:cs="Arial"/>
                <w:sz w:val="20"/>
                <w:szCs w:val="20"/>
              </w:rPr>
              <w:t>bDMARD</w:t>
            </w:r>
            <w:proofErr w:type="spellEnd"/>
            <w:r w:rsidRPr="002E6BC6">
              <w:rPr>
                <w:rFonts w:ascii="Arial Narrow" w:hAnsi="Arial Narrow" w:cs="Arial"/>
                <w:sz w:val="20"/>
                <w:szCs w:val="20"/>
              </w:rPr>
              <w:t xml:space="preserve"> therapy in this treatment cycle.</w:t>
            </w:r>
          </w:p>
        </w:tc>
      </w:tr>
      <w:tr w:rsidR="0045439D" w:rsidRPr="002E6BC6" w:rsidTr="005E11C2">
        <w:trPr>
          <w:cantSplit/>
          <w:trHeight w:val="360"/>
        </w:trPr>
        <w:tc>
          <w:tcPr>
            <w:tcW w:w="1063"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jc w:val="both"/>
              <w:rPr>
                <w:rFonts w:ascii="Arial Narrow" w:hAnsi="Arial Narrow" w:cs="Arial"/>
                <w:b/>
                <w:sz w:val="20"/>
                <w:szCs w:val="20"/>
              </w:rPr>
            </w:pPr>
            <w:r w:rsidRPr="002E6BC6">
              <w:rPr>
                <w:rFonts w:ascii="Arial Narrow" w:hAnsi="Arial Narrow" w:cs="Arial"/>
                <w:b/>
                <w:sz w:val="20"/>
                <w:szCs w:val="20"/>
              </w:rPr>
              <w:t>Administrative Advice:</w:t>
            </w:r>
          </w:p>
          <w:p w:rsidR="0045439D" w:rsidRPr="002E6BC6" w:rsidRDefault="0045439D" w:rsidP="005E11C2">
            <w:pPr>
              <w:spacing w:before="40" w:after="40"/>
              <w:jc w:val="both"/>
              <w:rPr>
                <w:rFonts w:ascii="Arial Narrow" w:hAnsi="Arial Narrow" w:cs="Arial"/>
                <w:b/>
                <w:sz w:val="20"/>
                <w:szCs w:val="20"/>
              </w:rPr>
            </w:pPr>
          </w:p>
        </w:tc>
        <w:tc>
          <w:tcPr>
            <w:tcW w:w="3937" w:type="pct"/>
            <w:tcBorders>
              <w:top w:val="single" w:sz="4" w:space="0" w:color="auto"/>
              <w:left w:val="single" w:sz="4" w:space="0" w:color="auto"/>
              <w:bottom w:val="single" w:sz="4" w:space="0" w:color="auto"/>
              <w:right w:val="single" w:sz="4" w:space="0" w:color="auto"/>
            </w:tcBorders>
          </w:tcPr>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 xml:space="preserve">Any queries concerning the arrangements to prescribe may be directed to the Department of Human Services on 1800 700 270 (hours of operation 8 a.m. to 5 p.m. EST Monday to Friday). </w:t>
            </w:r>
          </w:p>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 xml:space="preserve">Applications for authority to prescribe should be forwarded to: </w:t>
            </w:r>
          </w:p>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Department of Human Services</w:t>
            </w:r>
          </w:p>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 xml:space="preserve">Complex Drugs </w:t>
            </w:r>
          </w:p>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 xml:space="preserve">Reply Paid 9826 </w:t>
            </w:r>
          </w:p>
          <w:p w:rsidR="0045439D" w:rsidRPr="002E6BC6" w:rsidRDefault="0045439D" w:rsidP="005E11C2">
            <w:pPr>
              <w:spacing w:before="40" w:after="40"/>
              <w:rPr>
                <w:rFonts w:ascii="Arial Narrow" w:hAnsi="Arial Narrow" w:cs="Arial"/>
                <w:sz w:val="20"/>
                <w:szCs w:val="20"/>
              </w:rPr>
            </w:pPr>
            <w:r w:rsidRPr="002E6BC6">
              <w:rPr>
                <w:rFonts w:ascii="Arial Narrow" w:hAnsi="Arial Narrow" w:cs="Arial"/>
                <w:sz w:val="20"/>
                <w:szCs w:val="20"/>
              </w:rPr>
              <w:t>HOBART TAS 7001</w:t>
            </w:r>
          </w:p>
        </w:tc>
      </w:tr>
    </w:tbl>
    <w:p w:rsidR="00DB198D" w:rsidRDefault="00DB198D"/>
    <w:tbl>
      <w:tblPr>
        <w:tblW w:w="5000" w:type="pct"/>
        <w:tblLook w:val="0000" w:firstRow="0" w:lastRow="0" w:firstColumn="0" w:lastColumn="0" w:noHBand="0" w:noVBand="0"/>
      </w:tblPr>
      <w:tblGrid>
        <w:gridCol w:w="1917"/>
        <w:gridCol w:w="7099"/>
      </w:tblGrid>
      <w:tr w:rsidR="00DB198D" w:rsidRPr="002E6BC6" w:rsidTr="00682856">
        <w:trPr>
          <w:cantSplit/>
          <w:trHeight w:val="360"/>
        </w:trPr>
        <w:tc>
          <w:tcPr>
            <w:tcW w:w="1063" w:type="pct"/>
            <w:tcBorders>
              <w:top w:val="single" w:sz="4" w:space="0" w:color="auto"/>
              <w:left w:val="single" w:sz="4" w:space="0" w:color="auto"/>
              <w:bottom w:val="single" w:sz="4" w:space="0" w:color="auto"/>
              <w:right w:val="single" w:sz="4" w:space="0" w:color="auto"/>
            </w:tcBorders>
          </w:tcPr>
          <w:p w:rsidR="00DB198D" w:rsidRPr="002E6BC6" w:rsidRDefault="00DB198D" w:rsidP="00682856">
            <w:pPr>
              <w:spacing w:before="40" w:after="40"/>
              <w:jc w:val="both"/>
              <w:rPr>
                <w:rFonts w:ascii="Arial Narrow" w:hAnsi="Arial Narrow" w:cs="Arial"/>
                <w:b/>
                <w:sz w:val="20"/>
                <w:szCs w:val="20"/>
              </w:rPr>
            </w:pPr>
            <w:r w:rsidRPr="002E6BC6">
              <w:rPr>
                <w:rFonts w:ascii="Arial Narrow" w:hAnsi="Arial Narrow" w:cs="Arial"/>
                <w:b/>
                <w:sz w:val="20"/>
                <w:szCs w:val="20"/>
              </w:rPr>
              <w:lastRenderedPageBreak/>
              <w:t xml:space="preserve">Category / </w:t>
            </w:r>
          </w:p>
          <w:p w:rsidR="00DB198D" w:rsidRPr="002E6BC6" w:rsidRDefault="00DB198D" w:rsidP="00682856">
            <w:pPr>
              <w:spacing w:before="40" w:after="40"/>
              <w:jc w:val="both"/>
              <w:rPr>
                <w:rFonts w:ascii="Arial Narrow" w:hAnsi="Arial Narrow" w:cs="Arial"/>
                <w:b/>
                <w:sz w:val="20"/>
                <w:szCs w:val="20"/>
              </w:rPr>
            </w:pPr>
            <w:r w:rsidRPr="002E6BC6">
              <w:rPr>
                <w:rFonts w:ascii="Arial Narrow" w:hAnsi="Arial Narrow" w:cs="Arial"/>
                <w:b/>
                <w:sz w:val="20"/>
                <w:szCs w:val="20"/>
              </w:rPr>
              <w:t>Program</w:t>
            </w:r>
          </w:p>
        </w:tc>
        <w:tc>
          <w:tcPr>
            <w:tcW w:w="3937" w:type="pct"/>
            <w:tcBorders>
              <w:top w:val="single" w:sz="4" w:space="0" w:color="auto"/>
              <w:left w:val="single" w:sz="4" w:space="0" w:color="auto"/>
              <w:bottom w:val="single" w:sz="4" w:space="0" w:color="auto"/>
              <w:right w:val="single" w:sz="4" w:space="0" w:color="auto"/>
            </w:tcBorders>
          </w:tcPr>
          <w:p w:rsidR="00DB198D" w:rsidRPr="002E6BC6" w:rsidRDefault="00DB198D" w:rsidP="00682856">
            <w:pPr>
              <w:spacing w:before="40" w:after="40"/>
              <w:rPr>
                <w:rFonts w:ascii="Arial Narrow" w:hAnsi="Arial Narrow" w:cs="Arial"/>
                <w:sz w:val="20"/>
                <w:szCs w:val="20"/>
              </w:rPr>
            </w:pPr>
            <w:r w:rsidRPr="002E6BC6">
              <w:rPr>
                <w:rFonts w:ascii="Arial Narrow" w:hAnsi="Arial Narrow" w:cs="Arial"/>
                <w:sz w:val="20"/>
                <w:szCs w:val="20"/>
              </w:rPr>
              <w:t>GENERAL – General Schedule (Code GE)</w:t>
            </w:r>
          </w:p>
          <w:p w:rsidR="00DB198D" w:rsidRPr="002E6BC6" w:rsidRDefault="00DB198D" w:rsidP="00682856">
            <w:pPr>
              <w:spacing w:before="40" w:after="40"/>
              <w:rPr>
                <w:rFonts w:ascii="Arial Narrow" w:hAnsi="Arial Narrow" w:cs="Arial"/>
                <w:sz w:val="20"/>
                <w:szCs w:val="20"/>
              </w:rPr>
            </w:pPr>
          </w:p>
        </w:tc>
      </w:tr>
      <w:tr w:rsidR="00DB198D" w:rsidRPr="002E6BC6" w:rsidTr="00682856">
        <w:trPr>
          <w:cantSplit/>
          <w:trHeight w:val="360"/>
        </w:trPr>
        <w:tc>
          <w:tcPr>
            <w:tcW w:w="1063" w:type="pct"/>
            <w:tcBorders>
              <w:top w:val="single" w:sz="4" w:space="0" w:color="auto"/>
              <w:left w:val="single" w:sz="4" w:space="0" w:color="auto"/>
              <w:bottom w:val="single" w:sz="4" w:space="0" w:color="auto"/>
              <w:right w:val="single" w:sz="4" w:space="0" w:color="auto"/>
            </w:tcBorders>
          </w:tcPr>
          <w:p w:rsidR="00DB198D" w:rsidRPr="002E6BC6" w:rsidRDefault="00DB198D" w:rsidP="00682856">
            <w:pPr>
              <w:spacing w:before="40" w:after="40"/>
              <w:jc w:val="both"/>
              <w:rPr>
                <w:rFonts w:ascii="Arial Narrow" w:hAnsi="Arial Narrow" w:cs="Arial"/>
                <w:b/>
                <w:sz w:val="20"/>
                <w:szCs w:val="20"/>
              </w:rPr>
            </w:pPr>
            <w:r w:rsidRPr="002E6BC6">
              <w:rPr>
                <w:rFonts w:ascii="Arial Narrow" w:hAnsi="Arial Narrow" w:cs="Arial"/>
                <w:b/>
                <w:sz w:val="20"/>
                <w:szCs w:val="20"/>
              </w:rPr>
              <w:t>Prescriber type:</w:t>
            </w:r>
          </w:p>
        </w:tc>
        <w:tc>
          <w:tcPr>
            <w:tcW w:w="3937" w:type="pct"/>
            <w:tcBorders>
              <w:top w:val="single" w:sz="4" w:space="0" w:color="auto"/>
              <w:left w:val="single" w:sz="4" w:space="0" w:color="auto"/>
              <w:bottom w:val="single" w:sz="4" w:space="0" w:color="auto"/>
              <w:right w:val="single" w:sz="4" w:space="0" w:color="auto"/>
            </w:tcBorders>
          </w:tcPr>
          <w:p w:rsidR="00DB198D" w:rsidRPr="002E6BC6" w:rsidRDefault="00DB198D" w:rsidP="00682856">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Dental  </w:t>
            </w:r>
            <w:r w:rsidRPr="00A12DB8">
              <w:rPr>
                <w:rFonts w:ascii="Arial Narrow" w:hAnsi="Arial Narrow" w:cs="Arial"/>
                <w:sz w:val="20"/>
                <w:szCs w:val="20"/>
              </w:rPr>
              <w:fldChar w:fldCharType="begin">
                <w:ffData>
                  <w:name w:val=""/>
                  <w:enabled/>
                  <w:calcOnExit w:val="0"/>
                  <w:checkBox>
                    <w:sizeAuto/>
                    <w:default w:val="1"/>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Medical Practitioners  </w:t>
            </w:r>
            <w:r w:rsidRPr="00A12DB8">
              <w:rPr>
                <w:rFonts w:ascii="Arial Narrow" w:hAnsi="Arial Narrow" w:cs="Arial"/>
                <w:sz w:val="20"/>
                <w:szCs w:val="20"/>
              </w:rPr>
              <w:fldChar w:fldCharType="begin">
                <w:ffData>
                  <w:name w:val="Check3"/>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 xml:space="preserve">Nurse practitioners  </w:t>
            </w:r>
            <w:r w:rsidRPr="00A12DB8">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Optometrists</w:t>
            </w:r>
          </w:p>
          <w:p w:rsidR="00DB198D" w:rsidRPr="002E6BC6" w:rsidRDefault="00DB198D" w:rsidP="00682856">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Midwives</w:t>
            </w:r>
          </w:p>
        </w:tc>
      </w:tr>
      <w:tr w:rsidR="00DB198D" w:rsidRPr="002E6BC6" w:rsidTr="00682856">
        <w:trPr>
          <w:cantSplit/>
          <w:trHeight w:val="360"/>
        </w:trPr>
        <w:tc>
          <w:tcPr>
            <w:tcW w:w="1063" w:type="pct"/>
            <w:tcBorders>
              <w:top w:val="single" w:sz="4" w:space="0" w:color="auto"/>
              <w:left w:val="single" w:sz="4" w:space="0" w:color="auto"/>
              <w:bottom w:val="single" w:sz="4" w:space="0" w:color="auto"/>
              <w:right w:val="single" w:sz="4" w:space="0" w:color="auto"/>
            </w:tcBorders>
          </w:tcPr>
          <w:p w:rsidR="00DB198D" w:rsidRPr="002E6BC6" w:rsidRDefault="00DB198D" w:rsidP="00682856">
            <w:pPr>
              <w:spacing w:before="40" w:after="40"/>
              <w:jc w:val="both"/>
              <w:rPr>
                <w:rFonts w:ascii="Arial Narrow" w:hAnsi="Arial Narrow" w:cs="Arial"/>
                <w:b/>
                <w:sz w:val="20"/>
                <w:szCs w:val="20"/>
              </w:rPr>
            </w:pPr>
            <w:r w:rsidRPr="002E6BC6">
              <w:rPr>
                <w:rFonts w:ascii="Arial Narrow" w:hAnsi="Arial Narrow" w:cs="Arial"/>
                <w:b/>
                <w:sz w:val="20"/>
                <w:szCs w:val="20"/>
              </w:rPr>
              <w:t>Condition:</w:t>
            </w:r>
          </w:p>
        </w:tc>
        <w:tc>
          <w:tcPr>
            <w:tcW w:w="3937" w:type="pct"/>
            <w:tcBorders>
              <w:top w:val="single" w:sz="4" w:space="0" w:color="auto"/>
              <w:left w:val="single" w:sz="4" w:space="0" w:color="auto"/>
              <w:bottom w:val="single" w:sz="4" w:space="0" w:color="auto"/>
              <w:right w:val="single" w:sz="4" w:space="0" w:color="auto"/>
            </w:tcBorders>
          </w:tcPr>
          <w:p w:rsidR="00DB198D" w:rsidRPr="002E6BC6" w:rsidRDefault="00DB198D" w:rsidP="00682856">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0B2305"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0B2305" w:rsidRPr="002E6BC6" w:rsidRDefault="000B2305" w:rsidP="00376873">
            <w:pPr>
              <w:spacing w:before="40" w:after="40"/>
              <w:jc w:val="both"/>
              <w:rPr>
                <w:rFonts w:ascii="Arial Narrow" w:hAnsi="Arial Narrow" w:cs="Arial"/>
                <w:b/>
                <w:sz w:val="20"/>
                <w:szCs w:val="20"/>
              </w:rPr>
            </w:pPr>
            <w:r w:rsidRPr="002E6BC6">
              <w:rPr>
                <w:rFonts w:ascii="Arial Narrow" w:hAnsi="Arial Narrow" w:cs="Arial"/>
                <w:b/>
                <w:sz w:val="20"/>
                <w:szCs w:val="20"/>
              </w:rPr>
              <w:t>PBS Indication:</w:t>
            </w:r>
          </w:p>
        </w:tc>
        <w:tc>
          <w:tcPr>
            <w:tcW w:w="3937" w:type="pct"/>
            <w:tcBorders>
              <w:top w:val="single" w:sz="4" w:space="0" w:color="auto"/>
              <w:left w:val="single" w:sz="4" w:space="0" w:color="auto"/>
              <w:bottom w:val="single" w:sz="4" w:space="0" w:color="auto"/>
              <w:right w:val="single" w:sz="4" w:space="0" w:color="auto"/>
            </w:tcBorders>
          </w:tcPr>
          <w:p w:rsidR="000B2305" w:rsidRPr="002E6BC6" w:rsidRDefault="000B2305" w:rsidP="00376873">
            <w:pPr>
              <w:spacing w:before="40" w:after="40"/>
              <w:rPr>
                <w:rFonts w:ascii="Arial Narrow" w:hAnsi="Arial Narrow" w:cs="Arial"/>
                <w:sz w:val="20"/>
                <w:szCs w:val="20"/>
              </w:rPr>
            </w:pPr>
            <w:r w:rsidRPr="002E6BC6">
              <w:rPr>
                <w:rFonts w:ascii="Arial Narrow" w:hAnsi="Arial Narrow" w:cs="Arial"/>
                <w:sz w:val="20"/>
                <w:szCs w:val="20"/>
              </w:rPr>
              <w:t>Severe active juvenile idiopathic arthritis</w:t>
            </w:r>
          </w:p>
        </w:tc>
      </w:tr>
      <w:tr w:rsidR="000B2305"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0B2305" w:rsidRPr="002E6BC6" w:rsidRDefault="000B2305" w:rsidP="00376873">
            <w:pPr>
              <w:spacing w:before="40" w:after="40"/>
              <w:jc w:val="both"/>
              <w:rPr>
                <w:rFonts w:ascii="Arial Narrow" w:hAnsi="Arial Narrow" w:cs="Arial"/>
                <w:b/>
                <w:sz w:val="20"/>
                <w:szCs w:val="20"/>
              </w:rPr>
            </w:pPr>
            <w:r w:rsidRPr="002E6BC6">
              <w:rPr>
                <w:rFonts w:ascii="Arial Narrow" w:hAnsi="Arial Narrow" w:cs="Arial"/>
                <w:b/>
                <w:sz w:val="20"/>
                <w:szCs w:val="20"/>
              </w:rPr>
              <w:t>Treatment phase:</w:t>
            </w:r>
          </w:p>
        </w:tc>
        <w:tc>
          <w:tcPr>
            <w:tcW w:w="3937" w:type="pct"/>
            <w:tcBorders>
              <w:top w:val="single" w:sz="4" w:space="0" w:color="auto"/>
              <w:left w:val="single" w:sz="4" w:space="0" w:color="auto"/>
              <w:bottom w:val="single" w:sz="4" w:space="0" w:color="auto"/>
              <w:right w:val="single" w:sz="4" w:space="0" w:color="auto"/>
            </w:tcBorders>
          </w:tcPr>
          <w:p w:rsidR="000B2305" w:rsidRPr="002E6BC6" w:rsidRDefault="000B2305" w:rsidP="00376873">
            <w:pPr>
              <w:spacing w:before="40" w:after="40"/>
              <w:rPr>
                <w:rFonts w:ascii="Arial Narrow" w:hAnsi="Arial Narrow" w:cs="Arial"/>
                <w:sz w:val="20"/>
                <w:szCs w:val="20"/>
              </w:rPr>
            </w:pPr>
            <w:r w:rsidRPr="002E6BC6">
              <w:rPr>
                <w:rFonts w:ascii="Arial Narrow" w:hAnsi="Arial Narrow" w:cs="Arial"/>
                <w:sz w:val="20"/>
                <w:szCs w:val="20"/>
              </w:rPr>
              <w:t>Continuing Treatment – balance of supply</w:t>
            </w:r>
          </w:p>
        </w:tc>
      </w:tr>
      <w:tr w:rsidR="000B2305"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0B2305" w:rsidRPr="002E6BC6" w:rsidRDefault="000B2305" w:rsidP="00376873">
            <w:pPr>
              <w:spacing w:before="40" w:after="40"/>
              <w:jc w:val="both"/>
              <w:rPr>
                <w:rFonts w:ascii="Arial Narrow" w:hAnsi="Arial Narrow" w:cs="Arial"/>
                <w:b/>
                <w:sz w:val="20"/>
                <w:szCs w:val="20"/>
              </w:rPr>
            </w:pPr>
            <w:r w:rsidRPr="002E6BC6">
              <w:rPr>
                <w:rFonts w:ascii="Arial Narrow" w:hAnsi="Arial Narrow" w:cs="Arial"/>
                <w:b/>
                <w:sz w:val="20"/>
                <w:szCs w:val="20"/>
              </w:rPr>
              <w:t>Restriction Level / Method:</w:t>
            </w:r>
          </w:p>
          <w:p w:rsidR="000B2305" w:rsidRPr="002E6BC6" w:rsidRDefault="000B2305" w:rsidP="00376873">
            <w:pPr>
              <w:spacing w:before="40" w:after="40"/>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0B2305" w:rsidRPr="002E6BC6" w:rsidRDefault="000B2305"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1"/>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Restricted benefit</w:t>
            </w:r>
          </w:p>
          <w:p w:rsidR="000B2305" w:rsidRPr="002E6BC6" w:rsidRDefault="00A12DB8" w:rsidP="0037687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Pr>
                <w:rFonts w:ascii="Arial Narrow" w:hAnsi="Arial Narrow" w:cs="Arial"/>
                <w:sz w:val="20"/>
                <w:szCs w:val="20"/>
              </w:rPr>
              <w:fldChar w:fldCharType="end"/>
            </w:r>
            <w:r w:rsidR="000B2305" w:rsidRPr="002E6BC6">
              <w:rPr>
                <w:rFonts w:ascii="Arial Narrow" w:hAnsi="Arial Narrow" w:cs="Arial"/>
                <w:sz w:val="20"/>
                <w:szCs w:val="20"/>
              </w:rPr>
              <w:t>Authority Required - In Writing</w:t>
            </w:r>
          </w:p>
          <w:p w:rsidR="000B2305" w:rsidRPr="002E6BC6" w:rsidRDefault="00A12DB8" w:rsidP="0037687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Pr>
                <w:rFonts w:ascii="Arial Narrow" w:hAnsi="Arial Narrow" w:cs="Arial"/>
                <w:sz w:val="20"/>
                <w:szCs w:val="20"/>
              </w:rPr>
              <w:fldChar w:fldCharType="end"/>
            </w:r>
            <w:r w:rsidR="000B2305" w:rsidRPr="002E6BC6">
              <w:rPr>
                <w:rFonts w:ascii="Arial Narrow" w:hAnsi="Arial Narrow" w:cs="Arial"/>
                <w:sz w:val="20"/>
                <w:szCs w:val="20"/>
              </w:rPr>
              <w:t>Authority Required - Telephone</w:t>
            </w:r>
          </w:p>
          <w:p w:rsidR="000B2305" w:rsidRPr="002E6BC6" w:rsidRDefault="000B2305"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Emergency</w:t>
            </w:r>
          </w:p>
          <w:p w:rsidR="000B2305" w:rsidRPr="002E6BC6" w:rsidRDefault="000B2305"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Authority Required - Electronic</w:t>
            </w:r>
          </w:p>
          <w:p w:rsidR="000B2305" w:rsidRPr="002E6BC6" w:rsidRDefault="000B2305" w:rsidP="00376873">
            <w:pPr>
              <w:spacing w:before="40" w:after="40"/>
              <w:rPr>
                <w:rFonts w:ascii="Arial Narrow" w:hAnsi="Arial Narrow" w:cs="Arial"/>
                <w:sz w:val="20"/>
                <w:szCs w:val="20"/>
              </w:rPr>
            </w:pPr>
            <w:r w:rsidRPr="00A12DB8">
              <w:rPr>
                <w:rFonts w:ascii="Arial Narrow" w:hAnsi="Arial Narrow" w:cs="Arial"/>
                <w:sz w:val="20"/>
                <w:szCs w:val="20"/>
              </w:rPr>
              <w:fldChar w:fldCharType="begin">
                <w:ffData>
                  <w:name w:val="Check5"/>
                  <w:enabled/>
                  <w:calcOnExit w:val="0"/>
                  <w:checkBox>
                    <w:sizeAuto/>
                    <w:default w:val="0"/>
                  </w:checkBox>
                </w:ffData>
              </w:fldChar>
            </w:r>
            <w:r w:rsidRPr="002E6BC6">
              <w:rPr>
                <w:rFonts w:ascii="Arial Narrow" w:hAnsi="Arial Narrow" w:cs="Arial"/>
                <w:sz w:val="20"/>
                <w:szCs w:val="20"/>
              </w:rPr>
              <w:instrText xml:space="preserve"> FORMCHECKBOX </w:instrText>
            </w:r>
            <w:r w:rsidR="00C4269E">
              <w:rPr>
                <w:rFonts w:ascii="Arial Narrow" w:hAnsi="Arial Narrow" w:cs="Arial"/>
                <w:sz w:val="20"/>
                <w:szCs w:val="20"/>
              </w:rPr>
            </w:r>
            <w:r w:rsidR="00C4269E">
              <w:rPr>
                <w:rFonts w:ascii="Arial Narrow" w:hAnsi="Arial Narrow" w:cs="Arial"/>
                <w:sz w:val="20"/>
                <w:szCs w:val="20"/>
              </w:rPr>
              <w:fldChar w:fldCharType="separate"/>
            </w:r>
            <w:r w:rsidRPr="00A12DB8">
              <w:rPr>
                <w:rFonts w:ascii="Arial Narrow" w:hAnsi="Arial Narrow" w:cs="Arial"/>
                <w:sz w:val="20"/>
                <w:szCs w:val="20"/>
              </w:rPr>
              <w:fldChar w:fldCharType="end"/>
            </w:r>
            <w:r w:rsidRPr="002E6BC6">
              <w:rPr>
                <w:rFonts w:ascii="Arial Narrow" w:hAnsi="Arial Narrow" w:cs="Arial"/>
                <w:sz w:val="20"/>
                <w:szCs w:val="20"/>
              </w:rPr>
              <w:t>Streamlined</w:t>
            </w:r>
          </w:p>
        </w:tc>
      </w:tr>
      <w:tr w:rsidR="000B2305"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0B2305" w:rsidRPr="002E6BC6" w:rsidRDefault="000B2305" w:rsidP="00376873">
            <w:pPr>
              <w:spacing w:before="40" w:after="40"/>
              <w:jc w:val="both"/>
              <w:rPr>
                <w:rFonts w:ascii="Arial Narrow" w:hAnsi="Arial Narrow" w:cs="Arial"/>
                <w:b/>
                <w:sz w:val="20"/>
                <w:szCs w:val="20"/>
              </w:rPr>
            </w:pPr>
            <w:r w:rsidRPr="002E6BC6">
              <w:rPr>
                <w:rFonts w:ascii="Arial Narrow" w:hAnsi="Arial Narrow" w:cs="Arial"/>
                <w:b/>
                <w:sz w:val="20"/>
                <w:szCs w:val="20"/>
              </w:rPr>
              <w:t xml:space="preserve">Treatment criteria: </w:t>
            </w:r>
          </w:p>
        </w:tc>
        <w:tc>
          <w:tcPr>
            <w:tcW w:w="3937" w:type="pct"/>
            <w:tcBorders>
              <w:top w:val="single" w:sz="4" w:space="0" w:color="auto"/>
              <w:left w:val="single" w:sz="4" w:space="0" w:color="auto"/>
              <w:bottom w:val="single" w:sz="4" w:space="0" w:color="auto"/>
              <w:right w:val="single" w:sz="4" w:space="0" w:color="auto"/>
            </w:tcBorders>
          </w:tcPr>
          <w:p w:rsidR="000B2305" w:rsidRPr="002E6BC6" w:rsidRDefault="000B2305" w:rsidP="00376873">
            <w:pPr>
              <w:spacing w:before="40" w:after="40"/>
              <w:rPr>
                <w:rFonts w:ascii="Arial Narrow" w:hAnsi="Arial Narrow" w:cs="Arial"/>
                <w:sz w:val="20"/>
                <w:szCs w:val="20"/>
              </w:rPr>
            </w:pPr>
            <w:r w:rsidRPr="002E6BC6">
              <w:rPr>
                <w:rFonts w:ascii="Arial Narrow" w:hAnsi="Arial Narrow" w:cs="Arial"/>
                <w:sz w:val="20"/>
                <w:szCs w:val="20"/>
              </w:rPr>
              <w:t>Must be treated by a paediatric rheumatologist; or</w:t>
            </w:r>
          </w:p>
          <w:p w:rsidR="000B2305" w:rsidRPr="002E6BC6" w:rsidRDefault="000B2305" w:rsidP="00376873">
            <w:pPr>
              <w:spacing w:before="40" w:after="40"/>
              <w:rPr>
                <w:rFonts w:ascii="Arial Narrow" w:hAnsi="Arial Narrow" w:cs="Arial"/>
                <w:sz w:val="20"/>
                <w:szCs w:val="20"/>
              </w:rPr>
            </w:pPr>
            <w:r w:rsidRPr="002E6BC6">
              <w:rPr>
                <w:rFonts w:ascii="Arial Narrow" w:hAnsi="Arial Narrow" w:cs="Arial"/>
                <w:sz w:val="20"/>
                <w:szCs w:val="20"/>
              </w:rPr>
              <w:t xml:space="preserve">Patient must be undergoing treatment under the supervision of a </w:t>
            </w:r>
            <w:proofErr w:type="gramStart"/>
            <w:r w:rsidRPr="002E6BC6">
              <w:rPr>
                <w:rFonts w:ascii="Arial Narrow" w:hAnsi="Arial Narrow" w:cs="Arial"/>
                <w:sz w:val="20"/>
                <w:szCs w:val="20"/>
              </w:rPr>
              <w:t>paediatric rheumatology treatment centre</w:t>
            </w:r>
            <w:proofErr w:type="gramEnd"/>
            <w:r w:rsidRPr="002E6BC6">
              <w:rPr>
                <w:rFonts w:ascii="Arial Narrow" w:hAnsi="Arial Narrow" w:cs="Arial"/>
                <w:sz w:val="20"/>
                <w:szCs w:val="20"/>
              </w:rPr>
              <w:t xml:space="preserve">. </w:t>
            </w:r>
          </w:p>
        </w:tc>
      </w:tr>
      <w:tr w:rsidR="000B2305"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0B2305" w:rsidRPr="002E6BC6" w:rsidRDefault="000B2305" w:rsidP="00376873">
            <w:pPr>
              <w:spacing w:before="40" w:after="40"/>
              <w:jc w:val="both"/>
              <w:rPr>
                <w:rFonts w:ascii="Arial Narrow" w:hAnsi="Arial Narrow" w:cs="Arial"/>
                <w:b/>
                <w:sz w:val="20"/>
                <w:szCs w:val="20"/>
              </w:rPr>
            </w:pPr>
            <w:r w:rsidRPr="002E6BC6">
              <w:rPr>
                <w:rFonts w:ascii="Arial Narrow" w:hAnsi="Arial Narrow" w:cs="Arial"/>
                <w:b/>
                <w:sz w:val="20"/>
                <w:szCs w:val="20"/>
              </w:rPr>
              <w:t>Clinical criteria:</w:t>
            </w:r>
          </w:p>
          <w:p w:rsidR="000B2305" w:rsidRPr="002E6BC6" w:rsidRDefault="000B2305" w:rsidP="00376873">
            <w:pPr>
              <w:spacing w:before="40" w:after="40"/>
              <w:jc w:val="both"/>
              <w:rPr>
                <w:rFonts w:ascii="Arial Narrow" w:hAnsi="Arial Narrow" w:cs="Arial"/>
                <w:sz w:val="20"/>
                <w:szCs w:val="20"/>
              </w:rPr>
            </w:pPr>
          </w:p>
        </w:tc>
        <w:tc>
          <w:tcPr>
            <w:tcW w:w="3937" w:type="pct"/>
            <w:tcBorders>
              <w:top w:val="single" w:sz="4" w:space="0" w:color="auto"/>
              <w:left w:val="single" w:sz="4" w:space="0" w:color="auto"/>
              <w:bottom w:val="single" w:sz="4" w:space="0" w:color="auto"/>
              <w:right w:val="single" w:sz="4" w:space="0" w:color="auto"/>
            </w:tcBorders>
          </w:tcPr>
          <w:p w:rsidR="000B2305" w:rsidRPr="002E6BC6" w:rsidRDefault="000B2305" w:rsidP="00376873">
            <w:pPr>
              <w:spacing w:before="40" w:after="40"/>
              <w:rPr>
                <w:rFonts w:ascii="Arial Narrow" w:hAnsi="Arial Narrow" w:cs="Arial"/>
                <w:sz w:val="20"/>
                <w:szCs w:val="20"/>
              </w:rPr>
            </w:pPr>
            <w:r w:rsidRPr="002E6BC6">
              <w:rPr>
                <w:rFonts w:ascii="Arial Narrow" w:hAnsi="Arial Narrow" w:cs="Arial"/>
                <w:sz w:val="20"/>
                <w:szCs w:val="20"/>
              </w:rPr>
              <w:t xml:space="preserve">Patient must have received insufficient </w:t>
            </w:r>
            <w:proofErr w:type="spellStart"/>
            <w:r w:rsidRPr="002E6BC6">
              <w:rPr>
                <w:rFonts w:ascii="Arial Narrow" w:hAnsi="Arial Narrow" w:cs="Arial"/>
                <w:sz w:val="20"/>
                <w:szCs w:val="20"/>
              </w:rPr>
              <w:t>tocilizumab</w:t>
            </w:r>
            <w:proofErr w:type="spellEnd"/>
            <w:r w:rsidRPr="002E6BC6">
              <w:rPr>
                <w:rFonts w:ascii="Arial Narrow" w:hAnsi="Arial Narrow" w:cs="Arial"/>
                <w:sz w:val="20"/>
                <w:szCs w:val="20"/>
              </w:rPr>
              <w:t xml:space="preserve"> therapy under the Continuing Treatment restriction to complete 24 weeks treatment;</w:t>
            </w:r>
          </w:p>
          <w:p w:rsidR="000B2305" w:rsidRPr="002E6BC6" w:rsidRDefault="000B2305" w:rsidP="00376873">
            <w:pPr>
              <w:spacing w:before="40" w:after="40"/>
              <w:rPr>
                <w:rFonts w:ascii="Arial Narrow" w:hAnsi="Arial Narrow" w:cs="Arial"/>
                <w:sz w:val="20"/>
                <w:szCs w:val="20"/>
              </w:rPr>
            </w:pPr>
            <w:r w:rsidRPr="002E6BC6">
              <w:rPr>
                <w:rFonts w:ascii="Arial Narrow" w:hAnsi="Arial Narrow" w:cs="Arial"/>
                <w:sz w:val="20"/>
                <w:szCs w:val="20"/>
              </w:rPr>
              <w:t>AND</w:t>
            </w:r>
          </w:p>
          <w:p w:rsidR="000B2305" w:rsidRPr="002E6BC6" w:rsidRDefault="000B2305" w:rsidP="00376873">
            <w:pPr>
              <w:spacing w:before="40" w:after="40"/>
              <w:rPr>
                <w:rFonts w:ascii="Arial Narrow" w:hAnsi="Arial Narrow" w:cs="Arial"/>
                <w:sz w:val="20"/>
                <w:szCs w:val="20"/>
              </w:rPr>
            </w:pPr>
            <w:r w:rsidRPr="002E6BC6">
              <w:rPr>
                <w:rFonts w:ascii="Arial Narrow" w:hAnsi="Arial Narrow" w:cs="Arial"/>
                <w:sz w:val="20"/>
                <w:szCs w:val="20"/>
              </w:rPr>
              <w:t>The treatment must provide no more than the balance of up to 24 weeks treatment available under the above restriction.</w:t>
            </w:r>
          </w:p>
        </w:tc>
      </w:tr>
      <w:tr w:rsidR="000B2305" w:rsidRPr="002E6BC6" w:rsidTr="00376873">
        <w:trPr>
          <w:cantSplit/>
          <w:trHeight w:val="360"/>
        </w:trPr>
        <w:tc>
          <w:tcPr>
            <w:tcW w:w="1063" w:type="pct"/>
            <w:tcBorders>
              <w:top w:val="single" w:sz="4" w:space="0" w:color="auto"/>
              <w:left w:val="single" w:sz="4" w:space="0" w:color="auto"/>
              <w:bottom w:val="single" w:sz="4" w:space="0" w:color="auto"/>
              <w:right w:val="single" w:sz="4" w:space="0" w:color="auto"/>
            </w:tcBorders>
          </w:tcPr>
          <w:p w:rsidR="000B2305" w:rsidRPr="002E6BC6" w:rsidRDefault="000B2305" w:rsidP="00376873">
            <w:pPr>
              <w:spacing w:before="40" w:after="40"/>
              <w:jc w:val="both"/>
              <w:rPr>
                <w:rFonts w:ascii="Arial Narrow" w:hAnsi="Arial Narrow" w:cs="Arial"/>
                <w:b/>
                <w:sz w:val="20"/>
                <w:szCs w:val="20"/>
              </w:rPr>
            </w:pPr>
            <w:r w:rsidRPr="002E6BC6">
              <w:rPr>
                <w:rFonts w:ascii="Arial Narrow" w:hAnsi="Arial Narrow" w:cs="Arial"/>
                <w:b/>
                <w:sz w:val="20"/>
                <w:szCs w:val="20"/>
              </w:rPr>
              <w:t>Administrative Advice:</w:t>
            </w:r>
          </w:p>
          <w:p w:rsidR="000B2305" w:rsidRPr="002E6BC6" w:rsidRDefault="000B2305" w:rsidP="00376873">
            <w:pPr>
              <w:spacing w:before="40" w:after="40"/>
              <w:jc w:val="both"/>
              <w:rPr>
                <w:rFonts w:ascii="Arial Narrow" w:hAnsi="Arial Narrow" w:cs="Arial"/>
                <w:b/>
                <w:sz w:val="20"/>
                <w:szCs w:val="20"/>
              </w:rPr>
            </w:pPr>
          </w:p>
        </w:tc>
        <w:tc>
          <w:tcPr>
            <w:tcW w:w="3937" w:type="pct"/>
            <w:tcBorders>
              <w:top w:val="single" w:sz="4" w:space="0" w:color="auto"/>
              <w:left w:val="single" w:sz="4" w:space="0" w:color="auto"/>
              <w:bottom w:val="single" w:sz="4" w:space="0" w:color="auto"/>
              <w:right w:val="single" w:sz="4" w:space="0" w:color="auto"/>
            </w:tcBorders>
          </w:tcPr>
          <w:p w:rsidR="000B2305" w:rsidRPr="002E6BC6" w:rsidRDefault="000B2305" w:rsidP="00376873">
            <w:pPr>
              <w:spacing w:before="40" w:after="40"/>
              <w:rPr>
                <w:rFonts w:ascii="Arial Narrow" w:hAnsi="Arial Narrow" w:cs="Arial"/>
                <w:sz w:val="20"/>
                <w:szCs w:val="20"/>
              </w:rPr>
            </w:pPr>
            <w:r w:rsidRPr="002E6BC6">
              <w:rPr>
                <w:rFonts w:ascii="Arial Narrow" w:hAnsi="Arial Narrow" w:cs="Arial"/>
                <w:sz w:val="20"/>
                <w:szCs w:val="20"/>
              </w:rPr>
              <w:t>Authority approval for sufficient therapy to complete a maximum of 24 weeks of treatment may be requested by telephone by contacting the Department of Human Services on 1800 700 270 (hours of operation 8 a.m. to 5 p.m. EST Monday to Friday).</w:t>
            </w:r>
          </w:p>
          <w:p w:rsidR="000B2305" w:rsidRPr="002E6BC6" w:rsidRDefault="000B2305" w:rsidP="00376873">
            <w:pPr>
              <w:spacing w:before="40" w:after="40"/>
              <w:rPr>
                <w:rFonts w:ascii="Arial Narrow" w:hAnsi="Arial Narrow" w:cs="Arial"/>
                <w:sz w:val="20"/>
                <w:szCs w:val="20"/>
              </w:rPr>
            </w:pPr>
            <w:r w:rsidRPr="002E6BC6">
              <w:rPr>
                <w:rFonts w:ascii="Arial Narrow" w:hAnsi="Arial Narrow" w:cs="Arial"/>
                <w:sz w:val="20"/>
                <w:szCs w:val="20"/>
              </w:rPr>
              <w:t>Written application for authority approval for sufficient therapy to complete a maximum of 24 weeks of treatment should be forwarded to:</w:t>
            </w:r>
          </w:p>
          <w:p w:rsidR="000B2305" w:rsidRPr="002E6BC6" w:rsidRDefault="000B2305" w:rsidP="00376873">
            <w:pPr>
              <w:spacing w:before="40" w:after="40"/>
              <w:rPr>
                <w:rFonts w:ascii="Arial Narrow" w:hAnsi="Arial Narrow" w:cs="Arial"/>
                <w:sz w:val="20"/>
                <w:szCs w:val="20"/>
              </w:rPr>
            </w:pPr>
            <w:r w:rsidRPr="002E6BC6">
              <w:rPr>
                <w:rFonts w:ascii="Arial Narrow" w:hAnsi="Arial Narrow" w:cs="Arial"/>
                <w:sz w:val="20"/>
                <w:szCs w:val="20"/>
              </w:rPr>
              <w:t>Department of Human Services</w:t>
            </w:r>
          </w:p>
          <w:p w:rsidR="000B2305" w:rsidRPr="002E6BC6" w:rsidRDefault="000B2305" w:rsidP="00376873">
            <w:pPr>
              <w:spacing w:before="40" w:after="40"/>
              <w:rPr>
                <w:rFonts w:ascii="Arial Narrow" w:hAnsi="Arial Narrow" w:cs="Arial"/>
                <w:sz w:val="20"/>
                <w:szCs w:val="20"/>
              </w:rPr>
            </w:pPr>
            <w:r w:rsidRPr="002E6BC6">
              <w:rPr>
                <w:rFonts w:ascii="Arial Narrow" w:hAnsi="Arial Narrow" w:cs="Arial"/>
                <w:sz w:val="20"/>
                <w:szCs w:val="20"/>
              </w:rPr>
              <w:t>Complex Drugs</w:t>
            </w:r>
          </w:p>
          <w:p w:rsidR="000B2305" w:rsidRPr="002E6BC6" w:rsidRDefault="000B2305" w:rsidP="00376873">
            <w:pPr>
              <w:spacing w:before="40" w:after="40"/>
              <w:rPr>
                <w:rFonts w:ascii="Arial Narrow" w:hAnsi="Arial Narrow" w:cs="Arial"/>
                <w:sz w:val="20"/>
                <w:szCs w:val="20"/>
              </w:rPr>
            </w:pPr>
            <w:r w:rsidRPr="002E6BC6">
              <w:rPr>
                <w:rFonts w:ascii="Arial Narrow" w:hAnsi="Arial Narrow" w:cs="Arial"/>
                <w:sz w:val="20"/>
                <w:szCs w:val="20"/>
              </w:rPr>
              <w:t>Reply Paid 9826</w:t>
            </w:r>
          </w:p>
          <w:p w:rsidR="000B2305" w:rsidRPr="002E6BC6" w:rsidRDefault="000B2305" w:rsidP="00376873">
            <w:pPr>
              <w:spacing w:before="40" w:after="40"/>
              <w:rPr>
                <w:rFonts w:ascii="Arial Narrow" w:hAnsi="Arial Narrow" w:cs="Arial"/>
                <w:sz w:val="20"/>
                <w:szCs w:val="20"/>
              </w:rPr>
            </w:pPr>
            <w:r w:rsidRPr="002E6BC6">
              <w:rPr>
                <w:rFonts w:ascii="Arial Narrow" w:hAnsi="Arial Narrow" w:cs="Arial"/>
                <w:sz w:val="20"/>
                <w:szCs w:val="20"/>
              </w:rPr>
              <w:t>HOBART TAS 7001</w:t>
            </w:r>
          </w:p>
        </w:tc>
      </w:tr>
    </w:tbl>
    <w:p w:rsidR="0045439D" w:rsidRPr="002E6BC6" w:rsidRDefault="0045439D" w:rsidP="00DC1927"/>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TREATMENT OF PATIENTS WITH SEVERE ACTIVE JUVENILE IDIOPATHIC ARTHRITIS</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The following information applies to the prescribing under the Pharmaceutical Benefits Scheme (PBS) of </w:t>
      </w:r>
      <w:proofErr w:type="spellStart"/>
      <w:r w:rsidRPr="002E6BC6">
        <w:rPr>
          <w:rFonts w:ascii="Arial Narrow" w:hAnsi="Arial Narrow" w:cs="Arial"/>
          <w:color w:val="333333"/>
          <w:sz w:val="20"/>
          <w:szCs w:val="20"/>
        </w:rPr>
        <w:t>adalimumab</w:t>
      </w:r>
      <w:proofErr w:type="spellEnd"/>
      <w:r w:rsidRPr="002E6BC6">
        <w:rPr>
          <w:rFonts w:ascii="Arial Narrow" w:hAnsi="Arial Narrow" w:cs="Arial"/>
          <w:color w:val="333333"/>
          <w:sz w:val="20"/>
          <w:szCs w:val="20"/>
        </w:rPr>
        <w:t xml:space="preserve">, </w:t>
      </w:r>
      <w:proofErr w:type="spellStart"/>
      <w:r w:rsidRPr="002E6BC6">
        <w:rPr>
          <w:rFonts w:ascii="Arial Narrow" w:hAnsi="Arial Narrow" w:cs="Arial"/>
          <w:color w:val="333333"/>
          <w:sz w:val="20"/>
          <w:szCs w:val="20"/>
        </w:rPr>
        <w:t>etanercept</w:t>
      </w:r>
      <w:proofErr w:type="spellEnd"/>
      <w:r w:rsidRPr="002E6BC6">
        <w:rPr>
          <w:rFonts w:ascii="Arial Narrow" w:hAnsi="Arial Narrow" w:cs="Arial"/>
          <w:color w:val="333333"/>
          <w:sz w:val="20"/>
          <w:szCs w:val="20"/>
        </w:rPr>
        <w:t xml:space="preserve"> and </w:t>
      </w:r>
      <w:proofErr w:type="spellStart"/>
      <w:r w:rsidRPr="002E6BC6">
        <w:rPr>
          <w:rFonts w:ascii="Arial Narrow" w:hAnsi="Arial Narrow" w:cs="Arial"/>
          <w:color w:val="333333"/>
          <w:sz w:val="20"/>
          <w:szCs w:val="20"/>
        </w:rPr>
        <w:t>tocilizumab</w:t>
      </w:r>
      <w:proofErr w:type="spellEnd"/>
      <w:r w:rsidRPr="002E6BC6">
        <w:rPr>
          <w:rFonts w:ascii="Arial Narrow" w:hAnsi="Arial Narrow" w:cs="Arial"/>
          <w:color w:val="333333"/>
          <w:sz w:val="20"/>
          <w:szCs w:val="20"/>
        </w:rPr>
        <w:t xml:space="preserve"> for a patient who has severe active juvenile idiopathic arthritis. Where the term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appears in notes and restrictions, it refers to </w:t>
      </w:r>
      <w:proofErr w:type="spellStart"/>
      <w:r w:rsidRPr="002E6BC6">
        <w:rPr>
          <w:rFonts w:ascii="Arial Narrow" w:hAnsi="Arial Narrow" w:cs="Arial"/>
          <w:color w:val="333333"/>
          <w:sz w:val="20"/>
          <w:szCs w:val="20"/>
        </w:rPr>
        <w:t>adalimumab</w:t>
      </w:r>
      <w:proofErr w:type="spellEnd"/>
      <w:r w:rsidRPr="002E6BC6">
        <w:rPr>
          <w:rFonts w:ascii="Arial Narrow" w:hAnsi="Arial Narrow" w:cs="Arial"/>
          <w:color w:val="333333"/>
          <w:sz w:val="20"/>
          <w:szCs w:val="20"/>
        </w:rPr>
        <w:t xml:space="preserve">, </w:t>
      </w:r>
      <w:proofErr w:type="spellStart"/>
      <w:r w:rsidRPr="002E6BC6">
        <w:rPr>
          <w:rFonts w:ascii="Arial Narrow" w:hAnsi="Arial Narrow" w:cs="Arial"/>
          <w:color w:val="333333"/>
          <w:sz w:val="20"/>
          <w:szCs w:val="20"/>
        </w:rPr>
        <w:t>etanercept</w:t>
      </w:r>
      <w:proofErr w:type="spellEnd"/>
      <w:r w:rsidRPr="002E6BC6">
        <w:rPr>
          <w:rFonts w:ascii="Arial Narrow" w:hAnsi="Arial Narrow" w:cs="Arial"/>
          <w:color w:val="333333"/>
          <w:sz w:val="20"/>
          <w:szCs w:val="20"/>
        </w:rPr>
        <w:t xml:space="preserve"> and </w:t>
      </w:r>
      <w:proofErr w:type="spellStart"/>
      <w:r w:rsidRPr="002E6BC6">
        <w:rPr>
          <w:rFonts w:ascii="Arial Narrow" w:hAnsi="Arial Narrow" w:cs="Arial"/>
          <w:color w:val="333333"/>
          <w:sz w:val="20"/>
          <w:szCs w:val="20"/>
        </w:rPr>
        <w:t>tocilizumab</w:t>
      </w:r>
      <w:proofErr w:type="spellEnd"/>
      <w:r w:rsidRPr="002E6BC6">
        <w:rPr>
          <w:rFonts w:ascii="Arial Narrow" w:hAnsi="Arial Narrow" w:cs="Arial"/>
          <w:color w:val="333333"/>
          <w:sz w:val="20"/>
          <w:szCs w:val="20"/>
        </w:rPr>
        <w:t xml:space="preserve"> only.</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A patient is eligible for PBS-subsidised treatment with only </w:t>
      </w:r>
      <w:proofErr w:type="gramStart"/>
      <w:r w:rsidRPr="002E6BC6">
        <w:rPr>
          <w:rFonts w:ascii="Arial Narrow" w:hAnsi="Arial Narrow" w:cs="Arial"/>
          <w:color w:val="333333"/>
          <w:sz w:val="20"/>
          <w:szCs w:val="20"/>
        </w:rPr>
        <w:t>1</w:t>
      </w:r>
      <w:proofErr w:type="gramEnd"/>
      <w:r w:rsidRPr="002E6BC6">
        <w:rPr>
          <w:rFonts w:ascii="Arial Narrow" w:hAnsi="Arial Narrow" w:cs="Arial"/>
          <w:color w:val="333333"/>
          <w:sz w:val="20"/>
          <w:szCs w:val="20"/>
        </w:rPr>
        <w:t xml:space="preserve"> of the 3 </w:t>
      </w:r>
      <w:proofErr w:type="spellStart"/>
      <w:r w:rsidRPr="002E6BC6">
        <w:rPr>
          <w:rFonts w:ascii="Arial Narrow" w:hAnsi="Arial Narrow" w:cs="Arial"/>
          <w:color w:val="333333"/>
          <w:sz w:val="20"/>
          <w:szCs w:val="20"/>
        </w:rPr>
        <w:t>bDMARDs</w:t>
      </w:r>
      <w:proofErr w:type="spellEnd"/>
      <w:r w:rsidRPr="002E6BC6">
        <w:rPr>
          <w:rFonts w:ascii="Arial Narrow" w:hAnsi="Arial Narrow" w:cs="Arial"/>
          <w:color w:val="333333"/>
          <w:sz w:val="20"/>
          <w:szCs w:val="20"/>
        </w:rPr>
        <w:t xml:space="preserve"> at any one time.</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From 1 April 2014, a patient receiving PBS-subsidised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therapy </w:t>
      </w:r>
      <w:proofErr w:type="gramStart"/>
      <w:r w:rsidRPr="002E6BC6">
        <w:rPr>
          <w:rFonts w:ascii="Arial Narrow" w:hAnsi="Arial Narrow" w:cs="Arial"/>
          <w:color w:val="333333"/>
          <w:sz w:val="20"/>
          <w:szCs w:val="20"/>
        </w:rPr>
        <w:t>is considered</w:t>
      </w:r>
      <w:proofErr w:type="gramEnd"/>
      <w:r w:rsidRPr="002E6BC6">
        <w:rPr>
          <w:rFonts w:ascii="Arial Narrow" w:hAnsi="Arial Narrow" w:cs="Arial"/>
          <w:color w:val="333333"/>
          <w:sz w:val="20"/>
          <w:szCs w:val="20"/>
        </w:rPr>
        <w:t xml:space="preserve"> to be in a treatment cycle where they may swap to an alternate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without having to experience a disease flare. Under these interchangeability arrangements, within a single treatment cycle, a patient may:</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w:t>
      </w:r>
      <w:proofErr w:type="spellStart"/>
      <w:r w:rsidRPr="002E6BC6">
        <w:rPr>
          <w:rFonts w:ascii="Arial Narrow" w:hAnsi="Arial Narrow" w:cs="Arial"/>
          <w:color w:val="333333"/>
          <w:sz w:val="20"/>
          <w:szCs w:val="20"/>
        </w:rPr>
        <w:t>i</w:t>
      </w:r>
      <w:proofErr w:type="spellEnd"/>
      <w:r w:rsidRPr="002E6BC6">
        <w:rPr>
          <w:rFonts w:ascii="Arial Narrow" w:hAnsi="Arial Narrow" w:cs="Arial"/>
          <w:color w:val="333333"/>
          <w:sz w:val="20"/>
          <w:szCs w:val="20"/>
        </w:rPr>
        <w:t xml:space="preserve">) </w:t>
      </w:r>
      <w:proofErr w:type="gramStart"/>
      <w:r w:rsidRPr="002E6BC6">
        <w:rPr>
          <w:rFonts w:ascii="Arial Narrow" w:hAnsi="Arial Narrow" w:cs="Arial"/>
          <w:color w:val="333333"/>
          <w:sz w:val="20"/>
          <w:szCs w:val="20"/>
        </w:rPr>
        <w:t>continue</w:t>
      </w:r>
      <w:proofErr w:type="gramEnd"/>
      <w:r w:rsidRPr="002E6BC6">
        <w:rPr>
          <w:rFonts w:ascii="Arial Narrow" w:hAnsi="Arial Narrow" w:cs="Arial"/>
          <w:color w:val="333333"/>
          <w:sz w:val="20"/>
          <w:szCs w:val="20"/>
        </w:rPr>
        <w:t xml:space="preserve"> to receive long-term treatment with a PBS-subsidised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while they continue to show a response to therapy; and</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(ii) </w:t>
      </w:r>
      <w:proofErr w:type="gramStart"/>
      <w:r w:rsidRPr="002E6BC6">
        <w:rPr>
          <w:rFonts w:ascii="Arial Narrow" w:hAnsi="Arial Narrow" w:cs="Arial"/>
          <w:color w:val="333333"/>
          <w:sz w:val="20"/>
          <w:szCs w:val="20"/>
        </w:rPr>
        <w:t>fail</w:t>
      </w:r>
      <w:proofErr w:type="gramEnd"/>
      <w:r w:rsidRPr="002E6BC6">
        <w:rPr>
          <w:rFonts w:ascii="Arial Narrow" w:hAnsi="Arial Narrow" w:cs="Arial"/>
          <w:color w:val="333333"/>
          <w:sz w:val="20"/>
          <w:szCs w:val="20"/>
        </w:rPr>
        <w:t xml:space="preserve"> to respond or to sustain a response to each PBS-subsidised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once only.</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Once a patient has either failed or ceased to respond to PBS-subsidised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treatment 3 times, they are deemed to have completed a single treatment cycle and they must have, at a minimum, a </w:t>
      </w:r>
      <w:proofErr w:type="gramStart"/>
      <w:r w:rsidRPr="002E6BC6">
        <w:rPr>
          <w:rFonts w:ascii="Arial Narrow" w:hAnsi="Arial Narrow" w:cs="Arial"/>
          <w:color w:val="333333"/>
          <w:sz w:val="20"/>
          <w:szCs w:val="20"/>
        </w:rPr>
        <w:t>12 month</w:t>
      </w:r>
      <w:proofErr w:type="gramEnd"/>
      <w:r w:rsidRPr="002E6BC6">
        <w:rPr>
          <w:rFonts w:ascii="Arial Narrow" w:hAnsi="Arial Narrow" w:cs="Arial"/>
          <w:color w:val="333333"/>
          <w:sz w:val="20"/>
          <w:szCs w:val="20"/>
        </w:rPr>
        <w:t xml:space="preserve"> break in PBS-subsidised biological therapy before they are eligible to receive further PBS-subsidised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therapy. The length of a treatment break </w:t>
      </w:r>
      <w:proofErr w:type="gramStart"/>
      <w:r w:rsidRPr="002E6BC6">
        <w:rPr>
          <w:rFonts w:ascii="Arial Narrow" w:hAnsi="Arial Narrow" w:cs="Arial"/>
          <w:color w:val="333333"/>
          <w:sz w:val="20"/>
          <w:szCs w:val="20"/>
        </w:rPr>
        <w:t xml:space="preserve">is </w:t>
      </w:r>
      <w:r w:rsidRPr="002E6BC6">
        <w:rPr>
          <w:rFonts w:ascii="Arial Narrow" w:hAnsi="Arial Narrow" w:cs="Arial"/>
          <w:color w:val="333333"/>
          <w:sz w:val="20"/>
          <w:szCs w:val="20"/>
        </w:rPr>
        <w:lastRenderedPageBreak/>
        <w:t>measured</w:t>
      </w:r>
      <w:proofErr w:type="gramEnd"/>
      <w:r w:rsidRPr="002E6BC6">
        <w:rPr>
          <w:rFonts w:ascii="Arial Narrow" w:hAnsi="Arial Narrow" w:cs="Arial"/>
          <w:color w:val="333333"/>
          <w:sz w:val="20"/>
          <w:szCs w:val="20"/>
        </w:rPr>
        <w:t xml:space="preserve"> from the date the most recent treatment with PBS-subsidised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treatment was stopped to the date of the first application for initial treatment with a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under the new treatment cycle.</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A patient who was receiving PBS-subsidised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treatment immediately prior to 1 April 2014 </w:t>
      </w:r>
      <w:proofErr w:type="gramStart"/>
      <w:r w:rsidRPr="002E6BC6">
        <w:rPr>
          <w:rFonts w:ascii="Arial Narrow" w:hAnsi="Arial Narrow" w:cs="Arial"/>
          <w:color w:val="333333"/>
          <w:sz w:val="20"/>
          <w:szCs w:val="20"/>
        </w:rPr>
        <w:t>is considered</w:t>
      </w:r>
      <w:proofErr w:type="gramEnd"/>
      <w:r w:rsidRPr="002E6BC6">
        <w:rPr>
          <w:rFonts w:ascii="Arial Narrow" w:hAnsi="Arial Narrow" w:cs="Arial"/>
          <w:color w:val="333333"/>
          <w:sz w:val="20"/>
          <w:szCs w:val="20"/>
        </w:rPr>
        <w:t xml:space="preserve"> to be in their first cycle as of 1 April 2014. A </w:t>
      </w:r>
      <w:proofErr w:type="gramStart"/>
      <w:r w:rsidRPr="002E6BC6">
        <w:rPr>
          <w:rFonts w:ascii="Arial Narrow" w:hAnsi="Arial Narrow" w:cs="Arial"/>
          <w:color w:val="333333"/>
          <w:sz w:val="20"/>
          <w:szCs w:val="20"/>
        </w:rPr>
        <w:t>patient</w:t>
      </w:r>
      <w:proofErr w:type="gramEnd"/>
      <w:r w:rsidRPr="002E6BC6">
        <w:rPr>
          <w:rFonts w:ascii="Arial Narrow" w:hAnsi="Arial Narrow" w:cs="Arial"/>
          <w:color w:val="333333"/>
          <w:sz w:val="20"/>
          <w:szCs w:val="20"/>
        </w:rPr>
        <w:t xml:space="preserve"> who has had a break in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treatment of at least 12 months immediately prior to making a new application, on or after 1 April 2014, will commence a new treatment cycle.</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A patient who has failed fewer than </w:t>
      </w:r>
      <w:proofErr w:type="gramStart"/>
      <w:r w:rsidRPr="002E6BC6">
        <w:rPr>
          <w:rFonts w:ascii="Arial Narrow" w:hAnsi="Arial Narrow" w:cs="Arial"/>
          <w:color w:val="333333"/>
          <w:sz w:val="20"/>
          <w:szCs w:val="20"/>
        </w:rPr>
        <w:t>3</w:t>
      </w:r>
      <w:proofErr w:type="gramEnd"/>
      <w:r w:rsidRPr="002E6BC6">
        <w:rPr>
          <w:rFonts w:ascii="Arial Narrow" w:hAnsi="Arial Narrow" w:cs="Arial"/>
          <w:color w:val="333333"/>
          <w:sz w:val="20"/>
          <w:szCs w:val="20"/>
        </w:rPr>
        <w:t xml:space="preserve"> trials of a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in a treatment cycle and who has a break in therapy of less than 12 months may commence a further course of treatment within the same treatment cycle.</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A patient who has failed fewer than </w:t>
      </w:r>
      <w:proofErr w:type="gramStart"/>
      <w:r w:rsidRPr="002E6BC6">
        <w:rPr>
          <w:rFonts w:ascii="Arial Narrow" w:hAnsi="Arial Narrow" w:cs="Arial"/>
          <w:color w:val="333333"/>
          <w:sz w:val="20"/>
          <w:szCs w:val="20"/>
        </w:rPr>
        <w:t>3</w:t>
      </w:r>
      <w:proofErr w:type="gramEnd"/>
      <w:r w:rsidRPr="002E6BC6">
        <w:rPr>
          <w:rFonts w:ascii="Arial Narrow" w:hAnsi="Arial Narrow" w:cs="Arial"/>
          <w:color w:val="333333"/>
          <w:sz w:val="20"/>
          <w:szCs w:val="20"/>
        </w:rPr>
        <w:t xml:space="preserve"> trials of a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in a treatment cycle and who has a break in therapy of more than 12 months must commence a new treatment cycle.</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roofErr w:type="gramStart"/>
      <w:r w:rsidRPr="002E6BC6">
        <w:rPr>
          <w:rFonts w:ascii="Arial Narrow" w:hAnsi="Arial Narrow" w:cs="Arial"/>
          <w:color w:val="333333"/>
          <w:sz w:val="20"/>
          <w:szCs w:val="20"/>
        </w:rPr>
        <w:t>There is no limit to the number of treatment cycles a patient may undertake.</w:t>
      </w:r>
      <w:proofErr w:type="gramEnd"/>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(1) How to prescribe PBS-subsidised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therapy after 1 April 2014.</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(a) Initial treatment.</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Applications for initial treatment </w:t>
      </w:r>
      <w:proofErr w:type="gramStart"/>
      <w:r w:rsidRPr="002E6BC6">
        <w:rPr>
          <w:rFonts w:ascii="Arial Narrow" w:hAnsi="Arial Narrow" w:cs="Arial"/>
          <w:color w:val="333333"/>
          <w:sz w:val="20"/>
          <w:szCs w:val="20"/>
        </w:rPr>
        <w:t>should be made</w:t>
      </w:r>
      <w:proofErr w:type="gramEnd"/>
      <w:r w:rsidRPr="002E6BC6">
        <w:rPr>
          <w:rFonts w:ascii="Arial Narrow" w:hAnsi="Arial Narrow" w:cs="Arial"/>
          <w:color w:val="333333"/>
          <w:sz w:val="20"/>
          <w:szCs w:val="20"/>
        </w:rPr>
        <w:t xml:space="preserve"> where:</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w:t>
      </w:r>
      <w:proofErr w:type="spellStart"/>
      <w:r w:rsidRPr="002E6BC6">
        <w:rPr>
          <w:rFonts w:ascii="Arial Narrow" w:hAnsi="Arial Narrow" w:cs="Arial"/>
          <w:color w:val="333333"/>
          <w:sz w:val="20"/>
          <w:szCs w:val="20"/>
        </w:rPr>
        <w:t>i</w:t>
      </w:r>
      <w:proofErr w:type="spellEnd"/>
      <w:r w:rsidRPr="002E6BC6">
        <w:rPr>
          <w:rFonts w:ascii="Arial Narrow" w:hAnsi="Arial Narrow" w:cs="Arial"/>
          <w:color w:val="333333"/>
          <w:sz w:val="20"/>
          <w:szCs w:val="20"/>
        </w:rPr>
        <w:t xml:space="preserve">) </w:t>
      </w:r>
      <w:proofErr w:type="gramStart"/>
      <w:r w:rsidRPr="002E6BC6">
        <w:rPr>
          <w:rFonts w:ascii="Arial Narrow" w:hAnsi="Arial Narrow" w:cs="Arial"/>
          <w:color w:val="333333"/>
          <w:sz w:val="20"/>
          <w:szCs w:val="20"/>
        </w:rPr>
        <w:t>a</w:t>
      </w:r>
      <w:proofErr w:type="gramEnd"/>
      <w:r w:rsidRPr="002E6BC6">
        <w:rPr>
          <w:rFonts w:ascii="Arial Narrow" w:hAnsi="Arial Narrow" w:cs="Arial"/>
          <w:color w:val="333333"/>
          <w:sz w:val="20"/>
          <w:szCs w:val="20"/>
        </w:rPr>
        <w:t xml:space="preserve"> patient has received no prior PBS-subsidised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treatment in this treatment cycle and wishes to commence such therapy (Initial 1); or</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(ii) </w:t>
      </w:r>
      <w:proofErr w:type="gramStart"/>
      <w:r w:rsidRPr="002E6BC6">
        <w:rPr>
          <w:rFonts w:ascii="Arial Narrow" w:hAnsi="Arial Narrow" w:cs="Arial"/>
          <w:color w:val="333333"/>
          <w:sz w:val="20"/>
          <w:szCs w:val="20"/>
        </w:rPr>
        <w:t>a</w:t>
      </w:r>
      <w:proofErr w:type="gramEnd"/>
      <w:r w:rsidRPr="002E6BC6">
        <w:rPr>
          <w:rFonts w:ascii="Arial Narrow" w:hAnsi="Arial Narrow" w:cs="Arial"/>
          <w:color w:val="333333"/>
          <w:sz w:val="20"/>
          <w:szCs w:val="20"/>
        </w:rPr>
        <w:t xml:space="preserve"> patient wishes to re-commence treatment with a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following a break in PBS-subsidised therapy of more than 12 months (Initial 1); or</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(iii) </w:t>
      </w:r>
      <w:proofErr w:type="gramStart"/>
      <w:r w:rsidRPr="002E6BC6">
        <w:rPr>
          <w:rFonts w:ascii="Arial Narrow" w:hAnsi="Arial Narrow" w:cs="Arial"/>
          <w:color w:val="333333"/>
          <w:sz w:val="20"/>
          <w:szCs w:val="20"/>
        </w:rPr>
        <w:t>a</w:t>
      </w:r>
      <w:proofErr w:type="gramEnd"/>
      <w:r w:rsidRPr="002E6BC6">
        <w:rPr>
          <w:rFonts w:ascii="Arial Narrow" w:hAnsi="Arial Narrow" w:cs="Arial"/>
          <w:color w:val="333333"/>
          <w:sz w:val="20"/>
          <w:szCs w:val="20"/>
        </w:rPr>
        <w:t xml:space="preserve"> patient has received prior PBS-subsidised (initial or continuing)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therapy and wishes to trial an alternate agent (Initial 2) [further details are under 'Swapping therapy' below]; or</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(iv) </w:t>
      </w:r>
      <w:proofErr w:type="gramStart"/>
      <w:r w:rsidRPr="002E6BC6">
        <w:rPr>
          <w:rFonts w:ascii="Arial Narrow" w:hAnsi="Arial Narrow" w:cs="Arial"/>
          <w:color w:val="333333"/>
          <w:sz w:val="20"/>
          <w:szCs w:val="20"/>
        </w:rPr>
        <w:t>a</w:t>
      </w:r>
      <w:proofErr w:type="gramEnd"/>
      <w:r w:rsidRPr="002E6BC6">
        <w:rPr>
          <w:rFonts w:ascii="Arial Narrow" w:hAnsi="Arial Narrow" w:cs="Arial"/>
          <w:color w:val="333333"/>
          <w:sz w:val="20"/>
          <w:szCs w:val="20"/>
        </w:rPr>
        <w:t xml:space="preserve"> patient wishes to re-commence treatment with a specific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following a break of less than 12 months in PBS-subsidised therapy with that agent (Initial 2).</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Initial treatment authorisations will be limited to provide for a maximum of 16 weeks of therapy</w:t>
      </w:r>
      <w:r w:rsidR="00512406" w:rsidRPr="00142B6B">
        <w:rPr>
          <w:rFonts w:ascii="Arial Narrow" w:hAnsi="Arial Narrow" w:cs="Arial"/>
          <w:i/>
          <w:color w:val="333333"/>
          <w:sz w:val="20"/>
          <w:szCs w:val="20"/>
        </w:rPr>
        <w:t xml:space="preserve">, or 24 weeks of therapy for patients under 30kg receiving subcutaneous </w:t>
      </w:r>
      <w:proofErr w:type="spellStart"/>
      <w:r w:rsidR="00512406" w:rsidRPr="00142B6B">
        <w:rPr>
          <w:rFonts w:ascii="Arial Narrow" w:hAnsi="Arial Narrow" w:cs="Arial"/>
          <w:i/>
          <w:color w:val="333333"/>
          <w:sz w:val="20"/>
          <w:szCs w:val="20"/>
        </w:rPr>
        <w:t>tocilizumab</w:t>
      </w:r>
      <w:proofErr w:type="spellEnd"/>
      <w:r w:rsidRPr="002E6BC6">
        <w:rPr>
          <w:rFonts w:ascii="Arial Narrow" w:hAnsi="Arial Narrow" w:cs="Arial"/>
          <w:color w:val="333333"/>
          <w:sz w:val="20"/>
          <w:szCs w:val="20"/>
        </w:rPr>
        <w:t>.</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A patient </w:t>
      </w:r>
      <w:proofErr w:type="gramStart"/>
      <w:r w:rsidRPr="002E6BC6">
        <w:rPr>
          <w:rFonts w:ascii="Arial Narrow" w:hAnsi="Arial Narrow" w:cs="Arial"/>
          <w:color w:val="333333"/>
          <w:sz w:val="20"/>
          <w:szCs w:val="20"/>
        </w:rPr>
        <w:t>must be assessed</w:t>
      </w:r>
      <w:proofErr w:type="gramEnd"/>
      <w:r w:rsidRPr="002E6BC6">
        <w:rPr>
          <w:rFonts w:ascii="Arial Narrow" w:hAnsi="Arial Narrow" w:cs="Arial"/>
          <w:color w:val="333333"/>
          <w:sz w:val="20"/>
          <w:szCs w:val="20"/>
        </w:rPr>
        <w:t xml:space="preserve"> for response to any course of initial PBS-subsidised treatment following a minimum of 12 weeks of therapy, and this assessment must be submitted to the Department of Human Services no later than 4 weeks from the date that course was ceased.</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Where a response assessment </w:t>
      </w:r>
      <w:proofErr w:type="gramStart"/>
      <w:r w:rsidRPr="002E6BC6">
        <w:rPr>
          <w:rFonts w:ascii="Arial Narrow" w:hAnsi="Arial Narrow" w:cs="Arial"/>
          <w:color w:val="333333"/>
          <w:sz w:val="20"/>
          <w:szCs w:val="20"/>
        </w:rPr>
        <w:t>is not submitted</w:t>
      </w:r>
      <w:proofErr w:type="gramEnd"/>
      <w:r w:rsidRPr="002E6BC6">
        <w:rPr>
          <w:rFonts w:ascii="Arial Narrow" w:hAnsi="Arial Narrow" w:cs="Arial"/>
          <w:color w:val="333333"/>
          <w:sz w:val="20"/>
          <w:szCs w:val="20"/>
        </w:rPr>
        <w:t xml:space="preserve"> to the Department of Human Services within these timeframes, the patient will be deemed to have failed to respond to treatment with that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For second and subsequent courses of PBS-subsidised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it is recommended that a patient is reviewed in the 4 weeks prior to completing their current course of treatment and that an application is posted to the Department of Human Services no later than 2 weeks prior to the patient completing their current treatment course.</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(b) Continuing treatment.</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Following the completion of an initial treatment course with a specific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a patient may qualify to receive up to 24 weeks of continuing treatment with that drug providing they have demonstrated an adequate response to treatment. The patient remains eligible to receive continuing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treatment with the same drug in courses of up to 24 weeks providing they continue to sustain the response.</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It </w:t>
      </w:r>
      <w:proofErr w:type="gramStart"/>
      <w:r w:rsidRPr="002E6BC6">
        <w:rPr>
          <w:rFonts w:ascii="Arial Narrow" w:hAnsi="Arial Narrow" w:cs="Arial"/>
          <w:color w:val="333333"/>
          <w:sz w:val="20"/>
          <w:szCs w:val="20"/>
        </w:rPr>
        <w:t>is recommended</w:t>
      </w:r>
      <w:proofErr w:type="gramEnd"/>
      <w:r w:rsidRPr="002E6BC6">
        <w:rPr>
          <w:rFonts w:ascii="Arial Narrow" w:hAnsi="Arial Narrow" w:cs="Arial"/>
          <w:color w:val="333333"/>
          <w:sz w:val="20"/>
          <w:szCs w:val="20"/>
        </w:rPr>
        <w:t xml:space="preserve"> that a patient be reviewed in the month prior to completing their current course of treatment to ensure uninterrupted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supply.</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Assessments of response to a course of PBS-subsidised therapy </w:t>
      </w:r>
      <w:proofErr w:type="gramStart"/>
      <w:r w:rsidRPr="002E6BC6">
        <w:rPr>
          <w:rFonts w:ascii="Arial Narrow" w:hAnsi="Arial Narrow" w:cs="Arial"/>
          <w:color w:val="333333"/>
          <w:sz w:val="20"/>
          <w:szCs w:val="20"/>
        </w:rPr>
        <w:t>must be submitted</w:t>
      </w:r>
      <w:proofErr w:type="gramEnd"/>
      <w:r w:rsidRPr="002E6BC6">
        <w:rPr>
          <w:rFonts w:ascii="Arial Narrow" w:hAnsi="Arial Narrow" w:cs="Arial"/>
          <w:color w:val="333333"/>
          <w:sz w:val="20"/>
          <w:szCs w:val="20"/>
        </w:rPr>
        <w:t xml:space="preserve"> to the Department of Human Services no later than 4 weeks from the date that course was ceased.</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Where a response assessment </w:t>
      </w:r>
      <w:proofErr w:type="gramStart"/>
      <w:r w:rsidRPr="002E6BC6">
        <w:rPr>
          <w:rFonts w:ascii="Arial Narrow" w:hAnsi="Arial Narrow" w:cs="Arial"/>
          <w:color w:val="333333"/>
          <w:sz w:val="20"/>
          <w:szCs w:val="20"/>
        </w:rPr>
        <w:t>is not submitted</w:t>
      </w:r>
      <w:proofErr w:type="gramEnd"/>
      <w:r w:rsidRPr="002E6BC6">
        <w:rPr>
          <w:rFonts w:ascii="Arial Narrow" w:hAnsi="Arial Narrow" w:cs="Arial"/>
          <w:color w:val="333333"/>
          <w:sz w:val="20"/>
          <w:szCs w:val="20"/>
        </w:rPr>
        <w:t xml:space="preserve"> to the Department of Human Services within these timeframes, the patient will be deemed to have failed to respond to treatment with that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(2) Swapping therapy.</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lastRenderedPageBreak/>
        <w:t xml:space="preserve">Once initial treatment with the first PBS-subsidised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w:t>
      </w:r>
      <w:proofErr w:type="gramStart"/>
      <w:r w:rsidRPr="002E6BC6">
        <w:rPr>
          <w:rFonts w:ascii="Arial Narrow" w:hAnsi="Arial Narrow" w:cs="Arial"/>
          <w:color w:val="333333"/>
          <w:sz w:val="20"/>
          <w:szCs w:val="20"/>
        </w:rPr>
        <w:t>is approved</w:t>
      </w:r>
      <w:proofErr w:type="gramEnd"/>
      <w:r w:rsidRPr="002E6BC6">
        <w:rPr>
          <w:rFonts w:ascii="Arial Narrow" w:hAnsi="Arial Narrow" w:cs="Arial"/>
          <w:color w:val="333333"/>
          <w:sz w:val="20"/>
          <w:szCs w:val="20"/>
        </w:rPr>
        <w:t xml:space="preserve">, a patient may swap to an alternate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without having to requalify with respect to the indices of disease severity (joint count) or the prior non-</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therapy requirements, except if the patient has had a break in therapy of more than 12 months.</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A patient may trial an alternate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at any time, regardless of whether they are receiving therapy (initial or continuing) with a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at the time of the application. However, they cannot swap to a particular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if they have failed to respond to prior treatment with that drug within the current treatment cycle.</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To ensure a patient receives the maximum treatment opportunities allowed under the interchangeability arrangements, it is important that they </w:t>
      </w:r>
      <w:proofErr w:type="gramStart"/>
      <w:r w:rsidRPr="002E6BC6">
        <w:rPr>
          <w:rFonts w:ascii="Arial Narrow" w:hAnsi="Arial Narrow" w:cs="Arial"/>
          <w:color w:val="333333"/>
          <w:sz w:val="20"/>
          <w:szCs w:val="20"/>
        </w:rPr>
        <w:t>are</w:t>
      </w:r>
      <w:proofErr w:type="gramEnd"/>
      <w:r w:rsidRPr="002E6BC6">
        <w:rPr>
          <w:rFonts w:ascii="Arial Narrow" w:hAnsi="Arial Narrow" w:cs="Arial"/>
          <w:color w:val="333333"/>
          <w:sz w:val="20"/>
          <w:szCs w:val="20"/>
        </w:rPr>
        <w:t xml:space="preserve"> assessed for response to every course of treatment approved, within the timeframes specified in the relevant restriction.</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To avoid confusion, an application for a patient who wishes to swap to an alternate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w:t>
      </w:r>
      <w:proofErr w:type="gramStart"/>
      <w:r w:rsidRPr="002E6BC6">
        <w:rPr>
          <w:rFonts w:ascii="Arial Narrow" w:hAnsi="Arial Narrow" w:cs="Arial"/>
          <w:color w:val="333333"/>
          <w:sz w:val="20"/>
          <w:szCs w:val="20"/>
        </w:rPr>
        <w:t>should be accompanied</w:t>
      </w:r>
      <w:proofErr w:type="gramEnd"/>
      <w:r w:rsidRPr="002E6BC6">
        <w:rPr>
          <w:rFonts w:ascii="Arial Narrow" w:hAnsi="Arial Narrow" w:cs="Arial"/>
          <w:color w:val="333333"/>
          <w:sz w:val="20"/>
          <w:szCs w:val="20"/>
        </w:rPr>
        <w:t xml:space="preserve"> by the approved authority prescription or remaining repeats for the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the patient is ceasing.</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(3) Baseline measurements to determine response.</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The Department of Human Services will determine whether a response to treatment </w:t>
      </w:r>
      <w:proofErr w:type="gramStart"/>
      <w:r w:rsidRPr="002E6BC6">
        <w:rPr>
          <w:rFonts w:ascii="Arial Narrow" w:hAnsi="Arial Narrow" w:cs="Arial"/>
          <w:color w:val="333333"/>
          <w:sz w:val="20"/>
          <w:szCs w:val="20"/>
        </w:rPr>
        <w:t>has been demonstrated</w:t>
      </w:r>
      <w:proofErr w:type="gramEnd"/>
      <w:r w:rsidRPr="002E6BC6">
        <w:rPr>
          <w:rFonts w:ascii="Arial Narrow" w:hAnsi="Arial Narrow" w:cs="Arial"/>
          <w:color w:val="333333"/>
          <w:sz w:val="20"/>
          <w:szCs w:val="20"/>
        </w:rPr>
        <w:t xml:space="preserve"> based on the baseline measurements of the joint count submitted with the first authority application for a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However, prescribers may provide a new baseline measurement any time that an initial treatment authority application </w:t>
      </w:r>
      <w:proofErr w:type="gramStart"/>
      <w:r w:rsidRPr="002E6BC6">
        <w:rPr>
          <w:rFonts w:ascii="Arial Narrow" w:hAnsi="Arial Narrow" w:cs="Arial"/>
          <w:color w:val="333333"/>
          <w:sz w:val="20"/>
          <w:szCs w:val="20"/>
        </w:rPr>
        <w:t>is submitted</w:t>
      </w:r>
      <w:proofErr w:type="gramEnd"/>
      <w:r w:rsidRPr="002E6BC6">
        <w:rPr>
          <w:rFonts w:ascii="Arial Narrow" w:hAnsi="Arial Narrow" w:cs="Arial"/>
          <w:color w:val="333333"/>
          <w:sz w:val="20"/>
          <w:szCs w:val="20"/>
        </w:rPr>
        <w:t xml:space="preserve"> within a treatment cycle and the Department of Human Services will assess response according to the revised baseline measurement.</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(4) Re-commencement of treatment after a 12 month break in PBS-subsidised therapy.</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A patient who wishes to start a second or subsequent treatment cycle following a break in PBS-subsidised </w:t>
      </w:r>
      <w:proofErr w:type="spellStart"/>
      <w:r w:rsidRPr="002E6BC6">
        <w:rPr>
          <w:rFonts w:ascii="Arial Narrow" w:hAnsi="Arial Narrow" w:cs="Arial"/>
          <w:color w:val="333333"/>
          <w:sz w:val="20"/>
          <w:szCs w:val="20"/>
        </w:rPr>
        <w:t>bDMARD</w:t>
      </w:r>
      <w:proofErr w:type="spellEnd"/>
      <w:r w:rsidRPr="002E6BC6">
        <w:rPr>
          <w:rFonts w:ascii="Arial Narrow" w:hAnsi="Arial Narrow" w:cs="Arial"/>
          <w:color w:val="333333"/>
          <w:sz w:val="20"/>
          <w:szCs w:val="20"/>
        </w:rPr>
        <w:t xml:space="preserve"> therapy of at least 12 months, must requalify for treatment under the Initial 1 treatment restriction.</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(5) Withdrawal of treatment after sustained remission.</w:t>
      </w: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p>
    <w:p w:rsidR="004D5247" w:rsidRPr="002E6BC6" w:rsidRDefault="004D5247" w:rsidP="004D5247">
      <w:pPr>
        <w:pStyle w:val="NormalWeb"/>
        <w:shd w:val="clear" w:color="auto" w:fill="FFFFFF"/>
        <w:spacing w:before="0" w:beforeAutospacing="0" w:after="0" w:afterAutospacing="0"/>
        <w:textAlignment w:val="baseline"/>
        <w:rPr>
          <w:rFonts w:ascii="Arial Narrow" w:hAnsi="Arial Narrow" w:cs="Arial"/>
          <w:color w:val="333333"/>
          <w:sz w:val="20"/>
          <w:szCs w:val="20"/>
        </w:rPr>
      </w:pPr>
      <w:r w:rsidRPr="002E6BC6">
        <w:rPr>
          <w:rFonts w:ascii="Arial Narrow" w:hAnsi="Arial Narrow" w:cs="Arial"/>
          <w:color w:val="333333"/>
          <w:sz w:val="20"/>
          <w:szCs w:val="20"/>
        </w:rPr>
        <w:t xml:space="preserve">Withdrawal of treatment with </w:t>
      </w:r>
      <w:proofErr w:type="spellStart"/>
      <w:r w:rsidRPr="002E6BC6">
        <w:rPr>
          <w:rFonts w:ascii="Arial Narrow" w:hAnsi="Arial Narrow" w:cs="Arial"/>
          <w:color w:val="333333"/>
          <w:sz w:val="20"/>
          <w:szCs w:val="20"/>
        </w:rPr>
        <w:t>bDMARDs</w:t>
      </w:r>
      <w:proofErr w:type="spellEnd"/>
      <w:r w:rsidRPr="002E6BC6">
        <w:rPr>
          <w:rFonts w:ascii="Arial Narrow" w:hAnsi="Arial Narrow" w:cs="Arial"/>
          <w:color w:val="333333"/>
          <w:sz w:val="20"/>
          <w:szCs w:val="20"/>
        </w:rPr>
        <w:t xml:space="preserve"> </w:t>
      </w:r>
      <w:proofErr w:type="gramStart"/>
      <w:r w:rsidRPr="002E6BC6">
        <w:rPr>
          <w:rFonts w:ascii="Arial Narrow" w:hAnsi="Arial Narrow" w:cs="Arial"/>
          <w:color w:val="333333"/>
          <w:sz w:val="20"/>
          <w:szCs w:val="20"/>
        </w:rPr>
        <w:t>should be considered</w:t>
      </w:r>
      <w:proofErr w:type="gramEnd"/>
      <w:r w:rsidRPr="002E6BC6">
        <w:rPr>
          <w:rFonts w:ascii="Arial Narrow" w:hAnsi="Arial Narrow" w:cs="Arial"/>
          <w:color w:val="333333"/>
          <w:sz w:val="20"/>
          <w:szCs w:val="20"/>
        </w:rPr>
        <w:t xml:space="preserve"> in a patient who has achieved and sustained complete remission of disease for 12 months. A demonstration of response to the current treatment </w:t>
      </w:r>
      <w:proofErr w:type="gramStart"/>
      <w:r w:rsidRPr="002E6BC6">
        <w:rPr>
          <w:rFonts w:ascii="Arial Narrow" w:hAnsi="Arial Narrow" w:cs="Arial"/>
          <w:color w:val="333333"/>
          <w:sz w:val="20"/>
          <w:szCs w:val="20"/>
        </w:rPr>
        <w:t>should be submitted</w:t>
      </w:r>
      <w:proofErr w:type="gramEnd"/>
      <w:r w:rsidRPr="002E6BC6">
        <w:rPr>
          <w:rFonts w:ascii="Arial Narrow" w:hAnsi="Arial Narrow" w:cs="Arial"/>
          <w:color w:val="333333"/>
          <w:sz w:val="20"/>
          <w:szCs w:val="20"/>
        </w:rPr>
        <w:t xml:space="preserve"> to the Department of Human Services at the time treatment is ceased.</w:t>
      </w:r>
    </w:p>
    <w:p w:rsidR="00AC726C" w:rsidRPr="00AC726C" w:rsidRDefault="00AC726C" w:rsidP="009F565C">
      <w:pPr>
        <w:pStyle w:val="PBACHeading1"/>
        <w:spacing w:before="120" w:after="120"/>
        <w:rPr>
          <w:rFonts w:asciiTheme="minorHAnsi" w:hAnsiTheme="minorHAnsi" w:cstheme="minorHAnsi"/>
          <w:sz w:val="32"/>
        </w:rPr>
      </w:pPr>
      <w:r w:rsidRPr="00AC726C">
        <w:rPr>
          <w:rFonts w:asciiTheme="minorHAnsi" w:hAnsiTheme="minorHAnsi" w:cstheme="minorHAnsi"/>
          <w:sz w:val="32"/>
        </w:rPr>
        <w:t>Context for Decision</w:t>
      </w:r>
    </w:p>
    <w:p w:rsidR="00AC726C" w:rsidRPr="003E2B64" w:rsidRDefault="00AC726C" w:rsidP="009F565C">
      <w:pPr>
        <w:spacing w:before="120" w:after="120"/>
        <w:ind w:left="709"/>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C726C" w:rsidRPr="00AC726C" w:rsidRDefault="00AC726C" w:rsidP="009F565C">
      <w:pPr>
        <w:pStyle w:val="PBACHeading1"/>
        <w:spacing w:before="120" w:after="120"/>
        <w:rPr>
          <w:rFonts w:asciiTheme="minorHAnsi" w:hAnsiTheme="minorHAnsi" w:cstheme="minorHAnsi"/>
          <w:sz w:val="32"/>
        </w:rPr>
      </w:pPr>
      <w:r w:rsidRPr="00AC726C">
        <w:rPr>
          <w:rFonts w:asciiTheme="minorHAnsi" w:hAnsiTheme="minorHAnsi" w:cstheme="minorHAnsi"/>
          <w:sz w:val="32"/>
        </w:rPr>
        <w:t>Sponsor’s Comment</w:t>
      </w:r>
    </w:p>
    <w:p w:rsidR="00AC726C" w:rsidRPr="00C07617" w:rsidRDefault="00AC726C" w:rsidP="009F565C">
      <w:pPr>
        <w:spacing w:before="120" w:after="120"/>
        <w:ind w:left="709"/>
        <w:jc w:val="both"/>
        <w:rPr>
          <w:rFonts w:asciiTheme="minorHAnsi" w:hAnsiTheme="minorHAnsi" w:cs="Arial"/>
          <w:bCs/>
        </w:rPr>
      </w:pPr>
      <w:r w:rsidRPr="00C07617">
        <w:rPr>
          <w:rFonts w:asciiTheme="minorHAnsi" w:hAnsiTheme="minorHAnsi" w:cs="Arial"/>
          <w:bCs/>
        </w:rPr>
        <w:t>The sponsor had no comment.</w:t>
      </w:r>
    </w:p>
    <w:sectPr w:rsidR="00AC726C" w:rsidRPr="00C07617"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B64" w:rsidRDefault="003E2B64">
      <w:r>
        <w:separator/>
      </w:r>
    </w:p>
    <w:p w:rsidR="003E2B64" w:rsidRDefault="003E2B64"/>
  </w:endnote>
  <w:endnote w:type="continuationSeparator" w:id="0">
    <w:p w:rsidR="003E2B64" w:rsidRDefault="003E2B64">
      <w:r>
        <w:continuationSeparator/>
      </w:r>
    </w:p>
    <w:p w:rsidR="003E2B64" w:rsidRDefault="003E2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25B85" w:rsidRPr="00DC4EE1" w:rsidTr="005A3173">
      <w:trPr>
        <w:trHeight w:val="151"/>
      </w:trPr>
      <w:tc>
        <w:tcPr>
          <w:tcW w:w="2250" w:type="pct"/>
          <w:tcBorders>
            <w:top w:val="nil"/>
            <w:left w:val="nil"/>
            <w:bottom w:val="single" w:sz="4" w:space="0" w:color="4F81BD"/>
            <w:right w:val="nil"/>
          </w:tcBorders>
        </w:tcPr>
        <w:p w:rsidR="00D25B85" w:rsidRPr="00DC4EE1" w:rsidRDefault="00D25B8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25B85" w:rsidRPr="00DC4EE1" w:rsidRDefault="00D25B85" w:rsidP="005A3173">
          <w:pPr>
            <w:pStyle w:val="MediumGrid21"/>
            <w:spacing w:line="276" w:lineRule="auto"/>
            <w:rPr>
              <w:rFonts w:ascii="Calibri" w:hAnsi="Calibri"/>
              <w:color w:val="365F91"/>
              <w:sz w:val="24"/>
              <w:szCs w:val="24"/>
            </w:rPr>
          </w:pPr>
          <w:r w:rsidRPr="00DC4EE1">
            <w:rPr>
              <w:rFonts w:ascii="Cambria" w:hAnsi="Cambria"/>
              <w:color w:val="365F91"/>
              <w:sz w:val="24"/>
              <w:szCs w:val="24"/>
            </w:rPr>
            <w:t>[Type text]</w:t>
          </w:r>
        </w:p>
      </w:tc>
      <w:tc>
        <w:tcPr>
          <w:tcW w:w="2250" w:type="pct"/>
          <w:tcBorders>
            <w:top w:val="nil"/>
            <w:left w:val="nil"/>
            <w:bottom w:val="single" w:sz="4" w:space="0" w:color="4F81BD"/>
            <w:right w:val="nil"/>
          </w:tcBorders>
        </w:tcPr>
        <w:p w:rsidR="00D25B85" w:rsidRPr="00DC4EE1" w:rsidRDefault="00D25B85" w:rsidP="005A3173">
          <w:pPr>
            <w:pStyle w:val="Header"/>
            <w:spacing w:line="276" w:lineRule="auto"/>
            <w:rPr>
              <w:rFonts w:ascii="Calibri" w:eastAsia="MS Gothic" w:hAnsi="Calibri"/>
              <w:b/>
              <w:bCs/>
              <w:color w:val="4F81BD"/>
            </w:rPr>
          </w:pPr>
        </w:p>
      </w:tc>
    </w:tr>
    <w:tr w:rsidR="00D25B85" w:rsidRPr="00DC4EE1" w:rsidTr="005A3173">
      <w:trPr>
        <w:trHeight w:val="150"/>
      </w:trPr>
      <w:tc>
        <w:tcPr>
          <w:tcW w:w="2250" w:type="pct"/>
          <w:tcBorders>
            <w:top w:val="single" w:sz="4" w:space="0" w:color="4F81BD"/>
            <w:left w:val="nil"/>
            <w:bottom w:val="nil"/>
            <w:right w:val="nil"/>
          </w:tcBorders>
        </w:tcPr>
        <w:p w:rsidR="00D25B85" w:rsidRPr="00DC4EE1" w:rsidRDefault="00D25B85" w:rsidP="005A3173">
          <w:pPr>
            <w:pStyle w:val="Header"/>
            <w:spacing w:line="276" w:lineRule="auto"/>
            <w:rPr>
              <w:rFonts w:ascii="Calibri" w:eastAsia="MS Gothic" w:hAnsi="Calibri"/>
              <w:b/>
              <w:bCs/>
              <w:color w:val="4F81BD"/>
            </w:rPr>
          </w:pPr>
        </w:p>
      </w:tc>
      <w:tc>
        <w:tcPr>
          <w:tcW w:w="0" w:type="auto"/>
          <w:vMerge/>
          <w:vAlign w:val="center"/>
          <w:hideMark/>
        </w:tcPr>
        <w:p w:rsidR="00D25B85" w:rsidRPr="00DC4EE1" w:rsidRDefault="00D25B85" w:rsidP="005A3173">
          <w:pPr>
            <w:rPr>
              <w:rFonts w:ascii="Calibri" w:hAnsi="Calibri"/>
              <w:color w:val="365F91"/>
            </w:rPr>
          </w:pPr>
        </w:p>
      </w:tc>
      <w:tc>
        <w:tcPr>
          <w:tcW w:w="2250" w:type="pct"/>
          <w:tcBorders>
            <w:top w:val="single" w:sz="4" w:space="0" w:color="4F81BD"/>
            <w:left w:val="nil"/>
            <w:bottom w:val="nil"/>
            <w:right w:val="nil"/>
          </w:tcBorders>
        </w:tcPr>
        <w:p w:rsidR="00D25B85" w:rsidRPr="00DC4EE1" w:rsidRDefault="00D25B85" w:rsidP="005A3173">
          <w:pPr>
            <w:pStyle w:val="Header"/>
            <w:spacing w:line="276" w:lineRule="auto"/>
            <w:rPr>
              <w:rFonts w:ascii="Calibri" w:eastAsia="MS Gothic" w:hAnsi="Calibri"/>
              <w:b/>
              <w:bCs/>
              <w:color w:val="4F81BD"/>
            </w:rPr>
          </w:pPr>
        </w:p>
      </w:tc>
    </w:tr>
  </w:tbl>
  <w:p w:rsidR="00D25B85" w:rsidRPr="00DC4EE1" w:rsidRDefault="00D25B85" w:rsidP="00653D69">
    <w:pPr>
      <w:pStyle w:val="Footer"/>
      <w:framePr w:wrap="around" w:vAnchor="text" w:hAnchor="margin" w:xAlign="center" w:y="1"/>
      <w:rPr>
        <w:rStyle w:val="PageNumber"/>
      </w:rPr>
    </w:pPr>
    <w:r w:rsidRPr="00DC4EE1">
      <w:rPr>
        <w:rStyle w:val="PageNumber"/>
      </w:rPr>
      <w:fldChar w:fldCharType="begin"/>
    </w:r>
    <w:r w:rsidRPr="00DC4EE1">
      <w:rPr>
        <w:rStyle w:val="PageNumber"/>
      </w:rPr>
      <w:instrText xml:space="preserve">PAGE  </w:instrText>
    </w:r>
    <w:r w:rsidRPr="00DC4EE1">
      <w:rPr>
        <w:rStyle w:val="PageNumber"/>
      </w:rPr>
      <w:fldChar w:fldCharType="end"/>
    </w:r>
  </w:p>
  <w:p w:rsidR="00D25B85" w:rsidRPr="00DC4EE1" w:rsidRDefault="00D25B85">
    <w:pPr>
      <w:pStyle w:val="Footer"/>
    </w:pPr>
  </w:p>
  <w:p w:rsidR="00D25B85" w:rsidRPr="00DC4EE1" w:rsidRDefault="00D25B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784647"/>
      <w:docPartObj>
        <w:docPartGallery w:val="Page Numbers (Bottom of Page)"/>
        <w:docPartUnique/>
      </w:docPartObj>
    </w:sdtPr>
    <w:sdtEndPr>
      <w:rPr>
        <w:rFonts w:asciiTheme="minorHAnsi" w:hAnsiTheme="minorHAnsi" w:cstheme="minorHAnsi"/>
        <w:b/>
        <w:noProof/>
      </w:rPr>
    </w:sdtEndPr>
    <w:sdtContent>
      <w:p w:rsidR="00D25B85" w:rsidRPr="00DC4EE1" w:rsidRDefault="00D25B85">
        <w:pPr>
          <w:pStyle w:val="Footer"/>
          <w:jc w:val="center"/>
          <w:rPr>
            <w:rFonts w:asciiTheme="minorHAnsi" w:hAnsiTheme="minorHAnsi" w:cstheme="minorHAnsi"/>
            <w:b/>
          </w:rPr>
        </w:pPr>
        <w:r w:rsidRPr="00DC4EE1">
          <w:rPr>
            <w:rFonts w:asciiTheme="minorHAnsi" w:hAnsiTheme="minorHAnsi" w:cstheme="minorHAnsi"/>
            <w:b/>
          </w:rPr>
          <w:fldChar w:fldCharType="begin"/>
        </w:r>
        <w:r w:rsidRPr="00DC4EE1">
          <w:rPr>
            <w:rFonts w:asciiTheme="minorHAnsi" w:hAnsiTheme="minorHAnsi" w:cstheme="minorHAnsi"/>
            <w:b/>
          </w:rPr>
          <w:instrText xml:space="preserve"> PAGE   \* MERGEFORMAT </w:instrText>
        </w:r>
        <w:r w:rsidRPr="00DC4EE1">
          <w:rPr>
            <w:rFonts w:asciiTheme="minorHAnsi" w:hAnsiTheme="minorHAnsi" w:cstheme="minorHAnsi"/>
            <w:b/>
          </w:rPr>
          <w:fldChar w:fldCharType="separate"/>
        </w:r>
        <w:r w:rsidR="00C4269E">
          <w:rPr>
            <w:rFonts w:asciiTheme="minorHAnsi" w:hAnsiTheme="minorHAnsi" w:cstheme="minorHAnsi"/>
            <w:b/>
            <w:noProof/>
          </w:rPr>
          <w:t>30</w:t>
        </w:r>
        <w:r w:rsidRPr="00DC4EE1">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D25B85" w:rsidTr="005A3173">
      <w:trPr>
        <w:trHeight w:val="151"/>
      </w:trPr>
      <w:tc>
        <w:tcPr>
          <w:tcW w:w="2250" w:type="pct"/>
          <w:tcBorders>
            <w:top w:val="nil"/>
            <w:left w:val="nil"/>
            <w:bottom w:val="single" w:sz="4" w:space="0" w:color="4F81BD"/>
            <w:right w:val="nil"/>
          </w:tcBorders>
        </w:tcPr>
        <w:p w:rsidR="00D25B85" w:rsidRPr="005A3173" w:rsidRDefault="00D25B8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25B85" w:rsidRPr="005A3173" w:rsidRDefault="00D25B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25B85" w:rsidRPr="005A3173" w:rsidRDefault="00D25B85" w:rsidP="005A3173">
          <w:pPr>
            <w:pStyle w:val="Header"/>
            <w:spacing w:line="276" w:lineRule="auto"/>
            <w:rPr>
              <w:rFonts w:ascii="Calibri" w:eastAsia="MS Gothic" w:hAnsi="Calibri"/>
              <w:b/>
              <w:bCs/>
              <w:color w:val="4F81BD"/>
            </w:rPr>
          </w:pPr>
        </w:p>
      </w:tc>
    </w:tr>
    <w:tr w:rsidR="00D25B85" w:rsidTr="005A3173">
      <w:trPr>
        <w:trHeight w:val="150"/>
      </w:trPr>
      <w:tc>
        <w:tcPr>
          <w:tcW w:w="2250" w:type="pct"/>
          <w:tcBorders>
            <w:top w:val="single" w:sz="4" w:space="0" w:color="4F81BD"/>
            <w:left w:val="nil"/>
            <w:bottom w:val="nil"/>
            <w:right w:val="nil"/>
          </w:tcBorders>
        </w:tcPr>
        <w:p w:rsidR="00D25B85" w:rsidRPr="005A3173" w:rsidRDefault="00D25B85" w:rsidP="005A3173">
          <w:pPr>
            <w:pStyle w:val="Header"/>
            <w:spacing w:line="276" w:lineRule="auto"/>
            <w:rPr>
              <w:rFonts w:ascii="Calibri" w:eastAsia="MS Gothic" w:hAnsi="Calibri"/>
              <w:b/>
              <w:bCs/>
              <w:color w:val="4F81BD"/>
            </w:rPr>
          </w:pPr>
        </w:p>
      </w:tc>
      <w:tc>
        <w:tcPr>
          <w:tcW w:w="0" w:type="auto"/>
          <w:vMerge/>
          <w:vAlign w:val="center"/>
          <w:hideMark/>
        </w:tcPr>
        <w:p w:rsidR="00D25B85" w:rsidRPr="005A3173" w:rsidRDefault="00D25B85" w:rsidP="005A3173">
          <w:pPr>
            <w:rPr>
              <w:rFonts w:ascii="Calibri" w:hAnsi="Calibri"/>
              <w:color w:val="365F91"/>
              <w:sz w:val="22"/>
              <w:szCs w:val="22"/>
            </w:rPr>
          </w:pPr>
        </w:p>
      </w:tc>
      <w:tc>
        <w:tcPr>
          <w:tcW w:w="2250" w:type="pct"/>
          <w:tcBorders>
            <w:top w:val="single" w:sz="4" w:space="0" w:color="4F81BD"/>
            <w:left w:val="nil"/>
            <w:bottom w:val="nil"/>
            <w:right w:val="nil"/>
          </w:tcBorders>
        </w:tcPr>
        <w:p w:rsidR="00D25B85" w:rsidRPr="005A3173" w:rsidRDefault="00D25B8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25B85" w:rsidTr="005A3173">
      <w:trPr>
        <w:trHeight w:val="151"/>
      </w:trPr>
      <w:tc>
        <w:tcPr>
          <w:tcW w:w="2250" w:type="pct"/>
          <w:tcBorders>
            <w:top w:val="nil"/>
            <w:left w:val="nil"/>
            <w:bottom w:val="single" w:sz="4" w:space="0" w:color="4F81BD"/>
            <w:right w:val="nil"/>
          </w:tcBorders>
        </w:tcPr>
        <w:p w:rsidR="00D25B85" w:rsidRPr="005A3173" w:rsidRDefault="00D25B8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25B85" w:rsidRPr="005A3173" w:rsidRDefault="00D25B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25B85" w:rsidRPr="005A3173" w:rsidRDefault="00D25B85" w:rsidP="005A3173">
          <w:pPr>
            <w:pStyle w:val="Header"/>
            <w:spacing w:line="276" w:lineRule="auto"/>
            <w:rPr>
              <w:rFonts w:ascii="Calibri" w:eastAsia="MS Gothic" w:hAnsi="Calibri"/>
              <w:b/>
              <w:bCs/>
              <w:color w:val="4F81BD"/>
            </w:rPr>
          </w:pPr>
        </w:p>
      </w:tc>
    </w:tr>
    <w:tr w:rsidR="00D25B85" w:rsidTr="005A3173">
      <w:trPr>
        <w:trHeight w:val="150"/>
      </w:trPr>
      <w:tc>
        <w:tcPr>
          <w:tcW w:w="2250" w:type="pct"/>
          <w:tcBorders>
            <w:top w:val="single" w:sz="4" w:space="0" w:color="4F81BD"/>
            <w:left w:val="nil"/>
            <w:bottom w:val="nil"/>
            <w:right w:val="nil"/>
          </w:tcBorders>
        </w:tcPr>
        <w:p w:rsidR="00D25B85" w:rsidRPr="005A3173" w:rsidRDefault="00D25B85" w:rsidP="005A3173">
          <w:pPr>
            <w:pStyle w:val="Header"/>
            <w:spacing w:line="276" w:lineRule="auto"/>
            <w:rPr>
              <w:rFonts w:ascii="Calibri" w:eastAsia="MS Gothic" w:hAnsi="Calibri"/>
              <w:b/>
              <w:bCs/>
              <w:color w:val="4F81BD"/>
            </w:rPr>
          </w:pPr>
        </w:p>
      </w:tc>
      <w:tc>
        <w:tcPr>
          <w:tcW w:w="0" w:type="auto"/>
          <w:vMerge/>
          <w:vAlign w:val="center"/>
          <w:hideMark/>
        </w:tcPr>
        <w:p w:rsidR="00D25B85" w:rsidRPr="005A3173" w:rsidRDefault="00D25B85" w:rsidP="005A3173">
          <w:pPr>
            <w:rPr>
              <w:rFonts w:ascii="Calibri" w:hAnsi="Calibri"/>
              <w:color w:val="365F91"/>
              <w:sz w:val="22"/>
              <w:szCs w:val="22"/>
            </w:rPr>
          </w:pPr>
        </w:p>
      </w:tc>
      <w:tc>
        <w:tcPr>
          <w:tcW w:w="2250" w:type="pct"/>
          <w:tcBorders>
            <w:top w:val="single" w:sz="4" w:space="0" w:color="4F81BD"/>
            <w:left w:val="nil"/>
            <w:bottom w:val="nil"/>
            <w:right w:val="nil"/>
          </w:tcBorders>
        </w:tcPr>
        <w:p w:rsidR="00D25B85" w:rsidRPr="005A3173" w:rsidRDefault="00D25B85" w:rsidP="005A3173">
          <w:pPr>
            <w:pStyle w:val="Header"/>
            <w:spacing w:line="276" w:lineRule="auto"/>
            <w:rPr>
              <w:rFonts w:ascii="Calibri" w:eastAsia="MS Gothic" w:hAnsi="Calibri"/>
              <w:b/>
              <w:bCs/>
              <w:color w:val="4F81BD"/>
            </w:rPr>
          </w:pPr>
        </w:p>
      </w:tc>
    </w:tr>
  </w:tbl>
  <w:p w:rsidR="00D25B85" w:rsidRPr="007C0F57" w:rsidRDefault="00D25B8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25B85" w:rsidRPr="007C0F57" w:rsidRDefault="00D25B85" w:rsidP="007C0F57">
    <w:pPr>
      <w:pStyle w:val="Footer"/>
      <w:jc w:val="center"/>
      <w:rPr>
        <w:b/>
        <w:i/>
        <w:sz w:val="20"/>
        <w:szCs w:val="20"/>
      </w:rPr>
    </w:pPr>
    <w:r w:rsidRPr="007C0F57">
      <w:rPr>
        <w:b/>
        <w:i/>
        <w:sz w:val="20"/>
        <w:szCs w:val="20"/>
      </w:rPr>
      <w:t>Commercial-in-Confidence</w:t>
    </w:r>
  </w:p>
  <w:p w:rsidR="00D25B85" w:rsidRDefault="00D25B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B64" w:rsidRDefault="003E2B64">
      <w:r>
        <w:separator/>
      </w:r>
    </w:p>
    <w:p w:rsidR="003E2B64" w:rsidRDefault="003E2B64"/>
  </w:footnote>
  <w:footnote w:type="continuationSeparator" w:id="0">
    <w:p w:rsidR="003E2B64" w:rsidRDefault="003E2B64">
      <w:r>
        <w:continuationSeparator/>
      </w:r>
    </w:p>
    <w:p w:rsidR="003E2B64" w:rsidRDefault="003E2B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25B85" w:rsidRPr="008E0D90" w:rsidTr="00A06225">
      <w:trPr>
        <w:trHeight w:val="151"/>
      </w:trPr>
      <w:tc>
        <w:tcPr>
          <w:tcW w:w="2389" w:type="pct"/>
          <w:tcBorders>
            <w:top w:val="nil"/>
            <w:left w:val="nil"/>
            <w:bottom w:val="single" w:sz="4" w:space="0" w:color="4F81BD"/>
            <w:right w:val="nil"/>
          </w:tcBorders>
        </w:tcPr>
        <w:p w:rsidR="00D25B85" w:rsidRPr="00A06225" w:rsidRDefault="00D25B85">
          <w:pPr>
            <w:pStyle w:val="Header"/>
            <w:spacing w:line="276" w:lineRule="auto"/>
            <w:rPr>
              <w:rFonts w:ascii="Cambria" w:eastAsia="MS Gothic" w:hAnsi="Cambria"/>
              <w:b/>
              <w:bCs/>
              <w:color w:val="4F81BD"/>
            </w:rPr>
          </w:pPr>
        </w:p>
      </w:tc>
      <w:tc>
        <w:tcPr>
          <w:tcW w:w="333" w:type="pct"/>
          <w:vMerge w:val="restart"/>
          <w:noWrap/>
          <w:vAlign w:val="center"/>
          <w:hideMark/>
        </w:tcPr>
        <w:p w:rsidR="00D25B85" w:rsidRPr="00A06225" w:rsidRDefault="00D25B8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25B85" w:rsidRPr="00A06225" w:rsidRDefault="00D25B85">
          <w:pPr>
            <w:pStyle w:val="Header"/>
            <w:spacing w:line="276" w:lineRule="auto"/>
            <w:rPr>
              <w:rFonts w:ascii="Cambria" w:eastAsia="MS Gothic" w:hAnsi="Cambria"/>
              <w:b/>
              <w:bCs/>
              <w:color w:val="4F81BD"/>
            </w:rPr>
          </w:pPr>
        </w:p>
      </w:tc>
    </w:tr>
    <w:tr w:rsidR="00D25B85" w:rsidRPr="008E0D90" w:rsidTr="00A06225">
      <w:trPr>
        <w:trHeight w:val="150"/>
      </w:trPr>
      <w:tc>
        <w:tcPr>
          <w:tcW w:w="2389" w:type="pct"/>
          <w:tcBorders>
            <w:top w:val="single" w:sz="4" w:space="0" w:color="4F81BD"/>
            <w:left w:val="nil"/>
            <w:bottom w:val="nil"/>
            <w:right w:val="nil"/>
          </w:tcBorders>
        </w:tcPr>
        <w:p w:rsidR="00D25B85" w:rsidRPr="00A06225" w:rsidRDefault="00D25B85">
          <w:pPr>
            <w:pStyle w:val="Header"/>
            <w:spacing w:line="276" w:lineRule="auto"/>
            <w:rPr>
              <w:rFonts w:ascii="Cambria" w:eastAsia="MS Gothic" w:hAnsi="Cambria"/>
              <w:b/>
              <w:bCs/>
              <w:color w:val="4F81BD"/>
            </w:rPr>
          </w:pPr>
        </w:p>
      </w:tc>
      <w:tc>
        <w:tcPr>
          <w:tcW w:w="0" w:type="auto"/>
          <w:vMerge/>
          <w:vAlign w:val="center"/>
          <w:hideMark/>
        </w:tcPr>
        <w:p w:rsidR="00D25B85" w:rsidRPr="00A06225" w:rsidRDefault="00D25B85">
          <w:pPr>
            <w:rPr>
              <w:rFonts w:ascii="Cambria" w:hAnsi="Cambria"/>
              <w:color w:val="4F81BD"/>
              <w:sz w:val="22"/>
              <w:szCs w:val="22"/>
            </w:rPr>
          </w:pPr>
        </w:p>
      </w:tc>
      <w:tc>
        <w:tcPr>
          <w:tcW w:w="2278" w:type="pct"/>
          <w:tcBorders>
            <w:top w:val="single" w:sz="4" w:space="0" w:color="4F81BD"/>
            <w:left w:val="nil"/>
            <w:bottom w:val="nil"/>
            <w:right w:val="nil"/>
          </w:tcBorders>
        </w:tcPr>
        <w:p w:rsidR="00D25B85" w:rsidRPr="00A06225" w:rsidRDefault="00D25B85">
          <w:pPr>
            <w:pStyle w:val="Header"/>
            <w:spacing w:line="276" w:lineRule="auto"/>
            <w:rPr>
              <w:rFonts w:ascii="Cambria" w:eastAsia="MS Gothic" w:hAnsi="Cambria"/>
              <w:b/>
              <w:bCs/>
              <w:color w:val="4F81BD"/>
            </w:rPr>
          </w:pPr>
        </w:p>
      </w:tc>
    </w:tr>
  </w:tbl>
  <w:p w:rsidR="00D25B85" w:rsidRDefault="00D25B85">
    <w:pPr>
      <w:pStyle w:val="Header"/>
    </w:pPr>
  </w:p>
  <w:p w:rsidR="00D25B85" w:rsidRDefault="00D25B8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B85" w:rsidRPr="00DC4EE1" w:rsidRDefault="00D25B85" w:rsidP="00DC4EE1">
    <w:pPr>
      <w:tabs>
        <w:tab w:val="center" w:pos="4153"/>
        <w:tab w:val="right" w:pos="8306"/>
      </w:tabs>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Pr="00DC4EE1">
      <w:rPr>
        <w:rFonts w:asciiTheme="minorHAnsi" w:hAnsiTheme="minorHAnsi" w:cs="Arial"/>
        <w:i/>
        <w:color w:val="808080"/>
        <w:lang w:eastAsia="en-US"/>
      </w:rPr>
      <w:t xml:space="preserve"> – March 2019 PBAC Meeting</w:t>
    </w:r>
  </w:p>
  <w:p w:rsidR="00D25B85" w:rsidRPr="00DC4EE1" w:rsidRDefault="00D25B85" w:rsidP="00A128E6">
    <w:pPr>
      <w:pStyle w:val="NoSpacing"/>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7A15F27"/>
    <w:multiLevelType w:val="hybridMultilevel"/>
    <w:tmpl w:val="95D235A4"/>
    <w:lvl w:ilvl="0" w:tplc="51B63132">
      <w:start w:val="1"/>
      <w:numFmt w:val="bullet"/>
      <w:lvlText w:val=""/>
      <w:lvlJc w:val="left"/>
      <w:pPr>
        <w:ind w:left="1440" w:hanging="360"/>
      </w:pPr>
      <w:rPr>
        <w:rFonts w:ascii="Symbol" w:hAnsi="Symbol" w:hint="default"/>
        <w:color w:val="000000" w:themeColor="text1"/>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A42B50"/>
    <w:multiLevelType w:val="hybridMultilevel"/>
    <w:tmpl w:val="89702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40690"/>
    <w:multiLevelType w:val="singleLevel"/>
    <w:tmpl w:val="E5988BCE"/>
    <w:lvl w:ilvl="0">
      <w:start w:val="1"/>
      <w:numFmt w:val="bullet"/>
      <w:pStyle w:val="TableBullet"/>
      <w:lvlText w:val=""/>
      <w:lvlJc w:val="left"/>
      <w:pPr>
        <w:tabs>
          <w:tab w:val="num" w:pos="360"/>
        </w:tabs>
        <w:ind w:left="216" w:hanging="216"/>
      </w:pPr>
      <w:rPr>
        <w:rFonts w:ascii="Symbol" w:hAnsi="Symbol" w:cs="Symbol" w:hint="default"/>
        <w:sz w:val="16"/>
        <w:szCs w:val="16"/>
      </w:rPr>
    </w:lvl>
  </w:abstractNum>
  <w:abstractNum w:abstractNumId="11"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84D033C"/>
    <w:multiLevelType w:val="multilevel"/>
    <w:tmpl w:val="22268076"/>
    <w:lvl w:ilvl="0">
      <w:start w:val="1"/>
      <w:numFmt w:val="decimal"/>
      <w:pStyle w:val="PBACHeading1"/>
      <w:lvlText w:val="%1"/>
      <w:lvlJc w:val="left"/>
      <w:pPr>
        <w:ind w:left="720" w:hanging="720"/>
      </w:pPr>
      <w:rPr>
        <w:rFonts w:hint="default"/>
        <w:b/>
        <w:sz w:val="32"/>
      </w:rPr>
    </w:lvl>
    <w:lvl w:ilvl="1">
      <w:start w:val="1"/>
      <w:numFmt w:val="decimal"/>
      <w:lvlText w:val="%1.%2"/>
      <w:lvlJc w:val="left"/>
      <w:pPr>
        <w:ind w:left="720" w:hanging="720"/>
      </w:pPr>
      <w:rPr>
        <w:rFonts w:asciiTheme="minorHAnsi" w:hAnsiTheme="minorHAnsi" w:cstheme="minorHAnsi" w:hint="default"/>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8"/>
  </w:num>
  <w:num w:numId="4">
    <w:abstractNumId w:val="17"/>
  </w:num>
  <w:num w:numId="5">
    <w:abstractNumId w:val="20"/>
  </w:num>
  <w:num w:numId="6">
    <w:abstractNumId w:val="9"/>
  </w:num>
  <w:num w:numId="7">
    <w:abstractNumId w:val="16"/>
  </w:num>
  <w:num w:numId="8">
    <w:abstractNumId w:val="4"/>
  </w:num>
  <w:num w:numId="9">
    <w:abstractNumId w:val="15"/>
  </w:num>
  <w:num w:numId="10">
    <w:abstractNumId w:val="14"/>
  </w:num>
  <w:num w:numId="11">
    <w:abstractNumId w:val="13"/>
  </w:num>
  <w:num w:numId="12">
    <w:abstractNumId w:val="1"/>
  </w:num>
  <w:num w:numId="13">
    <w:abstractNumId w:val="0"/>
  </w:num>
  <w:num w:numId="14">
    <w:abstractNumId w:val="20"/>
  </w:num>
  <w:num w:numId="15">
    <w:abstractNumId w:val="20"/>
  </w:num>
  <w:num w:numId="16">
    <w:abstractNumId w:val="5"/>
  </w:num>
  <w:num w:numId="17">
    <w:abstractNumId w:val="10"/>
  </w:num>
  <w:num w:numId="18">
    <w:abstractNumId w:val="7"/>
  </w:num>
  <w:num w:numId="19">
    <w:abstractNumId w:val="18"/>
  </w:num>
  <w:num w:numId="20">
    <w:abstractNumId w:val="6"/>
  </w:num>
  <w:num w:numId="21">
    <w:abstractNumId w:val="2"/>
  </w:num>
  <w:num w:numId="22">
    <w:abstractNumId w:val="12"/>
  </w:num>
  <w:num w:numId="23">
    <w:abstractNumId w:val="19"/>
  </w:num>
  <w:num w:numId="24">
    <w:abstractNumId w:val="20"/>
  </w:num>
  <w:num w:numId="25">
    <w:abstractNumId w:val="20"/>
  </w:num>
  <w:num w:numId="26">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embedSystemFonts/>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5578"/>
    <w:rsid w:val="000077EC"/>
    <w:rsid w:val="0001130B"/>
    <w:rsid w:val="000130F1"/>
    <w:rsid w:val="000134F8"/>
    <w:rsid w:val="00013813"/>
    <w:rsid w:val="00014405"/>
    <w:rsid w:val="00016FE1"/>
    <w:rsid w:val="00021047"/>
    <w:rsid w:val="0002464A"/>
    <w:rsid w:val="000263DA"/>
    <w:rsid w:val="0003106B"/>
    <w:rsid w:val="000334C9"/>
    <w:rsid w:val="00037C20"/>
    <w:rsid w:val="00040AB3"/>
    <w:rsid w:val="000421A1"/>
    <w:rsid w:val="0004240E"/>
    <w:rsid w:val="00045E26"/>
    <w:rsid w:val="00047632"/>
    <w:rsid w:val="000514B5"/>
    <w:rsid w:val="000522FE"/>
    <w:rsid w:val="000546AE"/>
    <w:rsid w:val="00054989"/>
    <w:rsid w:val="00057CD4"/>
    <w:rsid w:val="0006047B"/>
    <w:rsid w:val="00060708"/>
    <w:rsid w:val="00060E64"/>
    <w:rsid w:val="000633F5"/>
    <w:rsid w:val="00066755"/>
    <w:rsid w:val="00072469"/>
    <w:rsid w:val="00073995"/>
    <w:rsid w:val="00077143"/>
    <w:rsid w:val="00077FC6"/>
    <w:rsid w:val="00082169"/>
    <w:rsid w:val="000904DD"/>
    <w:rsid w:val="0009282D"/>
    <w:rsid w:val="00092C7F"/>
    <w:rsid w:val="000969AD"/>
    <w:rsid w:val="00097139"/>
    <w:rsid w:val="000A1E9D"/>
    <w:rsid w:val="000A4097"/>
    <w:rsid w:val="000B2305"/>
    <w:rsid w:val="000B36D4"/>
    <w:rsid w:val="000B558D"/>
    <w:rsid w:val="000C2BCD"/>
    <w:rsid w:val="000C6691"/>
    <w:rsid w:val="000C6996"/>
    <w:rsid w:val="000C6A21"/>
    <w:rsid w:val="000C7502"/>
    <w:rsid w:val="000D23BA"/>
    <w:rsid w:val="000E21D3"/>
    <w:rsid w:val="000E2294"/>
    <w:rsid w:val="000E681E"/>
    <w:rsid w:val="000F0003"/>
    <w:rsid w:val="000F1245"/>
    <w:rsid w:val="000F32D0"/>
    <w:rsid w:val="000F4E6A"/>
    <w:rsid w:val="001003E3"/>
    <w:rsid w:val="00104227"/>
    <w:rsid w:val="00106730"/>
    <w:rsid w:val="00107DD6"/>
    <w:rsid w:val="001107BF"/>
    <w:rsid w:val="00115AEF"/>
    <w:rsid w:val="0012245B"/>
    <w:rsid w:val="0012417C"/>
    <w:rsid w:val="001307D3"/>
    <w:rsid w:val="00130CD5"/>
    <w:rsid w:val="00133520"/>
    <w:rsid w:val="00134859"/>
    <w:rsid w:val="00142395"/>
    <w:rsid w:val="001423E5"/>
    <w:rsid w:val="00142714"/>
    <w:rsid w:val="00142B6B"/>
    <w:rsid w:val="00144015"/>
    <w:rsid w:val="001452ED"/>
    <w:rsid w:val="00146AD7"/>
    <w:rsid w:val="00151C49"/>
    <w:rsid w:val="00151C92"/>
    <w:rsid w:val="00157500"/>
    <w:rsid w:val="00161030"/>
    <w:rsid w:val="00163329"/>
    <w:rsid w:val="00164623"/>
    <w:rsid w:val="00165B64"/>
    <w:rsid w:val="00166E93"/>
    <w:rsid w:val="00172EFB"/>
    <w:rsid w:val="001774C1"/>
    <w:rsid w:val="00180713"/>
    <w:rsid w:val="00181A07"/>
    <w:rsid w:val="001830CE"/>
    <w:rsid w:val="00184B35"/>
    <w:rsid w:val="0018643B"/>
    <w:rsid w:val="001928D9"/>
    <w:rsid w:val="0019460A"/>
    <w:rsid w:val="00195798"/>
    <w:rsid w:val="00196307"/>
    <w:rsid w:val="001A33EA"/>
    <w:rsid w:val="001A6B0E"/>
    <w:rsid w:val="001B017F"/>
    <w:rsid w:val="001B2BBC"/>
    <w:rsid w:val="001B5129"/>
    <w:rsid w:val="001B5141"/>
    <w:rsid w:val="001B6D1C"/>
    <w:rsid w:val="001B7E4C"/>
    <w:rsid w:val="001C0F13"/>
    <w:rsid w:val="001C1195"/>
    <w:rsid w:val="001C51DC"/>
    <w:rsid w:val="001D1447"/>
    <w:rsid w:val="001E616B"/>
    <w:rsid w:val="001F16C3"/>
    <w:rsid w:val="001F1850"/>
    <w:rsid w:val="001F4B75"/>
    <w:rsid w:val="001F5133"/>
    <w:rsid w:val="001F5644"/>
    <w:rsid w:val="001F6529"/>
    <w:rsid w:val="00203621"/>
    <w:rsid w:val="00203FAC"/>
    <w:rsid w:val="0020639E"/>
    <w:rsid w:val="00212D62"/>
    <w:rsid w:val="00213CFB"/>
    <w:rsid w:val="002141FE"/>
    <w:rsid w:val="00217BE1"/>
    <w:rsid w:val="0022468F"/>
    <w:rsid w:val="00224CF5"/>
    <w:rsid w:val="00225DC1"/>
    <w:rsid w:val="00245C4D"/>
    <w:rsid w:val="00252C15"/>
    <w:rsid w:val="0025400D"/>
    <w:rsid w:val="0026703D"/>
    <w:rsid w:val="00267240"/>
    <w:rsid w:val="00267CEE"/>
    <w:rsid w:val="002703AE"/>
    <w:rsid w:val="00271BA1"/>
    <w:rsid w:val="00271D92"/>
    <w:rsid w:val="002762FA"/>
    <w:rsid w:val="002771D1"/>
    <w:rsid w:val="00277505"/>
    <w:rsid w:val="002775AA"/>
    <w:rsid w:val="00281060"/>
    <w:rsid w:val="0028481E"/>
    <w:rsid w:val="00285543"/>
    <w:rsid w:val="00291491"/>
    <w:rsid w:val="0029458F"/>
    <w:rsid w:val="002963C6"/>
    <w:rsid w:val="002979E3"/>
    <w:rsid w:val="002A0B4C"/>
    <w:rsid w:val="002A104C"/>
    <w:rsid w:val="002A4960"/>
    <w:rsid w:val="002A4DCD"/>
    <w:rsid w:val="002B13EA"/>
    <w:rsid w:val="002B1AE6"/>
    <w:rsid w:val="002B2DE8"/>
    <w:rsid w:val="002B2EE5"/>
    <w:rsid w:val="002B30F8"/>
    <w:rsid w:val="002B33DB"/>
    <w:rsid w:val="002B5596"/>
    <w:rsid w:val="002B62F8"/>
    <w:rsid w:val="002C1F6F"/>
    <w:rsid w:val="002C212F"/>
    <w:rsid w:val="002D4543"/>
    <w:rsid w:val="002E3153"/>
    <w:rsid w:val="002E38BF"/>
    <w:rsid w:val="002E65CE"/>
    <w:rsid w:val="002E6BC6"/>
    <w:rsid w:val="002E72CA"/>
    <w:rsid w:val="002F4328"/>
    <w:rsid w:val="002F600D"/>
    <w:rsid w:val="002F6D60"/>
    <w:rsid w:val="00300AD6"/>
    <w:rsid w:val="00305983"/>
    <w:rsid w:val="00307902"/>
    <w:rsid w:val="00311B77"/>
    <w:rsid w:val="0031435C"/>
    <w:rsid w:val="00314D2C"/>
    <w:rsid w:val="003151FF"/>
    <w:rsid w:val="0031675A"/>
    <w:rsid w:val="00317831"/>
    <w:rsid w:val="00317C6C"/>
    <w:rsid w:val="0032132B"/>
    <w:rsid w:val="003263A2"/>
    <w:rsid w:val="00326E79"/>
    <w:rsid w:val="00332751"/>
    <w:rsid w:val="0033518A"/>
    <w:rsid w:val="003367EF"/>
    <w:rsid w:val="00340CA4"/>
    <w:rsid w:val="00341AE4"/>
    <w:rsid w:val="003471CC"/>
    <w:rsid w:val="00354A67"/>
    <w:rsid w:val="00357A48"/>
    <w:rsid w:val="003613E6"/>
    <w:rsid w:val="00362C64"/>
    <w:rsid w:val="00362CE8"/>
    <w:rsid w:val="00364C9B"/>
    <w:rsid w:val="00374770"/>
    <w:rsid w:val="00376873"/>
    <w:rsid w:val="00381C5F"/>
    <w:rsid w:val="0038308C"/>
    <w:rsid w:val="003872CF"/>
    <w:rsid w:val="00394DCD"/>
    <w:rsid w:val="00396662"/>
    <w:rsid w:val="0039782C"/>
    <w:rsid w:val="003A5980"/>
    <w:rsid w:val="003A5B4A"/>
    <w:rsid w:val="003A717A"/>
    <w:rsid w:val="003B23C5"/>
    <w:rsid w:val="003B2A75"/>
    <w:rsid w:val="003B5B57"/>
    <w:rsid w:val="003B6124"/>
    <w:rsid w:val="003C2FB5"/>
    <w:rsid w:val="003C36FB"/>
    <w:rsid w:val="003D33D3"/>
    <w:rsid w:val="003D4AC4"/>
    <w:rsid w:val="003D63B7"/>
    <w:rsid w:val="003E1EA3"/>
    <w:rsid w:val="003E2B64"/>
    <w:rsid w:val="003E2D60"/>
    <w:rsid w:val="003E468B"/>
    <w:rsid w:val="003E7107"/>
    <w:rsid w:val="003F3228"/>
    <w:rsid w:val="003F54F3"/>
    <w:rsid w:val="003F5C8C"/>
    <w:rsid w:val="004038E2"/>
    <w:rsid w:val="00403B20"/>
    <w:rsid w:val="00405244"/>
    <w:rsid w:val="004063DF"/>
    <w:rsid w:val="00407F1C"/>
    <w:rsid w:val="004106F5"/>
    <w:rsid w:val="00413EC9"/>
    <w:rsid w:val="00423F5C"/>
    <w:rsid w:val="004252EC"/>
    <w:rsid w:val="00430B34"/>
    <w:rsid w:val="00435047"/>
    <w:rsid w:val="00441E9F"/>
    <w:rsid w:val="00443992"/>
    <w:rsid w:val="004451C8"/>
    <w:rsid w:val="004465BD"/>
    <w:rsid w:val="004502C2"/>
    <w:rsid w:val="0045439D"/>
    <w:rsid w:val="0046160A"/>
    <w:rsid w:val="00462FFC"/>
    <w:rsid w:val="004653D8"/>
    <w:rsid w:val="00466ADA"/>
    <w:rsid w:val="00467C1A"/>
    <w:rsid w:val="00476245"/>
    <w:rsid w:val="00483035"/>
    <w:rsid w:val="00483EDC"/>
    <w:rsid w:val="004849C8"/>
    <w:rsid w:val="00485836"/>
    <w:rsid w:val="00485940"/>
    <w:rsid w:val="00486072"/>
    <w:rsid w:val="0049045B"/>
    <w:rsid w:val="004A2484"/>
    <w:rsid w:val="004A5A85"/>
    <w:rsid w:val="004A6054"/>
    <w:rsid w:val="004A71D1"/>
    <w:rsid w:val="004B5640"/>
    <w:rsid w:val="004C0FD2"/>
    <w:rsid w:val="004C1BD7"/>
    <w:rsid w:val="004C1E92"/>
    <w:rsid w:val="004C268A"/>
    <w:rsid w:val="004C31FE"/>
    <w:rsid w:val="004C423C"/>
    <w:rsid w:val="004C5BED"/>
    <w:rsid w:val="004C5FAA"/>
    <w:rsid w:val="004C691D"/>
    <w:rsid w:val="004C6C07"/>
    <w:rsid w:val="004D46CA"/>
    <w:rsid w:val="004D49C5"/>
    <w:rsid w:val="004D5247"/>
    <w:rsid w:val="004D5557"/>
    <w:rsid w:val="004E4B25"/>
    <w:rsid w:val="004E635B"/>
    <w:rsid w:val="004E692D"/>
    <w:rsid w:val="004F0753"/>
    <w:rsid w:val="004F09FE"/>
    <w:rsid w:val="004F160E"/>
    <w:rsid w:val="004F2102"/>
    <w:rsid w:val="00500C3E"/>
    <w:rsid w:val="00501554"/>
    <w:rsid w:val="005076C7"/>
    <w:rsid w:val="00512406"/>
    <w:rsid w:val="00514CD7"/>
    <w:rsid w:val="00516910"/>
    <w:rsid w:val="00530A43"/>
    <w:rsid w:val="005319B2"/>
    <w:rsid w:val="00532402"/>
    <w:rsid w:val="00532C74"/>
    <w:rsid w:val="005346BB"/>
    <w:rsid w:val="00534D52"/>
    <w:rsid w:val="00534E2E"/>
    <w:rsid w:val="00543A06"/>
    <w:rsid w:val="00544552"/>
    <w:rsid w:val="005463B7"/>
    <w:rsid w:val="00547272"/>
    <w:rsid w:val="00563208"/>
    <w:rsid w:val="0056419E"/>
    <w:rsid w:val="00577C4D"/>
    <w:rsid w:val="005801EA"/>
    <w:rsid w:val="00581932"/>
    <w:rsid w:val="00585EF4"/>
    <w:rsid w:val="00587CA3"/>
    <w:rsid w:val="00587F12"/>
    <w:rsid w:val="00590549"/>
    <w:rsid w:val="005963BB"/>
    <w:rsid w:val="005A3039"/>
    <w:rsid w:val="005A3173"/>
    <w:rsid w:val="005A3223"/>
    <w:rsid w:val="005A3DA3"/>
    <w:rsid w:val="005A52C4"/>
    <w:rsid w:val="005A5959"/>
    <w:rsid w:val="005C16D8"/>
    <w:rsid w:val="005C4A01"/>
    <w:rsid w:val="005C59BF"/>
    <w:rsid w:val="005C7785"/>
    <w:rsid w:val="005C79E3"/>
    <w:rsid w:val="005D03AB"/>
    <w:rsid w:val="005D4A44"/>
    <w:rsid w:val="005D5017"/>
    <w:rsid w:val="005D6781"/>
    <w:rsid w:val="005E0279"/>
    <w:rsid w:val="005E11C2"/>
    <w:rsid w:val="005E1333"/>
    <w:rsid w:val="005F25F6"/>
    <w:rsid w:val="005F2EF4"/>
    <w:rsid w:val="00601A91"/>
    <w:rsid w:val="006023F2"/>
    <w:rsid w:val="00602BA3"/>
    <w:rsid w:val="0060397E"/>
    <w:rsid w:val="006041F7"/>
    <w:rsid w:val="006043AE"/>
    <w:rsid w:val="00606EED"/>
    <w:rsid w:val="00612E34"/>
    <w:rsid w:val="00614159"/>
    <w:rsid w:val="00617C00"/>
    <w:rsid w:val="00625087"/>
    <w:rsid w:val="006263BF"/>
    <w:rsid w:val="0062748A"/>
    <w:rsid w:val="00630A2C"/>
    <w:rsid w:val="00631FDF"/>
    <w:rsid w:val="00634E8D"/>
    <w:rsid w:val="0063682E"/>
    <w:rsid w:val="006407BB"/>
    <w:rsid w:val="0064123E"/>
    <w:rsid w:val="006436CD"/>
    <w:rsid w:val="00644242"/>
    <w:rsid w:val="00651169"/>
    <w:rsid w:val="00653D69"/>
    <w:rsid w:val="006546F1"/>
    <w:rsid w:val="00657DEC"/>
    <w:rsid w:val="00662DB0"/>
    <w:rsid w:val="006670BE"/>
    <w:rsid w:val="0067091F"/>
    <w:rsid w:val="00670A76"/>
    <w:rsid w:val="006711AA"/>
    <w:rsid w:val="00672B57"/>
    <w:rsid w:val="00674C57"/>
    <w:rsid w:val="00675622"/>
    <w:rsid w:val="00677461"/>
    <w:rsid w:val="0067747D"/>
    <w:rsid w:val="006775F6"/>
    <w:rsid w:val="00682808"/>
    <w:rsid w:val="00686E52"/>
    <w:rsid w:val="006906DB"/>
    <w:rsid w:val="00691E6C"/>
    <w:rsid w:val="00696129"/>
    <w:rsid w:val="00697CF2"/>
    <w:rsid w:val="006A12A5"/>
    <w:rsid w:val="006A468A"/>
    <w:rsid w:val="006A4AE2"/>
    <w:rsid w:val="006B0AF8"/>
    <w:rsid w:val="006B0D94"/>
    <w:rsid w:val="006B2BEC"/>
    <w:rsid w:val="006B485D"/>
    <w:rsid w:val="006B5EA8"/>
    <w:rsid w:val="006C1625"/>
    <w:rsid w:val="006C2A8E"/>
    <w:rsid w:val="006C6EFD"/>
    <w:rsid w:val="006C708E"/>
    <w:rsid w:val="006D1332"/>
    <w:rsid w:val="006D14E7"/>
    <w:rsid w:val="006D3273"/>
    <w:rsid w:val="006D598F"/>
    <w:rsid w:val="006D6493"/>
    <w:rsid w:val="006D6EC7"/>
    <w:rsid w:val="006D71A7"/>
    <w:rsid w:val="006E1BCD"/>
    <w:rsid w:val="006E4CF2"/>
    <w:rsid w:val="006E5550"/>
    <w:rsid w:val="006E6F62"/>
    <w:rsid w:val="006E7FB5"/>
    <w:rsid w:val="006F5125"/>
    <w:rsid w:val="0070082D"/>
    <w:rsid w:val="00700A32"/>
    <w:rsid w:val="00701A91"/>
    <w:rsid w:val="00702B6F"/>
    <w:rsid w:val="0070650B"/>
    <w:rsid w:val="0071340B"/>
    <w:rsid w:val="007174BB"/>
    <w:rsid w:val="00717A7D"/>
    <w:rsid w:val="0072025D"/>
    <w:rsid w:val="0072543C"/>
    <w:rsid w:val="00726E57"/>
    <w:rsid w:val="00727FDA"/>
    <w:rsid w:val="00731D9F"/>
    <w:rsid w:val="0073306F"/>
    <w:rsid w:val="007353D3"/>
    <w:rsid w:val="0074113E"/>
    <w:rsid w:val="00742D31"/>
    <w:rsid w:val="00744CF6"/>
    <w:rsid w:val="00755755"/>
    <w:rsid w:val="00757CDA"/>
    <w:rsid w:val="00757FD4"/>
    <w:rsid w:val="0076420C"/>
    <w:rsid w:val="00767908"/>
    <w:rsid w:val="007753C2"/>
    <w:rsid w:val="00780930"/>
    <w:rsid w:val="00780B75"/>
    <w:rsid w:val="007829AC"/>
    <w:rsid w:val="007838B8"/>
    <w:rsid w:val="00783D58"/>
    <w:rsid w:val="007952A7"/>
    <w:rsid w:val="00796E72"/>
    <w:rsid w:val="0079737B"/>
    <w:rsid w:val="007A010D"/>
    <w:rsid w:val="007A1FBE"/>
    <w:rsid w:val="007A6991"/>
    <w:rsid w:val="007A6ACC"/>
    <w:rsid w:val="007A758D"/>
    <w:rsid w:val="007C0F57"/>
    <w:rsid w:val="007C40B6"/>
    <w:rsid w:val="007C729F"/>
    <w:rsid w:val="007C78DC"/>
    <w:rsid w:val="007D295F"/>
    <w:rsid w:val="007D4484"/>
    <w:rsid w:val="007D4644"/>
    <w:rsid w:val="007D56D3"/>
    <w:rsid w:val="007E0BAD"/>
    <w:rsid w:val="007E1D28"/>
    <w:rsid w:val="007E3879"/>
    <w:rsid w:val="007E4660"/>
    <w:rsid w:val="007E7CC5"/>
    <w:rsid w:val="007F2641"/>
    <w:rsid w:val="007F7C36"/>
    <w:rsid w:val="008060E0"/>
    <w:rsid w:val="00806796"/>
    <w:rsid w:val="00813B42"/>
    <w:rsid w:val="008151D6"/>
    <w:rsid w:val="00824CCA"/>
    <w:rsid w:val="00826F6D"/>
    <w:rsid w:val="008306F3"/>
    <w:rsid w:val="00831B9C"/>
    <w:rsid w:val="00847B56"/>
    <w:rsid w:val="008524E4"/>
    <w:rsid w:val="00853FB4"/>
    <w:rsid w:val="00855D27"/>
    <w:rsid w:val="00856829"/>
    <w:rsid w:val="00856DDD"/>
    <w:rsid w:val="008601A3"/>
    <w:rsid w:val="00863E68"/>
    <w:rsid w:val="00882085"/>
    <w:rsid w:val="008825FA"/>
    <w:rsid w:val="0088274A"/>
    <w:rsid w:val="00883188"/>
    <w:rsid w:val="00885805"/>
    <w:rsid w:val="0089521C"/>
    <w:rsid w:val="00897D58"/>
    <w:rsid w:val="00897E04"/>
    <w:rsid w:val="00897F22"/>
    <w:rsid w:val="008A1956"/>
    <w:rsid w:val="008A4937"/>
    <w:rsid w:val="008A50F1"/>
    <w:rsid w:val="008C46AC"/>
    <w:rsid w:val="008C54C4"/>
    <w:rsid w:val="008C55BD"/>
    <w:rsid w:val="008C7770"/>
    <w:rsid w:val="008D1613"/>
    <w:rsid w:val="008D1B5C"/>
    <w:rsid w:val="008D2FBC"/>
    <w:rsid w:val="008D3C82"/>
    <w:rsid w:val="008D4253"/>
    <w:rsid w:val="008D447E"/>
    <w:rsid w:val="008D7A41"/>
    <w:rsid w:val="008E00F2"/>
    <w:rsid w:val="008E0E62"/>
    <w:rsid w:val="008E121A"/>
    <w:rsid w:val="008E1A7D"/>
    <w:rsid w:val="008E25FF"/>
    <w:rsid w:val="008E3680"/>
    <w:rsid w:val="008E5870"/>
    <w:rsid w:val="008E7852"/>
    <w:rsid w:val="008F1434"/>
    <w:rsid w:val="008F39C1"/>
    <w:rsid w:val="008F602B"/>
    <w:rsid w:val="008F7355"/>
    <w:rsid w:val="00905D57"/>
    <w:rsid w:val="009067B7"/>
    <w:rsid w:val="00912C8B"/>
    <w:rsid w:val="00930937"/>
    <w:rsid w:val="009312B8"/>
    <w:rsid w:val="009317EE"/>
    <w:rsid w:val="00931936"/>
    <w:rsid w:val="00933B46"/>
    <w:rsid w:val="00933E6C"/>
    <w:rsid w:val="00936E54"/>
    <w:rsid w:val="00937185"/>
    <w:rsid w:val="00937958"/>
    <w:rsid w:val="00937FBF"/>
    <w:rsid w:val="0094059F"/>
    <w:rsid w:val="0094100A"/>
    <w:rsid w:val="00941F4B"/>
    <w:rsid w:val="00942160"/>
    <w:rsid w:val="0094256E"/>
    <w:rsid w:val="0095146F"/>
    <w:rsid w:val="00954B59"/>
    <w:rsid w:val="009555C5"/>
    <w:rsid w:val="009559FB"/>
    <w:rsid w:val="009602C5"/>
    <w:rsid w:val="00962223"/>
    <w:rsid w:val="00964B27"/>
    <w:rsid w:val="00966D0D"/>
    <w:rsid w:val="009717E7"/>
    <w:rsid w:val="00973FBD"/>
    <w:rsid w:val="00974C21"/>
    <w:rsid w:val="0097781D"/>
    <w:rsid w:val="00981DF6"/>
    <w:rsid w:val="0098321D"/>
    <w:rsid w:val="00994892"/>
    <w:rsid w:val="0099494A"/>
    <w:rsid w:val="009978F5"/>
    <w:rsid w:val="009A02EF"/>
    <w:rsid w:val="009A6A5F"/>
    <w:rsid w:val="009B0F67"/>
    <w:rsid w:val="009C703C"/>
    <w:rsid w:val="009D3CAA"/>
    <w:rsid w:val="009D4C74"/>
    <w:rsid w:val="009D529B"/>
    <w:rsid w:val="009D73F5"/>
    <w:rsid w:val="009E165D"/>
    <w:rsid w:val="009E2D28"/>
    <w:rsid w:val="009E40E1"/>
    <w:rsid w:val="009E45AD"/>
    <w:rsid w:val="009E578C"/>
    <w:rsid w:val="009F4DCE"/>
    <w:rsid w:val="009F4E46"/>
    <w:rsid w:val="009F565C"/>
    <w:rsid w:val="009F5B65"/>
    <w:rsid w:val="009F5F2E"/>
    <w:rsid w:val="00A0230D"/>
    <w:rsid w:val="00A04DFC"/>
    <w:rsid w:val="00A05352"/>
    <w:rsid w:val="00A06225"/>
    <w:rsid w:val="00A06821"/>
    <w:rsid w:val="00A128E6"/>
    <w:rsid w:val="00A12DB8"/>
    <w:rsid w:val="00A20994"/>
    <w:rsid w:val="00A21DF5"/>
    <w:rsid w:val="00A3391B"/>
    <w:rsid w:val="00A34E6C"/>
    <w:rsid w:val="00A3671D"/>
    <w:rsid w:val="00A37C8D"/>
    <w:rsid w:val="00A42D9F"/>
    <w:rsid w:val="00A46081"/>
    <w:rsid w:val="00A51F4E"/>
    <w:rsid w:val="00A5273B"/>
    <w:rsid w:val="00A52800"/>
    <w:rsid w:val="00A537F3"/>
    <w:rsid w:val="00A5381D"/>
    <w:rsid w:val="00A53A9D"/>
    <w:rsid w:val="00A53D20"/>
    <w:rsid w:val="00A55FEE"/>
    <w:rsid w:val="00A573F9"/>
    <w:rsid w:val="00A612FE"/>
    <w:rsid w:val="00A6255C"/>
    <w:rsid w:val="00A62C1A"/>
    <w:rsid w:val="00A6426D"/>
    <w:rsid w:val="00A665C1"/>
    <w:rsid w:val="00A70622"/>
    <w:rsid w:val="00A70977"/>
    <w:rsid w:val="00A746BF"/>
    <w:rsid w:val="00A74ECF"/>
    <w:rsid w:val="00A763C3"/>
    <w:rsid w:val="00A77613"/>
    <w:rsid w:val="00A776FA"/>
    <w:rsid w:val="00A8390C"/>
    <w:rsid w:val="00A85C8B"/>
    <w:rsid w:val="00A928BD"/>
    <w:rsid w:val="00A93975"/>
    <w:rsid w:val="00AA4D1C"/>
    <w:rsid w:val="00AA6044"/>
    <w:rsid w:val="00AA61F5"/>
    <w:rsid w:val="00AB1758"/>
    <w:rsid w:val="00AB2B2C"/>
    <w:rsid w:val="00AB39C6"/>
    <w:rsid w:val="00AB686C"/>
    <w:rsid w:val="00AB6A4E"/>
    <w:rsid w:val="00AC00D7"/>
    <w:rsid w:val="00AC193C"/>
    <w:rsid w:val="00AC5206"/>
    <w:rsid w:val="00AC6F81"/>
    <w:rsid w:val="00AC726C"/>
    <w:rsid w:val="00AD3FC2"/>
    <w:rsid w:val="00AD507C"/>
    <w:rsid w:val="00AE11A5"/>
    <w:rsid w:val="00AE13E2"/>
    <w:rsid w:val="00AE16F7"/>
    <w:rsid w:val="00AE1A8E"/>
    <w:rsid w:val="00AE22D3"/>
    <w:rsid w:val="00AE2D8C"/>
    <w:rsid w:val="00AE431E"/>
    <w:rsid w:val="00AE6AC8"/>
    <w:rsid w:val="00AF30D1"/>
    <w:rsid w:val="00AF62DF"/>
    <w:rsid w:val="00AF68CC"/>
    <w:rsid w:val="00AF6D96"/>
    <w:rsid w:val="00B0051C"/>
    <w:rsid w:val="00B0205D"/>
    <w:rsid w:val="00B05376"/>
    <w:rsid w:val="00B1059E"/>
    <w:rsid w:val="00B114BA"/>
    <w:rsid w:val="00B158EA"/>
    <w:rsid w:val="00B16D9C"/>
    <w:rsid w:val="00B176C8"/>
    <w:rsid w:val="00B205AA"/>
    <w:rsid w:val="00B21362"/>
    <w:rsid w:val="00B22D88"/>
    <w:rsid w:val="00B22E84"/>
    <w:rsid w:val="00B232BD"/>
    <w:rsid w:val="00B234B1"/>
    <w:rsid w:val="00B24597"/>
    <w:rsid w:val="00B25F75"/>
    <w:rsid w:val="00B26B3F"/>
    <w:rsid w:val="00B37DFF"/>
    <w:rsid w:val="00B41420"/>
    <w:rsid w:val="00B430FE"/>
    <w:rsid w:val="00B43E90"/>
    <w:rsid w:val="00B446A0"/>
    <w:rsid w:val="00B467DC"/>
    <w:rsid w:val="00B56118"/>
    <w:rsid w:val="00B571A5"/>
    <w:rsid w:val="00B6773F"/>
    <w:rsid w:val="00B765B3"/>
    <w:rsid w:val="00B801BA"/>
    <w:rsid w:val="00B8041B"/>
    <w:rsid w:val="00B84D5C"/>
    <w:rsid w:val="00B859CF"/>
    <w:rsid w:val="00B9351A"/>
    <w:rsid w:val="00B954F6"/>
    <w:rsid w:val="00B96F6A"/>
    <w:rsid w:val="00BA0616"/>
    <w:rsid w:val="00BA4479"/>
    <w:rsid w:val="00BA57E1"/>
    <w:rsid w:val="00BA7015"/>
    <w:rsid w:val="00BB329B"/>
    <w:rsid w:val="00BB69F5"/>
    <w:rsid w:val="00BB7EC3"/>
    <w:rsid w:val="00BC4B9A"/>
    <w:rsid w:val="00BC7A1B"/>
    <w:rsid w:val="00BD0700"/>
    <w:rsid w:val="00BD6618"/>
    <w:rsid w:val="00BD784C"/>
    <w:rsid w:val="00BE11D0"/>
    <w:rsid w:val="00BE7959"/>
    <w:rsid w:val="00BF0D7A"/>
    <w:rsid w:val="00BF3B61"/>
    <w:rsid w:val="00BF4CB6"/>
    <w:rsid w:val="00BF655A"/>
    <w:rsid w:val="00C00DA7"/>
    <w:rsid w:val="00C06C07"/>
    <w:rsid w:val="00C12768"/>
    <w:rsid w:val="00C15C35"/>
    <w:rsid w:val="00C178B7"/>
    <w:rsid w:val="00C23E3E"/>
    <w:rsid w:val="00C246EA"/>
    <w:rsid w:val="00C25B42"/>
    <w:rsid w:val="00C269A0"/>
    <w:rsid w:val="00C27B58"/>
    <w:rsid w:val="00C3359A"/>
    <w:rsid w:val="00C35996"/>
    <w:rsid w:val="00C402E1"/>
    <w:rsid w:val="00C407EA"/>
    <w:rsid w:val="00C4269E"/>
    <w:rsid w:val="00C44397"/>
    <w:rsid w:val="00C4747E"/>
    <w:rsid w:val="00C5082C"/>
    <w:rsid w:val="00C5342C"/>
    <w:rsid w:val="00C57427"/>
    <w:rsid w:val="00C603D4"/>
    <w:rsid w:val="00C60F32"/>
    <w:rsid w:val="00C6256A"/>
    <w:rsid w:val="00C63899"/>
    <w:rsid w:val="00C64C08"/>
    <w:rsid w:val="00C65B07"/>
    <w:rsid w:val="00C710D0"/>
    <w:rsid w:val="00C73871"/>
    <w:rsid w:val="00C7441A"/>
    <w:rsid w:val="00C77891"/>
    <w:rsid w:val="00C80C84"/>
    <w:rsid w:val="00C841E6"/>
    <w:rsid w:val="00C91449"/>
    <w:rsid w:val="00C92D10"/>
    <w:rsid w:val="00C9339B"/>
    <w:rsid w:val="00C95F95"/>
    <w:rsid w:val="00CA022E"/>
    <w:rsid w:val="00CA14CD"/>
    <w:rsid w:val="00CA2340"/>
    <w:rsid w:val="00CB2514"/>
    <w:rsid w:val="00CB5E39"/>
    <w:rsid w:val="00CC3256"/>
    <w:rsid w:val="00CC56C2"/>
    <w:rsid w:val="00CD0BBF"/>
    <w:rsid w:val="00CD1C1B"/>
    <w:rsid w:val="00CD219F"/>
    <w:rsid w:val="00CD5B3A"/>
    <w:rsid w:val="00CD694A"/>
    <w:rsid w:val="00CD6E79"/>
    <w:rsid w:val="00CE10C4"/>
    <w:rsid w:val="00CE27B5"/>
    <w:rsid w:val="00CE5614"/>
    <w:rsid w:val="00CF1AED"/>
    <w:rsid w:val="00CF7536"/>
    <w:rsid w:val="00D0321E"/>
    <w:rsid w:val="00D069FE"/>
    <w:rsid w:val="00D10D7B"/>
    <w:rsid w:val="00D11867"/>
    <w:rsid w:val="00D1455A"/>
    <w:rsid w:val="00D148D1"/>
    <w:rsid w:val="00D17311"/>
    <w:rsid w:val="00D21100"/>
    <w:rsid w:val="00D25B85"/>
    <w:rsid w:val="00D31150"/>
    <w:rsid w:val="00D3138B"/>
    <w:rsid w:val="00D3280C"/>
    <w:rsid w:val="00D3406A"/>
    <w:rsid w:val="00D4572C"/>
    <w:rsid w:val="00D469B2"/>
    <w:rsid w:val="00D5572D"/>
    <w:rsid w:val="00D741EB"/>
    <w:rsid w:val="00D82875"/>
    <w:rsid w:val="00D830C5"/>
    <w:rsid w:val="00D83605"/>
    <w:rsid w:val="00D83DB3"/>
    <w:rsid w:val="00D83F37"/>
    <w:rsid w:val="00D84934"/>
    <w:rsid w:val="00D84C6C"/>
    <w:rsid w:val="00D90EAD"/>
    <w:rsid w:val="00D91271"/>
    <w:rsid w:val="00D919F5"/>
    <w:rsid w:val="00D94B64"/>
    <w:rsid w:val="00D94F03"/>
    <w:rsid w:val="00D96AAD"/>
    <w:rsid w:val="00DA2CB5"/>
    <w:rsid w:val="00DA41D3"/>
    <w:rsid w:val="00DA4BAC"/>
    <w:rsid w:val="00DA5916"/>
    <w:rsid w:val="00DA5D89"/>
    <w:rsid w:val="00DA789C"/>
    <w:rsid w:val="00DB198D"/>
    <w:rsid w:val="00DB1CEE"/>
    <w:rsid w:val="00DB6426"/>
    <w:rsid w:val="00DC1927"/>
    <w:rsid w:val="00DC400F"/>
    <w:rsid w:val="00DC4EE1"/>
    <w:rsid w:val="00DC4F25"/>
    <w:rsid w:val="00DC6970"/>
    <w:rsid w:val="00DC7055"/>
    <w:rsid w:val="00DC756F"/>
    <w:rsid w:val="00DD1726"/>
    <w:rsid w:val="00DD2F59"/>
    <w:rsid w:val="00DD5167"/>
    <w:rsid w:val="00DE486C"/>
    <w:rsid w:val="00DE550B"/>
    <w:rsid w:val="00DE6D27"/>
    <w:rsid w:val="00DF1501"/>
    <w:rsid w:val="00DF217D"/>
    <w:rsid w:val="00DF26A7"/>
    <w:rsid w:val="00DF35F3"/>
    <w:rsid w:val="00DF65AB"/>
    <w:rsid w:val="00DF70F1"/>
    <w:rsid w:val="00DF7CA9"/>
    <w:rsid w:val="00E00349"/>
    <w:rsid w:val="00E052B4"/>
    <w:rsid w:val="00E15627"/>
    <w:rsid w:val="00E164B3"/>
    <w:rsid w:val="00E16910"/>
    <w:rsid w:val="00E20990"/>
    <w:rsid w:val="00E21A2F"/>
    <w:rsid w:val="00E22BAE"/>
    <w:rsid w:val="00E262ED"/>
    <w:rsid w:val="00E32EC6"/>
    <w:rsid w:val="00E368A7"/>
    <w:rsid w:val="00E36B51"/>
    <w:rsid w:val="00E42072"/>
    <w:rsid w:val="00E42918"/>
    <w:rsid w:val="00E42BDB"/>
    <w:rsid w:val="00E46236"/>
    <w:rsid w:val="00E50E17"/>
    <w:rsid w:val="00E52764"/>
    <w:rsid w:val="00E53039"/>
    <w:rsid w:val="00E57066"/>
    <w:rsid w:val="00E57EEB"/>
    <w:rsid w:val="00E6233D"/>
    <w:rsid w:val="00E62807"/>
    <w:rsid w:val="00E62D94"/>
    <w:rsid w:val="00E6310D"/>
    <w:rsid w:val="00E65E54"/>
    <w:rsid w:val="00E70CF0"/>
    <w:rsid w:val="00E71F2F"/>
    <w:rsid w:val="00E72CFC"/>
    <w:rsid w:val="00E73F1D"/>
    <w:rsid w:val="00E80155"/>
    <w:rsid w:val="00E81C00"/>
    <w:rsid w:val="00E81F28"/>
    <w:rsid w:val="00E823F8"/>
    <w:rsid w:val="00E82B37"/>
    <w:rsid w:val="00E848C0"/>
    <w:rsid w:val="00E9057C"/>
    <w:rsid w:val="00E91B96"/>
    <w:rsid w:val="00E936F2"/>
    <w:rsid w:val="00E941A1"/>
    <w:rsid w:val="00E95CE3"/>
    <w:rsid w:val="00E971CF"/>
    <w:rsid w:val="00EA2825"/>
    <w:rsid w:val="00EA77D3"/>
    <w:rsid w:val="00EB0B63"/>
    <w:rsid w:val="00EB1936"/>
    <w:rsid w:val="00EB5088"/>
    <w:rsid w:val="00EC0654"/>
    <w:rsid w:val="00EC081A"/>
    <w:rsid w:val="00EC0BCC"/>
    <w:rsid w:val="00EC4303"/>
    <w:rsid w:val="00EC5B79"/>
    <w:rsid w:val="00ED1644"/>
    <w:rsid w:val="00ED2593"/>
    <w:rsid w:val="00ED7D9C"/>
    <w:rsid w:val="00EE17F2"/>
    <w:rsid w:val="00EE764D"/>
    <w:rsid w:val="00EF3FCC"/>
    <w:rsid w:val="00EF44A0"/>
    <w:rsid w:val="00EF4FED"/>
    <w:rsid w:val="00F050BD"/>
    <w:rsid w:val="00F05657"/>
    <w:rsid w:val="00F10F13"/>
    <w:rsid w:val="00F1161A"/>
    <w:rsid w:val="00F13837"/>
    <w:rsid w:val="00F13E8D"/>
    <w:rsid w:val="00F1423B"/>
    <w:rsid w:val="00F15D26"/>
    <w:rsid w:val="00F22904"/>
    <w:rsid w:val="00F24F0C"/>
    <w:rsid w:val="00F25578"/>
    <w:rsid w:val="00F258E5"/>
    <w:rsid w:val="00F300BC"/>
    <w:rsid w:val="00F304F8"/>
    <w:rsid w:val="00F3334E"/>
    <w:rsid w:val="00F35D71"/>
    <w:rsid w:val="00F36020"/>
    <w:rsid w:val="00F36CCB"/>
    <w:rsid w:val="00F3729D"/>
    <w:rsid w:val="00F374E5"/>
    <w:rsid w:val="00F43AF2"/>
    <w:rsid w:val="00F44F5F"/>
    <w:rsid w:val="00F45463"/>
    <w:rsid w:val="00F457C8"/>
    <w:rsid w:val="00F463AF"/>
    <w:rsid w:val="00F47D58"/>
    <w:rsid w:val="00F5007E"/>
    <w:rsid w:val="00F50EC4"/>
    <w:rsid w:val="00F515E0"/>
    <w:rsid w:val="00F53658"/>
    <w:rsid w:val="00F550CF"/>
    <w:rsid w:val="00F576F3"/>
    <w:rsid w:val="00F57A6D"/>
    <w:rsid w:val="00F638CC"/>
    <w:rsid w:val="00F64CC1"/>
    <w:rsid w:val="00F70B96"/>
    <w:rsid w:val="00F72317"/>
    <w:rsid w:val="00F73157"/>
    <w:rsid w:val="00F73290"/>
    <w:rsid w:val="00F80475"/>
    <w:rsid w:val="00F8165D"/>
    <w:rsid w:val="00F8247A"/>
    <w:rsid w:val="00F9629A"/>
    <w:rsid w:val="00F97EFC"/>
    <w:rsid w:val="00FA2B80"/>
    <w:rsid w:val="00FA54E1"/>
    <w:rsid w:val="00FA5883"/>
    <w:rsid w:val="00FA6055"/>
    <w:rsid w:val="00FB04B8"/>
    <w:rsid w:val="00FB322F"/>
    <w:rsid w:val="00FB3264"/>
    <w:rsid w:val="00FB3FBB"/>
    <w:rsid w:val="00FB442F"/>
    <w:rsid w:val="00FB4837"/>
    <w:rsid w:val="00FC0095"/>
    <w:rsid w:val="00FC1929"/>
    <w:rsid w:val="00FC31B7"/>
    <w:rsid w:val="00FC5B46"/>
    <w:rsid w:val="00FD0B3F"/>
    <w:rsid w:val="00FD3BDE"/>
    <w:rsid w:val="00FD6D8E"/>
    <w:rsid w:val="00FE0E57"/>
    <w:rsid w:val="00FE0E94"/>
    <w:rsid w:val="00FE5442"/>
    <w:rsid w:val="00FE7CAF"/>
    <w:rsid w:val="00FF00BD"/>
    <w:rsid w:val="00FF1ED4"/>
    <w:rsid w:val="00FF2801"/>
    <w:rsid w:val="00FF7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D2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990"/>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styleId="FollowedHyperlink">
    <w:name w:val="FollowedHyperlink"/>
    <w:basedOn w:val="DefaultParagraphFont"/>
    <w:semiHidden/>
    <w:unhideWhenUsed/>
    <w:rsid w:val="001A6B0E"/>
    <w:rPr>
      <w:color w:val="800080" w:themeColor="followedHyperlink"/>
      <w:u w:val="single"/>
    </w:rPr>
  </w:style>
  <w:style w:type="paragraph" w:customStyle="1" w:styleId="TableBullet">
    <w:name w:val="TableBullet"/>
    <w:basedOn w:val="Normal"/>
    <w:uiPriority w:val="99"/>
    <w:rsid w:val="000E2294"/>
    <w:pPr>
      <w:numPr>
        <w:numId w:val="17"/>
      </w:numPr>
      <w:tabs>
        <w:tab w:val="clear" w:pos="360"/>
        <w:tab w:val="left" w:pos="216"/>
      </w:tabs>
      <w:spacing w:before="40" w:after="40"/>
    </w:pPr>
    <w:rPr>
      <w:rFonts w:ascii="Arial Narrow" w:hAnsi="Arial Narrow" w:cs="Arial Narrow"/>
      <w:sz w:val="20"/>
      <w:szCs w:val="20"/>
      <w:lang w:eastAsia="en-US"/>
    </w:rPr>
  </w:style>
  <w:style w:type="paragraph" w:styleId="NormalWeb">
    <w:name w:val="Normal (Web)"/>
    <w:basedOn w:val="Normal"/>
    <w:uiPriority w:val="99"/>
    <w:semiHidden/>
    <w:unhideWhenUsed/>
    <w:rsid w:val="004D52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523">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61313153">
      <w:bodyDiv w:val="1"/>
      <w:marLeft w:val="0"/>
      <w:marRight w:val="0"/>
      <w:marTop w:val="0"/>
      <w:marBottom w:val="0"/>
      <w:divBdr>
        <w:top w:val="none" w:sz="0" w:space="0" w:color="auto"/>
        <w:left w:val="none" w:sz="0" w:space="0" w:color="auto"/>
        <w:bottom w:val="none" w:sz="0" w:space="0" w:color="auto"/>
        <w:right w:val="none" w:sz="0" w:space="0" w:color="auto"/>
      </w:divBdr>
    </w:div>
    <w:div w:id="472219380">
      <w:bodyDiv w:val="1"/>
      <w:marLeft w:val="0"/>
      <w:marRight w:val="0"/>
      <w:marTop w:val="0"/>
      <w:marBottom w:val="0"/>
      <w:divBdr>
        <w:top w:val="none" w:sz="0" w:space="0" w:color="auto"/>
        <w:left w:val="none" w:sz="0" w:space="0" w:color="auto"/>
        <w:bottom w:val="none" w:sz="0" w:space="0" w:color="auto"/>
        <w:right w:val="none" w:sz="0" w:space="0" w:color="auto"/>
      </w:divBdr>
    </w:div>
    <w:div w:id="655305155">
      <w:bodyDiv w:val="1"/>
      <w:marLeft w:val="0"/>
      <w:marRight w:val="0"/>
      <w:marTop w:val="0"/>
      <w:marBottom w:val="0"/>
      <w:divBdr>
        <w:top w:val="none" w:sz="0" w:space="0" w:color="auto"/>
        <w:left w:val="none" w:sz="0" w:space="0" w:color="auto"/>
        <w:bottom w:val="none" w:sz="0" w:space="0" w:color="auto"/>
        <w:right w:val="none" w:sz="0" w:space="0" w:color="auto"/>
      </w:divBdr>
    </w:div>
    <w:div w:id="70552266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5557930">
      <w:bodyDiv w:val="1"/>
      <w:marLeft w:val="0"/>
      <w:marRight w:val="0"/>
      <w:marTop w:val="0"/>
      <w:marBottom w:val="0"/>
      <w:divBdr>
        <w:top w:val="none" w:sz="0" w:space="0" w:color="auto"/>
        <w:left w:val="none" w:sz="0" w:space="0" w:color="auto"/>
        <w:bottom w:val="none" w:sz="0" w:space="0" w:color="auto"/>
        <w:right w:val="none" w:sz="0" w:space="0" w:color="auto"/>
      </w:divBdr>
    </w:div>
    <w:div w:id="986085512">
      <w:bodyDiv w:val="1"/>
      <w:marLeft w:val="0"/>
      <w:marRight w:val="0"/>
      <w:marTop w:val="0"/>
      <w:marBottom w:val="0"/>
      <w:divBdr>
        <w:top w:val="none" w:sz="0" w:space="0" w:color="auto"/>
        <w:left w:val="none" w:sz="0" w:space="0" w:color="auto"/>
        <w:bottom w:val="none" w:sz="0" w:space="0" w:color="auto"/>
        <w:right w:val="none" w:sz="0" w:space="0" w:color="auto"/>
      </w:divBdr>
    </w:div>
    <w:div w:id="1417748168">
      <w:bodyDiv w:val="1"/>
      <w:marLeft w:val="0"/>
      <w:marRight w:val="0"/>
      <w:marTop w:val="0"/>
      <w:marBottom w:val="0"/>
      <w:divBdr>
        <w:top w:val="none" w:sz="0" w:space="0" w:color="auto"/>
        <w:left w:val="none" w:sz="0" w:space="0" w:color="auto"/>
        <w:bottom w:val="none" w:sz="0" w:space="0" w:color="auto"/>
        <w:right w:val="none" w:sz="0" w:space="0" w:color="auto"/>
      </w:divBdr>
    </w:div>
    <w:div w:id="169099062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024924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10083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E664B-4373-438C-96A9-659E440F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10609</Words>
  <Characters>62342</Characters>
  <Application>Microsoft Office Word</Application>
  <DocSecurity>0</DocSecurity>
  <Lines>519</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2019-06-26T01:36:00Z</dcterms:created>
  <dcterms:modified xsi:type="dcterms:W3CDTF">2019-07-01T01:55:00Z</dcterms:modified>
</cp:coreProperties>
</file>