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B7534" w14:textId="578E0397" w:rsidR="006D6493" w:rsidRPr="00577C4D" w:rsidRDefault="008D0F2F" w:rsidP="006D6493">
      <w:pPr>
        <w:pStyle w:val="Title"/>
        <w:spacing w:before="120" w:after="160"/>
        <w:ind w:left="720" w:hanging="720"/>
        <w:rPr>
          <w:rFonts w:asciiTheme="minorHAnsi" w:hAnsiTheme="minorHAnsi"/>
          <w:sz w:val="36"/>
          <w:szCs w:val="36"/>
        </w:rPr>
      </w:pPr>
      <w:r>
        <w:rPr>
          <w:rFonts w:asciiTheme="minorHAnsi" w:hAnsiTheme="minorHAnsi"/>
          <w:sz w:val="36"/>
          <w:szCs w:val="36"/>
        </w:rPr>
        <w:t>6.18</w:t>
      </w:r>
      <w:r w:rsidR="00A724C4">
        <w:rPr>
          <w:rFonts w:asciiTheme="minorHAnsi" w:hAnsiTheme="minorHAnsi"/>
          <w:sz w:val="36"/>
          <w:szCs w:val="36"/>
        </w:rPr>
        <w:t xml:space="preserve"> T</w:t>
      </w:r>
      <w:r>
        <w:rPr>
          <w:rFonts w:asciiTheme="minorHAnsi" w:hAnsiTheme="minorHAnsi"/>
          <w:sz w:val="36"/>
          <w:szCs w:val="36"/>
        </w:rPr>
        <w:t>IOT</w:t>
      </w:r>
      <w:r w:rsidR="00996080">
        <w:rPr>
          <w:rFonts w:asciiTheme="minorHAnsi" w:hAnsiTheme="minorHAnsi"/>
          <w:sz w:val="36"/>
          <w:szCs w:val="36"/>
        </w:rPr>
        <w:t>R</w:t>
      </w:r>
      <w:r>
        <w:rPr>
          <w:rFonts w:asciiTheme="minorHAnsi" w:hAnsiTheme="minorHAnsi"/>
          <w:sz w:val="36"/>
          <w:szCs w:val="36"/>
        </w:rPr>
        <w:t>OPIUM</w:t>
      </w:r>
      <w:r w:rsidR="006D6493" w:rsidRPr="002B5596">
        <w:rPr>
          <w:rFonts w:asciiTheme="minorHAnsi" w:hAnsiTheme="minorHAnsi"/>
          <w:sz w:val="36"/>
          <w:szCs w:val="36"/>
        </w:rPr>
        <w:t xml:space="preserve"> </w:t>
      </w:r>
      <w:r w:rsidR="006D6493" w:rsidRPr="002B5596">
        <w:rPr>
          <w:rFonts w:asciiTheme="minorHAnsi" w:hAnsiTheme="minorHAnsi"/>
          <w:sz w:val="36"/>
          <w:szCs w:val="36"/>
        </w:rPr>
        <w:br/>
      </w:r>
      <w:r w:rsidR="00101A80" w:rsidRPr="00101A80">
        <w:rPr>
          <w:rFonts w:asciiTheme="minorHAnsi" w:hAnsiTheme="minorHAnsi"/>
          <w:sz w:val="36"/>
          <w:szCs w:val="36"/>
        </w:rPr>
        <w:t>Capsule containing powder for oral inhalation</w:t>
      </w:r>
      <w:r w:rsidR="006D6493" w:rsidRPr="002B5596">
        <w:rPr>
          <w:rFonts w:asciiTheme="minorHAnsi" w:hAnsiTheme="minorHAnsi"/>
          <w:sz w:val="36"/>
          <w:szCs w:val="36"/>
        </w:rPr>
        <w:t xml:space="preserve"> </w:t>
      </w:r>
      <w:r w:rsidR="00A724C4">
        <w:rPr>
          <w:rFonts w:asciiTheme="minorHAnsi" w:hAnsiTheme="minorHAnsi"/>
          <w:sz w:val="36"/>
          <w:szCs w:val="36"/>
        </w:rPr>
        <w:t>18 m</w:t>
      </w:r>
      <w:r w:rsidR="00FB544B">
        <w:rPr>
          <w:rFonts w:asciiTheme="minorHAnsi" w:hAnsiTheme="minorHAnsi"/>
          <w:sz w:val="36"/>
          <w:szCs w:val="36"/>
        </w:rPr>
        <w:t>icrograms</w:t>
      </w:r>
      <w:r w:rsidR="00A724C4">
        <w:rPr>
          <w:rFonts w:asciiTheme="minorHAnsi" w:hAnsiTheme="minorHAnsi"/>
          <w:sz w:val="36"/>
          <w:szCs w:val="36"/>
        </w:rPr>
        <w:t xml:space="preserve"> </w:t>
      </w:r>
      <w:r>
        <w:rPr>
          <w:rFonts w:asciiTheme="minorHAnsi" w:hAnsiTheme="minorHAnsi"/>
          <w:sz w:val="36"/>
          <w:szCs w:val="36"/>
        </w:rPr>
        <w:t>(as bromid</w:t>
      </w:r>
      <w:r w:rsidR="00580EEF">
        <w:rPr>
          <w:rFonts w:asciiTheme="minorHAnsi" w:hAnsiTheme="minorHAnsi"/>
          <w:sz w:val="36"/>
          <w:szCs w:val="36"/>
        </w:rPr>
        <w:t>e monohydrate)</w:t>
      </w:r>
      <w:r w:rsidR="007C30DA">
        <w:rPr>
          <w:rFonts w:asciiTheme="minorHAnsi" w:hAnsiTheme="minorHAnsi"/>
          <w:sz w:val="36"/>
          <w:szCs w:val="36"/>
        </w:rPr>
        <w:t xml:space="preserve"> </w:t>
      </w:r>
      <w:r w:rsidR="00580EEF">
        <w:rPr>
          <w:rFonts w:asciiTheme="minorHAnsi" w:hAnsiTheme="minorHAnsi"/>
          <w:sz w:val="36"/>
          <w:szCs w:val="36"/>
        </w:rPr>
        <w:t xml:space="preserve">(for use in </w:t>
      </w:r>
      <w:proofErr w:type="spellStart"/>
      <w:r w:rsidR="00580EEF">
        <w:rPr>
          <w:rFonts w:asciiTheme="minorHAnsi" w:hAnsiTheme="minorHAnsi"/>
          <w:sz w:val="36"/>
          <w:szCs w:val="36"/>
        </w:rPr>
        <w:t>HandiH</w:t>
      </w:r>
      <w:r>
        <w:rPr>
          <w:rFonts w:asciiTheme="minorHAnsi" w:hAnsiTheme="minorHAnsi"/>
          <w:sz w:val="36"/>
          <w:szCs w:val="36"/>
        </w:rPr>
        <w:t>aler</w:t>
      </w:r>
      <w:proofErr w:type="spellEnd"/>
      <w:r>
        <w:rPr>
          <w:rFonts w:asciiTheme="minorHAnsi" w:hAnsiTheme="minorHAnsi"/>
          <w:sz w:val="36"/>
          <w:szCs w:val="36"/>
        </w:rPr>
        <w:t>®)</w:t>
      </w:r>
      <w:r w:rsidR="00626758">
        <w:rPr>
          <w:rFonts w:asciiTheme="minorHAnsi" w:hAnsiTheme="minorHAnsi"/>
          <w:sz w:val="36"/>
          <w:szCs w:val="36"/>
        </w:rPr>
        <w:t>,</w:t>
      </w:r>
      <w:r w:rsidR="008C22FD">
        <w:rPr>
          <w:rFonts w:asciiTheme="minorHAnsi" w:hAnsiTheme="minorHAnsi"/>
          <w:sz w:val="36"/>
          <w:szCs w:val="36"/>
        </w:rPr>
        <w:t xml:space="preserve"> 30 capsules</w:t>
      </w:r>
      <w:proofErr w:type="gramStart"/>
      <w:r w:rsidR="006D6493" w:rsidRPr="002B5596">
        <w:rPr>
          <w:rFonts w:asciiTheme="minorHAnsi" w:hAnsiTheme="minorHAnsi"/>
          <w:sz w:val="36"/>
          <w:szCs w:val="36"/>
        </w:rPr>
        <w:t>,</w:t>
      </w:r>
      <w:proofErr w:type="gramEnd"/>
      <w:r w:rsidR="006D6493" w:rsidRPr="002B5596">
        <w:rPr>
          <w:rFonts w:asciiTheme="minorHAnsi" w:hAnsiTheme="minorHAnsi"/>
          <w:sz w:val="36"/>
          <w:szCs w:val="36"/>
        </w:rPr>
        <w:br/>
      </w:r>
      <w:r w:rsidR="00A724C4">
        <w:rPr>
          <w:rFonts w:asciiTheme="minorHAnsi" w:hAnsiTheme="minorHAnsi"/>
          <w:sz w:val="36"/>
          <w:szCs w:val="36"/>
        </w:rPr>
        <w:t>Spiriva</w:t>
      </w:r>
      <w:r w:rsidR="006D6493" w:rsidRPr="002B5596">
        <w:rPr>
          <w:rFonts w:asciiTheme="minorHAnsi" w:hAnsiTheme="minorHAnsi"/>
          <w:sz w:val="36"/>
          <w:szCs w:val="36"/>
          <w:vertAlign w:val="superscript"/>
        </w:rPr>
        <w:t>®</w:t>
      </w:r>
      <w:r w:rsidR="006D6493" w:rsidRPr="002B5596">
        <w:rPr>
          <w:rFonts w:asciiTheme="minorHAnsi" w:hAnsiTheme="minorHAnsi"/>
          <w:sz w:val="36"/>
          <w:szCs w:val="36"/>
        </w:rPr>
        <w:t xml:space="preserve">, </w:t>
      </w:r>
      <w:proofErr w:type="spellStart"/>
      <w:r w:rsidR="00A724C4">
        <w:rPr>
          <w:rFonts w:asciiTheme="minorHAnsi" w:hAnsiTheme="minorHAnsi"/>
          <w:sz w:val="36"/>
          <w:szCs w:val="36"/>
        </w:rPr>
        <w:t>Boehringer</w:t>
      </w:r>
      <w:proofErr w:type="spellEnd"/>
      <w:r w:rsidR="00A724C4">
        <w:rPr>
          <w:rFonts w:asciiTheme="minorHAnsi" w:hAnsiTheme="minorHAnsi"/>
          <w:sz w:val="36"/>
          <w:szCs w:val="36"/>
        </w:rPr>
        <w:t xml:space="preserve"> </w:t>
      </w:r>
      <w:proofErr w:type="spellStart"/>
      <w:r w:rsidR="00A724C4">
        <w:rPr>
          <w:rFonts w:asciiTheme="minorHAnsi" w:hAnsiTheme="minorHAnsi"/>
          <w:sz w:val="36"/>
          <w:szCs w:val="36"/>
        </w:rPr>
        <w:t>Ingelheim</w:t>
      </w:r>
      <w:proofErr w:type="spellEnd"/>
      <w:r w:rsidR="00664451">
        <w:rPr>
          <w:rFonts w:asciiTheme="minorHAnsi" w:hAnsiTheme="minorHAnsi"/>
          <w:sz w:val="36"/>
          <w:szCs w:val="36"/>
        </w:rPr>
        <w:t xml:space="preserve"> Pty Ltd</w:t>
      </w:r>
    </w:p>
    <w:p w14:paraId="5F1C40C7" w14:textId="77777777" w:rsidR="008A50F1" w:rsidRPr="00D4572C" w:rsidRDefault="00CE10C4" w:rsidP="00CF2114">
      <w:pPr>
        <w:pStyle w:val="PBACHeading1"/>
        <w:spacing w:before="120" w:after="120"/>
        <w:ind w:left="709" w:hanging="709"/>
        <w:rPr>
          <w:rFonts w:asciiTheme="minorHAnsi" w:hAnsiTheme="minorHAnsi"/>
          <w:sz w:val="32"/>
          <w:szCs w:val="32"/>
        </w:rPr>
      </w:pPr>
      <w:r w:rsidRPr="002B5596">
        <w:rPr>
          <w:rFonts w:asciiTheme="minorHAnsi" w:hAnsiTheme="minorHAnsi"/>
          <w:sz w:val="32"/>
          <w:szCs w:val="32"/>
        </w:rPr>
        <w:t xml:space="preserve">Purpose of </w:t>
      </w:r>
      <w:r w:rsidR="0004240E" w:rsidRPr="002B5596">
        <w:rPr>
          <w:rFonts w:asciiTheme="minorHAnsi" w:hAnsiTheme="minorHAnsi"/>
          <w:sz w:val="32"/>
          <w:szCs w:val="32"/>
        </w:rPr>
        <w:t>Application</w:t>
      </w:r>
    </w:p>
    <w:p w14:paraId="7D987D48" w14:textId="26317DE3" w:rsidR="00173531" w:rsidRDefault="00674313" w:rsidP="00CF2114">
      <w:pPr>
        <w:pStyle w:val="ListParagraph"/>
        <w:widowControl/>
        <w:numPr>
          <w:ilvl w:val="1"/>
          <w:numId w:val="5"/>
        </w:numPr>
        <w:spacing w:before="120"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A new product containing </w:t>
      </w:r>
      <w:proofErr w:type="spellStart"/>
      <w:r w:rsidRPr="00BA38FE">
        <w:rPr>
          <w:rFonts w:asciiTheme="minorHAnsi" w:eastAsiaTheme="minorHAnsi" w:hAnsiTheme="minorHAnsi" w:cstheme="minorBidi"/>
          <w:snapToGrid/>
          <w:sz w:val="24"/>
          <w:szCs w:val="22"/>
        </w:rPr>
        <w:t>tiotropium</w:t>
      </w:r>
      <w:proofErr w:type="spellEnd"/>
      <w:r w:rsidRPr="00BA38FE">
        <w:rPr>
          <w:rFonts w:asciiTheme="minorHAnsi" w:eastAsiaTheme="minorHAnsi" w:hAnsiTheme="minorHAnsi" w:cstheme="minorBidi"/>
          <w:snapToGrid/>
          <w:sz w:val="24"/>
          <w:szCs w:val="22"/>
        </w:rPr>
        <w:t xml:space="preserve"> </w:t>
      </w:r>
      <w:r>
        <w:rPr>
          <w:rFonts w:asciiTheme="minorHAnsi" w:eastAsiaTheme="minorHAnsi" w:hAnsiTheme="minorHAnsi" w:cstheme="minorBidi"/>
          <w:snapToGrid/>
          <w:sz w:val="24"/>
          <w:szCs w:val="22"/>
        </w:rPr>
        <w:t xml:space="preserve">(as bromide) </w:t>
      </w:r>
      <w:proofErr w:type="gramStart"/>
      <w:r>
        <w:rPr>
          <w:rFonts w:asciiTheme="minorHAnsi" w:eastAsiaTheme="minorHAnsi" w:hAnsiTheme="minorHAnsi" w:cstheme="minorBidi"/>
          <w:snapToGrid/>
          <w:sz w:val="24"/>
          <w:szCs w:val="22"/>
        </w:rPr>
        <w:t>13 microgram</w:t>
      </w:r>
      <w:proofErr w:type="gramEnd"/>
      <w:r>
        <w:rPr>
          <w:rFonts w:asciiTheme="minorHAnsi" w:eastAsiaTheme="minorHAnsi" w:hAnsiTheme="minorHAnsi" w:cstheme="minorBidi"/>
          <w:snapToGrid/>
          <w:sz w:val="24"/>
          <w:szCs w:val="22"/>
        </w:rPr>
        <w:t xml:space="preserve"> powder for inhalation capsule</w:t>
      </w:r>
      <w:r w:rsidRPr="00BA38FE">
        <w:rPr>
          <w:rFonts w:asciiTheme="minorHAnsi" w:eastAsiaTheme="minorHAnsi" w:hAnsiTheme="minorHAnsi" w:cstheme="minorBidi"/>
          <w:snapToGrid/>
          <w:sz w:val="24"/>
          <w:szCs w:val="22"/>
        </w:rPr>
        <w:t xml:space="preserve"> </w:t>
      </w:r>
      <w:r>
        <w:rPr>
          <w:rFonts w:asciiTheme="minorHAnsi" w:eastAsiaTheme="minorHAnsi" w:hAnsiTheme="minorHAnsi" w:cstheme="minorBidi"/>
          <w:snapToGrid/>
          <w:sz w:val="24"/>
          <w:szCs w:val="22"/>
        </w:rPr>
        <w:t>(</w:t>
      </w:r>
      <w:proofErr w:type="spellStart"/>
      <w:r>
        <w:rPr>
          <w:rFonts w:asciiTheme="minorHAnsi" w:eastAsiaTheme="minorHAnsi" w:hAnsiTheme="minorHAnsi" w:cstheme="minorBidi"/>
          <w:snapToGrid/>
          <w:sz w:val="24"/>
          <w:szCs w:val="22"/>
        </w:rPr>
        <w:t>Braltus</w:t>
      </w:r>
      <w:proofErr w:type="spellEnd"/>
      <w:r>
        <w:rPr>
          <w:rFonts w:asciiTheme="minorHAnsi" w:eastAsiaTheme="minorHAnsi" w:hAnsiTheme="minorHAnsi" w:cstheme="minorBidi"/>
          <w:snapToGrid/>
          <w:sz w:val="24"/>
          <w:szCs w:val="22"/>
        </w:rPr>
        <w:t xml:space="preserve">®) with a different delivery device to the currently listed </w:t>
      </w:r>
      <w:proofErr w:type="spellStart"/>
      <w:r>
        <w:rPr>
          <w:rFonts w:asciiTheme="minorHAnsi" w:eastAsiaTheme="minorHAnsi" w:hAnsiTheme="minorHAnsi" w:cstheme="minorBidi"/>
          <w:snapToGrid/>
          <w:sz w:val="24"/>
          <w:szCs w:val="22"/>
        </w:rPr>
        <w:t>tiotropium</w:t>
      </w:r>
      <w:proofErr w:type="spellEnd"/>
      <w:r>
        <w:rPr>
          <w:rFonts w:asciiTheme="minorHAnsi" w:eastAsiaTheme="minorHAnsi" w:hAnsiTheme="minorHAnsi" w:cstheme="minorBidi"/>
          <w:snapToGrid/>
          <w:sz w:val="24"/>
          <w:szCs w:val="22"/>
        </w:rPr>
        <w:t xml:space="preserve"> (as bromide monohydrate) 18 microgram power for inhalation capsule (Spiriva®) </w:t>
      </w:r>
      <w:r w:rsidR="0000746C">
        <w:rPr>
          <w:rFonts w:asciiTheme="minorHAnsi" w:eastAsiaTheme="minorHAnsi" w:hAnsiTheme="minorHAnsi" w:cstheme="minorBidi"/>
          <w:snapToGrid/>
          <w:sz w:val="24"/>
          <w:szCs w:val="22"/>
        </w:rPr>
        <w:t>was</w:t>
      </w:r>
      <w:r>
        <w:rPr>
          <w:rFonts w:asciiTheme="minorHAnsi" w:eastAsiaTheme="minorHAnsi" w:hAnsiTheme="minorHAnsi" w:cstheme="minorBidi"/>
          <w:snapToGrid/>
          <w:sz w:val="24"/>
          <w:szCs w:val="22"/>
        </w:rPr>
        <w:t xml:space="preserve"> considered by the PBAC at its March 2019 meeting. </w:t>
      </w:r>
      <w:r w:rsidR="00173531">
        <w:rPr>
          <w:rFonts w:asciiTheme="minorHAnsi" w:eastAsiaTheme="minorHAnsi" w:hAnsiTheme="minorHAnsi" w:cstheme="minorBidi"/>
          <w:snapToGrid/>
          <w:sz w:val="24"/>
          <w:szCs w:val="22"/>
        </w:rPr>
        <w:t xml:space="preserve">Both products provide the same delivered dose of 10 micrograms. </w:t>
      </w:r>
    </w:p>
    <w:p w14:paraId="395DFCDC" w14:textId="4B2932EB" w:rsidR="00E451CF" w:rsidRPr="00655282" w:rsidRDefault="007F02F4" w:rsidP="00CF2114">
      <w:pPr>
        <w:pStyle w:val="ListParagraph"/>
        <w:widowControl/>
        <w:numPr>
          <w:ilvl w:val="1"/>
          <w:numId w:val="5"/>
        </w:numPr>
        <w:spacing w:before="120" w:after="120"/>
        <w:contextualSpacing w:val="0"/>
        <w:rPr>
          <w:rFonts w:asciiTheme="minorHAnsi" w:eastAsiaTheme="minorHAnsi" w:hAnsiTheme="minorHAnsi" w:cstheme="minorBidi"/>
          <w:snapToGrid/>
          <w:sz w:val="24"/>
          <w:szCs w:val="22"/>
        </w:rPr>
      </w:pPr>
      <w:r w:rsidRPr="00BA38FE">
        <w:rPr>
          <w:rFonts w:asciiTheme="minorHAnsi" w:eastAsiaTheme="minorHAnsi" w:hAnsiTheme="minorHAnsi" w:cstheme="minorBidi"/>
          <w:snapToGrid/>
          <w:sz w:val="24"/>
          <w:szCs w:val="22"/>
        </w:rPr>
        <w:t xml:space="preserve">The </w:t>
      </w:r>
      <w:r w:rsidR="008D0F2F">
        <w:rPr>
          <w:rFonts w:asciiTheme="minorHAnsi" w:eastAsiaTheme="minorHAnsi" w:hAnsiTheme="minorHAnsi" w:cstheme="minorBidi"/>
          <w:snapToGrid/>
          <w:sz w:val="24"/>
          <w:szCs w:val="22"/>
        </w:rPr>
        <w:t>minor submi</w:t>
      </w:r>
      <w:r w:rsidR="00674313">
        <w:rPr>
          <w:rFonts w:asciiTheme="minorHAnsi" w:eastAsiaTheme="minorHAnsi" w:hAnsiTheme="minorHAnsi" w:cstheme="minorBidi"/>
          <w:snapToGrid/>
          <w:sz w:val="24"/>
          <w:szCs w:val="22"/>
        </w:rPr>
        <w:t>ssion requested that the PBAC not r</w:t>
      </w:r>
      <w:r w:rsidR="008D0F2F">
        <w:rPr>
          <w:rFonts w:asciiTheme="minorHAnsi" w:eastAsiaTheme="minorHAnsi" w:hAnsiTheme="minorHAnsi" w:cstheme="minorBidi"/>
          <w:snapToGrid/>
          <w:sz w:val="24"/>
          <w:szCs w:val="22"/>
        </w:rPr>
        <w:t xml:space="preserve">ecommend that the </w:t>
      </w:r>
      <w:proofErr w:type="spellStart"/>
      <w:r w:rsidR="008D0F2F" w:rsidRPr="00655282">
        <w:rPr>
          <w:rFonts w:asciiTheme="minorHAnsi" w:eastAsiaTheme="minorHAnsi" w:hAnsiTheme="minorHAnsi" w:cstheme="minorBidi"/>
          <w:snapToGrid/>
          <w:sz w:val="24"/>
          <w:szCs w:val="22"/>
        </w:rPr>
        <w:t>Braltus</w:t>
      </w:r>
      <w:proofErr w:type="spellEnd"/>
      <w:r w:rsidR="008D0F2F" w:rsidRPr="00655282">
        <w:rPr>
          <w:rFonts w:asciiTheme="minorHAnsi" w:eastAsiaTheme="minorHAnsi" w:hAnsiTheme="minorHAnsi" w:cstheme="minorBidi"/>
          <w:snapToGrid/>
          <w:sz w:val="24"/>
          <w:szCs w:val="22"/>
        </w:rPr>
        <w:t>® and Spi</w:t>
      </w:r>
      <w:r w:rsidR="008D0F2F" w:rsidRPr="00A82152">
        <w:rPr>
          <w:rFonts w:asciiTheme="minorHAnsi" w:eastAsiaTheme="minorHAnsi" w:hAnsiTheme="minorHAnsi" w:cstheme="minorBidi"/>
          <w:snapToGrid/>
          <w:sz w:val="24"/>
          <w:szCs w:val="22"/>
        </w:rPr>
        <w:t xml:space="preserve">riva® brands of </w:t>
      </w:r>
      <w:proofErr w:type="spellStart"/>
      <w:r w:rsidR="008D0F2F" w:rsidRPr="00A82152">
        <w:rPr>
          <w:rFonts w:asciiTheme="minorHAnsi" w:eastAsiaTheme="minorHAnsi" w:hAnsiTheme="minorHAnsi" w:cstheme="minorBidi"/>
          <w:snapToGrid/>
          <w:sz w:val="24"/>
          <w:szCs w:val="22"/>
        </w:rPr>
        <w:t>tiotropium</w:t>
      </w:r>
      <w:proofErr w:type="spellEnd"/>
      <w:r w:rsidR="008D0F2F" w:rsidRPr="00655282">
        <w:rPr>
          <w:rFonts w:asciiTheme="minorHAnsi" w:eastAsiaTheme="minorHAnsi" w:hAnsiTheme="minorHAnsi" w:cstheme="minorBidi"/>
          <w:snapToGrid/>
          <w:sz w:val="24"/>
          <w:szCs w:val="22"/>
        </w:rPr>
        <w:t xml:space="preserve"> be marked as equivalent </w:t>
      </w:r>
      <w:r w:rsidR="00674313">
        <w:rPr>
          <w:rFonts w:asciiTheme="minorHAnsi" w:eastAsiaTheme="minorHAnsi" w:hAnsiTheme="minorHAnsi" w:cstheme="minorBidi"/>
          <w:snapToGrid/>
          <w:sz w:val="24"/>
          <w:szCs w:val="22"/>
        </w:rPr>
        <w:t>(‘a’ flag</w:t>
      </w:r>
      <w:r w:rsidR="0000746C">
        <w:rPr>
          <w:rFonts w:asciiTheme="minorHAnsi" w:eastAsiaTheme="minorHAnsi" w:hAnsiTheme="minorHAnsi" w:cstheme="minorBidi"/>
          <w:snapToGrid/>
          <w:sz w:val="24"/>
          <w:szCs w:val="22"/>
        </w:rPr>
        <w:t>ged</w:t>
      </w:r>
      <w:r w:rsidR="00674313">
        <w:rPr>
          <w:rFonts w:asciiTheme="minorHAnsi" w:eastAsiaTheme="minorHAnsi" w:hAnsiTheme="minorHAnsi" w:cstheme="minorBidi"/>
          <w:snapToGrid/>
          <w:sz w:val="24"/>
          <w:szCs w:val="22"/>
        </w:rPr>
        <w:t xml:space="preserve">) </w:t>
      </w:r>
      <w:r w:rsidR="008D0F2F" w:rsidRPr="00655282">
        <w:rPr>
          <w:rFonts w:asciiTheme="minorHAnsi" w:eastAsiaTheme="minorHAnsi" w:hAnsiTheme="minorHAnsi" w:cstheme="minorBidi"/>
          <w:snapToGrid/>
          <w:sz w:val="24"/>
          <w:szCs w:val="22"/>
        </w:rPr>
        <w:t>in the Schedule of Pharmaceutical Benefits.</w:t>
      </w:r>
    </w:p>
    <w:p w14:paraId="02A49F45" w14:textId="77777777" w:rsidR="006A12A5" w:rsidRPr="00577C4D" w:rsidRDefault="006A12A5" w:rsidP="00CF2114">
      <w:pPr>
        <w:pStyle w:val="PBACHeading1"/>
        <w:spacing w:before="120" w:after="120"/>
        <w:ind w:left="709" w:hanging="709"/>
        <w:rPr>
          <w:rFonts w:asciiTheme="minorHAnsi" w:hAnsiTheme="minorHAnsi"/>
          <w:sz w:val="32"/>
          <w:szCs w:val="32"/>
        </w:rPr>
      </w:pPr>
      <w:r w:rsidRPr="002B5596">
        <w:rPr>
          <w:rFonts w:asciiTheme="minorHAnsi" w:hAnsiTheme="minorHAnsi"/>
          <w:sz w:val="32"/>
          <w:szCs w:val="32"/>
        </w:rPr>
        <w:t>Requested listing</w:t>
      </w:r>
    </w:p>
    <w:p w14:paraId="46876650" w14:textId="77270339" w:rsidR="00826F6D" w:rsidRPr="006E13C5" w:rsidRDefault="006E13C5" w:rsidP="00CF2114">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BA38FE">
        <w:rPr>
          <w:rFonts w:asciiTheme="minorHAnsi" w:eastAsiaTheme="minorHAnsi" w:hAnsiTheme="minorHAnsi" w:cstheme="minorBidi"/>
          <w:snapToGrid/>
          <w:sz w:val="24"/>
          <w:szCs w:val="22"/>
        </w:rPr>
        <w:t xml:space="preserve">The minor submission </w:t>
      </w:r>
      <w:r w:rsidR="00674313">
        <w:rPr>
          <w:rFonts w:asciiTheme="minorHAnsi" w:eastAsiaTheme="minorHAnsi" w:hAnsiTheme="minorHAnsi" w:cstheme="minorBidi"/>
          <w:snapToGrid/>
          <w:sz w:val="24"/>
          <w:szCs w:val="22"/>
        </w:rPr>
        <w:t xml:space="preserve">proposed no changes to the existing </w:t>
      </w:r>
      <w:r w:rsidR="00332AC2">
        <w:rPr>
          <w:rFonts w:asciiTheme="minorHAnsi" w:eastAsiaTheme="minorHAnsi" w:hAnsiTheme="minorHAnsi" w:cstheme="minorBidi"/>
          <w:snapToGrid/>
          <w:sz w:val="24"/>
          <w:szCs w:val="22"/>
        </w:rPr>
        <w:t>Spiriva</w:t>
      </w:r>
      <w:r w:rsidR="00332AC2">
        <w:rPr>
          <w:rFonts w:asciiTheme="minorHAnsi" w:eastAsiaTheme="minorHAnsi" w:hAnsiTheme="minorHAnsi" w:cstheme="minorHAnsi"/>
          <w:snapToGrid/>
          <w:sz w:val="24"/>
          <w:szCs w:val="22"/>
        </w:rPr>
        <w:t>®</w:t>
      </w:r>
      <w:r w:rsidR="00332AC2">
        <w:rPr>
          <w:rFonts w:asciiTheme="minorHAnsi" w:eastAsiaTheme="minorHAnsi" w:hAnsiTheme="minorHAnsi" w:cstheme="minorBidi"/>
          <w:snapToGrid/>
          <w:sz w:val="24"/>
          <w:szCs w:val="22"/>
        </w:rPr>
        <w:t xml:space="preserve"> </w:t>
      </w:r>
      <w:r>
        <w:rPr>
          <w:rFonts w:asciiTheme="minorHAnsi" w:eastAsiaTheme="minorHAnsi" w:hAnsiTheme="minorHAnsi" w:cstheme="minorBidi"/>
          <w:snapToGrid/>
          <w:sz w:val="24"/>
          <w:szCs w:val="22"/>
        </w:rPr>
        <w:t>listing.</w:t>
      </w:r>
    </w:p>
    <w:p w14:paraId="320CE575" w14:textId="77777777" w:rsidR="00C603D4" w:rsidRPr="00FD6D8E" w:rsidRDefault="00CE10C4" w:rsidP="00CF2114">
      <w:pPr>
        <w:pStyle w:val="PBACHeading1"/>
        <w:spacing w:before="120" w:after="120"/>
        <w:ind w:left="709" w:hanging="709"/>
        <w:rPr>
          <w:rFonts w:asciiTheme="minorHAnsi" w:hAnsiTheme="minorHAnsi"/>
          <w:sz w:val="32"/>
          <w:szCs w:val="32"/>
        </w:rPr>
      </w:pPr>
      <w:r w:rsidRPr="002B5596">
        <w:rPr>
          <w:rFonts w:asciiTheme="minorHAnsi" w:hAnsiTheme="minorHAnsi"/>
          <w:sz w:val="32"/>
          <w:szCs w:val="32"/>
        </w:rPr>
        <w:t>Background</w:t>
      </w:r>
    </w:p>
    <w:p w14:paraId="6EF8FCB0" w14:textId="468148FA" w:rsidR="00842C5F" w:rsidRDefault="00332AC2" w:rsidP="00CF2114">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proofErr w:type="gramStart"/>
      <w:r>
        <w:rPr>
          <w:rFonts w:asciiTheme="minorHAnsi" w:eastAsiaTheme="minorHAnsi" w:hAnsiTheme="minorHAnsi" w:cstheme="minorBidi"/>
          <w:snapToGrid/>
          <w:sz w:val="24"/>
          <w:szCs w:val="22"/>
        </w:rPr>
        <w:t>Spiriva</w:t>
      </w:r>
      <w:r w:rsidR="00E4091D">
        <w:rPr>
          <w:rFonts w:asciiTheme="minorHAnsi" w:eastAsiaTheme="minorHAnsi" w:hAnsiTheme="minorHAnsi" w:cstheme="minorHAnsi"/>
          <w:snapToGrid/>
          <w:sz w:val="24"/>
          <w:szCs w:val="22"/>
        </w:rPr>
        <w:t>®</w:t>
      </w:r>
      <w:r w:rsidR="00F75AD0">
        <w:rPr>
          <w:rFonts w:asciiTheme="minorHAnsi" w:eastAsiaTheme="minorHAnsi" w:hAnsiTheme="minorHAnsi" w:cstheme="minorBidi"/>
          <w:snapToGrid/>
          <w:sz w:val="24"/>
          <w:szCs w:val="22"/>
        </w:rPr>
        <w:t xml:space="preserve"> </w:t>
      </w:r>
      <w:r w:rsidR="001D7C75">
        <w:rPr>
          <w:rFonts w:asciiTheme="minorHAnsi" w:eastAsiaTheme="minorHAnsi" w:hAnsiTheme="minorHAnsi" w:cstheme="minorBidi"/>
          <w:snapToGrid/>
          <w:sz w:val="24"/>
          <w:szCs w:val="22"/>
        </w:rPr>
        <w:t xml:space="preserve">was registered by </w:t>
      </w:r>
      <w:r w:rsidR="002A367F">
        <w:rPr>
          <w:rFonts w:asciiTheme="minorHAnsi" w:eastAsiaTheme="minorHAnsi" w:hAnsiTheme="minorHAnsi" w:cstheme="minorBidi"/>
          <w:snapToGrid/>
          <w:sz w:val="24"/>
          <w:szCs w:val="22"/>
        </w:rPr>
        <w:t xml:space="preserve">the </w:t>
      </w:r>
      <w:r w:rsidR="00475767">
        <w:rPr>
          <w:rFonts w:asciiTheme="minorHAnsi" w:eastAsiaTheme="minorHAnsi" w:hAnsiTheme="minorHAnsi" w:cstheme="minorBidi"/>
          <w:snapToGrid/>
          <w:sz w:val="24"/>
          <w:szCs w:val="22"/>
        </w:rPr>
        <w:t>Therapeutic Goods Administration (</w:t>
      </w:r>
      <w:r w:rsidR="00476245" w:rsidRPr="001B2BBC">
        <w:rPr>
          <w:rFonts w:asciiTheme="minorHAnsi" w:eastAsiaTheme="minorHAnsi" w:hAnsiTheme="minorHAnsi" w:cstheme="minorBidi"/>
          <w:snapToGrid/>
          <w:sz w:val="24"/>
          <w:szCs w:val="22"/>
        </w:rPr>
        <w:t>TGA</w:t>
      </w:r>
      <w:r w:rsidR="00475767">
        <w:rPr>
          <w:rFonts w:asciiTheme="minorHAnsi" w:eastAsiaTheme="minorHAnsi" w:hAnsiTheme="minorHAnsi" w:cstheme="minorBidi"/>
          <w:snapToGrid/>
          <w:sz w:val="24"/>
          <w:szCs w:val="22"/>
        </w:rPr>
        <w:t>)</w:t>
      </w:r>
      <w:proofErr w:type="gramEnd"/>
      <w:r w:rsidR="00476245" w:rsidRPr="001B2BBC">
        <w:rPr>
          <w:rFonts w:asciiTheme="minorHAnsi" w:eastAsiaTheme="minorHAnsi" w:hAnsiTheme="minorHAnsi" w:cstheme="minorBidi"/>
          <w:snapToGrid/>
          <w:sz w:val="24"/>
          <w:szCs w:val="22"/>
        </w:rPr>
        <w:t xml:space="preserve"> </w:t>
      </w:r>
      <w:r w:rsidR="001D7C75">
        <w:rPr>
          <w:rFonts w:asciiTheme="minorHAnsi" w:eastAsiaTheme="minorHAnsi" w:hAnsiTheme="minorHAnsi" w:cstheme="minorBidi"/>
          <w:snapToGrid/>
          <w:sz w:val="24"/>
          <w:szCs w:val="22"/>
        </w:rPr>
        <w:t xml:space="preserve">on </w:t>
      </w:r>
      <w:r>
        <w:rPr>
          <w:rFonts w:asciiTheme="minorHAnsi" w:eastAsiaTheme="minorHAnsi" w:hAnsiTheme="minorHAnsi" w:cstheme="minorBidi"/>
          <w:snapToGrid/>
          <w:sz w:val="24"/>
          <w:szCs w:val="22"/>
        </w:rPr>
        <w:t>30 May 2002</w:t>
      </w:r>
      <w:r w:rsidR="001D7C75">
        <w:rPr>
          <w:rFonts w:asciiTheme="minorHAnsi" w:eastAsiaTheme="minorHAnsi" w:hAnsiTheme="minorHAnsi" w:cstheme="minorBidi"/>
          <w:snapToGrid/>
          <w:sz w:val="24"/>
          <w:szCs w:val="22"/>
        </w:rPr>
        <w:t xml:space="preserve"> </w:t>
      </w:r>
      <w:r w:rsidR="002A367F">
        <w:rPr>
          <w:rFonts w:asciiTheme="minorHAnsi" w:eastAsiaTheme="minorHAnsi" w:hAnsiTheme="minorHAnsi" w:cstheme="minorBidi"/>
          <w:snapToGrid/>
          <w:sz w:val="24"/>
          <w:szCs w:val="22"/>
        </w:rPr>
        <w:t xml:space="preserve">for the long term maintenance treatment of bronchospasm and </w:t>
      </w:r>
      <w:r w:rsidR="00005A1E">
        <w:rPr>
          <w:rFonts w:asciiTheme="minorHAnsi" w:eastAsiaTheme="minorHAnsi" w:hAnsiTheme="minorHAnsi" w:cstheme="minorBidi"/>
          <w:snapToGrid/>
          <w:sz w:val="24"/>
          <w:szCs w:val="22"/>
        </w:rPr>
        <w:t xml:space="preserve">dyspnoea associated with </w:t>
      </w:r>
      <w:r>
        <w:rPr>
          <w:rFonts w:asciiTheme="minorHAnsi" w:eastAsiaTheme="minorHAnsi" w:hAnsiTheme="minorHAnsi" w:cstheme="minorBidi"/>
          <w:snapToGrid/>
          <w:sz w:val="24"/>
          <w:szCs w:val="22"/>
        </w:rPr>
        <w:t>chronic obstructive pulmonary disease (</w:t>
      </w:r>
      <w:r w:rsidR="002A367F">
        <w:rPr>
          <w:rFonts w:asciiTheme="minorHAnsi" w:eastAsiaTheme="minorHAnsi" w:hAnsiTheme="minorHAnsi" w:cstheme="minorBidi"/>
          <w:snapToGrid/>
          <w:sz w:val="24"/>
          <w:szCs w:val="22"/>
        </w:rPr>
        <w:t>COPD</w:t>
      </w:r>
      <w:r>
        <w:rPr>
          <w:rFonts w:asciiTheme="minorHAnsi" w:eastAsiaTheme="minorHAnsi" w:hAnsiTheme="minorHAnsi" w:cstheme="minorBidi"/>
          <w:snapToGrid/>
          <w:sz w:val="24"/>
          <w:szCs w:val="22"/>
        </w:rPr>
        <w:t>)</w:t>
      </w:r>
      <w:r w:rsidR="00F75AD0">
        <w:rPr>
          <w:rFonts w:asciiTheme="minorHAnsi" w:eastAsiaTheme="minorHAnsi" w:hAnsiTheme="minorHAnsi" w:cstheme="minorBidi"/>
          <w:snapToGrid/>
          <w:sz w:val="24"/>
          <w:szCs w:val="22"/>
        </w:rPr>
        <w:t xml:space="preserve"> and for the prevention of COPD exacerbations</w:t>
      </w:r>
      <w:r w:rsidR="009C4DDE">
        <w:rPr>
          <w:rFonts w:asciiTheme="minorHAnsi" w:eastAsiaTheme="minorHAnsi" w:hAnsiTheme="minorHAnsi" w:cstheme="minorBidi"/>
          <w:snapToGrid/>
          <w:sz w:val="24"/>
          <w:szCs w:val="22"/>
        </w:rPr>
        <w:t>.</w:t>
      </w:r>
    </w:p>
    <w:p w14:paraId="0F0A183A" w14:textId="0E4504A1" w:rsidR="00E4091D" w:rsidRDefault="00A82152" w:rsidP="00CF2114">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Spiriva®</w:t>
      </w:r>
      <w:r w:rsidRPr="00E4091D">
        <w:rPr>
          <w:rFonts w:asciiTheme="minorHAnsi" w:eastAsiaTheme="minorHAnsi" w:hAnsiTheme="minorHAnsi" w:cstheme="minorBidi"/>
          <w:snapToGrid/>
          <w:sz w:val="24"/>
          <w:szCs w:val="22"/>
        </w:rPr>
        <w:t xml:space="preserve"> </w:t>
      </w:r>
      <w:r w:rsidR="00E4091D" w:rsidRPr="00E4091D">
        <w:rPr>
          <w:rFonts w:asciiTheme="minorHAnsi" w:eastAsiaTheme="minorHAnsi" w:hAnsiTheme="minorHAnsi" w:cstheme="minorBidi"/>
          <w:snapToGrid/>
          <w:sz w:val="24"/>
          <w:szCs w:val="22"/>
        </w:rPr>
        <w:t xml:space="preserve">is available on the PBS as a capsule formulation (powder for inhalation, PBS item 8626B) to </w:t>
      </w:r>
      <w:proofErr w:type="gramStart"/>
      <w:r w:rsidR="00E4091D" w:rsidRPr="00E4091D">
        <w:rPr>
          <w:rFonts w:asciiTheme="minorHAnsi" w:eastAsiaTheme="minorHAnsi" w:hAnsiTheme="minorHAnsi" w:cstheme="minorBidi"/>
          <w:snapToGrid/>
          <w:sz w:val="24"/>
          <w:szCs w:val="22"/>
        </w:rPr>
        <w:t>be used</w:t>
      </w:r>
      <w:proofErr w:type="gramEnd"/>
      <w:r w:rsidR="00E4091D" w:rsidRPr="00E4091D">
        <w:rPr>
          <w:rFonts w:asciiTheme="minorHAnsi" w:eastAsiaTheme="minorHAnsi" w:hAnsiTheme="minorHAnsi" w:cstheme="minorBidi"/>
          <w:snapToGrid/>
          <w:sz w:val="24"/>
          <w:szCs w:val="22"/>
        </w:rPr>
        <w:t xml:space="preserve"> in the </w:t>
      </w:r>
      <w:proofErr w:type="spellStart"/>
      <w:r w:rsidR="00E4091D" w:rsidRPr="00E4091D">
        <w:rPr>
          <w:rFonts w:asciiTheme="minorHAnsi" w:eastAsiaTheme="minorHAnsi" w:hAnsiTheme="minorHAnsi" w:cstheme="minorBidi"/>
          <w:snapToGrid/>
          <w:sz w:val="24"/>
          <w:szCs w:val="22"/>
        </w:rPr>
        <w:t>Handi</w:t>
      </w:r>
      <w:r w:rsidR="00D478EC">
        <w:rPr>
          <w:rFonts w:asciiTheme="minorHAnsi" w:eastAsiaTheme="minorHAnsi" w:hAnsiTheme="minorHAnsi" w:cstheme="minorBidi"/>
          <w:snapToGrid/>
          <w:sz w:val="24"/>
          <w:szCs w:val="22"/>
        </w:rPr>
        <w:t>H</w:t>
      </w:r>
      <w:r w:rsidR="00E4091D" w:rsidRPr="00E4091D">
        <w:rPr>
          <w:rFonts w:asciiTheme="minorHAnsi" w:eastAsiaTheme="minorHAnsi" w:hAnsiTheme="minorHAnsi" w:cstheme="minorBidi"/>
          <w:snapToGrid/>
          <w:sz w:val="24"/>
          <w:szCs w:val="22"/>
        </w:rPr>
        <w:t>aler</w:t>
      </w:r>
      <w:proofErr w:type="spellEnd"/>
      <w:r w:rsidR="004544F2">
        <w:rPr>
          <w:rFonts w:asciiTheme="minorHAnsi" w:eastAsiaTheme="minorHAnsi" w:hAnsiTheme="minorHAnsi" w:cstheme="minorBidi"/>
          <w:snapToGrid/>
          <w:sz w:val="24"/>
          <w:szCs w:val="22"/>
        </w:rPr>
        <w:t>®</w:t>
      </w:r>
      <w:r w:rsidR="00E4091D" w:rsidRPr="00E4091D">
        <w:rPr>
          <w:rFonts w:asciiTheme="minorHAnsi" w:eastAsiaTheme="minorHAnsi" w:hAnsiTheme="minorHAnsi" w:cstheme="minorBidi"/>
          <w:snapToGrid/>
          <w:sz w:val="24"/>
          <w:szCs w:val="22"/>
        </w:rPr>
        <w:t xml:space="preserve"> device and as a solution for inhalation formulation (inhalation solution, PBS items 11043F and 10509D) which is used in the </w:t>
      </w:r>
      <w:proofErr w:type="spellStart"/>
      <w:r w:rsidR="00E4091D" w:rsidRPr="00E4091D">
        <w:rPr>
          <w:rFonts w:asciiTheme="minorHAnsi" w:eastAsiaTheme="minorHAnsi" w:hAnsiTheme="minorHAnsi" w:cstheme="minorBidi"/>
          <w:snapToGrid/>
          <w:sz w:val="24"/>
          <w:szCs w:val="22"/>
        </w:rPr>
        <w:t>Respimat</w:t>
      </w:r>
      <w:proofErr w:type="spellEnd"/>
      <w:r w:rsidR="004544F2">
        <w:rPr>
          <w:rFonts w:asciiTheme="minorHAnsi" w:eastAsiaTheme="minorHAnsi" w:hAnsiTheme="minorHAnsi" w:cstheme="minorBidi"/>
          <w:snapToGrid/>
          <w:sz w:val="24"/>
          <w:szCs w:val="22"/>
        </w:rPr>
        <w:t>®</w:t>
      </w:r>
      <w:r w:rsidR="00E4091D" w:rsidRPr="00E4091D">
        <w:rPr>
          <w:rFonts w:asciiTheme="minorHAnsi" w:eastAsiaTheme="minorHAnsi" w:hAnsiTheme="minorHAnsi" w:cstheme="minorBidi"/>
          <w:snapToGrid/>
          <w:sz w:val="24"/>
          <w:szCs w:val="22"/>
        </w:rPr>
        <w:t xml:space="preserve"> device. </w:t>
      </w:r>
      <w:r w:rsidR="00E4091D">
        <w:rPr>
          <w:rFonts w:asciiTheme="minorHAnsi" w:eastAsiaTheme="minorHAnsi" w:hAnsiTheme="minorHAnsi" w:cstheme="minorBidi"/>
          <w:snapToGrid/>
          <w:sz w:val="24"/>
          <w:szCs w:val="22"/>
        </w:rPr>
        <w:t xml:space="preserve">The </w:t>
      </w:r>
      <w:r w:rsidR="004544F2">
        <w:rPr>
          <w:rFonts w:asciiTheme="minorHAnsi" w:eastAsiaTheme="minorHAnsi" w:hAnsiTheme="minorHAnsi" w:cstheme="minorBidi"/>
          <w:snapToGrid/>
          <w:sz w:val="24"/>
          <w:szCs w:val="22"/>
        </w:rPr>
        <w:t xml:space="preserve">minor submission </w:t>
      </w:r>
      <w:r w:rsidR="00E4091D">
        <w:rPr>
          <w:rFonts w:asciiTheme="minorHAnsi" w:eastAsiaTheme="minorHAnsi" w:hAnsiTheme="minorHAnsi" w:cstheme="minorBidi"/>
          <w:snapToGrid/>
          <w:sz w:val="24"/>
          <w:szCs w:val="22"/>
        </w:rPr>
        <w:t>note</w:t>
      </w:r>
      <w:r w:rsidR="004544F2">
        <w:rPr>
          <w:rFonts w:asciiTheme="minorHAnsi" w:eastAsiaTheme="minorHAnsi" w:hAnsiTheme="minorHAnsi" w:cstheme="minorBidi"/>
          <w:snapToGrid/>
          <w:sz w:val="24"/>
          <w:szCs w:val="22"/>
        </w:rPr>
        <w:t>d</w:t>
      </w:r>
      <w:r w:rsidR="00E4091D">
        <w:rPr>
          <w:rFonts w:asciiTheme="minorHAnsi" w:eastAsiaTheme="minorHAnsi" w:hAnsiTheme="minorHAnsi" w:cstheme="minorBidi"/>
          <w:snapToGrid/>
          <w:sz w:val="24"/>
          <w:szCs w:val="22"/>
        </w:rPr>
        <w:t xml:space="preserve"> that these two formulations are not bioequivalent.</w:t>
      </w:r>
    </w:p>
    <w:p w14:paraId="6AB3D795" w14:textId="07948D1D" w:rsidR="00005A1E" w:rsidRDefault="00E4091D" w:rsidP="00CF2114">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w:t>
      </w:r>
      <w:r w:rsidR="004544F2">
        <w:rPr>
          <w:rFonts w:asciiTheme="minorHAnsi" w:eastAsiaTheme="minorHAnsi" w:hAnsiTheme="minorHAnsi" w:cstheme="minorBidi"/>
          <w:snapToGrid/>
          <w:sz w:val="24"/>
          <w:szCs w:val="22"/>
        </w:rPr>
        <w:t xml:space="preserve">minor submission </w:t>
      </w:r>
      <w:r>
        <w:rPr>
          <w:rFonts w:asciiTheme="minorHAnsi" w:eastAsiaTheme="minorHAnsi" w:hAnsiTheme="minorHAnsi" w:cstheme="minorBidi"/>
          <w:snapToGrid/>
          <w:sz w:val="24"/>
          <w:szCs w:val="22"/>
        </w:rPr>
        <w:t>note</w:t>
      </w:r>
      <w:r w:rsidR="004544F2">
        <w:rPr>
          <w:rFonts w:asciiTheme="minorHAnsi" w:eastAsiaTheme="minorHAnsi" w:hAnsiTheme="minorHAnsi" w:cstheme="minorBidi"/>
          <w:snapToGrid/>
          <w:sz w:val="24"/>
          <w:szCs w:val="22"/>
        </w:rPr>
        <w:t>d</w:t>
      </w:r>
      <w:r>
        <w:rPr>
          <w:rFonts w:asciiTheme="minorHAnsi" w:eastAsiaTheme="minorHAnsi" w:hAnsiTheme="minorHAnsi" w:cstheme="minorBidi"/>
          <w:snapToGrid/>
          <w:sz w:val="24"/>
          <w:szCs w:val="22"/>
        </w:rPr>
        <w:t xml:space="preserve"> that a</w:t>
      </w:r>
      <w:r w:rsidR="008A471E">
        <w:rPr>
          <w:rFonts w:asciiTheme="minorHAnsi" w:eastAsiaTheme="minorHAnsi" w:hAnsiTheme="minorHAnsi" w:cstheme="minorBidi"/>
          <w:snapToGrid/>
          <w:sz w:val="24"/>
          <w:szCs w:val="22"/>
        </w:rPr>
        <w:t xml:space="preserve"> new product containing</w:t>
      </w:r>
      <w:r w:rsidR="00BB783A">
        <w:rPr>
          <w:rFonts w:asciiTheme="minorHAnsi" w:eastAsiaTheme="minorHAnsi" w:hAnsiTheme="minorHAnsi" w:cstheme="minorBidi"/>
          <w:snapToGrid/>
          <w:sz w:val="24"/>
          <w:szCs w:val="22"/>
        </w:rPr>
        <w:t xml:space="preserve"> </w:t>
      </w:r>
      <w:proofErr w:type="spellStart"/>
      <w:r w:rsidR="00BB783A">
        <w:rPr>
          <w:rFonts w:asciiTheme="minorHAnsi" w:eastAsiaTheme="minorHAnsi" w:hAnsiTheme="minorHAnsi" w:cstheme="minorBidi"/>
          <w:snapToGrid/>
          <w:sz w:val="24"/>
          <w:szCs w:val="22"/>
        </w:rPr>
        <w:t>t</w:t>
      </w:r>
      <w:r w:rsidR="006160A7">
        <w:rPr>
          <w:rFonts w:asciiTheme="minorHAnsi" w:eastAsiaTheme="minorHAnsi" w:hAnsiTheme="minorHAnsi" w:cstheme="minorBidi"/>
          <w:snapToGrid/>
          <w:sz w:val="24"/>
          <w:szCs w:val="22"/>
        </w:rPr>
        <w:t>iotropium</w:t>
      </w:r>
      <w:proofErr w:type="spellEnd"/>
      <w:r w:rsidR="006160A7">
        <w:rPr>
          <w:rFonts w:asciiTheme="minorHAnsi" w:eastAsiaTheme="minorHAnsi" w:hAnsiTheme="minorHAnsi" w:cstheme="minorBidi"/>
          <w:snapToGrid/>
          <w:sz w:val="24"/>
          <w:szCs w:val="22"/>
        </w:rPr>
        <w:t xml:space="preserve">, </w:t>
      </w:r>
      <w:proofErr w:type="spellStart"/>
      <w:proofErr w:type="gramStart"/>
      <w:r w:rsidR="009C4DDE">
        <w:rPr>
          <w:rFonts w:asciiTheme="minorHAnsi" w:eastAsiaTheme="minorHAnsi" w:hAnsiTheme="minorHAnsi" w:cstheme="minorBidi"/>
          <w:snapToGrid/>
          <w:sz w:val="24"/>
          <w:szCs w:val="22"/>
        </w:rPr>
        <w:t>Braltus</w:t>
      </w:r>
      <w:proofErr w:type="spellEnd"/>
      <w:r w:rsidR="00BB783A" w:rsidRPr="00A82152">
        <w:rPr>
          <w:rFonts w:asciiTheme="minorHAnsi" w:eastAsiaTheme="minorHAnsi" w:hAnsiTheme="minorHAnsi" w:cstheme="minorBidi"/>
          <w:snapToGrid/>
          <w:sz w:val="24"/>
          <w:szCs w:val="22"/>
        </w:rPr>
        <w:t>®</w:t>
      </w:r>
      <w:r w:rsidR="004544F2" w:rsidRPr="00A82152">
        <w:rPr>
          <w:rFonts w:asciiTheme="minorHAnsi" w:eastAsiaTheme="minorHAnsi" w:hAnsiTheme="minorHAnsi" w:cstheme="minorBidi"/>
          <w:snapToGrid/>
          <w:sz w:val="24"/>
          <w:szCs w:val="22"/>
        </w:rPr>
        <w:t>, had been</w:t>
      </w:r>
      <w:r w:rsidR="00475767">
        <w:rPr>
          <w:rFonts w:asciiTheme="minorHAnsi" w:eastAsiaTheme="minorHAnsi" w:hAnsiTheme="minorHAnsi" w:cstheme="minorBidi"/>
          <w:snapToGrid/>
          <w:sz w:val="24"/>
          <w:szCs w:val="22"/>
        </w:rPr>
        <w:t xml:space="preserve"> listed</w:t>
      </w:r>
      <w:r w:rsidR="00C4702B" w:rsidRPr="00A82152">
        <w:rPr>
          <w:rFonts w:asciiTheme="minorHAnsi" w:eastAsiaTheme="minorHAnsi" w:hAnsiTheme="minorHAnsi" w:cstheme="minorBidi"/>
          <w:snapToGrid/>
          <w:sz w:val="24"/>
          <w:szCs w:val="22"/>
        </w:rPr>
        <w:t xml:space="preserve"> on the Australian Register of Therapeutic Goods (ARTG) by </w:t>
      </w:r>
      <w:proofErr w:type="spellStart"/>
      <w:r w:rsidR="00BB783A">
        <w:rPr>
          <w:rFonts w:asciiTheme="minorHAnsi" w:eastAsiaTheme="minorHAnsi" w:hAnsiTheme="minorHAnsi" w:cstheme="minorBidi"/>
          <w:snapToGrid/>
          <w:sz w:val="24"/>
          <w:szCs w:val="22"/>
        </w:rPr>
        <w:t>Teva</w:t>
      </w:r>
      <w:proofErr w:type="spellEnd"/>
      <w:r w:rsidR="00BB783A">
        <w:rPr>
          <w:rFonts w:asciiTheme="minorHAnsi" w:eastAsiaTheme="minorHAnsi" w:hAnsiTheme="minorHAnsi" w:cstheme="minorBidi"/>
          <w:snapToGrid/>
          <w:sz w:val="24"/>
          <w:szCs w:val="22"/>
        </w:rPr>
        <w:t xml:space="preserve"> Pharma Australia Pty Ltd</w:t>
      </w:r>
      <w:proofErr w:type="gramEnd"/>
      <w:r w:rsidR="00BB783A">
        <w:rPr>
          <w:rFonts w:asciiTheme="minorHAnsi" w:eastAsiaTheme="minorHAnsi" w:hAnsiTheme="minorHAnsi" w:cstheme="minorBidi"/>
          <w:snapToGrid/>
          <w:sz w:val="24"/>
          <w:szCs w:val="22"/>
        </w:rPr>
        <w:t xml:space="preserve">. </w:t>
      </w:r>
      <w:r w:rsidR="00A82152">
        <w:rPr>
          <w:rFonts w:asciiTheme="minorHAnsi" w:eastAsiaTheme="minorHAnsi" w:hAnsiTheme="minorHAnsi" w:cstheme="minorBidi"/>
          <w:snapToGrid/>
          <w:sz w:val="24"/>
          <w:szCs w:val="22"/>
        </w:rPr>
        <w:t xml:space="preserve">The minor submission noted that </w:t>
      </w:r>
      <w:proofErr w:type="spellStart"/>
      <w:r w:rsidR="00A82152">
        <w:rPr>
          <w:rFonts w:asciiTheme="minorHAnsi" w:eastAsiaTheme="minorHAnsi" w:hAnsiTheme="minorHAnsi" w:cstheme="minorBidi"/>
          <w:snapToGrid/>
          <w:sz w:val="24"/>
          <w:szCs w:val="22"/>
        </w:rPr>
        <w:t>Braltus</w:t>
      </w:r>
      <w:proofErr w:type="spellEnd"/>
      <w:r w:rsidR="00A82152">
        <w:rPr>
          <w:rFonts w:asciiTheme="minorHAnsi" w:eastAsiaTheme="minorHAnsi" w:hAnsiTheme="minorHAnsi" w:cstheme="minorBidi"/>
          <w:snapToGrid/>
          <w:sz w:val="24"/>
          <w:szCs w:val="22"/>
        </w:rPr>
        <w:t>®</w:t>
      </w:r>
      <w:r w:rsidR="00173531">
        <w:rPr>
          <w:rFonts w:asciiTheme="minorHAnsi" w:eastAsiaTheme="minorHAnsi" w:hAnsiTheme="minorHAnsi" w:cstheme="minorBidi"/>
          <w:snapToGrid/>
          <w:sz w:val="24"/>
          <w:szCs w:val="22"/>
        </w:rPr>
        <w:t xml:space="preserve"> capsules are to </w:t>
      </w:r>
      <w:proofErr w:type="gramStart"/>
      <w:r w:rsidR="00173531">
        <w:rPr>
          <w:rFonts w:asciiTheme="minorHAnsi" w:eastAsiaTheme="minorHAnsi" w:hAnsiTheme="minorHAnsi" w:cstheme="minorBidi"/>
          <w:snapToGrid/>
          <w:sz w:val="24"/>
          <w:szCs w:val="22"/>
        </w:rPr>
        <w:t>be used</w:t>
      </w:r>
      <w:proofErr w:type="gramEnd"/>
      <w:r w:rsidR="00173531">
        <w:rPr>
          <w:rFonts w:asciiTheme="minorHAnsi" w:eastAsiaTheme="minorHAnsi" w:hAnsiTheme="minorHAnsi" w:cstheme="minorBidi"/>
          <w:snapToGrid/>
          <w:sz w:val="24"/>
          <w:szCs w:val="22"/>
        </w:rPr>
        <w:t xml:space="preserve"> in the </w:t>
      </w:r>
      <w:proofErr w:type="spellStart"/>
      <w:r w:rsidR="00173531">
        <w:rPr>
          <w:rFonts w:asciiTheme="minorHAnsi" w:eastAsiaTheme="minorHAnsi" w:hAnsiTheme="minorHAnsi" w:cstheme="minorBidi"/>
          <w:snapToGrid/>
          <w:sz w:val="24"/>
          <w:szCs w:val="22"/>
        </w:rPr>
        <w:t>Zonda</w:t>
      </w:r>
      <w:proofErr w:type="spellEnd"/>
      <w:r w:rsidR="00173531">
        <w:rPr>
          <w:rFonts w:asciiTheme="minorHAnsi" w:eastAsiaTheme="minorHAnsi" w:hAnsiTheme="minorHAnsi" w:cstheme="minorBidi"/>
          <w:snapToGrid/>
          <w:sz w:val="24"/>
          <w:szCs w:val="22"/>
        </w:rPr>
        <w:t xml:space="preserve">® inhaler device. </w:t>
      </w:r>
    </w:p>
    <w:p w14:paraId="50591EC9" w14:textId="4A789C0B" w:rsidR="0071558A" w:rsidRPr="00077C70" w:rsidRDefault="0071558A" w:rsidP="00CF2114">
      <w:pPr>
        <w:spacing w:before="120" w:after="120"/>
        <w:ind w:firstLine="709"/>
        <w:rPr>
          <w:rFonts w:asciiTheme="minorHAnsi" w:hAnsiTheme="minorHAnsi" w:cstheme="minorHAnsi"/>
          <w:b/>
          <w:i/>
        </w:rPr>
      </w:pPr>
      <w:r w:rsidRPr="00077C70">
        <w:rPr>
          <w:rFonts w:asciiTheme="minorHAnsi" w:hAnsiTheme="minorHAnsi" w:cstheme="minorHAnsi"/>
          <w:i/>
        </w:rPr>
        <w:t>For more detail on PBAC’s view, see section 5 PBAC outcome.</w:t>
      </w:r>
    </w:p>
    <w:p w14:paraId="37F03264" w14:textId="77777777" w:rsidR="0071558A" w:rsidRPr="0071558A" w:rsidRDefault="0071558A" w:rsidP="00CF2114">
      <w:pPr>
        <w:pStyle w:val="PBACHeading1"/>
        <w:keepNext/>
        <w:keepLines/>
        <w:spacing w:before="120" w:after="120"/>
        <w:ind w:left="709" w:hanging="709"/>
        <w:rPr>
          <w:rFonts w:asciiTheme="minorHAnsi" w:hAnsiTheme="minorHAnsi"/>
          <w:sz w:val="32"/>
          <w:szCs w:val="32"/>
        </w:rPr>
      </w:pPr>
      <w:r w:rsidRPr="0071558A">
        <w:rPr>
          <w:rFonts w:asciiTheme="minorHAnsi" w:hAnsiTheme="minorHAnsi"/>
          <w:sz w:val="32"/>
          <w:szCs w:val="32"/>
        </w:rPr>
        <w:t>Consideration of the evidence</w:t>
      </w:r>
    </w:p>
    <w:p w14:paraId="14C9EE30" w14:textId="77777777" w:rsidR="0071558A" w:rsidRPr="009A05B1" w:rsidRDefault="0071558A" w:rsidP="009A05B1">
      <w:pPr>
        <w:pStyle w:val="Heading2"/>
        <w:spacing w:before="120" w:after="120"/>
        <w:jc w:val="both"/>
        <w:rPr>
          <w:rFonts w:ascii="Calibri" w:hAnsi="Calibri" w:cs="Arial"/>
          <w:snapToGrid w:val="0"/>
          <w:sz w:val="28"/>
          <w:szCs w:val="22"/>
          <w:lang w:eastAsia="en-US"/>
        </w:rPr>
      </w:pPr>
      <w:r w:rsidRPr="009A05B1">
        <w:rPr>
          <w:rFonts w:ascii="Calibri" w:hAnsi="Calibri" w:cs="Arial"/>
          <w:snapToGrid w:val="0"/>
          <w:sz w:val="28"/>
          <w:szCs w:val="22"/>
          <w:lang w:eastAsia="en-US"/>
        </w:rPr>
        <w:t>Sponsor hearing</w:t>
      </w:r>
    </w:p>
    <w:p w14:paraId="21C36255" w14:textId="77777777" w:rsidR="0071558A" w:rsidRDefault="0071558A" w:rsidP="00CF2114">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A01AB6">
        <w:rPr>
          <w:rFonts w:asciiTheme="minorHAnsi" w:eastAsiaTheme="minorHAnsi" w:hAnsiTheme="minorHAnsi" w:cstheme="minorBidi"/>
          <w:snapToGrid/>
          <w:sz w:val="24"/>
          <w:szCs w:val="22"/>
        </w:rPr>
        <w:t>There was no hearing for this item as it was a minor submission.</w:t>
      </w:r>
    </w:p>
    <w:p w14:paraId="5FA027E0" w14:textId="77777777" w:rsidR="0071558A" w:rsidRPr="009A05B1" w:rsidRDefault="0071558A" w:rsidP="009A05B1">
      <w:pPr>
        <w:pStyle w:val="Heading2"/>
        <w:spacing w:before="120" w:after="120"/>
        <w:jc w:val="both"/>
        <w:rPr>
          <w:rFonts w:ascii="Calibri" w:hAnsi="Calibri" w:cs="Arial"/>
          <w:snapToGrid w:val="0"/>
          <w:sz w:val="28"/>
          <w:szCs w:val="22"/>
          <w:lang w:eastAsia="en-US"/>
        </w:rPr>
      </w:pPr>
      <w:r w:rsidRPr="009A05B1">
        <w:rPr>
          <w:rFonts w:ascii="Calibri" w:hAnsi="Calibri" w:cs="Arial"/>
          <w:snapToGrid w:val="0"/>
          <w:sz w:val="28"/>
          <w:szCs w:val="22"/>
          <w:lang w:eastAsia="en-US"/>
        </w:rPr>
        <w:lastRenderedPageBreak/>
        <w:t>Consumer comments</w:t>
      </w:r>
    </w:p>
    <w:p w14:paraId="3E0C0373" w14:textId="60831A1E" w:rsidR="0071558A" w:rsidRPr="0071558A" w:rsidRDefault="0071558A" w:rsidP="00CF2114">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7664E3">
        <w:rPr>
          <w:rFonts w:asciiTheme="minorHAnsi" w:eastAsiaTheme="minorHAnsi" w:hAnsiTheme="minorHAnsi" w:cstheme="minorBidi"/>
          <w:snapToGrid/>
          <w:sz w:val="24"/>
          <w:szCs w:val="22"/>
        </w:rPr>
        <w:t xml:space="preserve">The PBAC noted that no consumer comments </w:t>
      </w:r>
      <w:proofErr w:type="gramStart"/>
      <w:r w:rsidRPr="007664E3">
        <w:rPr>
          <w:rFonts w:asciiTheme="minorHAnsi" w:eastAsiaTheme="minorHAnsi" w:hAnsiTheme="minorHAnsi" w:cstheme="minorBidi"/>
          <w:snapToGrid/>
          <w:sz w:val="24"/>
          <w:szCs w:val="22"/>
        </w:rPr>
        <w:t>were received</w:t>
      </w:r>
      <w:proofErr w:type="gramEnd"/>
      <w:r w:rsidRPr="007664E3">
        <w:rPr>
          <w:rFonts w:asciiTheme="minorHAnsi" w:eastAsiaTheme="minorHAnsi" w:hAnsiTheme="minorHAnsi" w:cstheme="minorBidi"/>
          <w:snapToGrid/>
          <w:sz w:val="24"/>
          <w:szCs w:val="22"/>
        </w:rPr>
        <w:t xml:space="preserve"> for this item.</w:t>
      </w:r>
    </w:p>
    <w:p w14:paraId="560F6F01" w14:textId="2A1D8D7D" w:rsidR="007F7B78" w:rsidRPr="009A05B1" w:rsidRDefault="007F7B78" w:rsidP="009A05B1">
      <w:pPr>
        <w:pStyle w:val="Heading2"/>
        <w:spacing w:before="120" w:after="120"/>
        <w:jc w:val="both"/>
        <w:rPr>
          <w:rFonts w:ascii="Calibri" w:hAnsi="Calibri" w:cs="Arial"/>
          <w:snapToGrid w:val="0"/>
          <w:sz w:val="28"/>
          <w:szCs w:val="22"/>
          <w:lang w:eastAsia="en-US"/>
        </w:rPr>
      </w:pPr>
      <w:r w:rsidRPr="009A05B1">
        <w:rPr>
          <w:rFonts w:ascii="Calibri" w:hAnsi="Calibri" w:cs="Arial"/>
          <w:snapToGrid w:val="0"/>
          <w:sz w:val="28"/>
          <w:szCs w:val="22"/>
          <w:lang w:eastAsia="en-US"/>
        </w:rPr>
        <w:t>Current Situation</w:t>
      </w:r>
    </w:p>
    <w:p w14:paraId="0CA71CBF" w14:textId="5D8C68AB" w:rsidR="007F7B78" w:rsidRPr="007F7B78" w:rsidRDefault="007F7B78" w:rsidP="00CF2114">
      <w:pPr>
        <w:pStyle w:val="ListParagraph"/>
        <w:numPr>
          <w:ilvl w:val="1"/>
          <w:numId w:val="14"/>
        </w:numPr>
        <w:spacing w:before="120" w:after="120"/>
        <w:rPr>
          <w:rFonts w:asciiTheme="minorHAnsi" w:hAnsiTheme="minorHAnsi"/>
        </w:rPr>
      </w:pPr>
      <w:r w:rsidRPr="007F7B78">
        <w:rPr>
          <w:rFonts w:asciiTheme="minorHAnsi" w:hAnsiTheme="minorHAnsi"/>
          <w:sz w:val="24"/>
          <w:szCs w:val="24"/>
        </w:rPr>
        <w:t xml:space="preserve">The minor submission </w:t>
      </w:r>
      <w:r w:rsidR="00173531">
        <w:rPr>
          <w:rFonts w:asciiTheme="minorHAnsi" w:hAnsiTheme="minorHAnsi"/>
          <w:sz w:val="24"/>
          <w:szCs w:val="24"/>
        </w:rPr>
        <w:t>argued</w:t>
      </w:r>
      <w:r w:rsidRPr="007F7B78">
        <w:rPr>
          <w:rFonts w:asciiTheme="minorHAnsi" w:hAnsiTheme="minorHAnsi"/>
          <w:sz w:val="24"/>
          <w:szCs w:val="24"/>
        </w:rPr>
        <w:t xml:space="preserve"> that an ‘a’ flag </w:t>
      </w:r>
      <w:r w:rsidR="00DB13D4">
        <w:rPr>
          <w:rFonts w:asciiTheme="minorHAnsi" w:hAnsiTheme="minorHAnsi"/>
          <w:sz w:val="24"/>
          <w:szCs w:val="24"/>
        </w:rPr>
        <w:t>applying to</w:t>
      </w:r>
      <w:r w:rsidR="00DB13D4" w:rsidRPr="007F7B78">
        <w:rPr>
          <w:rFonts w:asciiTheme="minorHAnsi" w:hAnsiTheme="minorHAnsi"/>
          <w:sz w:val="24"/>
          <w:szCs w:val="24"/>
        </w:rPr>
        <w:t xml:space="preserve"> </w:t>
      </w:r>
      <w:r w:rsidR="00982374">
        <w:rPr>
          <w:rFonts w:asciiTheme="minorHAnsi" w:hAnsiTheme="minorHAnsi"/>
          <w:sz w:val="24"/>
          <w:szCs w:val="24"/>
        </w:rPr>
        <w:t xml:space="preserve">the two </w:t>
      </w:r>
      <w:proofErr w:type="spellStart"/>
      <w:r w:rsidRPr="007F7B78">
        <w:rPr>
          <w:rFonts w:asciiTheme="minorHAnsi" w:hAnsiTheme="minorHAnsi"/>
          <w:sz w:val="24"/>
          <w:szCs w:val="24"/>
        </w:rPr>
        <w:t>tiotropium</w:t>
      </w:r>
      <w:proofErr w:type="spellEnd"/>
      <w:r w:rsidRPr="007F7B78">
        <w:rPr>
          <w:rFonts w:asciiTheme="minorHAnsi" w:hAnsiTheme="minorHAnsi"/>
          <w:sz w:val="24"/>
          <w:szCs w:val="24"/>
        </w:rPr>
        <w:t xml:space="preserve"> capsule brands is not appropriate and should not be recommended by the PBAC on the basis of: </w:t>
      </w:r>
    </w:p>
    <w:p w14:paraId="118AAD2A" w14:textId="5581E261" w:rsidR="007F7B78" w:rsidRDefault="007F7B78" w:rsidP="00CF2114">
      <w:pPr>
        <w:pStyle w:val="ListParagraph"/>
        <w:numPr>
          <w:ilvl w:val="0"/>
          <w:numId w:val="16"/>
        </w:numPr>
        <w:spacing w:before="120" w:after="120"/>
        <w:ind w:left="1077" w:hanging="357"/>
        <w:rPr>
          <w:rFonts w:asciiTheme="minorHAnsi" w:hAnsiTheme="minorHAnsi"/>
          <w:sz w:val="24"/>
          <w:szCs w:val="24"/>
        </w:rPr>
      </w:pPr>
      <w:r w:rsidRPr="007F7B78">
        <w:rPr>
          <w:rFonts w:asciiTheme="minorHAnsi" w:hAnsiTheme="minorHAnsi"/>
          <w:sz w:val="24"/>
          <w:szCs w:val="24"/>
        </w:rPr>
        <w:t>Uncertainty in bioequivalence;</w:t>
      </w:r>
    </w:p>
    <w:p w14:paraId="7A2F04B4" w14:textId="53F523E7" w:rsidR="007F7B78" w:rsidRDefault="007F7B78" w:rsidP="00CF2114">
      <w:pPr>
        <w:pStyle w:val="ListParagraph"/>
        <w:numPr>
          <w:ilvl w:val="0"/>
          <w:numId w:val="16"/>
        </w:numPr>
        <w:spacing w:before="120" w:after="120"/>
        <w:ind w:left="1077" w:hanging="357"/>
        <w:rPr>
          <w:rFonts w:asciiTheme="minorHAnsi" w:hAnsiTheme="minorHAnsi"/>
          <w:sz w:val="24"/>
          <w:szCs w:val="24"/>
        </w:rPr>
      </w:pPr>
      <w:r w:rsidRPr="007F7B78">
        <w:rPr>
          <w:rFonts w:asciiTheme="minorHAnsi" w:hAnsiTheme="minorHAnsi"/>
          <w:sz w:val="24"/>
          <w:szCs w:val="24"/>
        </w:rPr>
        <w:t>Differences in labelled strengths and likely differences in pharmaceutical items, which could lead to prescriber, pharmacist and patient confusion;</w:t>
      </w:r>
    </w:p>
    <w:p w14:paraId="298823AC" w14:textId="437121AA" w:rsidR="007F7B78" w:rsidRDefault="007F7B78" w:rsidP="00CF2114">
      <w:pPr>
        <w:pStyle w:val="ListParagraph"/>
        <w:numPr>
          <w:ilvl w:val="0"/>
          <w:numId w:val="16"/>
        </w:numPr>
        <w:spacing w:before="120" w:after="120"/>
        <w:ind w:left="1077" w:hanging="357"/>
        <w:rPr>
          <w:rFonts w:asciiTheme="minorHAnsi" w:hAnsiTheme="minorHAnsi"/>
          <w:sz w:val="24"/>
          <w:szCs w:val="24"/>
        </w:rPr>
      </w:pPr>
      <w:r w:rsidRPr="007F7B78">
        <w:rPr>
          <w:rFonts w:asciiTheme="minorHAnsi" w:hAnsiTheme="minorHAnsi"/>
          <w:sz w:val="24"/>
          <w:szCs w:val="24"/>
        </w:rPr>
        <w:t xml:space="preserve">Adverse events </w:t>
      </w:r>
      <w:r w:rsidR="000A5413">
        <w:rPr>
          <w:rFonts w:asciiTheme="minorHAnsi" w:hAnsiTheme="minorHAnsi"/>
          <w:sz w:val="24"/>
          <w:szCs w:val="24"/>
        </w:rPr>
        <w:t>(AE</w:t>
      </w:r>
      <w:r w:rsidR="00775565">
        <w:rPr>
          <w:rFonts w:asciiTheme="minorHAnsi" w:hAnsiTheme="minorHAnsi"/>
          <w:sz w:val="24"/>
          <w:szCs w:val="24"/>
        </w:rPr>
        <w:t>s</w:t>
      </w:r>
      <w:r w:rsidR="000A5413">
        <w:rPr>
          <w:rFonts w:asciiTheme="minorHAnsi" w:hAnsiTheme="minorHAnsi"/>
          <w:sz w:val="24"/>
          <w:szCs w:val="24"/>
        </w:rPr>
        <w:t xml:space="preserve">) </w:t>
      </w:r>
      <w:r w:rsidRPr="007F7B78">
        <w:rPr>
          <w:rFonts w:asciiTheme="minorHAnsi" w:hAnsiTheme="minorHAnsi"/>
          <w:sz w:val="24"/>
          <w:szCs w:val="24"/>
        </w:rPr>
        <w:t xml:space="preserve">observed for </w:t>
      </w:r>
      <w:proofErr w:type="spellStart"/>
      <w:r w:rsidRPr="007F7B78">
        <w:rPr>
          <w:rFonts w:asciiTheme="minorHAnsi" w:hAnsiTheme="minorHAnsi"/>
          <w:sz w:val="24"/>
          <w:szCs w:val="24"/>
        </w:rPr>
        <w:t>Braltus</w:t>
      </w:r>
      <w:proofErr w:type="spellEnd"/>
      <w:r w:rsidR="00173531">
        <w:rPr>
          <w:rFonts w:asciiTheme="minorHAnsi" w:hAnsiTheme="minorHAnsi"/>
          <w:sz w:val="24"/>
          <w:szCs w:val="24"/>
        </w:rPr>
        <w:t>®</w:t>
      </w:r>
      <w:r w:rsidRPr="007F7B78">
        <w:rPr>
          <w:rFonts w:asciiTheme="minorHAnsi" w:hAnsiTheme="minorHAnsi"/>
          <w:sz w:val="24"/>
          <w:szCs w:val="24"/>
        </w:rPr>
        <w:t>, including due to incorrect inhaler use; and</w:t>
      </w:r>
    </w:p>
    <w:p w14:paraId="1553D16D" w14:textId="24B5A276" w:rsidR="004927CF" w:rsidRPr="007C30DA" w:rsidRDefault="007F7B78" w:rsidP="00CF2114">
      <w:pPr>
        <w:pStyle w:val="ListParagraph"/>
        <w:numPr>
          <w:ilvl w:val="0"/>
          <w:numId w:val="16"/>
        </w:numPr>
        <w:spacing w:before="120" w:after="120"/>
        <w:ind w:left="1077" w:hanging="357"/>
        <w:rPr>
          <w:rFonts w:asciiTheme="minorHAnsi" w:hAnsiTheme="minorHAnsi"/>
          <w:sz w:val="24"/>
          <w:szCs w:val="24"/>
        </w:rPr>
      </w:pPr>
      <w:r w:rsidRPr="007F7B78">
        <w:rPr>
          <w:rFonts w:asciiTheme="minorHAnsi" w:hAnsiTheme="minorHAnsi"/>
          <w:sz w:val="24"/>
          <w:szCs w:val="24"/>
        </w:rPr>
        <w:t>Quality use of medicines (QUM) concerns potentially leading to worsening of lung function.</w:t>
      </w:r>
    </w:p>
    <w:p w14:paraId="44B9AC3E" w14:textId="4D8F5766" w:rsidR="007F7B78" w:rsidRPr="00D33189" w:rsidRDefault="00B83D9F" w:rsidP="00CF2114">
      <w:pPr>
        <w:pStyle w:val="ListParagraph"/>
        <w:widowControl/>
        <w:numPr>
          <w:ilvl w:val="1"/>
          <w:numId w:val="14"/>
        </w:numPr>
        <w:spacing w:before="120" w:after="120"/>
        <w:contextualSpacing w:val="0"/>
        <w:rPr>
          <w:rFonts w:asciiTheme="minorHAnsi" w:eastAsiaTheme="minorHAnsi" w:hAnsiTheme="minorHAnsi" w:cstheme="minorHAnsi"/>
          <w:snapToGrid/>
          <w:sz w:val="24"/>
          <w:szCs w:val="24"/>
        </w:rPr>
      </w:pPr>
      <w:proofErr w:type="spellStart"/>
      <w:r w:rsidRPr="00D33189">
        <w:rPr>
          <w:rFonts w:asciiTheme="minorHAnsi" w:eastAsiaTheme="minorHAnsi" w:hAnsiTheme="minorHAnsi" w:cstheme="minorHAnsi"/>
          <w:snapToGrid/>
          <w:sz w:val="24"/>
          <w:szCs w:val="24"/>
        </w:rPr>
        <w:t>Braltus</w:t>
      </w:r>
      <w:proofErr w:type="spellEnd"/>
      <w:r w:rsidRPr="00D33189">
        <w:rPr>
          <w:rFonts w:asciiTheme="minorHAnsi" w:eastAsiaTheme="minorHAnsi" w:hAnsiTheme="minorHAnsi" w:cstheme="minorHAnsi"/>
          <w:snapToGrid/>
          <w:sz w:val="24"/>
          <w:szCs w:val="24"/>
        </w:rPr>
        <w:t xml:space="preserve">® containing </w:t>
      </w:r>
      <w:proofErr w:type="spellStart"/>
      <w:r w:rsidRPr="00D33189">
        <w:rPr>
          <w:rFonts w:asciiTheme="minorHAnsi" w:eastAsiaTheme="minorHAnsi" w:hAnsiTheme="minorHAnsi" w:cstheme="minorHAnsi"/>
          <w:snapToGrid/>
          <w:sz w:val="24"/>
          <w:szCs w:val="24"/>
        </w:rPr>
        <w:t>tiotropium</w:t>
      </w:r>
      <w:proofErr w:type="spellEnd"/>
      <w:r w:rsidRPr="00D33189">
        <w:rPr>
          <w:rFonts w:asciiTheme="minorHAnsi" w:eastAsiaTheme="minorHAnsi" w:hAnsiTheme="minorHAnsi" w:cstheme="minorHAnsi"/>
          <w:snapToGrid/>
          <w:sz w:val="24"/>
          <w:szCs w:val="24"/>
        </w:rPr>
        <w:t xml:space="preserve"> (as bromide) was registered by the TGA on 31 October 2018 for the </w:t>
      </w:r>
      <w:proofErr w:type="gramStart"/>
      <w:r w:rsidRPr="00D33189">
        <w:rPr>
          <w:rFonts w:asciiTheme="minorHAnsi" w:eastAsiaTheme="minorHAnsi" w:hAnsiTheme="minorHAnsi" w:cstheme="minorHAnsi"/>
          <w:snapToGrid/>
          <w:sz w:val="24"/>
          <w:szCs w:val="24"/>
        </w:rPr>
        <w:t>long term</w:t>
      </w:r>
      <w:proofErr w:type="gramEnd"/>
      <w:r w:rsidRPr="00D33189">
        <w:rPr>
          <w:rFonts w:asciiTheme="minorHAnsi" w:eastAsiaTheme="minorHAnsi" w:hAnsiTheme="minorHAnsi" w:cstheme="minorHAnsi"/>
          <w:snapToGrid/>
          <w:sz w:val="24"/>
          <w:szCs w:val="24"/>
        </w:rPr>
        <w:t xml:space="preserve"> maintenance treatment of bronchospasm and dyspnoea associated with COPD and for the prevention of COPD exacerbations. The application for registration of the generic </w:t>
      </w:r>
      <w:proofErr w:type="spellStart"/>
      <w:r w:rsidR="00475767">
        <w:rPr>
          <w:rFonts w:asciiTheme="minorHAnsi" w:eastAsiaTheme="minorHAnsi" w:hAnsiTheme="minorHAnsi" w:cstheme="minorHAnsi"/>
          <w:snapToGrid/>
          <w:sz w:val="24"/>
          <w:szCs w:val="24"/>
        </w:rPr>
        <w:t>Braltus</w:t>
      </w:r>
      <w:proofErr w:type="spellEnd"/>
      <w:r w:rsidR="00475767">
        <w:rPr>
          <w:rFonts w:asciiTheme="minorHAnsi" w:eastAsiaTheme="minorHAnsi" w:hAnsiTheme="minorHAnsi" w:cstheme="minorHAnsi"/>
          <w:snapToGrid/>
          <w:sz w:val="24"/>
          <w:szCs w:val="24"/>
        </w:rPr>
        <w:t xml:space="preserve">® </w:t>
      </w:r>
      <w:proofErr w:type="spellStart"/>
      <w:r w:rsidRPr="00D33189">
        <w:rPr>
          <w:rFonts w:asciiTheme="minorHAnsi" w:eastAsiaTheme="minorHAnsi" w:hAnsiTheme="minorHAnsi" w:cstheme="minorHAnsi"/>
          <w:snapToGrid/>
          <w:sz w:val="24"/>
          <w:szCs w:val="24"/>
        </w:rPr>
        <w:t>tiotropium</w:t>
      </w:r>
      <w:proofErr w:type="spellEnd"/>
      <w:r w:rsidRPr="00D33189">
        <w:rPr>
          <w:rFonts w:asciiTheme="minorHAnsi" w:eastAsiaTheme="minorHAnsi" w:hAnsiTheme="minorHAnsi" w:cstheme="minorHAnsi"/>
          <w:snapToGrid/>
          <w:sz w:val="24"/>
          <w:szCs w:val="24"/>
        </w:rPr>
        <w:t xml:space="preserve"> 13 microgram (as bromide) powder for inhalation in hard capsule delivering </w:t>
      </w:r>
      <w:proofErr w:type="spellStart"/>
      <w:r w:rsidRPr="00D33189">
        <w:rPr>
          <w:rFonts w:asciiTheme="minorHAnsi" w:eastAsiaTheme="minorHAnsi" w:hAnsiTheme="minorHAnsi" w:cstheme="minorHAnsi"/>
          <w:snapToGrid/>
          <w:sz w:val="24"/>
          <w:szCs w:val="24"/>
        </w:rPr>
        <w:t>tiotropium</w:t>
      </w:r>
      <w:proofErr w:type="spellEnd"/>
      <w:r w:rsidRPr="00D33189">
        <w:rPr>
          <w:rFonts w:asciiTheme="minorHAnsi" w:eastAsiaTheme="minorHAnsi" w:hAnsiTheme="minorHAnsi" w:cstheme="minorHAnsi"/>
          <w:snapToGrid/>
          <w:sz w:val="24"/>
          <w:szCs w:val="24"/>
        </w:rPr>
        <w:t xml:space="preserve"> 10 microgram included data that established to the TGA’s satisfaction that the product can be considered bioequivalent to Spiriva® </w:t>
      </w:r>
      <w:proofErr w:type="spellStart"/>
      <w:r w:rsidRPr="00D33189">
        <w:rPr>
          <w:rFonts w:asciiTheme="minorHAnsi" w:eastAsiaTheme="minorHAnsi" w:hAnsiTheme="minorHAnsi" w:cstheme="minorHAnsi"/>
          <w:snapToGrid/>
          <w:sz w:val="24"/>
          <w:szCs w:val="24"/>
        </w:rPr>
        <w:t>tiotropium</w:t>
      </w:r>
      <w:proofErr w:type="spellEnd"/>
      <w:r w:rsidRPr="00D33189">
        <w:rPr>
          <w:rFonts w:asciiTheme="minorHAnsi" w:eastAsiaTheme="minorHAnsi" w:hAnsiTheme="minorHAnsi" w:cstheme="minorHAnsi"/>
          <w:snapToGrid/>
          <w:sz w:val="24"/>
          <w:szCs w:val="24"/>
        </w:rPr>
        <w:t xml:space="preserve"> 18 micrograms (as bromide monohydrate) powder for inhalation in hard capsule delivering </w:t>
      </w:r>
      <w:proofErr w:type="spellStart"/>
      <w:r w:rsidRPr="00D33189">
        <w:rPr>
          <w:rFonts w:asciiTheme="minorHAnsi" w:eastAsiaTheme="minorHAnsi" w:hAnsiTheme="minorHAnsi" w:cstheme="minorHAnsi"/>
          <w:snapToGrid/>
          <w:sz w:val="24"/>
          <w:szCs w:val="24"/>
        </w:rPr>
        <w:t>tiotropium</w:t>
      </w:r>
      <w:proofErr w:type="spellEnd"/>
      <w:r w:rsidRPr="00D33189">
        <w:rPr>
          <w:rFonts w:asciiTheme="minorHAnsi" w:eastAsiaTheme="minorHAnsi" w:hAnsiTheme="minorHAnsi" w:cstheme="minorHAnsi"/>
          <w:snapToGrid/>
          <w:sz w:val="24"/>
          <w:szCs w:val="24"/>
        </w:rPr>
        <w:t xml:space="preserve"> 10 microgram. The </w:t>
      </w:r>
      <w:proofErr w:type="spellStart"/>
      <w:r w:rsidRPr="00D33189">
        <w:rPr>
          <w:rFonts w:asciiTheme="minorHAnsi" w:eastAsiaTheme="minorHAnsi" w:hAnsiTheme="minorHAnsi" w:cstheme="minorHAnsi"/>
          <w:snapToGrid/>
          <w:sz w:val="24"/>
          <w:szCs w:val="24"/>
        </w:rPr>
        <w:t>Braltus</w:t>
      </w:r>
      <w:proofErr w:type="spellEnd"/>
      <w:r w:rsidR="00310F68">
        <w:rPr>
          <w:rFonts w:asciiTheme="minorHAnsi" w:eastAsiaTheme="minorHAnsi" w:hAnsiTheme="minorHAnsi" w:cstheme="minorHAnsi"/>
          <w:snapToGrid/>
          <w:sz w:val="24"/>
          <w:szCs w:val="24"/>
        </w:rPr>
        <w:t>® Product Information stated</w:t>
      </w:r>
      <w:r w:rsidRPr="00D33189">
        <w:rPr>
          <w:rFonts w:asciiTheme="minorHAnsi" w:eastAsiaTheme="minorHAnsi" w:hAnsiTheme="minorHAnsi" w:cstheme="minorHAnsi"/>
          <w:snapToGrid/>
          <w:sz w:val="24"/>
          <w:szCs w:val="24"/>
        </w:rPr>
        <w:t xml:space="preserve"> that additional investigations </w:t>
      </w:r>
      <w:proofErr w:type="gramStart"/>
      <w:r w:rsidRPr="00D33189">
        <w:rPr>
          <w:rFonts w:asciiTheme="minorHAnsi" w:eastAsiaTheme="minorHAnsi" w:hAnsiTheme="minorHAnsi" w:cstheme="minorHAnsi"/>
          <w:snapToGrid/>
          <w:sz w:val="24"/>
          <w:szCs w:val="24"/>
        </w:rPr>
        <w:t>were conducted</w:t>
      </w:r>
      <w:proofErr w:type="gramEnd"/>
      <w:r w:rsidRPr="00D33189">
        <w:rPr>
          <w:rFonts w:asciiTheme="minorHAnsi" w:eastAsiaTheme="minorHAnsi" w:hAnsiTheme="minorHAnsi" w:cstheme="minorHAnsi"/>
          <w:snapToGrid/>
          <w:sz w:val="24"/>
          <w:szCs w:val="24"/>
        </w:rPr>
        <w:t xml:space="preserve"> in patients with COPD and in healthy volunteers to assess inspiratory flow rates achieved using the </w:t>
      </w:r>
      <w:proofErr w:type="spellStart"/>
      <w:r w:rsidRPr="00D33189">
        <w:rPr>
          <w:rFonts w:asciiTheme="minorHAnsi" w:eastAsiaTheme="minorHAnsi" w:hAnsiTheme="minorHAnsi" w:cstheme="minorHAnsi"/>
          <w:snapToGrid/>
          <w:sz w:val="24"/>
          <w:szCs w:val="24"/>
        </w:rPr>
        <w:t>Zonda</w:t>
      </w:r>
      <w:proofErr w:type="spellEnd"/>
      <w:r w:rsidRPr="00D33189">
        <w:rPr>
          <w:rFonts w:asciiTheme="minorHAnsi" w:eastAsiaTheme="minorHAnsi" w:hAnsiTheme="minorHAnsi" w:cstheme="minorHAnsi"/>
          <w:snapToGrid/>
          <w:sz w:val="24"/>
          <w:szCs w:val="24"/>
        </w:rPr>
        <w:t>® device compared with the inhalation device of the innovator product.</w:t>
      </w:r>
      <w:r w:rsidR="00310F68">
        <w:rPr>
          <w:rStyle w:val="FootnoteReference"/>
          <w:rFonts w:asciiTheme="minorHAnsi" w:eastAsiaTheme="minorHAnsi" w:hAnsiTheme="minorHAnsi" w:cstheme="minorHAnsi"/>
          <w:snapToGrid/>
          <w:sz w:val="24"/>
          <w:szCs w:val="24"/>
        </w:rPr>
        <w:footnoteReference w:id="1"/>
      </w:r>
      <w:r w:rsidRPr="00D33189">
        <w:rPr>
          <w:rFonts w:asciiTheme="minorHAnsi" w:eastAsiaTheme="minorHAnsi" w:hAnsiTheme="minorHAnsi" w:cstheme="minorHAnsi"/>
          <w:snapToGrid/>
          <w:sz w:val="24"/>
          <w:szCs w:val="24"/>
        </w:rPr>
        <w:t xml:space="preserve"> </w:t>
      </w:r>
    </w:p>
    <w:p w14:paraId="2EE5F6BE" w14:textId="0747EFCE" w:rsidR="00882627" w:rsidRPr="008A471E" w:rsidRDefault="00680A0B" w:rsidP="00CF2114">
      <w:pPr>
        <w:pStyle w:val="ListParagraph"/>
        <w:widowControl/>
        <w:numPr>
          <w:ilvl w:val="1"/>
          <w:numId w:val="14"/>
        </w:numPr>
        <w:spacing w:before="120" w:after="120"/>
        <w:contextualSpacing w:val="0"/>
        <w:rPr>
          <w:rFonts w:asciiTheme="minorHAnsi" w:eastAsiaTheme="minorHAnsi" w:hAnsiTheme="minorHAnsi" w:cstheme="minorHAnsi"/>
          <w:snapToGrid/>
          <w:sz w:val="24"/>
          <w:szCs w:val="24"/>
        </w:rPr>
      </w:pPr>
      <w:r w:rsidRPr="008A471E">
        <w:rPr>
          <w:rFonts w:asciiTheme="minorHAnsi" w:hAnsiTheme="minorHAnsi" w:cstheme="minorHAnsi"/>
          <w:sz w:val="24"/>
          <w:szCs w:val="24"/>
        </w:rPr>
        <w:t xml:space="preserve">The minor submission </w:t>
      </w:r>
      <w:r w:rsidR="005F4686" w:rsidRPr="008A471E">
        <w:rPr>
          <w:rFonts w:asciiTheme="minorHAnsi" w:eastAsiaTheme="minorHAnsi" w:hAnsiTheme="minorHAnsi" w:cstheme="minorHAnsi"/>
          <w:sz w:val="24"/>
          <w:szCs w:val="24"/>
        </w:rPr>
        <w:t xml:space="preserve">noted the active ingredient content </w:t>
      </w:r>
      <w:proofErr w:type="gramStart"/>
      <w:r w:rsidR="00982374">
        <w:rPr>
          <w:rFonts w:asciiTheme="minorHAnsi" w:eastAsiaTheme="minorHAnsi" w:hAnsiTheme="minorHAnsi" w:cstheme="minorHAnsi"/>
          <w:sz w:val="24"/>
          <w:szCs w:val="24"/>
        </w:rPr>
        <w:t>is</w:t>
      </w:r>
      <w:r w:rsidR="00982374" w:rsidRPr="008A471E">
        <w:rPr>
          <w:rFonts w:asciiTheme="minorHAnsi" w:eastAsiaTheme="minorHAnsi" w:hAnsiTheme="minorHAnsi" w:cstheme="minorHAnsi"/>
          <w:sz w:val="24"/>
          <w:szCs w:val="24"/>
        </w:rPr>
        <w:t xml:space="preserve"> </w:t>
      </w:r>
      <w:r w:rsidR="005F4686" w:rsidRPr="008A471E">
        <w:rPr>
          <w:rFonts w:asciiTheme="minorHAnsi" w:eastAsiaTheme="minorHAnsi" w:hAnsiTheme="minorHAnsi" w:cstheme="minorHAnsi"/>
          <w:sz w:val="24"/>
          <w:szCs w:val="24"/>
        </w:rPr>
        <w:t>presented</w:t>
      </w:r>
      <w:proofErr w:type="gramEnd"/>
      <w:r w:rsidR="005F4686" w:rsidRPr="008A471E">
        <w:rPr>
          <w:rFonts w:asciiTheme="minorHAnsi" w:eastAsiaTheme="minorHAnsi" w:hAnsiTheme="minorHAnsi" w:cstheme="minorHAnsi"/>
          <w:sz w:val="24"/>
          <w:szCs w:val="24"/>
        </w:rPr>
        <w:t xml:space="preserve"> different</w:t>
      </w:r>
      <w:r w:rsidR="005F4686" w:rsidRPr="008A471E">
        <w:rPr>
          <w:rFonts w:asciiTheme="minorHAnsi" w:eastAsiaTheme="minorHAnsi" w:hAnsiTheme="minorHAnsi" w:cstheme="minorHAnsi"/>
          <w:snapToGrid/>
          <w:sz w:val="24"/>
          <w:szCs w:val="24"/>
        </w:rPr>
        <w:t xml:space="preserve">ly on the </w:t>
      </w:r>
      <w:proofErr w:type="spellStart"/>
      <w:r w:rsidR="005F4686" w:rsidRPr="008A471E">
        <w:rPr>
          <w:rFonts w:asciiTheme="minorHAnsi" w:eastAsiaTheme="minorHAnsi" w:hAnsiTheme="minorHAnsi" w:cstheme="minorHAnsi"/>
          <w:snapToGrid/>
          <w:sz w:val="24"/>
          <w:szCs w:val="24"/>
        </w:rPr>
        <w:t>Braltus</w:t>
      </w:r>
      <w:proofErr w:type="spellEnd"/>
      <w:r w:rsidR="005F4686" w:rsidRPr="008A471E">
        <w:rPr>
          <w:rFonts w:asciiTheme="minorHAnsi" w:eastAsiaTheme="minorHAnsi" w:hAnsiTheme="minorHAnsi" w:cstheme="minorHAnsi"/>
          <w:snapToGrid/>
          <w:sz w:val="24"/>
          <w:szCs w:val="24"/>
        </w:rPr>
        <w:t xml:space="preserve">® label </w:t>
      </w:r>
      <w:r w:rsidR="005F4686" w:rsidRPr="008A471E">
        <w:rPr>
          <w:rFonts w:asciiTheme="minorHAnsi" w:eastAsiaTheme="minorHAnsi" w:hAnsiTheme="minorHAnsi" w:cstheme="minorHAnsi"/>
          <w:sz w:val="24"/>
          <w:szCs w:val="24"/>
        </w:rPr>
        <w:t xml:space="preserve">compared to that of Spiriva® capsules. Both </w:t>
      </w:r>
      <w:proofErr w:type="spellStart"/>
      <w:r w:rsidR="005F4686" w:rsidRPr="008A471E">
        <w:rPr>
          <w:rFonts w:asciiTheme="minorHAnsi" w:eastAsiaTheme="minorHAnsi" w:hAnsiTheme="minorHAnsi" w:cstheme="minorHAnsi"/>
          <w:sz w:val="24"/>
          <w:szCs w:val="24"/>
        </w:rPr>
        <w:t>Braltus</w:t>
      </w:r>
      <w:proofErr w:type="spellEnd"/>
      <w:r w:rsidR="005F4686" w:rsidRPr="008A471E">
        <w:rPr>
          <w:rFonts w:asciiTheme="minorHAnsi" w:eastAsiaTheme="minorHAnsi" w:hAnsiTheme="minorHAnsi" w:cstheme="minorHAnsi"/>
          <w:sz w:val="24"/>
          <w:szCs w:val="24"/>
        </w:rPr>
        <w:t xml:space="preserve">® and Spiriva® deliver the same dose of active substance to the patient (10 microgram per capsule) but have a different labelled metered dose (13 and 18 microgram per capsule respectively). </w:t>
      </w:r>
      <w:r w:rsidR="000A5413" w:rsidRPr="008A471E">
        <w:rPr>
          <w:rFonts w:asciiTheme="minorHAnsi" w:hAnsiTheme="minorHAnsi" w:cstheme="minorHAnsi"/>
          <w:sz w:val="24"/>
          <w:szCs w:val="24"/>
        </w:rPr>
        <w:t xml:space="preserve">The minor submission argued that differences in the capsule labelled strengths </w:t>
      </w:r>
      <w:proofErr w:type="gramStart"/>
      <w:r w:rsidR="000A5413" w:rsidRPr="008A471E">
        <w:rPr>
          <w:rFonts w:asciiTheme="minorHAnsi" w:hAnsiTheme="minorHAnsi" w:cstheme="minorHAnsi"/>
          <w:sz w:val="24"/>
          <w:szCs w:val="24"/>
        </w:rPr>
        <w:t>may</w:t>
      </w:r>
      <w:proofErr w:type="gramEnd"/>
      <w:r w:rsidR="000A5413" w:rsidRPr="008A471E">
        <w:rPr>
          <w:rFonts w:asciiTheme="minorHAnsi" w:hAnsiTheme="minorHAnsi" w:cstheme="minorHAnsi"/>
          <w:sz w:val="24"/>
          <w:szCs w:val="24"/>
        </w:rPr>
        <w:t xml:space="preserve"> lead to patient confusion, stating that some patients may confuse the labelled dosage instructions and use two </w:t>
      </w:r>
      <w:proofErr w:type="spellStart"/>
      <w:r w:rsidR="000A5413" w:rsidRPr="008A471E">
        <w:rPr>
          <w:rFonts w:asciiTheme="minorHAnsi" w:hAnsiTheme="minorHAnsi" w:cstheme="minorHAnsi"/>
          <w:sz w:val="24"/>
          <w:szCs w:val="24"/>
        </w:rPr>
        <w:t>Braltus</w:t>
      </w:r>
      <w:proofErr w:type="spellEnd"/>
      <w:r w:rsidR="000A5413" w:rsidRPr="008A471E">
        <w:rPr>
          <w:rFonts w:asciiTheme="minorHAnsi" w:hAnsiTheme="minorHAnsi" w:cstheme="minorHAnsi"/>
          <w:sz w:val="24"/>
          <w:szCs w:val="24"/>
        </w:rPr>
        <w:t xml:space="preserve">® capsules with the aim of reaching their previous daily dose with Spiriva® capsules. </w:t>
      </w:r>
      <w:r w:rsidR="005F4686" w:rsidRPr="008A471E">
        <w:rPr>
          <w:rFonts w:asciiTheme="minorHAnsi" w:eastAsiaTheme="minorHAnsi" w:hAnsiTheme="minorHAnsi" w:cstheme="minorHAnsi"/>
          <w:snapToGrid/>
          <w:sz w:val="24"/>
          <w:szCs w:val="24"/>
        </w:rPr>
        <w:t xml:space="preserve">The minor submission </w:t>
      </w:r>
      <w:r w:rsidR="000A5413" w:rsidRPr="008A471E">
        <w:rPr>
          <w:rFonts w:asciiTheme="minorHAnsi" w:eastAsiaTheme="minorHAnsi" w:hAnsiTheme="minorHAnsi" w:cstheme="minorHAnsi"/>
          <w:snapToGrid/>
          <w:sz w:val="24"/>
          <w:szCs w:val="24"/>
        </w:rPr>
        <w:t xml:space="preserve">also stated that health care professional confusion may also occur and </w:t>
      </w:r>
      <w:r w:rsidR="005F4686" w:rsidRPr="008A471E">
        <w:rPr>
          <w:rFonts w:asciiTheme="minorHAnsi" w:eastAsiaTheme="minorHAnsi" w:hAnsiTheme="minorHAnsi" w:cstheme="minorHAnsi"/>
          <w:snapToGrid/>
          <w:sz w:val="24"/>
          <w:szCs w:val="24"/>
        </w:rPr>
        <w:t xml:space="preserve">noted that </w:t>
      </w:r>
      <w:proofErr w:type="gramStart"/>
      <w:r w:rsidR="005F4686" w:rsidRPr="008A471E">
        <w:rPr>
          <w:rFonts w:asciiTheme="minorHAnsi" w:eastAsiaTheme="minorHAnsi" w:hAnsiTheme="minorHAnsi" w:cstheme="minorHAnsi"/>
          <w:snapToGrid/>
          <w:sz w:val="24"/>
          <w:szCs w:val="24"/>
        </w:rPr>
        <w:t xml:space="preserve">the release of </w:t>
      </w:r>
      <w:proofErr w:type="spellStart"/>
      <w:r w:rsidR="005F4686" w:rsidRPr="008A471E">
        <w:rPr>
          <w:rFonts w:asciiTheme="minorHAnsi" w:eastAsiaTheme="minorHAnsi" w:hAnsiTheme="minorHAnsi" w:cstheme="minorHAnsi"/>
          <w:snapToGrid/>
          <w:sz w:val="24"/>
          <w:szCs w:val="24"/>
        </w:rPr>
        <w:t>Braltus</w:t>
      </w:r>
      <w:proofErr w:type="spellEnd"/>
      <w:r w:rsidR="005F4686" w:rsidRPr="008A471E">
        <w:rPr>
          <w:rFonts w:asciiTheme="minorHAnsi" w:eastAsiaTheme="minorHAnsi" w:hAnsiTheme="minorHAnsi" w:cstheme="minorHAnsi"/>
          <w:snapToGrid/>
          <w:sz w:val="24"/>
          <w:szCs w:val="24"/>
        </w:rPr>
        <w:t>® in Denmark was accompanied by a Direct Healthcare Professional Communication letter about the differences in capsule strengths</w:t>
      </w:r>
      <w:proofErr w:type="gramEnd"/>
      <w:r w:rsidR="005F4686" w:rsidRPr="008A471E">
        <w:rPr>
          <w:rFonts w:asciiTheme="minorHAnsi" w:eastAsiaTheme="minorHAnsi" w:hAnsiTheme="minorHAnsi" w:cstheme="minorHAnsi"/>
          <w:snapToGrid/>
          <w:sz w:val="24"/>
          <w:szCs w:val="24"/>
        </w:rPr>
        <w:t>.</w:t>
      </w:r>
      <w:r w:rsidR="005F4686" w:rsidRPr="008A471E">
        <w:rPr>
          <w:rFonts w:asciiTheme="minorHAnsi" w:eastAsiaTheme="minorHAnsi" w:hAnsiTheme="minorHAnsi" w:cstheme="minorHAnsi"/>
          <w:sz w:val="24"/>
          <w:szCs w:val="24"/>
          <w:vertAlign w:val="superscript"/>
        </w:rPr>
        <w:footnoteReference w:id="2"/>
      </w:r>
      <w:r w:rsidR="005F4686" w:rsidRPr="008A471E">
        <w:rPr>
          <w:rFonts w:asciiTheme="minorHAnsi" w:eastAsiaTheme="minorHAnsi" w:hAnsiTheme="minorHAnsi" w:cstheme="minorHAnsi"/>
          <w:sz w:val="24"/>
          <w:szCs w:val="24"/>
          <w:vertAlign w:val="superscript"/>
        </w:rPr>
        <w:t xml:space="preserve"> </w:t>
      </w:r>
      <w:r w:rsidR="000A5413" w:rsidRPr="008A471E">
        <w:rPr>
          <w:rFonts w:asciiTheme="minorHAnsi" w:eastAsiaTheme="minorHAnsi" w:hAnsiTheme="minorHAnsi" w:cstheme="minorHAnsi"/>
          <w:snapToGrid/>
          <w:sz w:val="24"/>
          <w:szCs w:val="24"/>
          <w:vertAlign w:val="superscript"/>
        </w:rPr>
        <w:t xml:space="preserve"> </w:t>
      </w:r>
    </w:p>
    <w:p w14:paraId="7F6D4443" w14:textId="5A37383B" w:rsidR="00680A0B" w:rsidRPr="0071558A" w:rsidRDefault="000A5413" w:rsidP="00CF2114">
      <w:pPr>
        <w:pStyle w:val="ListParagraph"/>
        <w:widowControl/>
        <w:numPr>
          <w:ilvl w:val="1"/>
          <w:numId w:val="14"/>
        </w:numPr>
        <w:spacing w:before="120" w:after="120"/>
        <w:contextualSpacing w:val="0"/>
        <w:rPr>
          <w:rFonts w:asciiTheme="minorHAnsi" w:hAnsiTheme="minorHAnsi"/>
          <w:sz w:val="24"/>
          <w:szCs w:val="24"/>
        </w:rPr>
      </w:pPr>
      <w:r>
        <w:rPr>
          <w:rFonts w:asciiTheme="minorHAnsi" w:eastAsiaTheme="minorHAnsi" w:hAnsiTheme="minorHAnsi" w:cstheme="minorBidi"/>
          <w:snapToGrid/>
          <w:sz w:val="24"/>
          <w:szCs w:val="22"/>
        </w:rPr>
        <w:t>The minor subm</w:t>
      </w:r>
      <w:r w:rsidR="00FB5709">
        <w:rPr>
          <w:rFonts w:asciiTheme="minorHAnsi" w:eastAsiaTheme="minorHAnsi" w:hAnsiTheme="minorHAnsi" w:cstheme="minorBidi"/>
          <w:snapToGrid/>
          <w:sz w:val="24"/>
          <w:szCs w:val="22"/>
        </w:rPr>
        <w:t xml:space="preserve">ission noted that AEs due to incorrect inhaler use </w:t>
      </w:r>
      <w:proofErr w:type="gramStart"/>
      <w:r w:rsidR="00FB5709">
        <w:rPr>
          <w:rFonts w:asciiTheme="minorHAnsi" w:eastAsiaTheme="minorHAnsi" w:hAnsiTheme="minorHAnsi" w:cstheme="minorBidi"/>
          <w:snapToGrid/>
          <w:sz w:val="24"/>
          <w:szCs w:val="22"/>
        </w:rPr>
        <w:t>have been reported</w:t>
      </w:r>
      <w:proofErr w:type="gramEnd"/>
      <w:r w:rsidR="00FB5709">
        <w:rPr>
          <w:rFonts w:asciiTheme="minorHAnsi" w:eastAsiaTheme="minorHAnsi" w:hAnsiTheme="minorHAnsi" w:cstheme="minorBidi"/>
          <w:snapToGrid/>
          <w:sz w:val="24"/>
          <w:szCs w:val="22"/>
        </w:rPr>
        <w:t xml:space="preserve"> with </w:t>
      </w:r>
      <w:proofErr w:type="spellStart"/>
      <w:r w:rsidR="003E1218">
        <w:rPr>
          <w:rFonts w:asciiTheme="minorHAnsi" w:eastAsiaTheme="minorHAnsi" w:hAnsiTheme="minorHAnsi" w:cstheme="minorBidi"/>
          <w:snapToGrid/>
          <w:sz w:val="24"/>
          <w:szCs w:val="22"/>
        </w:rPr>
        <w:t>Braltus</w:t>
      </w:r>
      <w:proofErr w:type="spellEnd"/>
      <w:r w:rsidR="00FB5709">
        <w:rPr>
          <w:rFonts w:asciiTheme="minorHAnsi" w:eastAsiaTheme="minorHAnsi" w:hAnsiTheme="minorHAnsi" w:cstheme="minorBidi"/>
          <w:snapToGrid/>
          <w:sz w:val="24"/>
          <w:szCs w:val="22"/>
        </w:rPr>
        <w:t>®. T</w:t>
      </w:r>
      <w:r w:rsidR="00882627" w:rsidRPr="0097424B">
        <w:rPr>
          <w:rFonts w:asciiTheme="minorHAnsi" w:eastAsiaTheme="minorHAnsi" w:hAnsiTheme="minorHAnsi" w:cstheme="minorBidi"/>
          <w:snapToGrid/>
          <w:sz w:val="24"/>
          <w:szCs w:val="22"/>
        </w:rPr>
        <w:t xml:space="preserve">he Medicines and Healthcare products Regulatory Agency (MHRA) </w:t>
      </w:r>
      <w:r w:rsidR="00882627" w:rsidRPr="0097424B">
        <w:rPr>
          <w:rFonts w:asciiTheme="minorHAnsi" w:eastAsiaTheme="minorHAnsi" w:hAnsiTheme="minorHAnsi" w:cstheme="minorBidi"/>
          <w:snapToGrid/>
          <w:sz w:val="24"/>
          <w:szCs w:val="22"/>
        </w:rPr>
        <w:lastRenderedPageBreak/>
        <w:t xml:space="preserve">published a safety alert in May 2018 </w:t>
      </w:r>
      <w:r w:rsidR="00FB5709">
        <w:rPr>
          <w:rFonts w:asciiTheme="minorHAnsi" w:eastAsiaTheme="minorHAnsi" w:hAnsiTheme="minorHAnsi" w:cstheme="minorBidi"/>
          <w:snapToGrid/>
          <w:sz w:val="24"/>
          <w:szCs w:val="22"/>
        </w:rPr>
        <w:t xml:space="preserve">highlighting the need </w:t>
      </w:r>
      <w:r w:rsidR="00882627" w:rsidRPr="0097424B">
        <w:rPr>
          <w:rFonts w:asciiTheme="minorHAnsi" w:eastAsiaTheme="minorHAnsi" w:hAnsiTheme="minorHAnsi" w:cstheme="minorBidi"/>
          <w:snapToGrid/>
          <w:sz w:val="24"/>
          <w:szCs w:val="22"/>
        </w:rPr>
        <w:t xml:space="preserve">to train patients to place the </w:t>
      </w:r>
      <w:proofErr w:type="spellStart"/>
      <w:r w:rsidR="00882627" w:rsidRPr="0097424B">
        <w:rPr>
          <w:rFonts w:asciiTheme="minorHAnsi" w:eastAsiaTheme="minorHAnsi" w:hAnsiTheme="minorHAnsi" w:cstheme="minorBidi"/>
          <w:snapToGrid/>
          <w:sz w:val="24"/>
          <w:szCs w:val="22"/>
        </w:rPr>
        <w:t>Braltus</w:t>
      </w:r>
      <w:proofErr w:type="spellEnd"/>
      <w:r w:rsidR="00FB5709">
        <w:rPr>
          <w:rFonts w:asciiTheme="minorHAnsi" w:eastAsiaTheme="minorHAnsi" w:hAnsiTheme="minorHAnsi" w:cstheme="minorBidi"/>
          <w:snapToGrid/>
          <w:sz w:val="24"/>
          <w:szCs w:val="22"/>
        </w:rPr>
        <w:t>®</w:t>
      </w:r>
      <w:r w:rsidR="00882627" w:rsidRPr="0097424B">
        <w:rPr>
          <w:rFonts w:asciiTheme="minorHAnsi" w:eastAsiaTheme="minorHAnsi" w:hAnsiTheme="minorHAnsi" w:cstheme="minorBidi"/>
          <w:snapToGrid/>
          <w:sz w:val="24"/>
          <w:szCs w:val="22"/>
        </w:rPr>
        <w:t xml:space="preserve"> capsule in the correct chamber of the </w:t>
      </w:r>
      <w:proofErr w:type="spellStart"/>
      <w:r w:rsidR="00882627" w:rsidRPr="0097424B">
        <w:rPr>
          <w:rFonts w:asciiTheme="minorHAnsi" w:eastAsiaTheme="minorHAnsi" w:hAnsiTheme="minorHAnsi" w:cstheme="minorBidi"/>
          <w:snapToGrid/>
          <w:sz w:val="24"/>
          <w:szCs w:val="22"/>
        </w:rPr>
        <w:t>Zonda</w:t>
      </w:r>
      <w:proofErr w:type="spellEnd"/>
      <w:r w:rsidR="00FB5709">
        <w:rPr>
          <w:rFonts w:asciiTheme="minorHAnsi" w:eastAsiaTheme="minorHAnsi" w:hAnsiTheme="minorHAnsi" w:cstheme="minorBidi"/>
          <w:snapToGrid/>
          <w:sz w:val="24"/>
          <w:szCs w:val="22"/>
        </w:rPr>
        <w:t>® device</w:t>
      </w:r>
      <w:r w:rsidR="00882627" w:rsidRPr="0097424B">
        <w:rPr>
          <w:rFonts w:asciiTheme="minorHAnsi" w:eastAsiaTheme="minorHAnsi" w:hAnsiTheme="minorHAnsi" w:cstheme="minorBidi"/>
          <w:snapToGrid/>
          <w:sz w:val="24"/>
          <w:szCs w:val="22"/>
        </w:rPr>
        <w:t>.</w:t>
      </w:r>
      <w:r w:rsidR="00FB5709">
        <w:rPr>
          <w:rStyle w:val="FootnoteReference"/>
          <w:rFonts w:asciiTheme="minorHAnsi" w:eastAsiaTheme="minorHAnsi" w:hAnsiTheme="minorHAnsi" w:cstheme="minorBidi"/>
          <w:snapToGrid/>
          <w:sz w:val="24"/>
          <w:szCs w:val="22"/>
        </w:rPr>
        <w:footnoteReference w:id="3"/>
      </w:r>
      <w:r w:rsidR="00882627" w:rsidRPr="0097424B">
        <w:rPr>
          <w:rFonts w:asciiTheme="minorHAnsi" w:eastAsiaTheme="minorHAnsi" w:hAnsiTheme="minorHAnsi" w:cstheme="minorBidi"/>
          <w:snapToGrid/>
          <w:sz w:val="24"/>
          <w:szCs w:val="22"/>
        </w:rPr>
        <w:t xml:space="preserve"> </w:t>
      </w:r>
      <w:r w:rsidR="00FB5709">
        <w:rPr>
          <w:rFonts w:asciiTheme="minorHAnsi" w:eastAsiaTheme="minorHAnsi" w:hAnsiTheme="minorHAnsi" w:cstheme="minorBidi"/>
          <w:snapToGrid/>
          <w:sz w:val="24"/>
          <w:szCs w:val="22"/>
        </w:rPr>
        <w:t xml:space="preserve">The safety alert noted MHRA had </w:t>
      </w:r>
      <w:r w:rsidR="00882627" w:rsidRPr="0097424B">
        <w:rPr>
          <w:rFonts w:asciiTheme="minorHAnsi" w:eastAsiaTheme="minorHAnsi" w:hAnsiTheme="minorHAnsi" w:cstheme="minorBidi"/>
          <w:snapToGrid/>
          <w:sz w:val="24"/>
          <w:szCs w:val="22"/>
        </w:rPr>
        <w:t xml:space="preserve">received reports of patients who have inhaled a </w:t>
      </w:r>
      <w:proofErr w:type="spellStart"/>
      <w:r w:rsidR="00882627" w:rsidRPr="0097424B">
        <w:rPr>
          <w:rFonts w:asciiTheme="minorHAnsi" w:eastAsiaTheme="minorHAnsi" w:hAnsiTheme="minorHAnsi" w:cstheme="minorBidi"/>
          <w:snapToGrid/>
          <w:sz w:val="24"/>
          <w:szCs w:val="22"/>
        </w:rPr>
        <w:t>Braltus</w:t>
      </w:r>
      <w:proofErr w:type="spellEnd"/>
      <w:r w:rsidR="00FB5709">
        <w:rPr>
          <w:rFonts w:asciiTheme="minorHAnsi" w:eastAsiaTheme="minorHAnsi" w:hAnsiTheme="minorHAnsi" w:cstheme="minorBidi"/>
          <w:snapToGrid/>
          <w:sz w:val="24"/>
          <w:szCs w:val="22"/>
        </w:rPr>
        <w:t>®</w:t>
      </w:r>
      <w:r w:rsidR="00882627" w:rsidRPr="0097424B">
        <w:rPr>
          <w:rFonts w:asciiTheme="minorHAnsi" w:eastAsiaTheme="minorHAnsi" w:hAnsiTheme="minorHAnsi" w:cstheme="minorBidi"/>
          <w:snapToGrid/>
          <w:sz w:val="24"/>
          <w:szCs w:val="22"/>
        </w:rPr>
        <w:t xml:space="preserve"> capsule from the mouthpiece into the back of the throat, resulting in coughing and risking aspiration or airway obstruction.</w:t>
      </w:r>
      <w:r w:rsidR="003E1218">
        <w:rPr>
          <w:rFonts w:asciiTheme="minorHAnsi" w:eastAsiaTheme="minorHAnsi" w:hAnsiTheme="minorHAnsi" w:cstheme="minorBidi"/>
          <w:snapToGrid/>
          <w:sz w:val="24"/>
          <w:szCs w:val="22"/>
        </w:rPr>
        <w:t xml:space="preserve"> </w:t>
      </w:r>
      <w:r w:rsidR="00FB5709">
        <w:rPr>
          <w:rFonts w:asciiTheme="minorHAnsi" w:eastAsiaTheme="minorHAnsi" w:hAnsiTheme="minorHAnsi" w:cstheme="minorBidi"/>
          <w:snapToGrid/>
          <w:sz w:val="24"/>
          <w:szCs w:val="22"/>
        </w:rPr>
        <w:t xml:space="preserve">The minor submission also noted that </w:t>
      </w:r>
      <w:r w:rsidR="00FB5709">
        <w:rPr>
          <w:rFonts w:asciiTheme="minorHAnsi" w:hAnsiTheme="minorHAnsi"/>
          <w:sz w:val="24"/>
          <w:szCs w:val="24"/>
        </w:rPr>
        <w:t>a</w:t>
      </w:r>
      <w:r w:rsidR="00597FB2" w:rsidRPr="003E1218">
        <w:rPr>
          <w:rFonts w:asciiTheme="minorHAnsi" w:hAnsiTheme="minorHAnsi"/>
          <w:sz w:val="24"/>
          <w:szCs w:val="24"/>
        </w:rPr>
        <w:t xml:space="preserve">s of 7 January 2018, the Netherlands Pharmacovigilance Centre </w:t>
      </w:r>
      <w:proofErr w:type="spellStart"/>
      <w:r w:rsidR="00597FB2" w:rsidRPr="003E1218">
        <w:rPr>
          <w:rFonts w:asciiTheme="minorHAnsi" w:hAnsiTheme="minorHAnsi"/>
          <w:sz w:val="24"/>
          <w:szCs w:val="24"/>
        </w:rPr>
        <w:t>Lareb</w:t>
      </w:r>
      <w:proofErr w:type="spellEnd"/>
      <w:r w:rsidR="00597FB2" w:rsidRPr="003E1218">
        <w:rPr>
          <w:rFonts w:asciiTheme="minorHAnsi" w:hAnsiTheme="minorHAnsi"/>
          <w:sz w:val="24"/>
          <w:szCs w:val="24"/>
        </w:rPr>
        <w:t xml:space="preserve"> ha</w:t>
      </w:r>
      <w:r w:rsidR="00FB5709">
        <w:rPr>
          <w:rFonts w:asciiTheme="minorHAnsi" w:hAnsiTheme="minorHAnsi"/>
          <w:sz w:val="24"/>
          <w:szCs w:val="24"/>
        </w:rPr>
        <w:t>d</w:t>
      </w:r>
      <w:r w:rsidR="00597FB2" w:rsidRPr="003E1218">
        <w:rPr>
          <w:rFonts w:asciiTheme="minorHAnsi" w:hAnsiTheme="minorHAnsi"/>
          <w:sz w:val="24"/>
          <w:szCs w:val="24"/>
        </w:rPr>
        <w:t xml:space="preserve"> received 10 reports</w:t>
      </w:r>
      <w:r w:rsidR="00775565">
        <w:rPr>
          <w:rFonts w:asciiTheme="minorHAnsi" w:hAnsiTheme="minorHAnsi"/>
          <w:sz w:val="24"/>
          <w:szCs w:val="24"/>
        </w:rPr>
        <w:t xml:space="preserve"> from consumers</w:t>
      </w:r>
      <w:r w:rsidR="00597FB2" w:rsidRPr="003E1218">
        <w:rPr>
          <w:rFonts w:asciiTheme="minorHAnsi" w:hAnsiTheme="minorHAnsi"/>
          <w:sz w:val="24"/>
          <w:szCs w:val="24"/>
        </w:rPr>
        <w:t xml:space="preserve"> </w:t>
      </w:r>
      <w:r w:rsidR="00FB5709">
        <w:rPr>
          <w:rFonts w:asciiTheme="minorHAnsi" w:hAnsiTheme="minorHAnsi"/>
          <w:sz w:val="24"/>
          <w:szCs w:val="24"/>
        </w:rPr>
        <w:t>suggesting</w:t>
      </w:r>
      <w:r w:rsidR="00597FB2" w:rsidRPr="003E1218">
        <w:rPr>
          <w:rFonts w:asciiTheme="minorHAnsi" w:hAnsiTheme="minorHAnsi"/>
          <w:sz w:val="24"/>
          <w:szCs w:val="24"/>
        </w:rPr>
        <w:t xml:space="preserve"> decreased efficacy associated with substitution from Spiriva</w:t>
      </w:r>
      <w:r w:rsidR="00FB5709">
        <w:rPr>
          <w:rFonts w:asciiTheme="minorHAnsi" w:hAnsiTheme="minorHAnsi"/>
          <w:sz w:val="24"/>
          <w:szCs w:val="24"/>
        </w:rPr>
        <w:t>®</w:t>
      </w:r>
      <w:r w:rsidR="00597FB2" w:rsidRPr="003E1218">
        <w:rPr>
          <w:rFonts w:asciiTheme="minorHAnsi" w:hAnsiTheme="minorHAnsi"/>
          <w:sz w:val="24"/>
          <w:szCs w:val="24"/>
        </w:rPr>
        <w:t xml:space="preserve"> capsules to the </w:t>
      </w:r>
      <w:proofErr w:type="spellStart"/>
      <w:r w:rsidR="00597FB2" w:rsidRPr="003E1218">
        <w:rPr>
          <w:rFonts w:asciiTheme="minorHAnsi" w:hAnsiTheme="minorHAnsi"/>
          <w:sz w:val="24"/>
          <w:szCs w:val="24"/>
        </w:rPr>
        <w:t>Braltus</w:t>
      </w:r>
      <w:proofErr w:type="spellEnd"/>
      <w:r w:rsidR="00FB5709">
        <w:rPr>
          <w:rFonts w:asciiTheme="minorHAnsi" w:hAnsiTheme="minorHAnsi"/>
          <w:sz w:val="24"/>
          <w:szCs w:val="24"/>
        </w:rPr>
        <w:t>®</w:t>
      </w:r>
      <w:r w:rsidR="00597FB2" w:rsidRPr="003E1218">
        <w:rPr>
          <w:rFonts w:asciiTheme="minorHAnsi" w:hAnsiTheme="minorHAnsi"/>
          <w:sz w:val="24"/>
          <w:szCs w:val="24"/>
        </w:rPr>
        <w:t xml:space="preserve"> brand</w:t>
      </w:r>
      <w:r w:rsidR="003E1218">
        <w:rPr>
          <w:rFonts w:asciiTheme="minorHAnsi" w:hAnsiTheme="minorHAnsi"/>
          <w:sz w:val="24"/>
          <w:szCs w:val="24"/>
        </w:rPr>
        <w:t>.</w:t>
      </w:r>
      <w:r w:rsidR="00775565">
        <w:rPr>
          <w:rStyle w:val="FootnoteReference"/>
          <w:rFonts w:asciiTheme="minorHAnsi" w:hAnsiTheme="minorHAnsi"/>
          <w:sz w:val="24"/>
          <w:szCs w:val="24"/>
        </w:rPr>
        <w:footnoteReference w:id="4"/>
      </w:r>
    </w:p>
    <w:p w14:paraId="5C39AD52" w14:textId="3908F3BA" w:rsidR="00FD73D2" w:rsidRPr="00655282" w:rsidRDefault="00680A0B" w:rsidP="00CF2114">
      <w:pPr>
        <w:pStyle w:val="ListParagraph"/>
        <w:widowControl/>
        <w:numPr>
          <w:ilvl w:val="1"/>
          <w:numId w:val="14"/>
        </w:numPr>
        <w:spacing w:before="120" w:after="120"/>
        <w:contextualSpacing w:val="0"/>
        <w:rPr>
          <w:rFonts w:asciiTheme="minorHAnsi" w:eastAsiaTheme="minorHAnsi" w:hAnsiTheme="minorHAnsi" w:cstheme="minorBidi"/>
        </w:rPr>
      </w:pPr>
      <w:r w:rsidRPr="00655282">
        <w:rPr>
          <w:rFonts w:asciiTheme="minorHAnsi" w:eastAsiaTheme="minorHAnsi" w:hAnsiTheme="minorHAnsi" w:cstheme="minorBidi"/>
          <w:snapToGrid/>
          <w:sz w:val="24"/>
          <w:szCs w:val="24"/>
        </w:rPr>
        <w:t xml:space="preserve">The minor submission </w:t>
      </w:r>
      <w:r w:rsidR="009A4B2C" w:rsidRPr="00655282">
        <w:rPr>
          <w:rFonts w:asciiTheme="minorHAnsi" w:eastAsiaTheme="minorHAnsi" w:hAnsiTheme="minorHAnsi" w:cstheme="minorBidi"/>
          <w:snapToGrid/>
          <w:sz w:val="24"/>
          <w:szCs w:val="24"/>
        </w:rPr>
        <w:t>argued that</w:t>
      </w:r>
      <w:r w:rsidRPr="00655282">
        <w:rPr>
          <w:rFonts w:asciiTheme="minorHAnsi" w:eastAsiaTheme="minorHAnsi" w:hAnsiTheme="minorHAnsi" w:cstheme="minorBidi"/>
          <w:snapToGrid/>
          <w:sz w:val="24"/>
          <w:szCs w:val="24"/>
        </w:rPr>
        <w:t xml:space="preserve"> </w:t>
      </w:r>
      <w:r w:rsidR="009A4B2C">
        <w:rPr>
          <w:rFonts w:asciiTheme="minorHAnsi" w:eastAsiaTheme="minorHAnsi" w:hAnsiTheme="minorHAnsi" w:cstheme="minorBidi"/>
          <w:snapToGrid/>
          <w:sz w:val="24"/>
          <w:szCs w:val="24"/>
        </w:rPr>
        <w:t xml:space="preserve">there are </w:t>
      </w:r>
      <w:r w:rsidR="00813745">
        <w:rPr>
          <w:rFonts w:asciiTheme="minorHAnsi" w:eastAsiaTheme="minorHAnsi" w:hAnsiTheme="minorHAnsi" w:cstheme="minorBidi"/>
          <w:snapToGrid/>
          <w:sz w:val="24"/>
          <w:szCs w:val="24"/>
        </w:rPr>
        <w:t xml:space="preserve">additional </w:t>
      </w:r>
      <w:r w:rsidR="009A4B2C" w:rsidRPr="00655282">
        <w:rPr>
          <w:rFonts w:asciiTheme="minorHAnsi" w:eastAsiaTheme="minorHAnsi" w:hAnsiTheme="minorHAnsi" w:cstheme="minorBidi"/>
          <w:snapToGrid/>
          <w:sz w:val="24"/>
          <w:szCs w:val="24"/>
        </w:rPr>
        <w:t xml:space="preserve">potential </w:t>
      </w:r>
      <w:r w:rsidRPr="00655282">
        <w:rPr>
          <w:rFonts w:asciiTheme="minorHAnsi" w:eastAsiaTheme="minorHAnsi" w:hAnsiTheme="minorHAnsi" w:cstheme="minorBidi"/>
          <w:snapToGrid/>
          <w:sz w:val="24"/>
          <w:szCs w:val="24"/>
        </w:rPr>
        <w:t xml:space="preserve">QUM issues </w:t>
      </w:r>
      <w:r w:rsidR="009A4B2C" w:rsidRPr="00655282">
        <w:rPr>
          <w:rFonts w:asciiTheme="minorHAnsi" w:eastAsiaTheme="minorHAnsi" w:hAnsiTheme="minorHAnsi" w:cstheme="minorBidi"/>
          <w:snapToGrid/>
          <w:sz w:val="24"/>
          <w:szCs w:val="24"/>
        </w:rPr>
        <w:t>for PBAC consideration of substitutability of Spiriva</w:t>
      </w:r>
      <w:r w:rsidR="009A4B2C">
        <w:rPr>
          <w:rFonts w:asciiTheme="minorHAnsi" w:eastAsiaTheme="minorHAnsi" w:hAnsiTheme="minorHAnsi" w:cstheme="minorBidi"/>
          <w:snapToGrid/>
          <w:sz w:val="24"/>
          <w:szCs w:val="24"/>
        </w:rPr>
        <w:t>®</w:t>
      </w:r>
      <w:r w:rsidR="009A4B2C" w:rsidRPr="00655282">
        <w:rPr>
          <w:rFonts w:asciiTheme="minorHAnsi" w:eastAsiaTheme="minorHAnsi" w:hAnsiTheme="minorHAnsi" w:cstheme="minorBidi"/>
          <w:snapToGrid/>
          <w:sz w:val="24"/>
          <w:szCs w:val="24"/>
        </w:rPr>
        <w:t xml:space="preserve"> capsules and </w:t>
      </w:r>
      <w:proofErr w:type="spellStart"/>
      <w:r w:rsidR="009A4B2C" w:rsidRPr="00655282">
        <w:rPr>
          <w:rFonts w:asciiTheme="minorHAnsi" w:eastAsiaTheme="minorHAnsi" w:hAnsiTheme="minorHAnsi" w:cstheme="minorBidi"/>
          <w:snapToGrid/>
          <w:sz w:val="24"/>
          <w:szCs w:val="24"/>
        </w:rPr>
        <w:t>Braltus</w:t>
      </w:r>
      <w:proofErr w:type="spellEnd"/>
      <w:r w:rsidR="009A4B2C">
        <w:rPr>
          <w:rFonts w:asciiTheme="minorHAnsi" w:eastAsiaTheme="minorHAnsi" w:hAnsiTheme="minorHAnsi" w:cstheme="minorBidi"/>
          <w:snapToGrid/>
          <w:sz w:val="24"/>
          <w:szCs w:val="24"/>
        </w:rPr>
        <w:t>®</w:t>
      </w:r>
      <w:r w:rsidR="009A4B2C" w:rsidRPr="00655282">
        <w:rPr>
          <w:rFonts w:asciiTheme="minorHAnsi" w:eastAsiaTheme="minorHAnsi" w:hAnsiTheme="minorHAnsi" w:cstheme="minorBidi"/>
          <w:snapToGrid/>
          <w:sz w:val="24"/>
          <w:szCs w:val="24"/>
        </w:rPr>
        <w:t xml:space="preserve"> capsules.</w:t>
      </w:r>
      <w:r w:rsidR="009A4B2C">
        <w:rPr>
          <w:rFonts w:asciiTheme="minorHAnsi" w:eastAsiaTheme="minorHAnsi" w:hAnsiTheme="minorHAnsi" w:cstheme="minorBidi"/>
          <w:snapToGrid/>
          <w:sz w:val="24"/>
          <w:szCs w:val="24"/>
        </w:rPr>
        <w:t xml:space="preserve"> </w:t>
      </w:r>
      <w:r w:rsidR="009A4B2C" w:rsidRPr="00655282">
        <w:rPr>
          <w:rFonts w:asciiTheme="minorHAnsi" w:eastAsiaTheme="minorHAnsi" w:hAnsiTheme="minorHAnsi" w:cstheme="minorBidi"/>
          <w:sz w:val="24"/>
          <w:szCs w:val="24"/>
        </w:rPr>
        <w:t xml:space="preserve">The minor submission noted that </w:t>
      </w:r>
      <w:proofErr w:type="spellStart"/>
      <w:r w:rsidR="009A4B2C" w:rsidRPr="00655282">
        <w:rPr>
          <w:rFonts w:asciiTheme="minorHAnsi" w:eastAsiaTheme="minorHAnsi" w:hAnsiTheme="minorHAnsi" w:cstheme="minorBidi"/>
          <w:sz w:val="24"/>
          <w:szCs w:val="24"/>
        </w:rPr>
        <w:t>Braltus</w:t>
      </w:r>
      <w:proofErr w:type="spellEnd"/>
      <w:r w:rsidR="009A4B2C" w:rsidRPr="00655282">
        <w:rPr>
          <w:rFonts w:asciiTheme="minorHAnsi" w:eastAsiaTheme="minorHAnsi" w:hAnsiTheme="minorHAnsi" w:cstheme="minorBidi"/>
          <w:sz w:val="24"/>
          <w:szCs w:val="24"/>
        </w:rPr>
        <w:t xml:space="preserve">® </w:t>
      </w:r>
      <w:proofErr w:type="gramStart"/>
      <w:r w:rsidR="009A4B2C" w:rsidRPr="00655282">
        <w:rPr>
          <w:rFonts w:asciiTheme="minorHAnsi" w:eastAsiaTheme="minorHAnsi" w:hAnsiTheme="minorHAnsi" w:cstheme="minorBidi"/>
          <w:sz w:val="24"/>
          <w:szCs w:val="24"/>
        </w:rPr>
        <w:t>is delivered</w:t>
      </w:r>
      <w:proofErr w:type="gramEnd"/>
      <w:r w:rsidR="009A4B2C" w:rsidRPr="00655282">
        <w:rPr>
          <w:rFonts w:asciiTheme="minorHAnsi" w:eastAsiaTheme="minorHAnsi" w:hAnsiTheme="minorHAnsi" w:cstheme="minorBidi"/>
          <w:sz w:val="24"/>
          <w:szCs w:val="24"/>
        </w:rPr>
        <w:t xml:space="preserve"> via a </w:t>
      </w:r>
      <w:proofErr w:type="spellStart"/>
      <w:r w:rsidR="009A4B2C" w:rsidRPr="00655282">
        <w:rPr>
          <w:rFonts w:asciiTheme="minorHAnsi" w:eastAsiaTheme="minorHAnsi" w:hAnsiTheme="minorHAnsi" w:cstheme="minorBidi"/>
          <w:sz w:val="24"/>
          <w:szCs w:val="24"/>
        </w:rPr>
        <w:t>Zonda</w:t>
      </w:r>
      <w:proofErr w:type="spellEnd"/>
      <w:r w:rsidR="009A4B2C" w:rsidRPr="00655282">
        <w:rPr>
          <w:rFonts w:asciiTheme="minorHAnsi" w:eastAsiaTheme="minorHAnsi" w:hAnsiTheme="minorHAnsi" w:cstheme="minorBidi"/>
          <w:sz w:val="24"/>
          <w:szCs w:val="24"/>
        </w:rPr>
        <w:t>® device whereas Sp</w:t>
      </w:r>
      <w:r w:rsidR="00D478EC">
        <w:rPr>
          <w:rFonts w:asciiTheme="minorHAnsi" w:eastAsiaTheme="minorHAnsi" w:hAnsiTheme="minorHAnsi" w:cstheme="minorBidi"/>
          <w:sz w:val="24"/>
          <w:szCs w:val="24"/>
        </w:rPr>
        <w:t xml:space="preserve">iriva® is delivered via a </w:t>
      </w:r>
      <w:proofErr w:type="spellStart"/>
      <w:r w:rsidR="00D478EC">
        <w:rPr>
          <w:rFonts w:asciiTheme="minorHAnsi" w:eastAsiaTheme="minorHAnsi" w:hAnsiTheme="minorHAnsi" w:cstheme="minorBidi"/>
          <w:sz w:val="24"/>
          <w:szCs w:val="24"/>
        </w:rPr>
        <w:t>HandiH</w:t>
      </w:r>
      <w:r w:rsidR="007C2372" w:rsidRPr="00655282">
        <w:rPr>
          <w:rFonts w:asciiTheme="minorHAnsi" w:eastAsiaTheme="minorHAnsi" w:hAnsiTheme="minorHAnsi" w:cstheme="minorBidi"/>
          <w:sz w:val="24"/>
          <w:szCs w:val="24"/>
        </w:rPr>
        <w:t>aler</w:t>
      </w:r>
      <w:proofErr w:type="spellEnd"/>
      <w:r w:rsidR="007C2372">
        <w:rPr>
          <w:rFonts w:asciiTheme="minorHAnsi" w:eastAsiaTheme="minorHAnsi" w:hAnsiTheme="minorHAnsi" w:cstheme="minorBidi"/>
          <w:sz w:val="24"/>
          <w:szCs w:val="24"/>
        </w:rPr>
        <w:t>®</w:t>
      </w:r>
      <w:r w:rsidR="007C2372" w:rsidRPr="00655282">
        <w:rPr>
          <w:rFonts w:asciiTheme="minorHAnsi" w:eastAsiaTheme="minorHAnsi" w:hAnsiTheme="minorHAnsi" w:cstheme="minorBidi"/>
          <w:sz w:val="24"/>
          <w:szCs w:val="24"/>
        </w:rPr>
        <w:t xml:space="preserve"> device</w:t>
      </w:r>
      <w:r w:rsidR="009A4B2C" w:rsidRPr="00655282">
        <w:rPr>
          <w:rFonts w:asciiTheme="minorHAnsi" w:eastAsiaTheme="minorHAnsi" w:hAnsiTheme="minorHAnsi" w:cstheme="minorBidi"/>
          <w:sz w:val="24"/>
          <w:szCs w:val="24"/>
        </w:rPr>
        <w:t xml:space="preserve">. </w:t>
      </w:r>
      <w:r w:rsidR="009A4B2C" w:rsidRPr="00E94F47">
        <w:rPr>
          <w:rFonts w:asciiTheme="minorHAnsi" w:eastAsiaTheme="minorHAnsi" w:hAnsiTheme="minorHAnsi" w:cstheme="minorBidi"/>
          <w:sz w:val="24"/>
          <w:szCs w:val="24"/>
        </w:rPr>
        <w:t xml:space="preserve">The Secretariat noted that the operational steps of each device are similar. </w:t>
      </w:r>
      <w:r w:rsidR="009A4B2C" w:rsidRPr="00655282">
        <w:rPr>
          <w:rFonts w:asciiTheme="minorHAnsi" w:eastAsiaTheme="minorHAnsi" w:hAnsiTheme="minorHAnsi" w:cstheme="minorBidi"/>
          <w:snapToGrid/>
          <w:sz w:val="24"/>
          <w:szCs w:val="24"/>
        </w:rPr>
        <w:t xml:space="preserve">The </w:t>
      </w:r>
      <w:r w:rsidR="00BD2A72">
        <w:rPr>
          <w:rFonts w:asciiTheme="minorHAnsi" w:eastAsiaTheme="minorHAnsi" w:hAnsiTheme="minorHAnsi" w:cstheme="minorBidi"/>
          <w:snapToGrid/>
          <w:sz w:val="24"/>
          <w:szCs w:val="24"/>
        </w:rPr>
        <w:t xml:space="preserve">minor submission highlighted that the </w:t>
      </w:r>
      <w:proofErr w:type="spellStart"/>
      <w:r w:rsidR="009A4B2C" w:rsidRPr="00655282">
        <w:rPr>
          <w:rFonts w:asciiTheme="minorHAnsi" w:eastAsiaTheme="minorHAnsi" w:hAnsiTheme="minorHAnsi" w:cstheme="minorBidi"/>
          <w:snapToGrid/>
          <w:sz w:val="24"/>
          <w:szCs w:val="24"/>
        </w:rPr>
        <w:t>HandiHaler</w:t>
      </w:r>
      <w:proofErr w:type="spellEnd"/>
      <w:r w:rsidR="007C2372">
        <w:rPr>
          <w:rFonts w:asciiTheme="minorHAnsi" w:eastAsiaTheme="minorHAnsi" w:hAnsiTheme="minorHAnsi" w:cstheme="minorBidi"/>
          <w:snapToGrid/>
          <w:sz w:val="24"/>
          <w:szCs w:val="24"/>
        </w:rPr>
        <w:t>®</w:t>
      </w:r>
      <w:r w:rsidR="009A4B2C" w:rsidRPr="00655282">
        <w:rPr>
          <w:rFonts w:asciiTheme="minorHAnsi" w:eastAsiaTheme="minorHAnsi" w:hAnsiTheme="minorHAnsi" w:cstheme="minorBidi"/>
          <w:snapToGrid/>
          <w:sz w:val="24"/>
          <w:szCs w:val="24"/>
        </w:rPr>
        <w:t xml:space="preserve"> device </w:t>
      </w:r>
      <w:proofErr w:type="gramStart"/>
      <w:r w:rsidR="009A4B2C" w:rsidRPr="00655282">
        <w:rPr>
          <w:rFonts w:asciiTheme="minorHAnsi" w:eastAsiaTheme="minorHAnsi" w:hAnsiTheme="minorHAnsi" w:cstheme="minorBidi"/>
          <w:snapToGrid/>
          <w:sz w:val="24"/>
          <w:szCs w:val="24"/>
        </w:rPr>
        <w:t>can be reused</w:t>
      </w:r>
      <w:proofErr w:type="gramEnd"/>
      <w:r w:rsidR="009A4B2C" w:rsidRPr="00655282">
        <w:rPr>
          <w:rFonts w:asciiTheme="minorHAnsi" w:eastAsiaTheme="minorHAnsi" w:hAnsiTheme="minorHAnsi" w:cstheme="minorBidi"/>
          <w:snapToGrid/>
          <w:sz w:val="24"/>
          <w:szCs w:val="24"/>
        </w:rPr>
        <w:t xml:space="preserve"> whereas the </w:t>
      </w:r>
      <w:proofErr w:type="spellStart"/>
      <w:r w:rsidR="009A4B2C" w:rsidRPr="00655282">
        <w:rPr>
          <w:rFonts w:asciiTheme="minorHAnsi" w:eastAsiaTheme="minorHAnsi" w:hAnsiTheme="minorHAnsi" w:cstheme="minorBidi"/>
          <w:snapToGrid/>
          <w:sz w:val="24"/>
          <w:szCs w:val="24"/>
        </w:rPr>
        <w:t>Zonda</w:t>
      </w:r>
      <w:proofErr w:type="spellEnd"/>
      <w:r w:rsidR="007C2372">
        <w:rPr>
          <w:rFonts w:asciiTheme="minorHAnsi" w:eastAsiaTheme="minorHAnsi" w:hAnsiTheme="minorHAnsi" w:cstheme="minorBidi"/>
          <w:snapToGrid/>
          <w:sz w:val="24"/>
          <w:szCs w:val="24"/>
        </w:rPr>
        <w:t>®</w:t>
      </w:r>
      <w:r w:rsidR="007C2372" w:rsidRPr="00655282">
        <w:rPr>
          <w:rFonts w:asciiTheme="minorHAnsi" w:eastAsiaTheme="minorHAnsi" w:hAnsiTheme="minorHAnsi" w:cstheme="minorBidi"/>
          <w:snapToGrid/>
          <w:sz w:val="24"/>
          <w:szCs w:val="24"/>
        </w:rPr>
        <w:t xml:space="preserve"> device</w:t>
      </w:r>
      <w:r w:rsidR="009A4B2C" w:rsidRPr="00655282">
        <w:rPr>
          <w:rFonts w:asciiTheme="minorHAnsi" w:eastAsiaTheme="minorHAnsi" w:hAnsiTheme="minorHAnsi" w:cstheme="minorBidi"/>
          <w:snapToGrid/>
          <w:sz w:val="24"/>
          <w:szCs w:val="24"/>
        </w:rPr>
        <w:t xml:space="preserve"> should be discarded after 30 uses.</w:t>
      </w:r>
      <w:r w:rsidR="007C2372">
        <w:rPr>
          <w:rFonts w:asciiTheme="minorHAnsi" w:eastAsiaTheme="minorHAnsi" w:hAnsiTheme="minorHAnsi" w:cstheme="minorBidi"/>
          <w:snapToGrid/>
          <w:sz w:val="24"/>
          <w:szCs w:val="24"/>
        </w:rPr>
        <w:t xml:space="preserve"> </w:t>
      </w:r>
      <w:r w:rsidR="00BD2A72">
        <w:rPr>
          <w:rFonts w:asciiTheme="minorHAnsi" w:eastAsiaTheme="minorHAnsi" w:hAnsiTheme="minorHAnsi" w:cstheme="minorHAnsi"/>
          <w:snapToGrid/>
          <w:sz w:val="24"/>
          <w:szCs w:val="24"/>
        </w:rPr>
        <w:t>The minor submission stated</w:t>
      </w:r>
      <w:r w:rsidR="007C2372" w:rsidRPr="00655282">
        <w:rPr>
          <w:rFonts w:asciiTheme="minorHAnsi" w:eastAsiaTheme="minorHAnsi" w:hAnsiTheme="minorHAnsi" w:cstheme="minorHAnsi"/>
          <w:snapToGrid/>
          <w:sz w:val="24"/>
          <w:szCs w:val="24"/>
        </w:rPr>
        <w:t xml:space="preserve"> that </w:t>
      </w:r>
      <w:r w:rsidR="004540D2">
        <w:rPr>
          <w:rFonts w:asciiTheme="minorHAnsi" w:eastAsiaTheme="minorHAnsi" w:hAnsiTheme="minorHAnsi" w:cstheme="minorHAnsi"/>
          <w:snapToGrid/>
          <w:sz w:val="24"/>
          <w:szCs w:val="24"/>
        </w:rPr>
        <w:t>‘</w:t>
      </w:r>
      <w:r w:rsidR="007C2372" w:rsidRPr="00655282">
        <w:rPr>
          <w:rFonts w:asciiTheme="minorHAnsi" w:hAnsiTheme="minorHAnsi" w:cstheme="minorHAnsi"/>
          <w:sz w:val="24"/>
          <w:szCs w:val="24"/>
        </w:rPr>
        <w:t>a concerning issue is that patients with COPD may attempt to use Spiriva</w:t>
      </w:r>
      <w:r w:rsidR="007C2372">
        <w:rPr>
          <w:rFonts w:asciiTheme="minorHAnsi" w:hAnsiTheme="minorHAnsi" w:cstheme="minorHAnsi"/>
          <w:sz w:val="24"/>
          <w:szCs w:val="24"/>
        </w:rPr>
        <w:t>®</w:t>
      </w:r>
      <w:r w:rsidR="007C2372" w:rsidRPr="00655282">
        <w:rPr>
          <w:rFonts w:asciiTheme="minorHAnsi" w:hAnsiTheme="minorHAnsi" w:cstheme="minorHAnsi"/>
          <w:sz w:val="24"/>
          <w:szCs w:val="24"/>
        </w:rPr>
        <w:t xml:space="preserve"> capsules in the </w:t>
      </w:r>
      <w:proofErr w:type="spellStart"/>
      <w:r w:rsidR="007C2372" w:rsidRPr="00655282">
        <w:rPr>
          <w:rFonts w:asciiTheme="minorHAnsi" w:hAnsiTheme="minorHAnsi" w:cstheme="minorHAnsi"/>
          <w:sz w:val="24"/>
          <w:szCs w:val="24"/>
        </w:rPr>
        <w:t>Zonda</w:t>
      </w:r>
      <w:proofErr w:type="spellEnd"/>
      <w:r w:rsidR="007C2372">
        <w:rPr>
          <w:rFonts w:asciiTheme="minorHAnsi" w:hAnsiTheme="minorHAnsi" w:cstheme="minorHAnsi"/>
          <w:sz w:val="24"/>
          <w:szCs w:val="24"/>
        </w:rPr>
        <w:t>®</w:t>
      </w:r>
      <w:r w:rsidR="007C2372" w:rsidRPr="00655282">
        <w:rPr>
          <w:rFonts w:asciiTheme="minorHAnsi" w:hAnsiTheme="minorHAnsi" w:cstheme="minorHAnsi"/>
          <w:sz w:val="24"/>
          <w:szCs w:val="24"/>
        </w:rPr>
        <w:t xml:space="preserve"> device or </w:t>
      </w:r>
      <w:proofErr w:type="spellStart"/>
      <w:r w:rsidR="007C2372" w:rsidRPr="00655282">
        <w:rPr>
          <w:rFonts w:asciiTheme="minorHAnsi" w:hAnsiTheme="minorHAnsi" w:cstheme="minorHAnsi"/>
          <w:sz w:val="24"/>
          <w:szCs w:val="24"/>
        </w:rPr>
        <w:t>Braltus</w:t>
      </w:r>
      <w:proofErr w:type="spellEnd"/>
      <w:r w:rsidR="007C2372">
        <w:rPr>
          <w:rFonts w:asciiTheme="minorHAnsi" w:hAnsiTheme="minorHAnsi" w:cstheme="minorHAnsi"/>
          <w:sz w:val="24"/>
          <w:szCs w:val="24"/>
        </w:rPr>
        <w:t>®</w:t>
      </w:r>
      <w:r w:rsidR="007C2372" w:rsidRPr="00655282">
        <w:rPr>
          <w:rFonts w:asciiTheme="minorHAnsi" w:hAnsiTheme="minorHAnsi" w:cstheme="minorHAnsi"/>
          <w:sz w:val="24"/>
          <w:szCs w:val="24"/>
        </w:rPr>
        <w:t xml:space="preserve"> capsules in the </w:t>
      </w:r>
      <w:proofErr w:type="spellStart"/>
      <w:r w:rsidR="007C2372" w:rsidRPr="00655282">
        <w:rPr>
          <w:rFonts w:asciiTheme="minorHAnsi" w:hAnsiTheme="minorHAnsi" w:cstheme="minorHAnsi"/>
          <w:sz w:val="24"/>
          <w:szCs w:val="24"/>
        </w:rPr>
        <w:t>HandiHaler</w:t>
      </w:r>
      <w:proofErr w:type="spellEnd"/>
      <w:r w:rsidR="007C2372">
        <w:rPr>
          <w:rFonts w:asciiTheme="minorHAnsi" w:hAnsiTheme="minorHAnsi" w:cstheme="minorHAnsi"/>
          <w:sz w:val="24"/>
          <w:szCs w:val="24"/>
        </w:rPr>
        <w:t>®</w:t>
      </w:r>
      <w:r w:rsidR="007C2372" w:rsidRPr="00655282">
        <w:rPr>
          <w:rFonts w:asciiTheme="minorHAnsi" w:hAnsiTheme="minorHAnsi" w:cstheme="minorHAnsi"/>
          <w:sz w:val="24"/>
          <w:szCs w:val="24"/>
        </w:rPr>
        <w:t xml:space="preserve"> device</w:t>
      </w:r>
      <w:r w:rsidR="004540D2">
        <w:rPr>
          <w:rFonts w:asciiTheme="minorHAnsi" w:hAnsiTheme="minorHAnsi" w:cstheme="minorHAnsi"/>
          <w:sz w:val="24"/>
          <w:szCs w:val="24"/>
        </w:rPr>
        <w:t>’</w:t>
      </w:r>
      <w:r w:rsidR="007C2372" w:rsidRPr="00655282">
        <w:rPr>
          <w:rFonts w:asciiTheme="minorHAnsi" w:hAnsiTheme="minorHAnsi" w:cstheme="minorHAnsi"/>
          <w:sz w:val="24"/>
          <w:szCs w:val="24"/>
        </w:rPr>
        <w:t>.</w:t>
      </w:r>
      <w:r w:rsidR="00BD2A72">
        <w:rPr>
          <w:rFonts w:asciiTheme="minorHAnsi" w:hAnsiTheme="minorHAnsi" w:cstheme="minorHAnsi"/>
          <w:sz w:val="24"/>
          <w:szCs w:val="24"/>
        </w:rPr>
        <w:t xml:space="preserve"> The minor submission </w:t>
      </w:r>
      <w:r w:rsidR="00580EEF">
        <w:rPr>
          <w:rFonts w:asciiTheme="minorHAnsi" w:hAnsiTheme="minorHAnsi" w:cstheme="minorHAnsi"/>
          <w:sz w:val="24"/>
          <w:szCs w:val="24"/>
        </w:rPr>
        <w:t xml:space="preserve">argued </w:t>
      </w:r>
      <w:r w:rsidR="004B7FC2">
        <w:rPr>
          <w:rFonts w:asciiTheme="minorHAnsi" w:hAnsiTheme="minorHAnsi" w:cstheme="minorHAnsi"/>
          <w:sz w:val="24"/>
          <w:szCs w:val="24"/>
        </w:rPr>
        <w:t>that switching patients from one inhaled drug to another delivered by a different inhaler may have a negative impact on patient adherence and ultimately disease control.</w:t>
      </w:r>
      <w:r w:rsidR="003B173A">
        <w:rPr>
          <w:rStyle w:val="FootnoteReference"/>
          <w:rFonts w:asciiTheme="minorHAnsi" w:hAnsiTheme="minorHAnsi" w:cstheme="minorHAnsi"/>
          <w:sz w:val="24"/>
          <w:szCs w:val="24"/>
        </w:rPr>
        <w:footnoteReference w:id="5"/>
      </w:r>
      <w:r w:rsidR="00511126">
        <w:rPr>
          <w:rFonts w:asciiTheme="minorHAnsi" w:hAnsiTheme="minorHAnsi" w:cstheme="minorHAnsi"/>
          <w:sz w:val="24"/>
          <w:szCs w:val="24"/>
          <w:vertAlign w:val="superscript"/>
        </w:rPr>
        <w:t>,</w:t>
      </w:r>
      <w:r w:rsidR="00511126">
        <w:rPr>
          <w:rStyle w:val="FootnoteReference"/>
          <w:rFonts w:asciiTheme="minorHAnsi" w:hAnsiTheme="minorHAnsi" w:cstheme="minorHAnsi"/>
          <w:sz w:val="24"/>
          <w:szCs w:val="24"/>
        </w:rPr>
        <w:footnoteReference w:id="6"/>
      </w:r>
      <w:r w:rsidR="00511126">
        <w:rPr>
          <w:rFonts w:asciiTheme="minorHAnsi" w:hAnsiTheme="minorHAnsi" w:cstheme="minorHAnsi"/>
          <w:sz w:val="24"/>
          <w:szCs w:val="24"/>
        </w:rPr>
        <w:t xml:space="preserve"> The minor submission proposed that differences in each of the inhaler designs may lead to potential handling errors or differences in taste and sensation. </w:t>
      </w:r>
      <w:r w:rsidR="001F6273">
        <w:rPr>
          <w:rFonts w:asciiTheme="minorHAnsi" w:hAnsiTheme="minorHAnsi" w:cstheme="minorHAnsi"/>
          <w:sz w:val="24"/>
          <w:szCs w:val="24"/>
        </w:rPr>
        <w:t xml:space="preserve">The minor submission stated that patients need to be trained on any new devices received as a result of switching especially when a prescriber is not consulted, i.e. where </w:t>
      </w:r>
      <w:r w:rsidR="007C30DA">
        <w:rPr>
          <w:rFonts w:asciiTheme="minorHAnsi" w:hAnsiTheme="minorHAnsi" w:cstheme="minorHAnsi"/>
          <w:sz w:val="24"/>
          <w:szCs w:val="24"/>
        </w:rPr>
        <w:t>products are ‘a’ flagged</w:t>
      </w:r>
      <w:r w:rsidR="001F6273">
        <w:rPr>
          <w:rFonts w:asciiTheme="minorHAnsi" w:hAnsiTheme="minorHAnsi" w:cstheme="minorHAnsi"/>
          <w:sz w:val="24"/>
          <w:szCs w:val="24"/>
        </w:rPr>
        <w:t>.</w:t>
      </w:r>
      <w:r w:rsidR="00485E61">
        <w:rPr>
          <w:rStyle w:val="FootnoteReference"/>
          <w:rFonts w:asciiTheme="minorHAnsi" w:hAnsiTheme="minorHAnsi" w:cstheme="minorHAnsi"/>
          <w:sz w:val="24"/>
          <w:szCs w:val="24"/>
        </w:rPr>
        <w:footnoteReference w:id="7"/>
      </w:r>
      <w:r w:rsidR="001F6273">
        <w:rPr>
          <w:rFonts w:asciiTheme="minorHAnsi" w:hAnsiTheme="minorHAnsi" w:cstheme="minorHAnsi"/>
          <w:sz w:val="24"/>
          <w:szCs w:val="24"/>
        </w:rPr>
        <w:t xml:space="preserve"> </w:t>
      </w:r>
    </w:p>
    <w:p w14:paraId="4D7EAAF5" w14:textId="77777777" w:rsidR="007B2E28" w:rsidRDefault="00FD73D2" w:rsidP="00CF2114">
      <w:pPr>
        <w:pStyle w:val="ListParagraph"/>
        <w:widowControl/>
        <w:numPr>
          <w:ilvl w:val="1"/>
          <w:numId w:val="14"/>
        </w:numPr>
        <w:spacing w:before="120" w:after="120"/>
        <w:contextualSpacing w:val="0"/>
        <w:rPr>
          <w:rFonts w:asciiTheme="minorHAnsi" w:eastAsiaTheme="minorHAnsi" w:hAnsiTheme="minorHAnsi" w:cstheme="minorBidi"/>
          <w:snapToGrid/>
          <w:sz w:val="24"/>
          <w:szCs w:val="24"/>
        </w:rPr>
      </w:pPr>
      <w:r>
        <w:rPr>
          <w:rFonts w:asciiTheme="minorHAnsi" w:eastAsiaTheme="minorHAnsi" w:hAnsiTheme="minorHAnsi" w:cstheme="minorBidi"/>
          <w:snapToGrid/>
          <w:sz w:val="24"/>
          <w:szCs w:val="24"/>
        </w:rPr>
        <w:t xml:space="preserve">The minor submission </w:t>
      </w:r>
      <w:r w:rsidR="001F6273">
        <w:rPr>
          <w:rFonts w:asciiTheme="minorHAnsi" w:eastAsiaTheme="minorHAnsi" w:hAnsiTheme="minorHAnsi" w:cstheme="minorBidi"/>
          <w:snapToGrid/>
          <w:sz w:val="24"/>
          <w:szCs w:val="24"/>
        </w:rPr>
        <w:t>noted that t</w:t>
      </w:r>
      <w:r>
        <w:rPr>
          <w:rFonts w:asciiTheme="minorHAnsi" w:eastAsiaTheme="minorHAnsi" w:hAnsiTheme="minorHAnsi" w:cstheme="minorBidi"/>
          <w:snapToGrid/>
          <w:sz w:val="24"/>
          <w:szCs w:val="24"/>
        </w:rPr>
        <w:t xml:space="preserve">he two capsules are presented differently i.e. </w:t>
      </w:r>
      <w:proofErr w:type="spellStart"/>
      <w:r>
        <w:rPr>
          <w:rFonts w:asciiTheme="minorHAnsi" w:eastAsiaTheme="minorHAnsi" w:hAnsiTheme="minorHAnsi" w:cstheme="minorBidi"/>
          <w:snapToGrid/>
          <w:sz w:val="24"/>
          <w:szCs w:val="24"/>
        </w:rPr>
        <w:t>B</w:t>
      </w:r>
      <w:r w:rsidR="00D478EC">
        <w:rPr>
          <w:rFonts w:asciiTheme="minorHAnsi" w:eastAsiaTheme="minorHAnsi" w:hAnsiTheme="minorHAnsi" w:cstheme="minorBidi"/>
          <w:snapToGrid/>
          <w:sz w:val="24"/>
          <w:szCs w:val="24"/>
        </w:rPr>
        <w:t>r</w:t>
      </w:r>
      <w:r>
        <w:rPr>
          <w:rFonts w:asciiTheme="minorHAnsi" w:eastAsiaTheme="minorHAnsi" w:hAnsiTheme="minorHAnsi" w:cstheme="minorBidi"/>
          <w:snapToGrid/>
          <w:sz w:val="24"/>
          <w:szCs w:val="24"/>
        </w:rPr>
        <w:t>altus</w:t>
      </w:r>
      <w:proofErr w:type="spellEnd"/>
      <w:r w:rsidR="00BD2A72">
        <w:rPr>
          <w:rFonts w:asciiTheme="minorHAnsi" w:eastAsiaTheme="minorHAnsi" w:hAnsiTheme="minorHAnsi" w:cstheme="minorBidi"/>
          <w:snapToGrid/>
          <w:sz w:val="24"/>
          <w:szCs w:val="24"/>
        </w:rPr>
        <w:t>®</w:t>
      </w:r>
      <w:r>
        <w:rPr>
          <w:rFonts w:asciiTheme="minorHAnsi" w:eastAsiaTheme="minorHAnsi" w:hAnsiTheme="minorHAnsi" w:cstheme="minorBidi"/>
          <w:snapToGrid/>
          <w:sz w:val="24"/>
          <w:szCs w:val="24"/>
        </w:rPr>
        <w:t xml:space="preserve"> capsules are presented in </w:t>
      </w:r>
      <w:proofErr w:type="gramStart"/>
      <w:r>
        <w:rPr>
          <w:rFonts w:asciiTheme="minorHAnsi" w:eastAsiaTheme="minorHAnsi" w:hAnsiTheme="minorHAnsi" w:cstheme="minorBidi"/>
          <w:snapToGrid/>
          <w:sz w:val="24"/>
          <w:szCs w:val="24"/>
        </w:rPr>
        <w:t>high density</w:t>
      </w:r>
      <w:proofErr w:type="gramEnd"/>
      <w:r>
        <w:rPr>
          <w:rFonts w:asciiTheme="minorHAnsi" w:eastAsiaTheme="minorHAnsi" w:hAnsiTheme="minorHAnsi" w:cstheme="minorBidi"/>
          <w:snapToGrid/>
          <w:sz w:val="24"/>
          <w:szCs w:val="24"/>
        </w:rPr>
        <w:t xml:space="preserve"> polyethylene bottles whereas Spiriva</w:t>
      </w:r>
      <w:r w:rsidR="00BD2A72">
        <w:rPr>
          <w:rFonts w:asciiTheme="minorHAnsi" w:eastAsiaTheme="minorHAnsi" w:hAnsiTheme="minorHAnsi" w:cstheme="minorBidi"/>
          <w:snapToGrid/>
          <w:sz w:val="24"/>
          <w:szCs w:val="24"/>
        </w:rPr>
        <w:t>®</w:t>
      </w:r>
      <w:r>
        <w:rPr>
          <w:rFonts w:asciiTheme="minorHAnsi" w:eastAsiaTheme="minorHAnsi" w:hAnsiTheme="minorHAnsi" w:cstheme="minorBidi"/>
          <w:snapToGrid/>
          <w:sz w:val="24"/>
          <w:szCs w:val="24"/>
        </w:rPr>
        <w:t xml:space="preserve"> capsules a</w:t>
      </w:r>
      <w:r w:rsidR="00E012B7">
        <w:rPr>
          <w:rFonts w:asciiTheme="minorHAnsi" w:eastAsiaTheme="minorHAnsi" w:hAnsiTheme="minorHAnsi" w:cstheme="minorBidi"/>
          <w:snapToGrid/>
          <w:sz w:val="24"/>
          <w:szCs w:val="24"/>
        </w:rPr>
        <w:t>re presented in blister packs</w:t>
      </w:r>
      <w:r w:rsidR="00442E92">
        <w:rPr>
          <w:rFonts w:asciiTheme="minorHAnsi" w:eastAsiaTheme="minorHAnsi" w:hAnsiTheme="minorHAnsi" w:cstheme="minorBidi"/>
          <w:snapToGrid/>
          <w:sz w:val="24"/>
          <w:szCs w:val="24"/>
        </w:rPr>
        <w:t xml:space="preserve">. The minor submission reported on </w:t>
      </w:r>
      <w:r w:rsidR="00E012B7">
        <w:rPr>
          <w:rFonts w:asciiTheme="minorHAnsi" w:eastAsiaTheme="minorHAnsi" w:hAnsiTheme="minorHAnsi" w:cstheme="minorBidi"/>
          <w:snapToGrid/>
          <w:sz w:val="24"/>
          <w:szCs w:val="24"/>
        </w:rPr>
        <w:t xml:space="preserve">a Spiriva® sponsor funded study that </w:t>
      </w:r>
      <w:r w:rsidR="00B91B14">
        <w:rPr>
          <w:rFonts w:asciiTheme="minorHAnsi" w:eastAsiaTheme="minorHAnsi" w:hAnsiTheme="minorHAnsi" w:cstheme="minorBidi"/>
          <w:snapToGrid/>
          <w:sz w:val="24"/>
          <w:szCs w:val="24"/>
        </w:rPr>
        <w:t>investigated the i</w:t>
      </w:r>
      <w:r w:rsidR="00A107BB">
        <w:rPr>
          <w:rFonts w:asciiTheme="minorHAnsi" w:eastAsiaTheme="minorHAnsi" w:hAnsiTheme="minorHAnsi" w:cstheme="minorBidi"/>
          <w:snapToGrid/>
          <w:sz w:val="24"/>
          <w:szCs w:val="24"/>
        </w:rPr>
        <w:t xml:space="preserve">mpact of air exposure resulting </w:t>
      </w:r>
      <w:r w:rsidR="00B91B14">
        <w:rPr>
          <w:rFonts w:asciiTheme="minorHAnsi" w:eastAsiaTheme="minorHAnsi" w:hAnsiTheme="minorHAnsi" w:cstheme="minorBidi"/>
          <w:snapToGrid/>
          <w:sz w:val="24"/>
          <w:szCs w:val="24"/>
        </w:rPr>
        <w:t xml:space="preserve">from potential storage errors </w:t>
      </w:r>
      <w:r w:rsidR="00442E92">
        <w:rPr>
          <w:rFonts w:asciiTheme="minorHAnsi" w:eastAsiaTheme="minorHAnsi" w:hAnsiTheme="minorHAnsi" w:cstheme="minorBidi"/>
          <w:snapToGrid/>
          <w:sz w:val="24"/>
          <w:szCs w:val="24"/>
        </w:rPr>
        <w:t xml:space="preserve">(e.g. capsules stored in a pill box or not closing the bottle correctly) </w:t>
      </w:r>
      <w:r w:rsidR="00B91B14">
        <w:rPr>
          <w:rFonts w:asciiTheme="minorHAnsi" w:eastAsiaTheme="minorHAnsi" w:hAnsiTheme="minorHAnsi" w:cstheme="minorBidi"/>
          <w:snapToGrid/>
          <w:sz w:val="24"/>
          <w:szCs w:val="24"/>
        </w:rPr>
        <w:t>for the two different types of packaging.</w:t>
      </w:r>
      <w:r w:rsidR="0062088B">
        <w:rPr>
          <w:rStyle w:val="FootnoteReference"/>
          <w:rFonts w:asciiTheme="minorHAnsi" w:eastAsiaTheme="minorHAnsi" w:hAnsiTheme="minorHAnsi" w:cstheme="minorBidi"/>
          <w:snapToGrid/>
          <w:sz w:val="24"/>
          <w:szCs w:val="24"/>
        </w:rPr>
        <w:footnoteReference w:id="8"/>
      </w:r>
      <w:r w:rsidR="00B91B14">
        <w:rPr>
          <w:rFonts w:asciiTheme="minorHAnsi" w:eastAsiaTheme="minorHAnsi" w:hAnsiTheme="minorHAnsi" w:cstheme="minorBidi"/>
          <w:snapToGrid/>
          <w:sz w:val="24"/>
          <w:szCs w:val="24"/>
        </w:rPr>
        <w:t xml:space="preserve"> </w:t>
      </w:r>
      <w:r w:rsidR="00A107BB">
        <w:rPr>
          <w:rFonts w:asciiTheme="minorHAnsi" w:eastAsiaTheme="minorHAnsi" w:hAnsiTheme="minorHAnsi" w:cstheme="minorBidi"/>
          <w:snapToGrid/>
          <w:sz w:val="24"/>
          <w:szCs w:val="24"/>
        </w:rPr>
        <w:t>The impact was evaluated in vitro using fine part</w:t>
      </w:r>
      <w:r w:rsidR="00035F9B">
        <w:rPr>
          <w:rFonts w:asciiTheme="minorHAnsi" w:eastAsiaTheme="minorHAnsi" w:hAnsiTheme="minorHAnsi" w:cstheme="minorBidi"/>
          <w:snapToGrid/>
          <w:sz w:val="24"/>
          <w:szCs w:val="24"/>
        </w:rPr>
        <w:t xml:space="preserve">icle dose (FPD). </w:t>
      </w:r>
      <w:r w:rsidR="00A107BB">
        <w:rPr>
          <w:rFonts w:asciiTheme="minorHAnsi" w:eastAsiaTheme="minorHAnsi" w:hAnsiTheme="minorHAnsi" w:cstheme="minorBidi"/>
          <w:snapToGrid/>
          <w:sz w:val="24"/>
          <w:szCs w:val="24"/>
        </w:rPr>
        <w:t xml:space="preserve">The minor submission </w:t>
      </w:r>
      <w:r w:rsidR="00035F9B">
        <w:rPr>
          <w:rFonts w:asciiTheme="minorHAnsi" w:eastAsiaTheme="minorHAnsi" w:hAnsiTheme="minorHAnsi" w:cstheme="minorBidi"/>
          <w:snapToGrid/>
          <w:sz w:val="24"/>
          <w:szCs w:val="24"/>
        </w:rPr>
        <w:t xml:space="preserve">argued that the potential impact </w:t>
      </w:r>
      <w:r w:rsidR="00035F9B">
        <w:rPr>
          <w:rFonts w:asciiTheme="minorHAnsi" w:eastAsiaTheme="minorHAnsi" w:hAnsiTheme="minorHAnsi" w:cstheme="minorBidi"/>
          <w:snapToGrid/>
          <w:sz w:val="24"/>
          <w:szCs w:val="24"/>
        </w:rPr>
        <w:lastRenderedPageBreak/>
        <w:t xml:space="preserve">on FPD was larger for the bottles if a storage error occurred and suggested that a loss of FPD could </w:t>
      </w:r>
      <w:proofErr w:type="gramStart"/>
      <w:r w:rsidR="00035F9B">
        <w:rPr>
          <w:rFonts w:asciiTheme="minorHAnsi" w:eastAsiaTheme="minorHAnsi" w:hAnsiTheme="minorHAnsi" w:cstheme="minorBidi"/>
          <w:snapToGrid/>
          <w:sz w:val="24"/>
          <w:szCs w:val="24"/>
        </w:rPr>
        <w:t>impact</w:t>
      </w:r>
      <w:proofErr w:type="gramEnd"/>
      <w:r w:rsidR="00035F9B">
        <w:rPr>
          <w:rFonts w:asciiTheme="minorHAnsi" w:eastAsiaTheme="minorHAnsi" w:hAnsiTheme="minorHAnsi" w:cstheme="minorBidi"/>
          <w:snapToGrid/>
          <w:sz w:val="24"/>
          <w:szCs w:val="24"/>
        </w:rPr>
        <w:t xml:space="preserve"> the </w:t>
      </w:r>
      <w:r w:rsidRPr="001A50B4">
        <w:rPr>
          <w:rFonts w:asciiTheme="minorHAnsi" w:eastAsiaTheme="minorHAnsi" w:hAnsiTheme="minorHAnsi" w:cstheme="minorBidi"/>
          <w:snapToGrid/>
          <w:sz w:val="24"/>
          <w:szCs w:val="24"/>
        </w:rPr>
        <w:t>amount</w:t>
      </w:r>
      <w:r w:rsidR="00035F9B">
        <w:rPr>
          <w:rFonts w:asciiTheme="minorHAnsi" w:eastAsiaTheme="minorHAnsi" w:hAnsiTheme="minorHAnsi" w:cstheme="minorBidi"/>
          <w:snapToGrid/>
          <w:sz w:val="24"/>
          <w:szCs w:val="24"/>
        </w:rPr>
        <w:t xml:space="preserve"> of medicine reaching</w:t>
      </w:r>
      <w:r w:rsidR="004A0A65">
        <w:rPr>
          <w:rFonts w:asciiTheme="minorHAnsi" w:eastAsiaTheme="minorHAnsi" w:hAnsiTheme="minorHAnsi" w:cstheme="minorBidi"/>
          <w:snapToGrid/>
          <w:sz w:val="24"/>
          <w:szCs w:val="24"/>
        </w:rPr>
        <w:t xml:space="preserve"> a</w:t>
      </w:r>
      <w:r w:rsidRPr="001A50B4">
        <w:rPr>
          <w:rFonts w:asciiTheme="minorHAnsi" w:eastAsiaTheme="minorHAnsi" w:hAnsiTheme="minorHAnsi" w:cstheme="minorBidi"/>
          <w:snapToGrid/>
          <w:sz w:val="24"/>
          <w:szCs w:val="24"/>
        </w:rPr>
        <w:t xml:space="preserve"> patient’s lun</w:t>
      </w:r>
      <w:r>
        <w:rPr>
          <w:rFonts w:asciiTheme="minorHAnsi" w:eastAsiaTheme="minorHAnsi" w:hAnsiTheme="minorHAnsi" w:cstheme="minorBidi"/>
          <w:snapToGrid/>
          <w:sz w:val="24"/>
          <w:szCs w:val="24"/>
        </w:rPr>
        <w:t xml:space="preserve">gs.  </w:t>
      </w:r>
    </w:p>
    <w:p w14:paraId="7A31E9AB" w14:textId="5455F640" w:rsidR="00FD73D2" w:rsidRPr="007B2E28" w:rsidRDefault="007B2E28" w:rsidP="00CF2114">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minor submission noted that the PBAC considered a submission for the listing of </w:t>
      </w:r>
      <w:proofErr w:type="spellStart"/>
      <w:r>
        <w:rPr>
          <w:rFonts w:asciiTheme="minorHAnsi" w:eastAsiaTheme="minorHAnsi" w:hAnsiTheme="minorHAnsi" w:cstheme="minorBidi"/>
          <w:snapToGrid/>
          <w:sz w:val="24"/>
          <w:szCs w:val="22"/>
        </w:rPr>
        <w:t>follitropin</w:t>
      </w:r>
      <w:proofErr w:type="spellEnd"/>
      <w:r>
        <w:rPr>
          <w:rFonts w:asciiTheme="minorHAnsi" w:eastAsiaTheme="minorHAnsi" w:hAnsiTheme="minorHAnsi" w:cstheme="minorBidi"/>
          <w:snapToGrid/>
          <w:sz w:val="24"/>
          <w:szCs w:val="22"/>
        </w:rPr>
        <w:t xml:space="preserve"> </w:t>
      </w:r>
      <w:proofErr w:type="spellStart"/>
      <w:r>
        <w:rPr>
          <w:rFonts w:asciiTheme="minorHAnsi" w:eastAsiaTheme="minorHAnsi" w:hAnsiTheme="minorHAnsi" w:cstheme="minorBidi"/>
          <w:snapToGrid/>
          <w:sz w:val="24"/>
          <w:szCs w:val="22"/>
        </w:rPr>
        <w:t>alfa</w:t>
      </w:r>
      <w:proofErr w:type="spellEnd"/>
      <w:r>
        <w:rPr>
          <w:rFonts w:asciiTheme="minorHAnsi" w:eastAsiaTheme="minorHAnsi" w:hAnsiTheme="minorHAnsi" w:cstheme="minorBidi"/>
          <w:snapToGrid/>
          <w:sz w:val="24"/>
          <w:szCs w:val="22"/>
        </w:rPr>
        <w:t xml:space="preserve"> (</w:t>
      </w:r>
      <w:proofErr w:type="spellStart"/>
      <w:r>
        <w:rPr>
          <w:rFonts w:asciiTheme="minorHAnsi" w:eastAsiaTheme="minorHAnsi" w:hAnsiTheme="minorHAnsi" w:cstheme="minorBidi"/>
          <w:snapToGrid/>
          <w:sz w:val="24"/>
          <w:szCs w:val="22"/>
        </w:rPr>
        <w:t>Bemfola</w:t>
      </w:r>
      <w:proofErr w:type="spellEnd"/>
      <w:r>
        <w:rPr>
          <w:rFonts w:asciiTheme="minorHAnsi" w:eastAsiaTheme="minorHAnsi" w:hAnsiTheme="minorHAnsi" w:cstheme="minorBidi"/>
          <w:snapToGrid/>
          <w:sz w:val="24"/>
          <w:szCs w:val="22"/>
        </w:rPr>
        <w:t xml:space="preserve">®) as a biosimilar of </w:t>
      </w:r>
      <w:proofErr w:type="spellStart"/>
      <w:r>
        <w:rPr>
          <w:rFonts w:asciiTheme="minorHAnsi" w:eastAsiaTheme="minorHAnsi" w:hAnsiTheme="minorHAnsi" w:cstheme="minorBidi"/>
          <w:snapToGrid/>
          <w:sz w:val="24"/>
          <w:szCs w:val="22"/>
        </w:rPr>
        <w:t>follitropin</w:t>
      </w:r>
      <w:proofErr w:type="spellEnd"/>
      <w:r>
        <w:rPr>
          <w:rFonts w:asciiTheme="minorHAnsi" w:eastAsiaTheme="minorHAnsi" w:hAnsiTheme="minorHAnsi" w:cstheme="minorBidi"/>
          <w:snapToGrid/>
          <w:sz w:val="24"/>
          <w:szCs w:val="22"/>
        </w:rPr>
        <w:t xml:space="preserve"> </w:t>
      </w:r>
      <w:proofErr w:type="spellStart"/>
      <w:r>
        <w:rPr>
          <w:rFonts w:asciiTheme="minorHAnsi" w:eastAsiaTheme="minorHAnsi" w:hAnsiTheme="minorHAnsi" w:cstheme="minorBidi"/>
          <w:snapToGrid/>
          <w:sz w:val="24"/>
          <w:szCs w:val="22"/>
        </w:rPr>
        <w:t>alfa</w:t>
      </w:r>
      <w:proofErr w:type="spellEnd"/>
      <w:r>
        <w:rPr>
          <w:rFonts w:asciiTheme="minorHAnsi" w:eastAsiaTheme="minorHAnsi" w:hAnsiTheme="minorHAnsi" w:cstheme="minorBidi"/>
          <w:snapToGrid/>
          <w:sz w:val="24"/>
          <w:szCs w:val="22"/>
        </w:rPr>
        <w:t xml:space="preserve"> (</w:t>
      </w:r>
      <w:proofErr w:type="spellStart"/>
      <w:r>
        <w:rPr>
          <w:rFonts w:asciiTheme="minorHAnsi" w:eastAsiaTheme="minorHAnsi" w:hAnsiTheme="minorHAnsi" w:cstheme="minorBidi"/>
          <w:snapToGrid/>
          <w:sz w:val="24"/>
          <w:szCs w:val="22"/>
        </w:rPr>
        <w:t>Gonal</w:t>
      </w:r>
      <w:proofErr w:type="spellEnd"/>
      <w:r>
        <w:rPr>
          <w:rFonts w:asciiTheme="minorHAnsi" w:eastAsiaTheme="minorHAnsi" w:hAnsiTheme="minorHAnsi" w:cstheme="minorBidi"/>
          <w:snapToGrid/>
          <w:sz w:val="24"/>
          <w:szCs w:val="22"/>
        </w:rPr>
        <w:t xml:space="preserve">-f®) at its March 2016 meeting. The minor submission noted that the PBAC recommended the listing but advised that the </w:t>
      </w:r>
      <w:proofErr w:type="spellStart"/>
      <w:r>
        <w:rPr>
          <w:rFonts w:asciiTheme="minorHAnsi" w:eastAsiaTheme="minorHAnsi" w:hAnsiTheme="minorHAnsi" w:cstheme="minorBidi"/>
          <w:snapToGrid/>
          <w:sz w:val="24"/>
          <w:szCs w:val="22"/>
        </w:rPr>
        <w:t>Gonal</w:t>
      </w:r>
      <w:proofErr w:type="spellEnd"/>
      <w:r>
        <w:rPr>
          <w:rFonts w:asciiTheme="minorHAnsi" w:eastAsiaTheme="minorHAnsi" w:hAnsiTheme="minorHAnsi" w:cstheme="minorBidi"/>
          <w:snapToGrid/>
          <w:sz w:val="24"/>
          <w:szCs w:val="22"/>
        </w:rPr>
        <w:t xml:space="preserve">-f® and </w:t>
      </w:r>
      <w:proofErr w:type="spellStart"/>
      <w:r>
        <w:rPr>
          <w:rFonts w:asciiTheme="minorHAnsi" w:eastAsiaTheme="minorHAnsi" w:hAnsiTheme="minorHAnsi" w:cstheme="minorBidi"/>
          <w:snapToGrid/>
          <w:sz w:val="24"/>
          <w:szCs w:val="22"/>
        </w:rPr>
        <w:t>Bemfola</w:t>
      </w:r>
      <w:proofErr w:type="spellEnd"/>
      <w:r>
        <w:rPr>
          <w:rFonts w:asciiTheme="minorHAnsi" w:eastAsiaTheme="minorHAnsi" w:hAnsiTheme="minorHAnsi" w:cstheme="minorBidi"/>
          <w:snapToGrid/>
          <w:sz w:val="24"/>
          <w:szCs w:val="22"/>
        </w:rPr>
        <w:t xml:space="preserve">® brands of </w:t>
      </w:r>
      <w:proofErr w:type="spellStart"/>
      <w:r>
        <w:rPr>
          <w:rFonts w:asciiTheme="minorHAnsi" w:eastAsiaTheme="minorHAnsi" w:hAnsiTheme="minorHAnsi" w:cstheme="minorBidi"/>
          <w:snapToGrid/>
          <w:sz w:val="24"/>
          <w:szCs w:val="22"/>
        </w:rPr>
        <w:t>follitropin</w:t>
      </w:r>
      <w:proofErr w:type="spellEnd"/>
      <w:r>
        <w:rPr>
          <w:rFonts w:asciiTheme="minorHAnsi" w:eastAsiaTheme="minorHAnsi" w:hAnsiTheme="minorHAnsi" w:cstheme="minorBidi"/>
          <w:snapToGrid/>
          <w:sz w:val="24"/>
          <w:szCs w:val="22"/>
        </w:rPr>
        <w:t xml:space="preserve"> </w:t>
      </w:r>
      <w:proofErr w:type="spellStart"/>
      <w:r>
        <w:rPr>
          <w:rFonts w:asciiTheme="minorHAnsi" w:eastAsiaTheme="minorHAnsi" w:hAnsiTheme="minorHAnsi" w:cstheme="minorBidi"/>
          <w:snapToGrid/>
          <w:sz w:val="24"/>
          <w:szCs w:val="22"/>
        </w:rPr>
        <w:t>alfa</w:t>
      </w:r>
      <w:proofErr w:type="spellEnd"/>
      <w:r>
        <w:rPr>
          <w:rFonts w:asciiTheme="minorHAnsi" w:eastAsiaTheme="minorHAnsi" w:hAnsiTheme="minorHAnsi" w:cstheme="minorBidi"/>
          <w:snapToGrid/>
          <w:sz w:val="24"/>
          <w:szCs w:val="22"/>
        </w:rPr>
        <w:t xml:space="preserve"> could not be marked as equivalent in the Schedule of Pharmaceutical Benefits (‘a’ flagged), for the purposes of substitution by the pharmacist at the point of dispensing. The PBAC advised that this is primarily due to differences in the strengths, number of pens per pack and maximum quantities between the brands, which make substitution at the pharmacy level difficult from a practical perspective (Paragraphs 7.1 and 7.3, </w:t>
      </w:r>
      <w:proofErr w:type="spellStart"/>
      <w:r>
        <w:rPr>
          <w:rFonts w:asciiTheme="minorHAnsi" w:eastAsiaTheme="minorHAnsi" w:hAnsiTheme="minorHAnsi" w:cstheme="minorBidi"/>
          <w:snapToGrid/>
          <w:sz w:val="24"/>
          <w:szCs w:val="22"/>
        </w:rPr>
        <w:t>follitropin</w:t>
      </w:r>
      <w:proofErr w:type="spellEnd"/>
      <w:r>
        <w:rPr>
          <w:rFonts w:asciiTheme="minorHAnsi" w:eastAsiaTheme="minorHAnsi" w:hAnsiTheme="minorHAnsi" w:cstheme="minorBidi"/>
          <w:snapToGrid/>
          <w:sz w:val="24"/>
          <w:szCs w:val="22"/>
        </w:rPr>
        <w:t xml:space="preserve"> </w:t>
      </w:r>
      <w:proofErr w:type="spellStart"/>
      <w:r>
        <w:rPr>
          <w:rFonts w:asciiTheme="minorHAnsi" w:eastAsiaTheme="minorHAnsi" w:hAnsiTheme="minorHAnsi" w:cstheme="minorBidi"/>
          <w:snapToGrid/>
          <w:sz w:val="24"/>
          <w:szCs w:val="22"/>
        </w:rPr>
        <w:t>alfa</w:t>
      </w:r>
      <w:proofErr w:type="spellEnd"/>
      <w:r>
        <w:rPr>
          <w:rFonts w:asciiTheme="minorHAnsi" w:eastAsiaTheme="minorHAnsi" w:hAnsiTheme="minorHAnsi" w:cstheme="minorBidi"/>
          <w:snapToGrid/>
          <w:sz w:val="24"/>
          <w:szCs w:val="22"/>
        </w:rPr>
        <w:t xml:space="preserve"> Public Summary Document, March 2016). </w:t>
      </w:r>
      <w:r w:rsidR="00264655" w:rsidRPr="000953F9">
        <w:rPr>
          <w:rFonts w:asciiTheme="minorHAnsi" w:hAnsiTheme="minorHAnsi"/>
          <w:sz w:val="24"/>
          <w:szCs w:val="24"/>
        </w:rPr>
        <w:t xml:space="preserve">The PBAC </w:t>
      </w:r>
      <w:r w:rsidR="00264655">
        <w:rPr>
          <w:rFonts w:asciiTheme="minorHAnsi" w:hAnsiTheme="minorHAnsi"/>
          <w:sz w:val="24"/>
          <w:szCs w:val="24"/>
        </w:rPr>
        <w:t>considered that</w:t>
      </w:r>
      <w:r w:rsidR="00264655" w:rsidRPr="000953F9">
        <w:rPr>
          <w:rFonts w:asciiTheme="minorHAnsi" w:hAnsiTheme="minorHAnsi"/>
          <w:sz w:val="24"/>
          <w:szCs w:val="24"/>
        </w:rPr>
        <w:t xml:space="preserve"> differences in the setting</w:t>
      </w:r>
      <w:r w:rsidR="00264655">
        <w:rPr>
          <w:rFonts w:asciiTheme="minorHAnsi" w:hAnsiTheme="minorHAnsi"/>
          <w:sz w:val="24"/>
          <w:szCs w:val="24"/>
        </w:rPr>
        <w:t>, device</w:t>
      </w:r>
      <w:r w:rsidR="00264655" w:rsidRPr="000953F9">
        <w:rPr>
          <w:rFonts w:asciiTheme="minorHAnsi" w:hAnsiTheme="minorHAnsi"/>
          <w:sz w:val="24"/>
          <w:szCs w:val="24"/>
        </w:rPr>
        <w:t xml:space="preserve"> or indication for use influenced cons</w:t>
      </w:r>
      <w:r w:rsidR="00264655">
        <w:rPr>
          <w:rFonts w:asciiTheme="minorHAnsi" w:hAnsiTheme="minorHAnsi"/>
          <w:sz w:val="24"/>
          <w:szCs w:val="24"/>
        </w:rPr>
        <w:t>iderations associated with</w:t>
      </w:r>
      <w:r w:rsidR="00264655" w:rsidRPr="000953F9">
        <w:rPr>
          <w:rFonts w:asciiTheme="minorHAnsi" w:hAnsiTheme="minorHAnsi"/>
          <w:sz w:val="24"/>
          <w:szCs w:val="24"/>
        </w:rPr>
        <w:t xml:space="preserve"> </w:t>
      </w:r>
      <w:r w:rsidR="00264655">
        <w:rPr>
          <w:rFonts w:asciiTheme="minorHAnsi" w:hAnsiTheme="minorHAnsi"/>
          <w:sz w:val="24"/>
          <w:szCs w:val="24"/>
        </w:rPr>
        <w:t>a recommendation as to whether brands of a medicine should be marked as</w:t>
      </w:r>
      <w:r w:rsidR="00264655" w:rsidRPr="00264655">
        <w:rPr>
          <w:rFonts w:asciiTheme="minorHAnsi" w:eastAsiaTheme="minorHAnsi" w:hAnsiTheme="minorHAnsi" w:cstheme="minorBidi"/>
          <w:snapToGrid/>
          <w:sz w:val="24"/>
          <w:szCs w:val="22"/>
        </w:rPr>
        <w:t xml:space="preserve"> </w:t>
      </w:r>
      <w:r w:rsidR="00264655">
        <w:rPr>
          <w:rFonts w:asciiTheme="minorHAnsi" w:eastAsiaTheme="minorHAnsi" w:hAnsiTheme="minorHAnsi" w:cstheme="minorBidi"/>
          <w:snapToGrid/>
          <w:sz w:val="24"/>
          <w:szCs w:val="22"/>
        </w:rPr>
        <w:t>equivalent in the Schedule of Pharmaceutical Benefits (‘a’ flagged), for the purposes of substitution by the pharmacist at the point of dispensing.</w:t>
      </w:r>
      <w:r w:rsidR="00264655">
        <w:rPr>
          <w:rFonts w:asciiTheme="minorHAnsi" w:hAnsiTheme="minorHAnsi"/>
          <w:sz w:val="24"/>
          <w:szCs w:val="24"/>
        </w:rPr>
        <w:t xml:space="preserve"> </w:t>
      </w:r>
      <w:r w:rsidR="00264655">
        <w:rPr>
          <w:rFonts w:asciiTheme="minorHAnsi" w:eastAsiaTheme="minorHAnsi" w:hAnsiTheme="minorHAnsi" w:cstheme="minorBidi"/>
          <w:snapToGrid/>
          <w:sz w:val="24"/>
          <w:szCs w:val="22"/>
        </w:rPr>
        <w:t xml:space="preserve"> </w:t>
      </w:r>
    </w:p>
    <w:p w14:paraId="5B306E95" w14:textId="62F3DCA7" w:rsidR="00077C70" w:rsidRPr="001954FC" w:rsidRDefault="0071558A" w:rsidP="00CF2114">
      <w:pPr>
        <w:spacing w:before="120" w:after="120"/>
        <w:ind w:firstLine="720"/>
        <w:rPr>
          <w:rFonts w:asciiTheme="minorHAnsi" w:hAnsiTheme="minorHAnsi" w:cstheme="minorHAnsi"/>
          <w:i/>
        </w:rPr>
      </w:pPr>
      <w:r w:rsidRPr="00077C70">
        <w:rPr>
          <w:rFonts w:asciiTheme="minorHAnsi" w:hAnsiTheme="minorHAnsi" w:cstheme="minorHAnsi"/>
          <w:i/>
        </w:rPr>
        <w:t>For more detail on PBAC’s view, see section 5 PBAC outcome.</w:t>
      </w:r>
    </w:p>
    <w:p w14:paraId="3E01096F" w14:textId="77777777" w:rsidR="006D537A" w:rsidRPr="001954FC" w:rsidRDefault="006D537A" w:rsidP="00CF2114">
      <w:pPr>
        <w:pStyle w:val="PBACHeading1"/>
        <w:keepNext/>
        <w:keepLines/>
        <w:spacing w:before="120" w:after="120"/>
        <w:ind w:left="709" w:hanging="709"/>
        <w:rPr>
          <w:rFonts w:asciiTheme="minorHAnsi" w:hAnsiTheme="minorHAnsi"/>
          <w:sz w:val="32"/>
          <w:szCs w:val="32"/>
        </w:rPr>
      </w:pPr>
      <w:r w:rsidRPr="001954FC">
        <w:rPr>
          <w:rFonts w:asciiTheme="minorHAnsi" w:hAnsiTheme="minorHAnsi"/>
          <w:sz w:val="32"/>
          <w:szCs w:val="32"/>
        </w:rPr>
        <w:t>PBAC Outcome</w:t>
      </w:r>
    </w:p>
    <w:p w14:paraId="42575FFF" w14:textId="015EED1B" w:rsidR="001B3A4E" w:rsidRPr="004719A3" w:rsidRDefault="00982374" w:rsidP="00CF2114">
      <w:pPr>
        <w:pStyle w:val="ListParagraph"/>
        <w:keepNext/>
        <w:widowControl/>
        <w:numPr>
          <w:ilvl w:val="1"/>
          <w:numId w:val="5"/>
        </w:numPr>
        <w:spacing w:before="120" w:after="120"/>
        <w:contextualSpacing w:val="0"/>
        <w:rPr>
          <w:rFonts w:asciiTheme="minorHAnsi" w:hAnsiTheme="minorHAnsi"/>
        </w:rPr>
      </w:pPr>
      <w:proofErr w:type="gramStart"/>
      <w:r>
        <w:rPr>
          <w:rFonts w:asciiTheme="minorHAnsi" w:hAnsiTheme="minorHAnsi"/>
          <w:sz w:val="24"/>
          <w:szCs w:val="24"/>
        </w:rPr>
        <w:t>Contrary to what was requested in the minor submission, t</w:t>
      </w:r>
      <w:r w:rsidR="001B3A4E" w:rsidRPr="004719A3">
        <w:rPr>
          <w:rFonts w:asciiTheme="minorHAnsi" w:hAnsiTheme="minorHAnsi"/>
          <w:sz w:val="24"/>
          <w:szCs w:val="24"/>
        </w:rPr>
        <w:t xml:space="preserve">he PBAC advised that </w:t>
      </w:r>
      <w:r>
        <w:rPr>
          <w:rFonts w:asciiTheme="minorHAnsi" w:hAnsiTheme="minorHAnsi"/>
          <w:sz w:val="24"/>
          <w:szCs w:val="24"/>
        </w:rPr>
        <w:t>the Minister should determine that</w:t>
      </w:r>
      <w:r w:rsidR="00DB13D4">
        <w:rPr>
          <w:rFonts w:asciiTheme="minorHAnsi" w:hAnsiTheme="minorHAnsi"/>
          <w:sz w:val="24"/>
          <w:szCs w:val="24"/>
        </w:rPr>
        <w:t>, for the purposes of section 103(2A)(b) of the Act,</w:t>
      </w:r>
      <w:r>
        <w:rPr>
          <w:rFonts w:asciiTheme="minorHAnsi" w:hAnsiTheme="minorHAnsi"/>
          <w:sz w:val="24"/>
          <w:szCs w:val="24"/>
        </w:rPr>
        <w:t xml:space="preserve"> </w:t>
      </w:r>
      <w:proofErr w:type="spellStart"/>
      <w:r w:rsidR="001B3A4E" w:rsidRPr="004719A3">
        <w:rPr>
          <w:rFonts w:asciiTheme="minorHAnsi" w:hAnsiTheme="minorHAnsi"/>
          <w:sz w:val="24"/>
          <w:szCs w:val="24"/>
        </w:rPr>
        <w:t>tiotropium</w:t>
      </w:r>
      <w:proofErr w:type="spellEnd"/>
      <w:r w:rsidR="001B3A4E" w:rsidRPr="004719A3">
        <w:rPr>
          <w:rFonts w:asciiTheme="minorHAnsi" w:hAnsiTheme="minorHAnsi"/>
          <w:sz w:val="24"/>
          <w:szCs w:val="24"/>
        </w:rPr>
        <w:t xml:space="preserve"> (as bromide) 13 microgram powder for inhalation capsule (</w:t>
      </w:r>
      <w:proofErr w:type="spellStart"/>
      <w:r w:rsidR="001B3A4E" w:rsidRPr="004719A3">
        <w:rPr>
          <w:rFonts w:asciiTheme="minorHAnsi" w:hAnsiTheme="minorHAnsi"/>
          <w:sz w:val="24"/>
          <w:szCs w:val="24"/>
        </w:rPr>
        <w:t>Braltus</w:t>
      </w:r>
      <w:proofErr w:type="spellEnd"/>
      <w:r w:rsidR="001B3A4E" w:rsidRPr="004719A3">
        <w:rPr>
          <w:rFonts w:asciiTheme="minorHAnsi" w:hAnsiTheme="minorHAnsi"/>
          <w:sz w:val="24"/>
          <w:szCs w:val="24"/>
        </w:rPr>
        <w:t xml:space="preserve">®) and </w:t>
      </w:r>
      <w:proofErr w:type="spellStart"/>
      <w:r w:rsidR="001B3A4E" w:rsidRPr="004719A3">
        <w:rPr>
          <w:rFonts w:asciiTheme="minorHAnsi" w:hAnsiTheme="minorHAnsi"/>
          <w:sz w:val="24"/>
          <w:szCs w:val="24"/>
        </w:rPr>
        <w:t>tiotropium</w:t>
      </w:r>
      <w:proofErr w:type="spellEnd"/>
      <w:r w:rsidR="001B3A4E" w:rsidRPr="004719A3">
        <w:rPr>
          <w:rFonts w:asciiTheme="minorHAnsi" w:hAnsiTheme="minorHAnsi"/>
          <w:sz w:val="24"/>
          <w:szCs w:val="24"/>
        </w:rPr>
        <w:t xml:space="preserve"> (as bromide monohydrate) 18 microgram powder for inhalation capsule (Spiriva®) </w:t>
      </w:r>
      <w:r w:rsidR="00DB13D4">
        <w:rPr>
          <w:rFonts w:asciiTheme="minorHAnsi" w:hAnsiTheme="minorHAnsi"/>
          <w:sz w:val="24"/>
          <w:szCs w:val="24"/>
        </w:rPr>
        <w:t xml:space="preserve">are to be </w:t>
      </w:r>
      <w:r>
        <w:rPr>
          <w:rFonts w:asciiTheme="minorHAnsi" w:hAnsiTheme="minorHAnsi"/>
          <w:sz w:val="24"/>
          <w:szCs w:val="24"/>
        </w:rPr>
        <w:t xml:space="preserve">treated </w:t>
      </w:r>
      <w:r w:rsidR="001B3A4E" w:rsidRPr="004719A3">
        <w:rPr>
          <w:rFonts w:asciiTheme="minorHAnsi" w:hAnsiTheme="minorHAnsi"/>
          <w:sz w:val="24"/>
          <w:szCs w:val="24"/>
        </w:rPr>
        <w:t>as equivalent</w:t>
      </w:r>
      <w:r>
        <w:rPr>
          <w:rFonts w:asciiTheme="minorHAnsi" w:hAnsiTheme="minorHAnsi"/>
          <w:sz w:val="24"/>
          <w:szCs w:val="24"/>
        </w:rPr>
        <w:t>, and accordingly ‘a’-flagged</w:t>
      </w:r>
      <w:r w:rsidR="001B3A4E" w:rsidRPr="004719A3">
        <w:rPr>
          <w:rFonts w:asciiTheme="minorHAnsi" w:hAnsiTheme="minorHAnsi"/>
          <w:sz w:val="24"/>
          <w:szCs w:val="24"/>
        </w:rPr>
        <w:t xml:space="preserve"> in the Schedule of Pharmaceutical Benefits</w:t>
      </w:r>
      <w:r w:rsidR="003B173A">
        <w:rPr>
          <w:rFonts w:asciiTheme="minorHAnsi" w:hAnsiTheme="minorHAnsi"/>
          <w:sz w:val="24"/>
          <w:szCs w:val="24"/>
        </w:rPr>
        <w:t>.</w:t>
      </w:r>
      <w:proofErr w:type="gramEnd"/>
      <w:r w:rsidR="001B3A4E">
        <w:rPr>
          <w:rFonts w:asciiTheme="minorHAnsi" w:eastAsiaTheme="minorHAnsi" w:hAnsiTheme="minorHAnsi" w:cstheme="minorBidi"/>
          <w:snapToGrid/>
          <w:sz w:val="24"/>
          <w:szCs w:val="22"/>
        </w:rPr>
        <w:t xml:space="preserve"> </w:t>
      </w:r>
    </w:p>
    <w:p w14:paraId="2EEB37B0" w14:textId="77777777" w:rsidR="00D33189" w:rsidRPr="004719A3" w:rsidRDefault="00D33189" w:rsidP="00CF2114">
      <w:pPr>
        <w:pStyle w:val="ListParagraph"/>
        <w:widowControl/>
        <w:numPr>
          <w:ilvl w:val="1"/>
          <w:numId w:val="5"/>
        </w:numPr>
        <w:spacing w:before="120" w:after="120"/>
        <w:contextualSpacing w:val="0"/>
        <w:rPr>
          <w:rFonts w:asciiTheme="minorHAnsi" w:eastAsiaTheme="minorHAnsi" w:hAnsiTheme="minorHAnsi" w:cstheme="minorBidi"/>
          <w:snapToGrid/>
          <w:sz w:val="24"/>
          <w:szCs w:val="22"/>
        </w:rPr>
      </w:pPr>
      <w:r w:rsidRPr="004719A3">
        <w:rPr>
          <w:rFonts w:asciiTheme="minorHAnsi" w:eastAsiaTheme="minorHAnsi" w:hAnsiTheme="minorHAnsi" w:cstheme="minorBidi"/>
          <w:snapToGrid/>
          <w:sz w:val="24"/>
          <w:szCs w:val="22"/>
        </w:rPr>
        <w:t xml:space="preserve">The PBAC noted the </w:t>
      </w:r>
      <w:r w:rsidRPr="0081071B">
        <w:rPr>
          <w:rFonts w:asciiTheme="minorHAnsi" w:eastAsiaTheme="minorHAnsi" w:hAnsiTheme="minorHAnsi" w:cstheme="minorBidi"/>
          <w:snapToGrid/>
          <w:sz w:val="24"/>
          <w:szCs w:val="22"/>
        </w:rPr>
        <w:t xml:space="preserve">two main differences between the </w:t>
      </w:r>
      <w:proofErr w:type="spellStart"/>
      <w:r w:rsidRPr="0081071B">
        <w:rPr>
          <w:rFonts w:asciiTheme="minorHAnsi" w:eastAsiaTheme="minorHAnsi" w:hAnsiTheme="minorHAnsi" w:cstheme="minorBidi"/>
          <w:snapToGrid/>
          <w:sz w:val="24"/>
          <w:szCs w:val="22"/>
        </w:rPr>
        <w:t>Braltus</w:t>
      </w:r>
      <w:proofErr w:type="spellEnd"/>
      <w:r w:rsidRPr="0081071B">
        <w:rPr>
          <w:rFonts w:asciiTheme="minorHAnsi" w:eastAsiaTheme="minorHAnsi" w:hAnsiTheme="minorHAnsi" w:cstheme="minorBidi"/>
          <w:snapToGrid/>
          <w:sz w:val="24"/>
          <w:szCs w:val="22"/>
        </w:rPr>
        <w:t xml:space="preserve">® and Spiriva® products: both </w:t>
      </w:r>
      <w:proofErr w:type="spellStart"/>
      <w:r w:rsidRPr="0081071B">
        <w:rPr>
          <w:rFonts w:asciiTheme="minorHAnsi" w:eastAsiaTheme="minorHAnsi" w:hAnsiTheme="minorHAnsi" w:cstheme="minorBidi"/>
          <w:snapToGrid/>
          <w:sz w:val="24"/>
          <w:szCs w:val="22"/>
        </w:rPr>
        <w:t>Braltus</w:t>
      </w:r>
      <w:proofErr w:type="spellEnd"/>
      <w:r w:rsidRPr="0081071B">
        <w:rPr>
          <w:rFonts w:asciiTheme="minorHAnsi" w:eastAsiaTheme="minorHAnsi" w:hAnsiTheme="minorHAnsi" w:cstheme="minorBidi"/>
          <w:snapToGrid/>
          <w:sz w:val="24"/>
          <w:szCs w:val="22"/>
        </w:rPr>
        <w:t>® and Spiriva® deliver the same</w:t>
      </w:r>
      <w:r w:rsidRPr="0081071B">
        <w:rPr>
          <w:rFonts w:asciiTheme="minorHAnsi" w:eastAsiaTheme="minorHAnsi" w:hAnsiTheme="minorHAnsi" w:cstheme="minorBidi"/>
          <w:i/>
          <w:snapToGrid/>
          <w:sz w:val="24"/>
          <w:szCs w:val="22"/>
        </w:rPr>
        <w:t xml:space="preserve"> </w:t>
      </w:r>
      <w:r w:rsidRPr="0081071B">
        <w:rPr>
          <w:rFonts w:asciiTheme="minorHAnsi" w:eastAsiaTheme="minorHAnsi" w:hAnsiTheme="minorHAnsi" w:cstheme="minorBidi"/>
          <w:snapToGrid/>
          <w:sz w:val="24"/>
          <w:szCs w:val="22"/>
        </w:rPr>
        <w:t xml:space="preserve">dose of active substance to the patient (10 microgram per capsule) but have a different labelled metered dose (13 and 18 microgram per capsule respectively); </w:t>
      </w:r>
      <w:proofErr w:type="spellStart"/>
      <w:r w:rsidRPr="004719A3">
        <w:rPr>
          <w:rFonts w:asciiTheme="minorHAnsi" w:eastAsiaTheme="minorHAnsi" w:hAnsiTheme="minorHAnsi" w:cstheme="minorBidi"/>
          <w:snapToGrid/>
          <w:sz w:val="24"/>
          <w:szCs w:val="22"/>
        </w:rPr>
        <w:t>Braltus</w:t>
      </w:r>
      <w:proofErr w:type="spellEnd"/>
      <w:r w:rsidRPr="004719A3">
        <w:rPr>
          <w:rFonts w:asciiTheme="minorHAnsi" w:eastAsiaTheme="minorHAnsi" w:hAnsiTheme="minorHAnsi" w:cstheme="minorBidi"/>
          <w:snapToGrid/>
          <w:sz w:val="24"/>
          <w:szCs w:val="22"/>
        </w:rPr>
        <w:t xml:space="preserve">® is delivered via a </w:t>
      </w:r>
      <w:proofErr w:type="spellStart"/>
      <w:r w:rsidRPr="004719A3">
        <w:rPr>
          <w:rFonts w:asciiTheme="minorHAnsi" w:eastAsiaTheme="minorHAnsi" w:hAnsiTheme="minorHAnsi" w:cstheme="minorBidi"/>
          <w:snapToGrid/>
          <w:sz w:val="24"/>
          <w:szCs w:val="22"/>
        </w:rPr>
        <w:t>Zonda</w:t>
      </w:r>
      <w:proofErr w:type="spellEnd"/>
      <w:r w:rsidRPr="004719A3">
        <w:rPr>
          <w:rFonts w:asciiTheme="minorHAnsi" w:eastAsiaTheme="minorHAnsi" w:hAnsiTheme="minorHAnsi" w:cstheme="minorBidi"/>
          <w:snapToGrid/>
          <w:sz w:val="24"/>
          <w:szCs w:val="22"/>
        </w:rPr>
        <w:t xml:space="preserve">® device whereas Spiriva® is delivered via a </w:t>
      </w:r>
      <w:proofErr w:type="spellStart"/>
      <w:r w:rsidRPr="004719A3">
        <w:rPr>
          <w:rFonts w:asciiTheme="minorHAnsi" w:eastAsiaTheme="minorHAnsi" w:hAnsiTheme="minorHAnsi" w:cstheme="minorBidi"/>
          <w:snapToGrid/>
          <w:sz w:val="24"/>
          <w:szCs w:val="22"/>
        </w:rPr>
        <w:t>HandiHaler</w:t>
      </w:r>
      <w:proofErr w:type="spellEnd"/>
      <w:r w:rsidRPr="004719A3">
        <w:rPr>
          <w:rFonts w:asciiTheme="minorHAnsi" w:eastAsiaTheme="minorHAnsi" w:hAnsiTheme="minorHAnsi" w:cstheme="minorBidi"/>
          <w:snapToGrid/>
          <w:sz w:val="24"/>
          <w:szCs w:val="22"/>
        </w:rPr>
        <w:t xml:space="preserve"> device®. </w:t>
      </w:r>
    </w:p>
    <w:p w14:paraId="10C42A11" w14:textId="2518385E" w:rsidR="00D33189" w:rsidRPr="004719A3" w:rsidRDefault="00D33189" w:rsidP="00CF2114">
      <w:pPr>
        <w:pStyle w:val="ListParagraph"/>
        <w:widowControl/>
        <w:numPr>
          <w:ilvl w:val="1"/>
          <w:numId w:val="5"/>
        </w:numPr>
        <w:spacing w:before="120" w:after="120"/>
        <w:contextualSpacing w:val="0"/>
        <w:rPr>
          <w:rFonts w:asciiTheme="minorHAnsi" w:eastAsiaTheme="minorHAnsi" w:hAnsiTheme="minorHAnsi" w:cstheme="minorBidi"/>
          <w:snapToGrid/>
          <w:sz w:val="24"/>
          <w:szCs w:val="22"/>
        </w:rPr>
      </w:pPr>
      <w:r w:rsidRPr="004719A3">
        <w:rPr>
          <w:rFonts w:asciiTheme="minorHAnsi" w:eastAsiaTheme="minorHAnsi" w:hAnsiTheme="minorHAnsi" w:cstheme="minorBidi"/>
          <w:snapToGrid/>
          <w:sz w:val="24"/>
          <w:szCs w:val="22"/>
        </w:rPr>
        <w:t>The PBAC</w:t>
      </w:r>
      <w:r w:rsidR="0041099F">
        <w:rPr>
          <w:rFonts w:asciiTheme="minorHAnsi" w:eastAsiaTheme="minorHAnsi" w:hAnsiTheme="minorHAnsi" w:cstheme="minorBidi"/>
          <w:snapToGrid/>
          <w:sz w:val="24"/>
          <w:szCs w:val="22"/>
        </w:rPr>
        <w:t xml:space="preserve"> noted that the minor submission raised concerns regarding uncertainty in bioequivalence. However, the PBAC </w:t>
      </w:r>
      <w:r w:rsidRPr="004719A3">
        <w:rPr>
          <w:rFonts w:asciiTheme="minorHAnsi" w:eastAsiaTheme="minorHAnsi" w:hAnsiTheme="minorHAnsi" w:cstheme="minorBidi"/>
          <w:snapToGrid/>
          <w:sz w:val="24"/>
          <w:szCs w:val="22"/>
        </w:rPr>
        <w:t xml:space="preserve">noted that the TGA has accepted that bioequivalence </w:t>
      </w:r>
      <w:proofErr w:type="gramStart"/>
      <w:r w:rsidRPr="004719A3">
        <w:rPr>
          <w:rFonts w:asciiTheme="minorHAnsi" w:eastAsiaTheme="minorHAnsi" w:hAnsiTheme="minorHAnsi" w:cstheme="minorBidi"/>
          <w:snapToGrid/>
          <w:sz w:val="24"/>
          <w:szCs w:val="22"/>
        </w:rPr>
        <w:t>has been established</w:t>
      </w:r>
      <w:proofErr w:type="gramEnd"/>
      <w:r w:rsidRPr="004719A3">
        <w:rPr>
          <w:rFonts w:asciiTheme="minorHAnsi" w:eastAsiaTheme="minorHAnsi" w:hAnsiTheme="minorHAnsi" w:cstheme="minorBidi"/>
          <w:snapToGrid/>
          <w:sz w:val="24"/>
          <w:szCs w:val="22"/>
        </w:rPr>
        <w:t xml:space="preserve"> between the </w:t>
      </w:r>
      <w:proofErr w:type="spellStart"/>
      <w:r w:rsidRPr="004719A3">
        <w:rPr>
          <w:rFonts w:asciiTheme="minorHAnsi" w:eastAsiaTheme="minorHAnsi" w:hAnsiTheme="minorHAnsi" w:cstheme="minorBidi"/>
          <w:snapToGrid/>
          <w:sz w:val="24"/>
          <w:szCs w:val="22"/>
        </w:rPr>
        <w:t>Braltus</w:t>
      </w:r>
      <w:proofErr w:type="spellEnd"/>
      <w:r w:rsidRPr="004719A3">
        <w:rPr>
          <w:rFonts w:asciiTheme="minorHAnsi" w:eastAsiaTheme="minorHAnsi" w:hAnsiTheme="minorHAnsi" w:cstheme="minorBidi"/>
          <w:snapToGrid/>
          <w:sz w:val="24"/>
          <w:szCs w:val="22"/>
        </w:rPr>
        <w:t>® and Spiriva® products.</w:t>
      </w:r>
    </w:p>
    <w:p w14:paraId="508E7A75" w14:textId="4A863359" w:rsidR="00D33189" w:rsidRPr="004719A3" w:rsidRDefault="00D33189" w:rsidP="00CF2114">
      <w:pPr>
        <w:pStyle w:val="ListParagraph"/>
        <w:widowControl/>
        <w:numPr>
          <w:ilvl w:val="1"/>
          <w:numId w:val="5"/>
        </w:numPr>
        <w:spacing w:before="120" w:after="120"/>
        <w:contextualSpacing w:val="0"/>
        <w:rPr>
          <w:rFonts w:asciiTheme="minorHAnsi" w:eastAsiaTheme="minorHAnsi" w:hAnsiTheme="minorHAnsi" w:cstheme="minorBidi"/>
          <w:sz w:val="24"/>
          <w:szCs w:val="24"/>
        </w:rPr>
      </w:pPr>
      <w:r w:rsidRPr="004719A3">
        <w:rPr>
          <w:rFonts w:asciiTheme="minorHAnsi" w:eastAsiaTheme="minorHAnsi" w:hAnsiTheme="minorHAnsi" w:cstheme="minorBidi"/>
          <w:sz w:val="24"/>
          <w:szCs w:val="24"/>
        </w:rPr>
        <w:t xml:space="preserve">The PBAC </w:t>
      </w:r>
      <w:r w:rsidR="00C86DEE">
        <w:rPr>
          <w:rFonts w:asciiTheme="minorHAnsi" w:eastAsiaTheme="minorHAnsi" w:hAnsiTheme="minorHAnsi" w:cstheme="minorBidi"/>
          <w:sz w:val="24"/>
          <w:szCs w:val="24"/>
        </w:rPr>
        <w:t xml:space="preserve">acknowledged the </w:t>
      </w:r>
      <w:r w:rsidRPr="004719A3">
        <w:rPr>
          <w:rFonts w:asciiTheme="minorHAnsi" w:eastAsiaTheme="minorHAnsi" w:hAnsiTheme="minorHAnsi" w:cstheme="minorBidi"/>
          <w:sz w:val="24"/>
          <w:szCs w:val="24"/>
        </w:rPr>
        <w:t xml:space="preserve">concerns </w:t>
      </w:r>
      <w:r w:rsidR="00C86DEE">
        <w:rPr>
          <w:rFonts w:asciiTheme="minorHAnsi" w:eastAsiaTheme="minorHAnsi" w:hAnsiTheme="minorHAnsi" w:cstheme="minorBidi"/>
          <w:sz w:val="24"/>
          <w:szCs w:val="24"/>
        </w:rPr>
        <w:t xml:space="preserve">raised in the submission </w:t>
      </w:r>
      <w:r w:rsidRPr="004719A3">
        <w:rPr>
          <w:rFonts w:asciiTheme="minorHAnsi" w:eastAsiaTheme="minorHAnsi" w:hAnsiTheme="minorHAnsi" w:cstheme="minorBidi"/>
          <w:sz w:val="24"/>
          <w:szCs w:val="24"/>
        </w:rPr>
        <w:t xml:space="preserve">that the differences in labelled metered dose between the </w:t>
      </w:r>
      <w:proofErr w:type="spellStart"/>
      <w:r w:rsidRPr="004719A3">
        <w:rPr>
          <w:rFonts w:asciiTheme="minorHAnsi" w:eastAsiaTheme="minorHAnsi" w:hAnsiTheme="minorHAnsi" w:cstheme="minorBidi"/>
          <w:sz w:val="24"/>
          <w:szCs w:val="24"/>
        </w:rPr>
        <w:t>Braltus</w:t>
      </w:r>
      <w:proofErr w:type="spellEnd"/>
      <w:r w:rsidRPr="004719A3">
        <w:rPr>
          <w:rFonts w:asciiTheme="minorHAnsi" w:eastAsiaTheme="minorHAnsi" w:hAnsiTheme="minorHAnsi" w:cstheme="minorBidi"/>
          <w:sz w:val="24"/>
          <w:szCs w:val="24"/>
        </w:rPr>
        <w:t xml:space="preserve">® and Spiriva® products may lead to potential prescriber, pharmacist or patient confusion. </w:t>
      </w:r>
      <w:r w:rsidR="00C86DEE">
        <w:rPr>
          <w:rFonts w:asciiTheme="minorHAnsi" w:eastAsiaTheme="minorHAnsi" w:hAnsiTheme="minorHAnsi" w:cstheme="minorBidi"/>
          <w:sz w:val="24"/>
          <w:szCs w:val="24"/>
        </w:rPr>
        <w:t>However, t</w:t>
      </w:r>
      <w:r w:rsidR="000730BB">
        <w:rPr>
          <w:rFonts w:asciiTheme="minorHAnsi" w:eastAsiaTheme="minorHAnsi" w:hAnsiTheme="minorHAnsi" w:cstheme="minorBidi"/>
          <w:sz w:val="24"/>
          <w:szCs w:val="24"/>
        </w:rPr>
        <w:t xml:space="preserve">he PBAC considered that </w:t>
      </w:r>
      <w:r w:rsidR="00C86DEE">
        <w:rPr>
          <w:rFonts w:asciiTheme="minorHAnsi" w:eastAsiaTheme="minorHAnsi" w:hAnsiTheme="minorHAnsi" w:cstheme="minorBidi"/>
          <w:sz w:val="24"/>
          <w:szCs w:val="24"/>
        </w:rPr>
        <w:t xml:space="preserve">this </w:t>
      </w:r>
      <w:proofErr w:type="gramStart"/>
      <w:r w:rsidR="00C86DEE">
        <w:rPr>
          <w:rFonts w:asciiTheme="minorHAnsi" w:eastAsiaTheme="minorHAnsi" w:hAnsiTheme="minorHAnsi" w:cstheme="minorBidi"/>
          <w:sz w:val="24"/>
          <w:szCs w:val="24"/>
        </w:rPr>
        <w:t>could be adequately addressed</w:t>
      </w:r>
      <w:proofErr w:type="gramEnd"/>
      <w:r w:rsidR="00C86DEE">
        <w:rPr>
          <w:rFonts w:asciiTheme="minorHAnsi" w:eastAsiaTheme="minorHAnsi" w:hAnsiTheme="minorHAnsi" w:cstheme="minorBidi"/>
          <w:sz w:val="24"/>
          <w:szCs w:val="24"/>
        </w:rPr>
        <w:t xml:space="preserve"> through provision of </w:t>
      </w:r>
      <w:r w:rsidR="000730BB">
        <w:rPr>
          <w:rFonts w:asciiTheme="minorHAnsi" w:eastAsiaTheme="minorHAnsi" w:hAnsiTheme="minorHAnsi" w:cstheme="minorBidi"/>
          <w:sz w:val="24"/>
          <w:szCs w:val="24"/>
        </w:rPr>
        <w:t>information and education</w:t>
      </w:r>
      <w:r w:rsidR="00C86DEE">
        <w:rPr>
          <w:rFonts w:asciiTheme="minorHAnsi" w:eastAsiaTheme="minorHAnsi" w:hAnsiTheme="minorHAnsi" w:cstheme="minorBidi"/>
          <w:sz w:val="24"/>
          <w:szCs w:val="24"/>
        </w:rPr>
        <w:t>al</w:t>
      </w:r>
      <w:r w:rsidR="000730BB">
        <w:rPr>
          <w:rFonts w:asciiTheme="minorHAnsi" w:eastAsiaTheme="minorHAnsi" w:hAnsiTheme="minorHAnsi" w:cstheme="minorBidi"/>
          <w:sz w:val="24"/>
          <w:szCs w:val="24"/>
        </w:rPr>
        <w:t xml:space="preserve"> measures for prescribers, pharmacists, patients and peak bodies on the equivalence of the delivered dose of </w:t>
      </w:r>
      <w:proofErr w:type="spellStart"/>
      <w:r w:rsidR="000730BB">
        <w:rPr>
          <w:rFonts w:asciiTheme="minorHAnsi" w:eastAsiaTheme="minorHAnsi" w:hAnsiTheme="minorHAnsi" w:cstheme="minorBidi"/>
          <w:sz w:val="24"/>
          <w:szCs w:val="24"/>
        </w:rPr>
        <w:t>tiotropium</w:t>
      </w:r>
      <w:proofErr w:type="spellEnd"/>
      <w:r w:rsidR="000730BB">
        <w:rPr>
          <w:rFonts w:asciiTheme="minorHAnsi" w:eastAsiaTheme="minorHAnsi" w:hAnsiTheme="minorHAnsi" w:cstheme="minorBidi"/>
          <w:sz w:val="24"/>
          <w:szCs w:val="24"/>
        </w:rPr>
        <w:t xml:space="preserve"> in both products. </w:t>
      </w:r>
      <w:r w:rsidR="00C02CB7">
        <w:rPr>
          <w:rFonts w:asciiTheme="minorHAnsi" w:eastAsiaTheme="minorHAnsi" w:hAnsiTheme="minorHAnsi" w:cstheme="minorBidi"/>
          <w:sz w:val="24"/>
          <w:szCs w:val="24"/>
        </w:rPr>
        <w:t xml:space="preserve">The PBAC considered that in addition to any measures </w:t>
      </w:r>
      <w:proofErr w:type="gramStart"/>
      <w:r w:rsidR="00C02CB7">
        <w:rPr>
          <w:rFonts w:asciiTheme="minorHAnsi" w:eastAsiaTheme="minorHAnsi" w:hAnsiTheme="minorHAnsi" w:cstheme="minorBidi"/>
          <w:sz w:val="24"/>
          <w:szCs w:val="24"/>
        </w:rPr>
        <w:t>being undertaken</w:t>
      </w:r>
      <w:proofErr w:type="gramEnd"/>
      <w:r w:rsidR="00C02CB7">
        <w:rPr>
          <w:rFonts w:asciiTheme="minorHAnsi" w:eastAsiaTheme="minorHAnsi" w:hAnsiTheme="minorHAnsi" w:cstheme="minorBidi"/>
          <w:sz w:val="24"/>
          <w:szCs w:val="24"/>
        </w:rPr>
        <w:t xml:space="preserve"> by the sponsor of </w:t>
      </w:r>
      <w:proofErr w:type="spellStart"/>
      <w:r w:rsidR="00C02CB7">
        <w:rPr>
          <w:rFonts w:asciiTheme="minorHAnsi" w:eastAsiaTheme="minorHAnsi" w:hAnsiTheme="minorHAnsi" w:cstheme="minorBidi"/>
          <w:sz w:val="24"/>
          <w:szCs w:val="24"/>
        </w:rPr>
        <w:t>Braltus</w:t>
      </w:r>
      <w:proofErr w:type="spellEnd"/>
      <w:r w:rsidR="00B5712A" w:rsidRPr="004719A3">
        <w:rPr>
          <w:rFonts w:asciiTheme="minorHAnsi" w:hAnsiTheme="minorHAnsi"/>
          <w:sz w:val="24"/>
          <w:szCs w:val="24"/>
        </w:rPr>
        <w:t xml:space="preserve">® </w:t>
      </w:r>
      <w:r w:rsidR="00C02CB7">
        <w:rPr>
          <w:rFonts w:asciiTheme="minorHAnsi" w:eastAsiaTheme="minorHAnsi" w:hAnsiTheme="minorHAnsi" w:cstheme="minorBidi"/>
          <w:sz w:val="24"/>
          <w:szCs w:val="24"/>
        </w:rPr>
        <w:t xml:space="preserve">to address QUM concerns, it would also be appropriate for the Department </w:t>
      </w:r>
      <w:r w:rsidR="00C02CB7">
        <w:rPr>
          <w:rFonts w:asciiTheme="minorHAnsi" w:eastAsiaTheme="minorHAnsi" w:hAnsiTheme="minorHAnsi" w:cstheme="minorBidi"/>
          <w:sz w:val="24"/>
          <w:szCs w:val="24"/>
        </w:rPr>
        <w:lastRenderedPageBreak/>
        <w:t xml:space="preserve">to refer the matter to the </w:t>
      </w:r>
      <w:r w:rsidR="007C30DA">
        <w:rPr>
          <w:rFonts w:asciiTheme="minorHAnsi" w:eastAsiaTheme="minorHAnsi" w:hAnsiTheme="minorHAnsi" w:cstheme="minorBidi"/>
          <w:sz w:val="24"/>
          <w:szCs w:val="24"/>
        </w:rPr>
        <w:t>NPS MedicineWise</w:t>
      </w:r>
      <w:r w:rsidR="00C02CB7">
        <w:rPr>
          <w:rFonts w:asciiTheme="minorHAnsi" w:eastAsiaTheme="minorHAnsi" w:hAnsiTheme="minorHAnsi" w:cstheme="minorBidi"/>
          <w:sz w:val="24"/>
          <w:szCs w:val="24"/>
        </w:rPr>
        <w:t xml:space="preserve"> to deliver additional educational materials. </w:t>
      </w:r>
    </w:p>
    <w:p w14:paraId="04FCC1C2" w14:textId="176074FA" w:rsidR="00D33189" w:rsidRPr="004719A3" w:rsidRDefault="00D33189" w:rsidP="00CF2114">
      <w:pPr>
        <w:pStyle w:val="ListParagraph"/>
        <w:numPr>
          <w:ilvl w:val="1"/>
          <w:numId w:val="5"/>
        </w:numPr>
        <w:spacing w:before="120" w:after="120"/>
        <w:contextualSpacing w:val="0"/>
        <w:rPr>
          <w:rFonts w:asciiTheme="minorHAnsi" w:hAnsiTheme="minorHAnsi"/>
          <w:sz w:val="24"/>
          <w:szCs w:val="24"/>
        </w:rPr>
      </w:pPr>
      <w:r w:rsidRPr="004719A3">
        <w:rPr>
          <w:rFonts w:asciiTheme="minorHAnsi" w:hAnsiTheme="minorHAnsi"/>
          <w:sz w:val="24"/>
          <w:szCs w:val="24"/>
        </w:rPr>
        <w:t xml:space="preserve">The PBAC noted that the delivery device for </w:t>
      </w:r>
      <w:proofErr w:type="spellStart"/>
      <w:r w:rsidRPr="004719A3">
        <w:rPr>
          <w:rFonts w:asciiTheme="minorHAnsi" w:hAnsiTheme="minorHAnsi"/>
          <w:sz w:val="24"/>
          <w:szCs w:val="24"/>
        </w:rPr>
        <w:t>Braltus</w:t>
      </w:r>
      <w:proofErr w:type="spellEnd"/>
      <w:r w:rsidRPr="004719A3">
        <w:rPr>
          <w:rFonts w:asciiTheme="minorHAnsi" w:hAnsiTheme="minorHAnsi"/>
          <w:sz w:val="24"/>
          <w:szCs w:val="24"/>
        </w:rPr>
        <w:t xml:space="preserve">® </w:t>
      </w:r>
      <w:proofErr w:type="spellStart"/>
      <w:r w:rsidRPr="004719A3">
        <w:rPr>
          <w:rFonts w:asciiTheme="minorHAnsi" w:hAnsiTheme="minorHAnsi"/>
          <w:sz w:val="24"/>
          <w:szCs w:val="24"/>
        </w:rPr>
        <w:t>Zonda</w:t>
      </w:r>
      <w:proofErr w:type="spellEnd"/>
      <w:r w:rsidRPr="004719A3">
        <w:rPr>
          <w:rFonts w:asciiTheme="minorHAnsi" w:hAnsiTheme="minorHAnsi"/>
          <w:sz w:val="24"/>
          <w:szCs w:val="24"/>
        </w:rPr>
        <w:t xml:space="preserve">® was different to the delivery device for Spiriva® </w:t>
      </w:r>
      <w:proofErr w:type="spellStart"/>
      <w:r w:rsidRPr="004719A3">
        <w:rPr>
          <w:rFonts w:asciiTheme="minorHAnsi" w:hAnsiTheme="minorHAnsi"/>
          <w:sz w:val="24"/>
          <w:szCs w:val="24"/>
        </w:rPr>
        <w:t>HandiHaler</w:t>
      </w:r>
      <w:proofErr w:type="spellEnd"/>
      <w:r w:rsidRPr="004719A3">
        <w:rPr>
          <w:rFonts w:asciiTheme="minorHAnsi" w:hAnsiTheme="minorHAnsi"/>
          <w:sz w:val="24"/>
          <w:szCs w:val="24"/>
        </w:rPr>
        <w:t>®</w:t>
      </w:r>
      <w:r w:rsidR="00236793">
        <w:rPr>
          <w:rFonts w:asciiTheme="minorHAnsi" w:hAnsiTheme="minorHAnsi"/>
          <w:sz w:val="24"/>
          <w:szCs w:val="24"/>
        </w:rPr>
        <w:t>, and noted the sponsor’s concerns around potential QUM and AE outcomes</w:t>
      </w:r>
      <w:r w:rsidRPr="004719A3">
        <w:rPr>
          <w:rFonts w:asciiTheme="minorHAnsi" w:hAnsiTheme="minorHAnsi"/>
          <w:sz w:val="24"/>
          <w:szCs w:val="24"/>
        </w:rPr>
        <w:t xml:space="preserve">. The PBAC considered that the operational steps for the two devices are similar. However, the PBAC considered that education would be required for healthcare professionals and consumers to ensure correct use of the delivery device and that the capsule appropriate for the device is used.  </w:t>
      </w:r>
    </w:p>
    <w:p w14:paraId="32472866" w14:textId="0B56A981" w:rsidR="00D33189" w:rsidRDefault="00D33189" w:rsidP="00CF2114">
      <w:pPr>
        <w:pStyle w:val="ListParagraph"/>
        <w:numPr>
          <w:ilvl w:val="1"/>
          <w:numId w:val="5"/>
        </w:numPr>
        <w:spacing w:before="120" w:after="120"/>
        <w:contextualSpacing w:val="0"/>
        <w:rPr>
          <w:rFonts w:asciiTheme="minorHAnsi" w:hAnsiTheme="minorHAnsi"/>
          <w:sz w:val="24"/>
          <w:szCs w:val="24"/>
        </w:rPr>
      </w:pPr>
      <w:r w:rsidRPr="004719A3">
        <w:rPr>
          <w:rFonts w:asciiTheme="minorHAnsi" w:hAnsiTheme="minorHAnsi"/>
          <w:sz w:val="24"/>
          <w:szCs w:val="24"/>
        </w:rPr>
        <w:t xml:space="preserve">The PBAC considered that the differences in the </w:t>
      </w:r>
      <w:r w:rsidRPr="004719A3">
        <w:rPr>
          <w:rFonts w:asciiTheme="minorHAnsi" w:eastAsiaTheme="minorHAnsi" w:hAnsiTheme="minorHAnsi" w:cstheme="minorBidi"/>
          <w:sz w:val="24"/>
          <w:szCs w:val="24"/>
        </w:rPr>
        <w:t xml:space="preserve">labelled metered dose and </w:t>
      </w:r>
      <w:r w:rsidRPr="004719A3">
        <w:rPr>
          <w:rFonts w:asciiTheme="minorHAnsi" w:hAnsiTheme="minorHAnsi"/>
          <w:sz w:val="24"/>
          <w:szCs w:val="24"/>
        </w:rPr>
        <w:t xml:space="preserve">devices could be managed in the course of the regular patient education and counselling on the use of the devices that </w:t>
      </w:r>
      <w:proofErr w:type="gramStart"/>
      <w:r w:rsidRPr="004719A3">
        <w:rPr>
          <w:rFonts w:asciiTheme="minorHAnsi" w:hAnsiTheme="minorHAnsi"/>
          <w:sz w:val="24"/>
          <w:szCs w:val="24"/>
        </w:rPr>
        <w:t>is provided</w:t>
      </w:r>
      <w:proofErr w:type="gramEnd"/>
      <w:r w:rsidRPr="004719A3">
        <w:rPr>
          <w:rFonts w:asciiTheme="minorHAnsi" w:hAnsiTheme="minorHAnsi"/>
          <w:sz w:val="24"/>
          <w:szCs w:val="24"/>
        </w:rPr>
        <w:t xml:space="preserve"> to patients by</w:t>
      </w:r>
      <w:r w:rsidR="00AB70A7">
        <w:rPr>
          <w:rFonts w:asciiTheme="minorHAnsi" w:hAnsiTheme="minorHAnsi"/>
          <w:sz w:val="24"/>
          <w:szCs w:val="24"/>
        </w:rPr>
        <w:t xml:space="preserve"> both</w:t>
      </w:r>
      <w:r w:rsidRPr="004719A3">
        <w:rPr>
          <w:rFonts w:asciiTheme="minorHAnsi" w:hAnsiTheme="minorHAnsi"/>
          <w:sz w:val="24"/>
          <w:szCs w:val="24"/>
        </w:rPr>
        <w:t xml:space="preserve"> prescribers and pharmacists, and that these differences were not sufficient to preclude marking the two brands as equivalent. The PBAC expected and was confident that the dispensing pharmacist would ensure that any change in delivery device </w:t>
      </w:r>
      <w:proofErr w:type="gramStart"/>
      <w:r w:rsidRPr="004719A3">
        <w:rPr>
          <w:rFonts w:asciiTheme="minorHAnsi" w:hAnsiTheme="minorHAnsi"/>
          <w:sz w:val="24"/>
          <w:szCs w:val="24"/>
        </w:rPr>
        <w:t>would be communicated</w:t>
      </w:r>
      <w:proofErr w:type="gramEnd"/>
      <w:r w:rsidRPr="004719A3">
        <w:rPr>
          <w:rFonts w:asciiTheme="minorHAnsi" w:hAnsiTheme="minorHAnsi"/>
          <w:sz w:val="24"/>
          <w:szCs w:val="24"/>
        </w:rPr>
        <w:t xml:space="preserve"> to the patient and that appropriate education on the use of the device would be provided. </w:t>
      </w:r>
    </w:p>
    <w:p w14:paraId="19F25B1B" w14:textId="7B993244" w:rsidR="00B5712A" w:rsidRDefault="00B5712A" w:rsidP="00CF2114">
      <w:pPr>
        <w:pStyle w:val="ListParagraph"/>
        <w:numPr>
          <w:ilvl w:val="1"/>
          <w:numId w:val="5"/>
        </w:numPr>
        <w:spacing w:before="120" w:after="120"/>
        <w:contextualSpacing w:val="0"/>
        <w:rPr>
          <w:rFonts w:asciiTheme="minorHAnsi" w:hAnsiTheme="minorHAnsi"/>
          <w:sz w:val="24"/>
          <w:szCs w:val="24"/>
        </w:rPr>
      </w:pPr>
      <w:r w:rsidRPr="00B5712A">
        <w:rPr>
          <w:rFonts w:asciiTheme="minorHAnsi" w:hAnsiTheme="minorHAnsi"/>
          <w:sz w:val="24"/>
          <w:szCs w:val="24"/>
        </w:rPr>
        <w:t xml:space="preserve">The PBAC noted the ability for prescribers and pharmacists to substitute generic brands for originator brands is an important part of encouraging </w:t>
      </w:r>
      <w:r w:rsidR="00E313BD">
        <w:rPr>
          <w:rFonts w:asciiTheme="minorHAnsi" w:hAnsiTheme="minorHAnsi"/>
          <w:sz w:val="24"/>
          <w:szCs w:val="24"/>
        </w:rPr>
        <w:t xml:space="preserve">appropriate </w:t>
      </w:r>
      <w:r w:rsidRPr="00B5712A">
        <w:rPr>
          <w:rFonts w:asciiTheme="minorHAnsi" w:hAnsiTheme="minorHAnsi"/>
          <w:sz w:val="24"/>
          <w:szCs w:val="24"/>
        </w:rPr>
        <w:t xml:space="preserve">use of generics </w:t>
      </w:r>
      <w:r w:rsidR="00E313BD">
        <w:rPr>
          <w:rFonts w:asciiTheme="minorHAnsi" w:hAnsiTheme="minorHAnsi"/>
          <w:sz w:val="24"/>
          <w:szCs w:val="24"/>
        </w:rPr>
        <w:t>on</w:t>
      </w:r>
      <w:r w:rsidRPr="00B5712A">
        <w:rPr>
          <w:rFonts w:asciiTheme="minorHAnsi" w:hAnsiTheme="minorHAnsi"/>
          <w:sz w:val="24"/>
          <w:szCs w:val="24"/>
        </w:rPr>
        <w:t xml:space="preserve"> the PBS. </w:t>
      </w:r>
    </w:p>
    <w:p w14:paraId="2077362B" w14:textId="1C2D8920" w:rsidR="00B5712A" w:rsidRPr="004719A3" w:rsidRDefault="00B5712A" w:rsidP="00CF2114">
      <w:pPr>
        <w:pStyle w:val="ListParagraph"/>
        <w:numPr>
          <w:ilvl w:val="1"/>
          <w:numId w:val="5"/>
        </w:numPr>
        <w:spacing w:before="120" w:after="120"/>
        <w:contextualSpacing w:val="0"/>
        <w:rPr>
          <w:rFonts w:asciiTheme="minorHAnsi" w:hAnsiTheme="minorHAnsi"/>
          <w:sz w:val="24"/>
          <w:szCs w:val="24"/>
        </w:rPr>
      </w:pPr>
      <w:r w:rsidRPr="00B5712A">
        <w:rPr>
          <w:rFonts w:asciiTheme="minorHAnsi" w:hAnsiTheme="minorHAnsi"/>
          <w:sz w:val="24"/>
          <w:szCs w:val="24"/>
        </w:rPr>
        <w:t xml:space="preserve">The PBAC noted for any individual prescription, a prescriber </w:t>
      </w:r>
      <w:proofErr w:type="gramStart"/>
      <w:r w:rsidRPr="00B5712A">
        <w:rPr>
          <w:rFonts w:asciiTheme="minorHAnsi" w:hAnsiTheme="minorHAnsi"/>
          <w:sz w:val="24"/>
          <w:szCs w:val="24"/>
        </w:rPr>
        <w:t>may</w:t>
      </w:r>
      <w:proofErr w:type="gramEnd"/>
      <w:r w:rsidRPr="00B5712A">
        <w:rPr>
          <w:rFonts w:asciiTheme="minorHAnsi" w:hAnsiTheme="minorHAnsi"/>
          <w:sz w:val="24"/>
          <w:szCs w:val="24"/>
        </w:rPr>
        <w:t xml:space="preserve"> choose to not permit brand substitution by indicating ‘substitution not permitted’ on the prescription. Likewise, when substitution </w:t>
      </w:r>
      <w:proofErr w:type="gramStart"/>
      <w:r w:rsidRPr="00B5712A">
        <w:rPr>
          <w:rFonts w:asciiTheme="minorHAnsi" w:hAnsiTheme="minorHAnsi"/>
          <w:sz w:val="24"/>
          <w:szCs w:val="24"/>
        </w:rPr>
        <w:t>is permitted</w:t>
      </w:r>
      <w:proofErr w:type="gramEnd"/>
      <w:r w:rsidRPr="00B5712A">
        <w:rPr>
          <w:rFonts w:asciiTheme="minorHAnsi" w:hAnsiTheme="minorHAnsi"/>
          <w:sz w:val="24"/>
          <w:szCs w:val="24"/>
        </w:rPr>
        <w:t>, a patient may nominate which ‘a’ flagged brand they wish to receive from the pharmacist. The substitution process allows for patient and prescriber choice and is not automatic.</w:t>
      </w:r>
    </w:p>
    <w:p w14:paraId="4041AB4C" w14:textId="282BACA4" w:rsidR="00D33189" w:rsidRDefault="00D33189" w:rsidP="00CF2114">
      <w:pPr>
        <w:pStyle w:val="ListParagraph"/>
        <w:numPr>
          <w:ilvl w:val="1"/>
          <w:numId w:val="5"/>
        </w:numPr>
        <w:spacing w:before="120" w:after="120"/>
        <w:contextualSpacing w:val="0"/>
        <w:rPr>
          <w:rFonts w:asciiTheme="minorHAnsi" w:hAnsiTheme="minorHAnsi"/>
          <w:sz w:val="24"/>
          <w:szCs w:val="24"/>
        </w:rPr>
      </w:pPr>
      <w:r w:rsidRPr="007A04B3">
        <w:rPr>
          <w:rFonts w:asciiTheme="minorHAnsi" w:hAnsiTheme="minorHAnsi"/>
          <w:sz w:val="24"/>
          <w:szCs w:val="24"/>
        </w:rPr>
        <w:t xml:space="preserve">The PBAC considered the following administrative advice is appropriate for inclusion in both the </w:t>
      </w:r>
      <w:proofErr w:type="spellStart"/>
      <w:r w:rsidRPr="007A04B3">
        <w:rPr>
          <w:rFonts w:asciiTheme="minorHAnsi" w:hAnsiTheme="minorHAnsi"/>
          <w:sz w:val="24"/>
          <w:szCs w:val="24"/>
        </w:rPr>
        <w:t>Braltus</w:t>
      </w:r>
      <w:proofErr w:type="spellEnd"/>
      <w:r w:rsidRPr="007A04B3">
        <w:rPr>
          <w:rFonts w:asciiTheme="minorHAnsi" w:hAnsiTheme="minorHAnsi"/>
          <w:sz w:val="24"/>
          <w:szCs w:val="24"/>
        </w:rPr>
        <w:t xml:space="preserve">® and Spiriva® listings “Pharmaceutical benefits that have the form </w:t>
      </w:r>
      <w:proofErr w:type="spellStart"/>
      <w:r w:rsidRPr="007A04B3">
        <w:rPr>
          <w:rFonts w:asciiTheme="minorHAnsi" w:hAnsiTheme="minorHAnsi"/>
          <w:sz w:val="24"/>
          <w:szCs w:val="24"/>
        </w:rPr>
        <w:t>tiotropium</w:t>
      </w:r>
      <w:proofErr w:type="spellEnd"/>
      <w:r w:rsidRPr="007A04B3">
        <w:rPr>
          <w:rFonts w:asciiTheme="minorHAnsi" w:hAnsiTheme="minorHAnsi"/>
          <w:sz w:val="24"/>
          <w:szCs w:val="24"/>
        </w:rPr>
        <w:t xml:space="preserve"> 18 microgram powder for inhalation and pharmaceutical benefits that have the form </w:t>
      </w:r>
      <w:proofErr w:type="spellStart"/>
      <w:r w:rsidRPr="007A04B3">
        <w:rPr>
          <w:rFonts w:asciiTheme="minorHAnsi" w:hAnsiTheme="minorHAnsi"/>
          <w:sz w:val="24"/>
          <w:szCs w:val="24"/>
        </w:rPr>
        <w:t>tiotropium</w:t>
      </w:r>
      <w:proofErr w:type="spellEnd"/>
      <w:r w:rsidRPr="007A04B3">
        <w:rPr>
          <w:rFonts w:asciiTheme="minorHAnsi" w:hAnsiTheme="minorHAnsi"/>
          <w:sz w:val="24"/>
          <w:szCs w:val="24"/>
        </w:rPr>
        <w:t xml:space="preserve"> 13 microgram powder for inhalation are equivalent for the purposes of substitution”.</w:t>
      </w:r>
    </w:p>
    <w:p w14:paraId="2E8AE9A5" w14:textId="5B51FB5E" w:rsidR="007824C4" w:rsidRPr="007A04B3" w:rsidRDefault="007824C4" w:rsidP="00CF2114">
      <w:pPr>
        <w:pStyle w:val="ListParagraph"/>
        <w:numPr>
          <w:ilvl w:val="1"/>
          <w:numId w:val="5"/>
        </w:numPr>
        <w:spacing w:before="120" w:after="120"/>
        <w:contextualSpacing w:val="0"/>
        <w:rPr>
          <w:rFonts w:asciiTheme="minorHAnsi" w:hAnsiTheme="minorHAnsi"/>
          <w:sz w:val="24"/>
          <w:szCs w:val="24"/>
        </w:rPr>
      </w:pPr>
      <w:r>
        <w:rPr>
          <w:rFonts w:asciiTheme="minorHAnsi" w:hAnsiTheme="minorHAnsi"/>
          <w:sz w:val="24"/>
          <w:szCs w:val="24"/>
        </w:rPr>
        <w:t xml:space="preserve">The PBAC noted that this submission is not eligible for an Independent Review, as </w:t>
      </w:r>
      <w:r w:rsidR="001B3A4E">
        <w:rPr>
          <w:rFonts w:asciiTheme="minorHAnsi" w:hAnsiTheme="minorHAnsi"/>
          <w:sz w:val="24"/>
          <w:szCs w:val="24"/>
        </w:rPr>
        <w:t xml:space="preserve">the request was not seeking listing for an entirely different disease or condition, an objectively different subtype of disease, or targeting a different population. </w:t>
      </w:r>
    </w:p>
    <w:p w14:paraId="62066FAE" w14:textId="77777777" w:rsidR="006D537A" w:rsidRPr="00776450" w:rsidRDefault="006D537A" w:rsidP="00CF2114">
      <w:pPr>
        <w:spacing w:before="120" w:after="120"/>
        <w:jc w:val="both"/>
        <w:rPr>
          <w:rFonts w:asciiTheme="minorHAnsi" w:hAnsiTheme="minorHAnsi" w:cs="Arial"/>
          <w:b/>
          <w:bCs/>
          <w:snapToGrid w:val="0"/>
          <w:lang w:val="en-GB" w:eastAsia="en-US"/>
        </w:rPr>
      </w:pPr>
      <w:r w:rsidRPr="00776450">
        <w:rPr>
          <w:rFonts w:asciiTheme="minorHAnsi" w:hAnsiTheme="minorHAnsi" w:cs="Arial"/>
          <w:b/>
          <w:bCs/>
          <w:snapToGrid w:val="0"/>
          <w:lang w:val="en-GB" w:eastAsia="en-US"/>
        </w:rPr>
        <w:t>Outcome:</w:t>
      </w:r>
    </w:p>
    <w:p w14:paraId="178646D3" w14:textId="37481CFB" w:rsidR="00776450" w:rsidRDefault="002A3BAA" w:rsidP="00CF2114">
      <w:pPr>
        <w:spacing w:before="120" w:after="120"/>
        <w:jc w:val="both"/>
        <w:rPr>
          <w:rFonts w:asciiTheme="minorHAnsi" w:hAnsiTheme="minorHAnsi" w:cs="Arial"/>
          <w:bCs/>
          <w:snapToGrid w:val="0"/>
          <w:lang w:val="en-GB" w:eastAsia="en-US"/>
        </w:rPr>
      </w:pPr>
      <w:r w:rsidRPr="00776450">
        <w:rPr>
          <w:rFonts w:asciiTheme="minorHAnsi" w:hAnsiTheme="minorHAnsi" w:cs="Arial"/>
          <w:bCs/>
          <w:snapToGrid w:val="0"/>
          <w:lang w:val="en-GB" w:eastAsia="en-US"/>
        </w:rPr>
        <w:t>Rejected</w:t>
      </w:r>
    </w:p>
    <w:p w14:paraId="16D9AA40" w14:textId="6521B201" w:rsidR="00B4293A" w:rsidRPr="001954FC" w:rsidRDefault="00B4293A" w:rsidP="00CF2114">
      <w:pPr>
        <w:pStyle w:val="PBACHeading1"/>
        <w:keepNext/>
        <w:keepLines/>
        <w:spacing w:before="120" w:after="120"/>
        <w:ind w:left="709" w:hanging="709"/>
        <w:rPr>
          <w:rFonts w:asciiTheme="minorHAnsi" w:hAnsiTheme="minorHAnsi"/>
          <w:sz w:val="32"/>
          <w:szCs w:val="32"/>
        </w:rPr>
      </w:pPr>
      <w:r w:rsidRPr="001954FC">
        <w:rPr>
          <w:rFonts w:asciiTheme="minorHAnsi" w:hAnsiTheme="minorHAnsi"/>
          <w:sz w:val="32"/>
          <w:szCs w:val="32"/>
        </w:rPr>
        <w:t>Context for Decision</w:t>
      </w:r>
    </w:p>
    <w:p w14:paraId="3C9D169C" w14:textId="1E0BE68B" w:rsidR="00B4293A" w:rsidRPr="001954FC" w:rsidRDefault="00B4293A" w:rsidP="00CF2114">
      <w:pPr>
        <w:spacing w:before="120" w:after="120"/>
        <w:ind w:left="709"/>
        <w:jc w:val="both"/>
        <w:rPr>
          <w:rFonts w:asciiTheme="minorHAnsi" w:hAnsiTheme="minorHAnsi" w:cs="Arial"/>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14:paraId="71793FC7" w14:textId="3834A709" w:rsidR="00B4293A" w:rsidRPr="001954FC" w:rsidRDefault="00B4293A" w:rsidP="00CF2114">
      <w:pPr>
        <w:pStyle w:val="PBACHeading1"/>
        <w:keepNext/>
        <w:keepLines/>
        <w:spacing w:before="120" w:after="120"/>
        <w:ind w:left="709" w:hanging="709"/>
        <w:rPr>
          <w:rFonts w:asciiTheme="minorHAnsi" w:hAnsiTheme="minorHAnsi"/>
          <w:sz w:val="32"/>
          <w:szCs w:val="32"/>
        </w:rPr>
      </w:pPr>
      <w:r w:rsidRPr="001954FC">
        <w:rPr>
          <w:rFonts w:asciiTheme="minorHAnsi" w:hAnsiTheme="minorHAnsi"/>
          <w:sz w:val="32"/>
          <w:szCs w:val="32"/>
        </w:rPr>
        <w:lastRenderedPageBreak/>
        <w:t>Sponsor’</w:t>
      </w:r>
      <w:bookmarkStart w:id="0" w:name="_GoBack"/>
      <w:bookmarkEnd w:id="0"/>
      <w:r w:rsidRPr="001954FC">
        <w:rPr>
          <w:rFonts w:asciiTheme="minorHAnsi" w:hAnsiTheme="minorHAnsi"/>
          <w:sz w:val="32"/>
          <w:szCs w:val="32"/>
        </w:rPr>
        <w:t>s Comment</w:t>
      </w:r>
    </w:p>
    <w:p w14:paraId="49395E87" w14:textId="5FE701F3" w:rsidR="006D537A" w:rsidRPr="00CF2114" w:rsidRDefault="00B4293A" w:rsidP="00CF2114">
      <w:pPr>
        <w:spacing w:before="120" w:after="120"/>
        <w:ind w:left="709"/>
        <w:jc w:val="both"/>
        <w:rPr>
          <w:rFonts w:asciiTheme="minorHAnsi" w:hAnsiTheme="minorHAnsi" w:cs="Arial"/>
          <w:bCs/>
        </w:rPr>
      </w:pPr>
      <w:r w:rsidRPr="00C07617">
        <w:rPr>
          <w:rFonts w:asciiTheme="minorHAnsi" w:hAnsiTheme="minorHAnsi" w:cs="Arial"/>
          <w:bCs/>
        </w:rPr>
        <w:t>The sponsor had no comment.</w:t>
      </w:r>
    </w:p>
    <w:sectPr w:rsidR="006D537A" w:rsidRPr="00CF2114"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94141" w14:textId="77777777" w:rsidR="00FB78C8" w:rsidRDefault="00FB78C8">
      <w:r>
        <w:separator/>
      </w:r>
    </w:p>
    <w:p w14:paraId="0CE937E7" w14:textId="77777777" w:rsidR="00FB78C8" w:rsidRDefault="00FB78C8"/>
  </w:endnote>
  <w:endnote w:type="continuationSeparator" w:id="0">
    <w:p w14:paraId="5BDB66EC" w14:textId="77777777" w:rsidR="00FB78C8" w:rsidRDefault="00FB78C8">
      <w:r>
        <w:continuationSeparator/>
      </w:r>
    </w:p>
    <w:p w14:paraId="0B084B32" w14:textId="77777777" w:rsidR="00FB78C8" w:rsidRDefault="00FB78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14:paraId="54784DD0" w14:textId="77777777" w:rsidTr="005A3173">
      <w:trPr>
        <w:trHeight w:val="151"/>
      </w:trPr>
      <w:tc>
        <w:tcPr>
          <w:tcW w:w="2250" w:type="pct"/>
          <w:tcBorders>
            <w:top w:val="nil"/>
            <w:left w:val="nil"/>
            <w:bottom w:val="single" w:sz="4" w:space="0" w:color="4F81BD"/>
            <w:right w:val="nil"/>
          </w:tcBorders>
        </w:tcPr>
        <w:p w14:paraId="27791FFF" w14:textId="77777777"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6CCD520D" w14:textId="77777777"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D1A374" w14:textId="77777777" w:rsidR="00F80475" w:rsidRPr="005A3173" w:rsidRDefault="00F80475" w:rsidP="005A3173">
          <w:pPr>
            <w:pStyle w:val="Header"/>
            <w:spacing w:line="276" w:lineRule="auto"/>
            <w:rPr>
              <w:rFonts w:ascii="Calibri" w:eastAsia="MS Gothic" w:hAnsi="Calibri"/>
              <w:b/>
              <w:bCs/>
              <w:color w:val="4F81BD"/>
            </w:rPr>
          </w:pPr>
        </w:p>
      </w:tc>
    </w:tr>
    <w:tr w:rsidR="00F80475" w14:paraId="1A2BE399" w14:textId="77777777" w:rsidTr="005A3173">
      <w:trPr>
        <w:trHeight w:val="150"/>
      </w:trPr>
      <w:tc>
        <w:tcPr>
          <w:tcW w:w="2250" w:type="pct"/>
          <w:tcBorders>
            <w:top w:val="single" w:sz="4" w:space="0" w:color="4F81BD"/>
            <w:left w:val="nil"/>
            <w:bottom w:val="nil"/>
            <w:right w:val="nil"/>
          </w:tcBorders>
        </w:tcPr>
        <w:p w14:paraId="264E1901" w14:textId="77777777"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14:paraId="1D21F92E" w14:textId="77777777"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14:paraId="3B612DEE" w14:textId="77777777" w:rsidR="00F80475" w:rsidRPr="005A3173" w:rsidRDefault="00F80475" w:rsidP="005A3173">
          <w:pPr>
            <w:pStyle w:val="Header"/>
            <w:spacing w:line="276" w:lineRule="auto"/>
            <w:rPr>
              <w:rFonts w:ascii="Calibri" w:eastAsia="MS Gothic" w:hAnsi="Calibri"/>
              <w:b/>
              <w:bCs/>
              <w:color w:val="4F81BD"/>
            </w:rPr>
          </w:pPr>
        </w:p>
      </w:tc>
    </w:tr>
  </w:tbl>
  <w:p w14:paraId="20C719C9" w14:textId="77777777" w:rsidR="00F80475" w:rsidRDefault="00F8047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34E626" w14:textId="77777777" w:rsidR="00F80475" w:rsidRDefault="00F80475">
    <w:pPr>
      <w:pStyle w:val="Footer"/>
    </w:pPr>
  </w:p>
  <w:p w14:paraId="356E0723" w14:textId="77777777" w:rsidR="00F80475" w:rsidRDefault="00F8047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807597"/>
      <w:docPartObj>
        <w:docPartGallery w:val="Page Numbers (Bottom of Page)"/>
        <w:docPartUnique/>
      </w:docPartObj>
    </w:sdtPr>
    <w:sdtEndPr>
      <w:rPr>
        <w:rFonts w:asciiTheme="minorHAnsi" w:hAnsiTheme="minorHAnsi" w:cstheme="minorHAnsi"/>
        <w:b/>
        <w:noProof/>
      </w:rPr>
    </w:sdtEndPr>
    <w:sdtContent>
      <w:p w14:paraId="15BA41BE" w14:textId="773FA766" w:rsidR="00F80475" w:rsidRPr="00077C70" w:rsidRDefault="00E94F47" w:rsidP="00E94F47">
        <w:pPr>
          <w:pStyle w:val="Footer"/>
          <w:jc w:val="center"/>
          <w:rPr>
            <w:rFonts w:asciiTheme="minorHAnsi" w:hAnsiTheme="minorHAnsi" w:cstheme="minorHAnsi"/>
            <w:b/>
          </w:rPr>
        </w:pPr>
        <w:r w:rsidRPr="00077C70">
          <w:rPr>
            <w:rFonts w:asciiTheme="minorHAnsi" w:hAnsiTheme="minorHAnsi" w:cstheme="minorHAnsi"/>
            <w:b/>
          </w:rPr>
          <w:fldChar w:fldCharType="begin"/>
        </w:r>
        <w:r w:rsidRPr="00077C70">
          <w:rPr>
            <w:rFonts w:asciiTheme="minorHAnsi" w:hAnsiTheme="minorHAnsi" w:cstheme="minorHAnsi"/>
            <w:b/>
          </w:rPr>
          <w:instrText xml:space="preserve"> PAGE   \* MERGEFORMAT </w:instrText>
        </w:r>
        <w:r w:rsidRPr="00077C70">
          <w:rPr>
            <w:rFonts w:asciiTheme="minorHAnsi" w:hAnsiTheme="minorHAnsi" w:cstheme="minorHAnsi"/>
            <w:b/>
          </w:rPr>
          <w:fldChar w:fldCharType="separate"/>
        </w:r>
        <w:r w:rsidR="009A05B1">
          <w:rPr>
            <w:rFonts w:asciiTheme="minorHAnsi" w:hAnsiTheme="minorHAnsi" w:cstheme="minorHAnsi"/>
            <w:b/>
            <w:noProof/>
          </w:rPr>
          <w:t>6</w:t>
        </w:r>
        <w:r w:rsidRPr="00077C70">
          <w:rPr>
            <w:rFonts w:asciiTheme="minorHAnsi" w:hAnsiTheme="minorHAnsi" w:cstheme="minorHAnsi"/>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F80475" w14:paraId="51A76521" w14:textId="77777777" w:rsidTr="005A3173">
      <w:trPr>
        <w:trHeight w:val="151"/>
      </w:trPr>
      <w:tc>
        <w:tcPr>
          <w:tcW w:w="2250" w:type="pct"/>
          <w:tcBorders>
            <w:top w:val="nil"/>
            <w:left w:val="nil"/>
            <w:bottom w:val="single" w:sz="4" w:space="0" w:color="4F81BD"/>
            <w:right w:val="nil"/>
          </w:tcBorders>
        </w:tcPr>
        <w:p w14:paraId="279A50DF" w14:textId="77777777"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661D3335" w14:textId="77777777"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09425AF0" w14:textId="77777777" w:rsidR="00F80475" w:rsidRPr="005A3173" w:rsidRDefault="00F80475" w:rsidP="005A3173">
          <w:pPr>
            <w:pStyle w:val="Header"/>
            <w:spacing w:line="276" w:lineRule="auto"/>
            <w:rPr>
              <w:rFonts w:ascii="Calibri" w:eastAsia="MS Gothic" w:hAnsi="Calibri"/>
              <w:b/>
              <w:bCs/>
              <w:color w:val="4F81BD"/>
            </w:rPr>
          </w:pPr>
        </w:p>
      </w:tc>
    </w:tr>
    <w:tr w:rsidR="00F80475" w14:paraId="677E6C2E" w14:textId="77777777" w:rsidTr="005A3173">
      <w:trPr>
        <w:trHeight w:val="150"/>
      </w:trPr>
      <w:tc>
        <w:tcPr>
          <w:tcW w:w="2250" w:type="pct"/>
          <w:tcBorders>
            <w:top w:val="single" w:sz="4" w:space="0" w:color="4F81BD"/>
            <w:left w:val="nil"/>
            <w:bottom w:val="nil"/>
            <w:right w:val="nil"/>
          </w:tcBorders>
        </w:tcPr>
        <w:p w14:paraId="1DDF88D1" w14:textId="77777777"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14:paraId="23908DFF" w14:textId="77777777"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14:paraId="7BA441D4" w14:textId="77777777" w:rsidR="00F80475" w:rsidRPr="005A3173" w:rsidRDefault="00F8047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14:paraId="0C9CAA3D" w14:textId="77777777" w:rsidTr="005A3173">
      <w:trPr>
        <w:trHeight w:val="151"/>
      </w:trPr>
      <w:tc>
        <w:tcPr>
          <w:tcW w:w="2250" w:type="pct"/>
          <w:tcBorders>
            <w:top w:val="nil"/>
            <w:left w:val="nil"/>
            <w:bottom w:val="single" w:sz="4" w:space="0" w:color="4F81BD"/>
            <w:right w:val="nil"/>
          </w:tcBorders>
        </w:tcPr>
        <w:p w14:paraId="78091ED0" w14:textId="77777777"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10F0064E" w14:textId="77777777"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32E91CF" w14:textId="77777777" w:rsidR="00F80475" w:rsidRPr="005A3173" w:rsidRDefault="00F80475" w:rsidP="005A3173">
          <w:pPr>
            <w:pStyle w:val="Header"/>
            <w:spacing w:line="276" w:lineRule="auto"/>
            <w:rPr>
              <w:rFonts w:ascii="Calibri" w:eastAsia="MS Gothic" w:hAnsi="Calibri"/>
              <w:b/>
              <w:bCs/>
              <w:color w:val="4F81BD"/>
            </w:rPr>
          </w:pPr>
        </w:p>
      </w:tc>
    </w:tr>
    <w:tr w:rsidR="00F80475" w14:paraId="4DEDB291" w14:textId="77777777" w:rsidTr="005A3173">
      <w:trPr>
        <w:trHeight w:val="150"/>
      </w:trPr>
      <w:tc>
        <w:tcPr>
          <w:tcW w:w="2250" w:type="pct"/>
          <w:tcBorders>
            <w:top w:val="single" w:sz="4" w:space="0" w:color="4F81BD"/>
            <w:left w:val="nil"/>
            <w:bottom w:val="nil"/>
            <w:right w:val="nil"/>
          </w:tcBorders>
        </w:tcPr>
        <w:p w14:paraId="713B992F" w14:textId="77777777"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14:paraId="167094AA" w14:textId="77777777"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14:paraId="78040982" w14:textId="77777777" w:rsidR="00F80475" w:rsidRPr="005A3173" w:rsidRDefault="00F80475" w:rsidP="005A3173">
          <w:pPr>
            <w:pStyle w:val="Header"/>
            <w:spacing w:line="276" w:lineRule="auto"/>
            <w:rPr>
              <w:rFonts w:ascii="Calibri" w:eastAsia="MS Gothic" w:hAnsi="Calibri"/>
              <w:b/>
              <w:bCs/>
              <w:color w:val="4F81BD"/>
            </w:rPr>
          </w:pPr>
        </w:p>
      </w:tc>
    </w:tr>
  </w:tbl>
  <w:p w14:paraId="32E845B6" w14:textId="77777777" w:rsidR="00F80475" w:rsidRPr="007C0F57" w:rsidRDefault="00F8047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14:paraId="13C71336" w14:textId="77777777" w:rsidR="00F80475" w:rsidRPr="007C0F57" w:rsidRDefault="00F80475" w:rsidP="007C0F57">
    <w:pPr>
      <w:pStyle w:val="Footer"/>
      <w:jc w:val="center"/>
      <w:rPr>
        <w:b/>
        <w:i/>
        <w:sz w:val="20"/>
        <w:szCs w:val="20"/>
      </w:rPr>
    </w:pPr>
    <w:r w:rsidRPr="007C0F57">
      <w:rPr>
        <w:b/>
        <w:i/>
        <w:sz w:val="20"/>
        <w:szCs w:val="20"/>
      </w:rPr>
      <w:t>Commercial-in-Confidence</w:t>
    </w:r>
  </w:p>
  <w:p w14:paraId="5738CC04" w14:textId="77777777" w:rsidR="00F80475" w:rsidRDefault="00F8047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0B359" w14:textId="77777777" w:rsidR="00FB78C8" w:rsidRDefault="00FB78C8">
      <w:r>
        <w:separator/>
      </w:r>
    </w:p>
    <w:p w14:paraId="5BAD3D2A" w14:textId="77777777" w:rsidR="00FB78C8" w:rsidRDefault="00FB78C8"/>
  </w:footnote>
  <w:footnote w:type="continuationSeparator" w:id="0">
    <w:p w14:paraId="2E6571AD" w14:textId="77777777" w:rsidR="00FB78C8" w:rsidRDefault="00FB78C8">
      <w:r>
        <w:continuationSeparator/>
      </w:r>
    </w:p>
    <w:p w14:paraId="04C6BFAF" w14:textId="77777777" w:rsidR="00FB78C8" w:rsidRDefault="00FB78C8"/>
  </w:footnote>
  <w:footnote w:id="1">
    <w:p w14:paraId="6EE732D7" w14:textId="48819FAC" w:rsidR="00310F68" w:rsidRPr="007A04B3" w:rsidRDefault="00310F68">
      <w:pPr>
        <w:pStyle w:val="FootnoteText"/>
        <w:rPr>
          <w:rStyle w:val="Hyperlink"/>
          <w:rFonts w:asciiTheme="minorHAnsi" w:hAnsiTheme="minorHAnsi" w:cstheme="minorHAnsi"/>
        </w:rPr>
      </w:pPr>
      <w:r w:rsidRPr="007A04B3">
        <w:rPr>
          <w:rStyle w:val="FootnoteReference"/>
          <w:rFonts w:asciiTheme="minorHAnsi" w:hAnsiTheme="minorHAnsi" w:cstheme="minorHAnsi"/>
        </w:rPr>
        <w:footnoteRef/>
      </w:r>
      <w:r w:rsidRPr="007A04B3">
        <w:rPr>
          <w:rStyle w:val="FootnoteReference"/>
          <w:rFonts w:asciiTheme="minorHAnsi" w:hAnsiTheme="minorHAnsi" w:cstheme="minorHAnsi"/>
        </w:rPr>
        <w:t xml:space="preserve"> </w:t>
      </w:r>
      <w:r w:rsidRPr="007A04B3">
        <w:rPr>
          <w:rStyle w:val="Hyperlink"/>
          <w:rFonts w:asciiTheme="minorHAnsi" w:hAnsiTheme="minorHAnsi" w:cstheme="minorHAnsi"/>
        </w:rPr>
        <w:t>https://www.tga.gov.au/sites/default/files/foi-946-1819-01.pdf</w:t>
      </w:r>
    </w:p>
  </w:footnote>
  <w:footnote w:id="2">
    <w:p w14:paraId="403BCB56" w14:textId="44CA7FF3" w:rsidR="005F4686" w:rsidRPr="00655282" w:rsidRDefault="005F4686">
      <w:pPr>
        <w:pStyle w:val="FootnoteText"/>
        <w:rPr>
          <w:rFonts w:asciiTheme="minorHAnsi" w:hAnsiTheme="minorHAnsi" w:cstheme="minorHAnsi"/>
        </w:rPr>
      </w:pPr>
      <w:r w:rsidRPr="00655282">
        <w:rPr>
          <w:rStyle w:val="FootnoteReference"/>
          <w:rFonts w:asciiTheme="minorHAnsi" w:hAnsiTheme="minorHAnsi" w:cstheme="minorHAnsi"/>
        </w:rPr>
        <w:footnoteRef/>
      </w:r>
      <w:r w:rsidRPr="00655282">
        <w:rPr>
          <w:rFonts w:asciiTheme="minorHAnsi" w:hAnsiTheme="minorHAnsi" w:cstheme="minorHAnsi"/>
        </w:rPr>
        <w:t xml:space="preserve"> </w:t>
      </w:r>
      <w:hyperlink r:id="rId1" w:history="1">
        <w:r w:rsidRPr="00655282">
          <w:rPr>
            <w:rStyle w:val="Hyperlink"/>
            <w:rFonts w:asciiTheme="minorHAnsi" w:hAnsiTheme="minorHAnsi" w:cstheme="minorHAnsi"/>
          </w:rPr>
          <w:t>https://laegemiddelstyrelsen.dk/en/sideeffects/direct-healthcare-professional-communication/delivered-dhpcs/~/media/EA186BA3684843888ECC623834FFBA2F.ashx</w:t>
        </w:r>
      </w:hyperlink>
    </w:p>
  </w:footnote>
  <w:footnote w:id="3">
    <w:p w14:paraId="3018D3E9" w14:textId="3209E8B7" w:rsidR="00FB5709" w:rsidRDefault="00FB5709">
      <w:pPr>
        <w:pStyle w:val="FootnoteText"/>
      </w:pPr>
      <w:r w:rsidRPr="004540D2">
        <w:rPr>
          <w:rStyle w:val="Hyperlink"/>
          <w:rFonts w:asciiTheme="minorHAnsi" w:hAnsiTheme="minorHAnsi" w:cstheme="minorHAnsi"/>
          <w:vertAlign w:val="superscript"/>
        </w:rPr>
        <w:footnoteRef/>
      </w:r>
      <w:r w:rsidRPr="00655282">
        <w:rPr>
          <w:rStyle w:val="Hyperlink"/>
          <w:rFonts w:asciiTheme="minorHAnsi" w:hAnsiTheme="minorHAnsi" w:cstheme="minorHAnsi"/>
        </w:rPr>
        <w:t xml:space="preserve"> </w:t>
      </w:r>
      <w:hyperlink r:id="rId2" w:history="1">
        <w:r w:rsidRPr="00655282">
          <w:rPr>
            <w:rStyle w:val="Hyperlink"/>
            <w:rFonts w:asciiTheme="minorHAnsi" w:hAnsiTheme="minorHAnsi" w:cstheme="minorHAnsi"/>
          </w:rPr>
          <w:t>https://www.gov.uk/drug-safety-update/braltus-tiotropium-risk-of-inhalation-of-capsule-if-placed-in-the-mouthpiece-of-the-inhaler</w:t>
        </w:r>
      </w:hyperlink>
    </w:p>
  </w:footnote>
  <w:footnote w:id="4">
    <w:p w14:paraId="654A07D4" w14:textId="6EBBF92F" w:rsidR="00775565" w:rsidRPr="00655282" w:rsidRDefault="00775565">
      <w:pPr>
        <w:pStyle w:val="FootnoteText"/>
        <w:rPr>
          <w:rStyle w:val="Hyperlink"/>
          <w:rFonts w:asciiTheme="minorHAnsi" w:hAnsiTheme="minorHAnsi" w:cstheme="minorHAnsi"/>
        </w:rPr>
      </w:pPr>
      <w:r>
        <w:rPr>
          <w:rStyle w:val="FootnoteReference"/>
        </w:rPr>
        <w:footnoteRef/>
      </w:r>
      <w:hyperlink r:id="rId3" w:history="1">
        <w:r w:rsidRPr="00655282">
          <w:rPr>
            <w:rStyle w:val="Hyperlink"/>
            <w:rFonts w:asciiTheme="minorHAnsi" w:hAnsiTheme="minorHAnsi" w:cstheme="minorHAnsi"/>
          </w:rPr>
          <w:t>http://databankws.lareb.nl/Downloads/Signals_2018_Tiotropium%20and%20decreased%20therapeutic%20response.pdf</w:t>
        </w:r>
      </w:hyperlink>
    </w:p>
  </w:footnote>
  <w:footnote w:id="5">
    <w:p w14:paraId="1117D219" w14:textId="050B5763" w:rsidR="003B173A" w:rsidRDefault="003B173A">
      <w:pPr>
        <w:pStyle w:val="FootnoteText"/>
      </w:pPr>
      <w:r w:rsidRPr="003B173A">
        <w:rPr>
          <w:rFonts w:asciiTheme="minorHAnsi" w:hAnsiTheme="minorHAnsi" w:cstheme="minorHAnsi"/>
          <w:vertAlign w:val="superscript"/>
        </w:rPr>
        <w:footnoteRef/>
      </w:r>
      <w:r w:rsidRPr="003B173A">
        <w:rPr>
          <w:rFonts w:asciiTheme="minorHAnsi" w:hAnsiTheme="minorHAnsi" w:cstheme="minorHAnsi"/>
        </w:rPr>
        <w:t xml:space="preserve"> </w:t>
      </w:r>
      <w:proofErr w:type="spellStart"/>
      <w:r w:rsidRPr="003B173A">
        <w:rPr>
          <w:rFonts w:asciiTheme="minorHAnsi" w:hAnsiTheme="minorHAnsi" w:cstheme="minorHAnsi"/>
        </w:rPr>
        <w:t>Lavorini</w:t>
      </w:r>
      <w:proofErr w:type="spellEnd"/>
      <w:r w:rsidRPr="003B173A">
        <w:rPr>
          <w:rFonts w:asciiTheme="minorHAnsi" w:hAnsiTheme="minorHAnsi" w:cstheme="minorHAnsi"/>
        </w:rPr>
        <w:t xml:space="preserve"> F, et al. Asthma and COPD: interchangeable use of inhalers. A document of Italian Society of Respiratory Medicine (</w:t>
      </w:r>
      <w:proofErr w:type="spellStart"/>
      <w:r w:rsidRPr="003B173A">
        <w:rPr>
          <w:rFonts w:asciiTheme="minorHAnsi" w:hAnsiTheme="minorHAnsi" w:cstheme="minorHAnsi"/>
        </w:rPr>
        <w:t>SIMeR</w:t>
      </w:r>
      <w:proofErr w:type="spellEnd"/>
      <w:r w:rsidRPr="003B173A">
        <w:rPr>
          <w:rFonts w:asciiTheme="minorHAnsi" w:hAnsiTheme="minorHAnsi" w:cstheme="minorHAnsi"/>
        </w:rPr>
        <w:t xml:space="preserve">) and Italian Society of Allergy, Asthma and Clinical Immunology (SIAACI). </w:t>
      </w:r>
      <w:proofErr w:type="spellStart"/>
      <w:r w:rsidRPr="003B173A">
        <w:rPr>
          <w:rFonts w:asciiTheme="minorHAnsi" w:hAnsiTheme="minorHAnsi" w:cstheme="minorHAnsi"/>
        </w:rPr>
        <w:t>Pulm</w:t>
      </w:r>
      <w:proofErr w:type="spellEnd"/>
      <w:r w:rsidRPr="003B173A">
        <w:rPr>
          <w:rFonts w:asciiTheme="minorHAnsi" w:hAnsiTheme="minorHAnsi" w:cstheme="minorHAnsi"/>
        </w:rPr>
        <w:t xml:space="preserve"> </w:t>
      </w:r>
      <w:proofErr w:type="spellStart"/>
      <w:r w:rsidRPr="003B173A">
        <w:rPr>
          <w:rFonts w:asciiTheme="minorHAnsi" w:hAnsiTheme="minorHAnsi" w:cstheme="minorHAnsi"/>
        </w:rPr>
        <w:t>Pharmacol</w:t>
      </w:r>
      <w:proofErr w:type="spellEnd"/>
      <w:r w:rsidR="00485E61">
        <w:rPr>
          <w:rFonts w:asciiTheme="minorHAnsi" w:hAnsiTheme="minorHAnsi" w:cstheme="minorHAnsi"/>
        </w:rPr>
        <w:t xml:space="preserve"> </w:t>
      </w:r>
      <w:proofErr w:type="spellStart"/>
      <w:r w:rsidR="00485E61">
        <w:rPr>
          <w:rFonts w:asciiTheme="minorHAnsi" w:hAnsiTheme="minorHAnsi" w:cstheme="minorHAnsi"/>
        </w:rPr>
        <w:t>Ther</w:t>
      </w:r>
      <w:proofErr w:type="spellEnd"/>
      <w:r w:rsidRPr="003B173A">
        <w:rPr>
          <w:rFonts w:asciiTheme="minorHAnsi" w:hAnsiTheme="minorHAnsi" w:cstheme="minorHAnsi"/>
        </w:rPr>
        <w:t xml:space="preserve"> 2015;32:25-30</w:t>
      </w:r>
    </w:p>
  </w:footnote>
  <w:footnote w:id="6">
    <w:p w14:paraId="15FA23A4" w14:textId="7772DE8F" w:rsidR="00511126" w:rsidRDefault="00511126">
      <w:pPr>
        <w:pStyle w:val="FootnoteText"/>
      </w:pPr>
      <w:r w:rsidRPr="00511126">
        <w:rPr>
          <w:rFonts w:asciiTheme="minorHAnsi" w:hAnsiTheme="minorHAnsi" w:cstheme="minorHAnsi"/>
          <w:vertAlign w:val="superscript"/>
        </w:rPr>
        <w:footnoteRef/>
      </w:r>
      <w:r w:rsidRPr="00511126">
        <w:rPr>
          <w:rFonts w:asciiTheme="minorHAnsi" w:hAnsiTheme="minorHAnsi" w:cstheme="minorHAnsi"/>
          <w:vertAlign w:val="superscript"/>
        </w:rPr>
        <w:t xml:space="preserve"> </w:t>
      </w:r>
      <w:r w:rsidRPr="00511126">
        <w:rPr>
          <w:rFonts w:asciiTheme="minorHAnsi" w:hAnsiTheme="minorHAnsi" w:cstheme="minorHAnsi"/>
        </w:rPr>
        <w:t>https://www.sunderlandccg.nhs.uk/wp-content/uploads/2017/02/Braltus-info.pdf</w:t>
      </w:r>
    </w:p>
  </w:footnote>
  <w:footnote w:id="7">
    <w:p w14:paraId="4CEC8367" w14:textId="77DB65F3" w:rsidR="00485E61" w:rsidRDefault="00485E61">
      <w:pPr>
        <w:pStyle w:val="FootnoteText"/>
      </w:pPr>
      <w:r w:rsidRPr="00485E61">
        <w:rPr>
          <w:rFonts w:asciiTheme="minorHAnsi" w:hAnsiTheme="minorHAnsi" w:cstheme="minorHAnsi"/>
          <w:vertAlign w:val="superscript"/>
        </w:rPr>
        <w:footnoteRef/>
      </w:r>
      <w:r w:rsidRPr="00485E61">
        <w:rPr>
          <w:rFonts w:asciiTheme="minorHAnsi" w:hAnsiTheme="minorHAnsi" w:cstheme="minorHAnsi"/>
        </w:rPr>
        <w:t xml:space="preserve"> Rigby D. Switching inhaler devices. </w:t>
      </w:r>
      <w:proofErr w:type="spellStart"/>
      <w:r w:rsidRPr="00485E61">
        <w:rPr>
          <w:rFonts w:asciiTheme="minorHAnsi" w:hAnsiTheme="minorHAnsi" w:cstheme="minorHAnsi"/>
        </w:rPr>
        <w:t>Aust</w:t>
      </w:r>
      <w:proofErr w:type="spellEnd"/>
      <w:r w:rsidRPr="00485E61">
        <w:rPr>
          <w:rFonts w:asciiTheme="minorHAnsi" w:hAnsiTheme="minorHAnsi" w:cstheme="minorHAnsi"/>
        </w:rPr>
        <w:t xml:space="preserve"> J Pharm 2018; 99:9-10</w:t>
      </w:r>
    </w:p>
  </w:footnote>
  <w:footnote w:id="8">
    <w:p w14:paraId="17AD12D3" w14:textId="4429D5D4" w:rsidR="0062088B" w:rsidRPr="0062088B" w:rsidRDefault="0062088B" w:rsidP="0062088B">
      <w:pPr>
        <w:jc w:val="both"/>
        <w:rPr>
          <w:rFonts w:asciiTheme="minorHAnsi" w:hAnsiTheme="minorHAnsi" w:cstheme="minorHAnsi"/>
          <w:sz w:val="20"/>
          <w:szCs w:val="20"/>
        </w:rPr>
      </w:pPr>
      <w:r w:rsidRPr="0062088B">
        <w:rPr>
          <w:rStyle w:val="FootnoteReference"/>
          <w:rFonts w:asciiTheme="minorHAnsi" w:hAnsiTheme="minorHAnsi" w:cstheme="minorHAnsi"/>
          <w:sz w:val="20"/>
          <w:szCs w:val="20"/>
        </w:rPr>
        <w:footnoteRef/>
      </w:r>
      <w:r w:rsidRPr="0062088B">
        <w:rPr>
          <w:rFonts w:asciiTheme="minorHAnsi" w:hAnsiTheme="minorHAnsi" w:cstheme="minorHAnsi"/>
          <w:sz w:val="20"/>
          <w:szCs w:val="20"/>
        </w:rPr>
        <w:t xml:space="preserve"> </w:t>
      </w:r>
      <w:r>
        <w:rPr>
          <w:rFonts w:asciiTheme="minorHAnsi" w:hAnsiTheme="minorHAnsi" w:cstheme="minorHAnsi"/>
          <w:sz w:val="20"/>
          <w:szCs w:val="20"/>
          <w:lang w:val="de-DE"/>
        </w:rPr>
        <w:t xml:space="preserve">Wolkenhauer M, </w:t>
      </w:r>
      <w:r w:rsidRPr="0062088B">
        <w:rPr>
          <w:rFonts w:asciiTheme="minorHAnsi" w:hAnsiTheme="minorHAnsi" w:cstheme="minorHAnsi"/>
          <w:sz w:val="20"/>
          <w:szCs w:val="20"/>
          <w:lang w:val="de-DE"/>
        </w:rPr>
        <w:t xml:space="preserve">et al. </w:t>
      </w:r>
      <w:r w:rsidRPr="0062088B">
        <w:rPr>
          <w:rFonts w:asciiTheme="minorHAnsi" w:hAnsiTheme="minorHAnsi" w:cstheme="minorHAnsi"/>
          <w:sz w:val="20"/>
          <w:szCs w:val="20"/>
        </w:rPr>
        <w:t xml:space="preserve">Effect of Unintentional Storage and Handling Errors of Inhaled Medications: What Does This Mean for Therapeutic Equivalence Considerations? J Aerosol Med </w:t>
      </w:r>
      <w:proofErr w:type="spellStart"/>
      <w:r w:rsidRPr="0062088B">
        <w:rPr>
          <w:rFonts w:asciiTheme="minorHAnsi" w:hAnsiTheme="minorHAnsi" w:cstheme="minorHAnsi"/>
          <w:sz w:val="20"/>
          <w:szCs w:val="20"/>
        </w:rPr>
        <w:t>Pulm</w:t>
      </w:r>
      <w:proofErr w:type="spellEnd"/>
      <w:r w:rsidRPr="0062088B">
        <w:rPr>
          <w:rFonts w:asciiTheme="minorHAnsi" w:hAnsiTheme="minorHAnsi" w:cstheme="minorHAnsi"/>
          <w:sz w:val="20"/>
          <w:szCs w:val="20"/>
        </w:rPr>
        <w:t xml:space="preserve"> Drug </w:t>
      </w:r>
      <w:proofErr w:type="spellStart"/>
      <w:r w:rsidRPr="0062088B">
        <w:rPr>
          <w:rFonts w:asciiTheme="minorHAnsi" w:hAnsiTheme="minorHAnsi" w:cstheme="minorHAnsi"/>
          <w:sz w:val="20"/>
          <w:szCs w:val="20"/>
        </w:rPr>
        <w:t>Deliv</w:t>
      </w:r>
      <w:proofErr w:type="spellEnd"/>
      <w:r w:rsidRPr="0062088B">
        <w:rPr>
          <w:rFonts w:asciiTheme="minorHAnsi" w:hAnsiTheme="minorHAnsi" w:cstheme="minorHAnsi"/>
          <w:sz w:val="20"/>
          <w:szCs w:val="20"/>
        </w:rPr>
        <w:t xml:space="preserve"> 2018. DOI: 10.1089/jamp.2018.1480</w:t>
      </w:r>
    </w:p>
    <w:p w14:paraId="4BA409B3" w14:textId="647BDAE9" w:rsidR="0062088B" w:rsidRDefault="0062088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80475" w:rsidRPr="008E0D90" w14:paraId="4FB031CC" w14:textId="77777777" w:rsidTr="00A06225">
      <w:trPr>
        <w:trHeight w:val="151"/>
      </w:trPr>
      <w:tc>
        <w:tcPr>
          <w:tcW w:w="2389" w:type="pct"/>
          <w:tcBorders>
            <w:top w:val="nil"/>
            <w:left w:val="nil"/>
            <w:bottom w:val="single" w:sz="4" w:space="0" w:color="4F81BD"/>
            <w:right w:val="nil"/>
          </w:tcBorders>
        </w:tcPr>
        <w:p w14:paraId="0E793AD2" w14:textId="77777777" w:rsidR="00F80475" w:rsidRPr="00A06225" w:rsidRDefault="00F80475">
          <w:pPr>
            <w:pStyle w:val="Header"/>
            <w:spacing w:line="276" w:lineRule="auto"/>
            <w:rPr>
              <w:rFonts w:ascii="Cambria" w:eastAsia="MS Gothic" w:hAnsi="Cambria"/>
              <w:b/>
              <w:bCs/>
              <w:color w:val="4F81BD"/>
            </w:rPr>
          </w:pPr>
        </w:p>
      </w:tc>
      <w:tc>
        <w:tcPr>
          <w:tcW w:w="333" w:type="pct"/>
          <w:vMerge w:val="restart"/>
          <w:noWrap/>
          <w:vAlign w:val="center"/>
          <w:hideMark/>
        </w:tcPr>
        <w:p w14:paraId="5BD23F1D" w14:textId="77777777" w:rsidR="00F80475" w:rsidRPr="00A06225" w:rsidRDefault="00F8047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BCC178C" w14:textId="77777777" w:rsidR="00F80475" w:rsidRPr="00A06225" w:rsidRDefault="00F80475">
          <w:pPr>
            <w:pStyle w:val="Header"/>
            <w:spacing w:line="276" w:lineRule="auto"/>
            <w:rPr>
              <w:rFonts w:ascii="Cambria" w:eastAsia="MS Gothic" w:hAnsi="Cambria"/>
              <w:b/>
              <w:bCs/>
              <w:color w:val="4F81BD"/>
            </w:rPr>
          </w:pPr>
        </w:p>
      </w:tc>
    </w:tr>
    <w:tr w:rsidR="00F80475" w:rsidRPr="008E0D90" w14:paraId="63D3D32A" w14:textId="77777777" w:rsidTr="00A06225">
      <w:trPr>
        <w:trHeight w:val="150"/>
      </w:trPr>
      <w:tc>
        <w:tcPr>
          <w:tcW w:w="2389" w:type="pct"/>
          <w:tcBorders>
            <w:top w:val="single" w:sz="4" w:space="0" w:color="4F81BD"/>
            <w:left w:val="nil"/>
            <w:bottom w:val="nil"/>
            <w:right w:val="nil"/>
          </w:tcBorders>
        </w:tcPr>
        <w:p w14:paraId="35733414" w14:textId="77777777" w:rsidR="00F80475" w:rsidRPr="00A06225" w:rsidRDefault="00F80475">
          <w:pPr>
            <w:pStyle w:val="Header"/>
            <w:spacing w:line="276" w:lineRule="auto"/>
            <w:rPr>
              <w:rFonts w:ascii="Cambria" w:eastAsia="MS Gothic" w:hAnsi="Cambria"/>
              <w:b/>
              <w:bCs/>
              <w:color w:val="4F81BD"/>
            </w:rPr>
          </w:pPr>
        </w:p>
      </w:tc>
      <w:tc>
        <w:tcPr>
          <w:tcW w:w="0" w:type="auto"/>
          <w:vMerge/>
          <w:vAlign w:val="center"/>
          <w:hideMark/>
        </w:tcPr>
        <w:p w14:paraId="1FA1BC5C" w14:textId="77777777" w:rsidR="00F80475" w:rsidRPr="00A06225" w:rsidRDefault="00F80475">
          <w:pPr>
            <w:rPr>
              <w:rFonts w:ascii="Cambria" w:hAnsi="Cambria"/>
              <w:color w:val="4F81BD"/>
              <w:sz w:val="22"/>
              <w:szCs w:val="22"/>
            </w:rPr>
          </w:pPr>
        </w:p>
      </w:tc>
      <w:tc>
        <w:tcPr>
          <w:tcW w:w="2278" w:type="pct"/>
          <w:tcBorders>
            <w:top w:val="single" w:sz="4" w:space="0" w:color="4F81BD"/>
            <w:left w:val="nil"/>
            <w:bottom w:val="nil"/>
            <w:right w:val="nil"/>
          </w:tcBorders>
        </w:tcPr>
        <w:p w14:paraId="1AC3C7C7" w14:textId="77777777" w:rsidR="00F80475" w:rsidRPr="00A06225" w:rsidRDefault="00F80475">
          <w:pPr>
            <w:pStyle w:val="Header"/>
            <w:spacing w:line="276" w:lineRule="auto"/>
            <w:rPr>
              <w:rFonts w:ascii="Cambria" w:eastAsia="MS Gothic" w:hAnsi="Cambria"/>
              <w:b/>
              <w:bCs/>
              <w:color w:val="4F81BD"/>
            </w:rPr>
          </w:pPr>
        </w:p>
      </w:tc>
    </w:tr>
  </w:tbl>
  <w:p w14:paraId="5058E319" w14:textId="77777777" w:rsidR="00F80475" w:rsidRDefault="00F80475">
    <w:pPr>
      <w:pStyle w:val="Header"/>
    </w:pPr>
  </w:p>
  <w:p w14:paraId="7D0D250C" w14:textId="77777777" w:rsidR="00F80475" w:rsidRDefault="00F8047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00FC5" w14:textId="798991E3" w:rsidR="00E94F47" w:rsidRPr="00E94F47" w:rsidRDefault="00B4293A" w:rsidP="0056650E">
    <w:pPr>
      <w:tabs>
        <w:tab w:val="center" w:pos="4153"/>
        <w:tab w:val="right" w:pos="8306"/>
      </w:tabs>
      <w:ind w:left="360"/>
      <w:jc w:val="center"/>
      <w:rPr>
        <w:rFonts w:asciiTheme="minorHAnsi" w:hAnsiTheme="minorHAnsi" w:cs="Arial"/>
        <w:i/>
        <w:color w:val="808080"/>
        <w:lang w:eastAsia="en-US"/>
      </w:rPr>
    </w:pPr>
    <w:r>
      <w:rPr>
        <w:rFonts w:asciiTheme="minorHAnsi" w:hAnsiTheme="minorHAnsi" w:cs="Arial"/>
        <w:i/>
        <w:color w:val="808080"/>
        <w:lang w:eastAsia="en-US"/>
      </w:rPr>
      <w:t>Public Summary Document</w:t>
    </w:r>
    <w:r w:rsidR="00E94F47" w:rsidRPr="00E94F47">
      <w:rPr>
        <w:rFonts w:asciiTheme="minorHAnsi" w:hAnsiTheme="minorHAnsi" w:cs="Arial"/>
        <w:i/>
        <w:color w:val="808080"/>
        <w:lang w:eastAsia="en-US"/>
      </w:rPr>
      <w:t xml:space="preserve"> – </w:t>
    </w:r>
    <w:r w:rsidR="00E94F47">
      <w:rPr>
        <w:rFonts w:asciiTheme="minorHAnsi" w:hAnsiTheme="minorHAnsi" w:cs="Arial"/>
        <w:i/>
        <w:color w:val="808080"/>
        <w:lang w:eastAsia="en-US"/>
      </w:rPr>
      <w:t>March 2019</w:t>
    </w:r>
    <w:r w:rsidR="00E94F47" w:rsidRPr="00E94F47">
      <w:rPr>
        <w:rFonts w:asciiTheme="minorHAnsi" w:hAnsiTheme="minorHAnsi" w:cs="Arial"/>
        <w:i/>
        <w:color w:val="808080"/>
        <w:lang w:eastAsia="en-US"/>
      </w:rPr>
      <w:t xml:space="preserve"> PBAC Meeting</w:t>
    </w:r>
  </w:p>
  <w:p w14:paraId="4D734477" w14:textId="77777777" w:rsidR="00F80475" w:rsidRDefault="00F80475" w:rsidP="00A128E6">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9F5190"/>
    <w:multiLevelType w:val="hybridMultilevel"/>
    <w:tmpl w:val="0F245B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8509D9"/>
    <w:multiLevelType w:val="hybridMultilevel"/>
    <w:tmpl w:val="1BE222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784366CC"/>
    <w:multiLevelType w:val="hybridMultilevel"/>
    <w:tmpl w:val="EFA09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4D033C"/>
    <w:multiLevelType w:val="multilevel"/>
    <w:tmpl w:val="65F86CC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6"/>
  </w:num>
  <w:num w:numId="4">
    <w:abstractNumId w:val="15"/>
  </w:num>
  <w:num w:numId="5">
    <w:abstractNumId w:val="20"/>
  </w:num>
  <w:num w:numId="6">
    <w:abstractNumId w:val="7"/>
  </w:num>
  <w:num w:numId="7">
    <w:abstractNumId w:val="14"/>
  </w:num>
  <w:num w:numId="8">
    <w:abstractNumId w:val="4"/>
  </w:num>
  <w:num w:numId="9">
    <w:abstractNumId w:val="13"/>
  </w:num>
  <w:num w:numId="10">
    <w:abstractNumId w:val="12"/>
  </w:num>
  <w:num w:numId="11">
    <w:abstractNumId w:val="11"/>
  </w:num>
  <w:num w:numId="12">
    <w:abstractNumId w:val="1"/>
  </w:num>
  <w:num w:numId="13">
    <w:abstractNumId w:val="0"/>
  </w:num>
  <w:num w:numId="14">
    <w:abstractNumId w:val="20"/>
  </w:num>
  <w:num w:numId="15">
    <w:abstractNumId w:val="19"/>
  </w:num>
  <w:num w:numId="16">
    <w:abstractNumId w:val="9"/>
  </w:num>
  <w:num w:numId="17">
    <w:abstractNumId w:val="16"/>
  </w:num>
  <w:num w:numId="18">
    <w:abstractNumId w:val="17"/>
  </w:num>
  <w:num w:numId="19">
    <w:abstractNumId w:val="5"/>
  </w:num>
  <w:num w:numId="20">
    <w:abstractNumId w:val="2"/>
  </w:num>
  <w:num w:numId="21">
    <w:abstractNumId w:val="10"/>
  </w:num>
  <w:num w:numId="22">
    <w:abstractNumId w:val="18"/>
  </w:num>
  <w:num w:numId="23">
    <w:abstractNumId w:val="20"/>
  </w:num>
  <w:num w:numId="24">
    <w:abstractNumId w:val="20"/>
  </w:num>
  <w:num w:numId="25">
    <w:abstractNumId w:val="20"/>
  </w:num>
  <w:num w:numId="26">
    <w:abstractNumId w:val="20"/>
  </w:num>
  <w:num w:numId="27">
    <w:abstractNumId w:val="20"/>
  </w:num>
  <w:num w:numId="28">
    <w:abstractNumId w:val="20"/>
  </w:num>
  <w:num w:numId="29">
    <w:abstractNumId w:val="20"/>
  </w:num>
  <w:num w:numId="30">
    <w:abstractNumId w:val="20"/>
  </w:num>
  <w:num w:numId="31">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05A1E"/>
    <w:rsid w:val="0000746C"/>
    <w:rsid w:val="0002464A"/>
    <w:rsid w:val="00025E9D"/>
    <w:rsid w:val="0003106B"/>
    <w:rsid w:val="00035F9B"/>
    <w:rsid w:val="000421A1"/>
    <w:rsid w:val="0004240E"/>
    <w:rsid w:val="00045E26"/>
    <w:rsid w:val="000514B5"/>
    <w:rsid w:val="00054A0F"/>
    <w:rsid w:val="0006039C"/>
    <w:rsid w:val="00060E64"/>
    <w:rsid w:val="00066755"/>
    <w:rsid w:val="0007148D"/>
    <w:rsid w:val="000730BB"/>
    <w:rsid w:val="00077143"/>
    <w:rsid w:val="00077C70"/>
    <w:rsid w:val="00082169"/>
    <w:rsid w:val="000969AD"/>
    <w:rsid w:val="000A5413"/>
    <w:rsid w:val="000B558D"/>
    <w:rsid w:val="000C43A7"/>
    <w:rsid w:val="000C6996"/>
    <w:rsid w:val="000D23BA"/>
    <w:rsid w:val="000D7F38"/>
    <w:rsid w:val="000E15A0"/>
    <w:rsid w:val="000E681E"/>
    <w:rsid w:val="000F0003"/>
    <w:rsid w:val="000F4E6A"/>
    <w:rsid w:val="00101A80"/>
    <w:rsid w:val="00104227"/>
    <w:rsid w:val="001107BF"/>
    <w:rsid w:val="001212E3"/>
    <w:rsid w:val="0012417C"/>
    <w:rsid w:val="00127D5C"/>
    <w:rsid w:val="00142395"/>
    <w:rsid w:val="00142714"/>
    <w:rsid w:val="001452ED"/>
    <w:rsid w:val="00147397"/>
    <w:rsid w:val="00151D1E"/>
    <w:rsid w:val="0016119B"/>
    <w:rsid w:val="00163329"/>
    <w:rsid w:val="00164623"/>
    <w:rsid w:val="00165B64"/>
    <w:rsid w:val="00173531"/>
    <w:rsid w:val="00180713"/>
    <w:rsid w:val="001830CE"/>
    <w:rsid w:val="00184D83"/>
    <w:rsid w:val="0018643B"/>
    <w:rsid w:val="00191C70"/>
    <w:rsid w:val="001954FC"/>
    <w:rsid w:val="00196307"/>
    <w:rsid w:val="001A33EA"/>
    <w:rsid w:val="001A50B4"/>
    <w:rsid w:val="001B017F"/>
    <w:rsid w:val="001B2BBC"/>
    <w:rsid w:val="001B3A4E"/>
    <w:rsid w:val="001B5129"/>
    <w:rsid w:val="001C1195"/>
    <w:rsid w:val="001D52DC"/>
    <w:rsid w:val="001D5FEB"/>
    <w:rsid w:val="001D7C75"/>
    <w:rsid w:val="001E400A"/>
    <w:rsid w:val="001F1850"/>
    <w:rsid w:val="001F6273"/>
    <w:rsid w:val="002026DD"/>
    <w:rsid w:val="00203FAC"/>
    <w:rsid w:val="00205404"/>
    <w:rsid w:val="00213CFB"/>
    <w:rsid w:val="00217BE1"/>
    <w:rsid w:val="00236793"/>
    <w:rsid w:val="00240C48"/>
    <w:rsid w:val="002454A1"/>
    <w:rsid w:val="00264655"/>
    <w:rsid w:val="00271BA1"/>
    <w:rsid w:val="002762FA"/>
    <w:rsid w:val="00277505"/>
    <w:rsid w:val="0029458F"/>
    <w:rsid w:val="002A104C"/>
    <w:rsid w:val="002A367F"/>
    <w:rsid w:val="002A3BAA"/>
    <w:rsid w:val="002A4960"/>
    <w:rsid w:val="002A5AF6"/>
    <w:rsid w:val="002B1AE6"/>
    <w:rsid w:val="002B2DE8"/>
    <w:rsid w:val="002B30F8"/>
    <w:rsid w:val="002B5596"/>
    <w:rsid w:val="002C212F"/>
    <w:rsid w:val="002D4543"/>
    <w:rsid w:val="002D7E11"/>
    <w:rsid w:val="002E3153"/>
    <w:rsid w:val="002E621C"/>
    <w:rsid w:val="002E72CA"/>
    <w:rsid w:val="002F086C"/>
    <w:rsid w:val="002F0EC5"/>
    <w:rsid w:val="002F600D"/>
    <w:rsid w:val="00300AD6"/>
    <w:rsid w:val="0030178A"/>
    <w:rsid w:val="00310F68"/>
    <w:rsid w:val="00317C6C"/>
    <w:rsid w:val="0032450A"/>
    <w:rsid w:val="00326E79"/>
    <w:rsid w:val="00332AC2"/>
    <w:rsid w:val="0033518A"/>
    <w:rsid w:val="003367EF"/>
    <w:rsid w:val="00336C6C"/>
    <w:rsid w:val="00341AE4"/>
    <w:rsid w:val="003778DF"/>
    <w:rsid w:val="003872CF"/>
    <w:rsid w:val="0039782C"/>
    <w:rsid w:val="003A5B4A"/>
    <w:rsid w:val="003A796D"/>
    <w:rsid w:val="003B173A"/>
    <w:rsid w:val="003B23C5"/>
    <w:rsid w:val="003B2A75"/>
    <w:rsid w:val="003B2BB5"/>
    <w:rsid w:val="003B6124"/>
    <w:rsid w:val="003C2FB5"/>
    <w:rsid w:val="003D4AC4"/>
    <w:rsid w:val="003D63B7"/>
    <w:rsid w:val="003E1218"/>
    <w:rsid w:val="003E468B"/>
    <w:rsid w:val="003F3228"/>
    <w:rsid w:val="003F5C8C"/>
    <w:rsid w:val="003F68C6"/>
    <w:rsid w:val="0041099F"/>
    <w:rsid w:val="004177D6"/>
    <w:rsid w:val="0042319E"/>
    <w:rsid w:val="004252EC"/>
    <w:rsid w:val="00442DE0"/>
    <w:rsid w:val="00442E92"/>
    <w:rsid w:val="004465BD"/>
    <w:rsid w:val="00452142"/>
    <w:rsid w:val="004540D2"/>
    <w:rsid w:val="004544F2"/>
    <w:rsid w:val="004617E8"/>
    <w:rsid w:val="00464135"/>
    <w:rsid w:val="00466ADA"/>
    <w:rsid w:val="0047001C"/>
    <w:rsid w:val="00475767"/>
    <w:rsid w:val="00476245"/>
    <w:rsid w:val="00483035"/>
    <w:rsid w:val="00484024"/>
    <w:rsid w:val="00485940"/>
    <w:rsid w:val="00485E61"/>
    <w:rsid w:val="004875AC"/>
    <w:rsid w:val="004927CF"/>
    <w:rsid w:val="0049549E"/>
    <w:rsid w:val="004A0A65"/>
    <w:rsid w:val="004A2484"/>
    <w:rsid w:val="004A5A85"/>
    <w:rsid w:val="004A71D1"/>
    <w:rsid w:val="004B5640"/>
    <w:rsid w:val="004B7FC2"/>
    <w:rsid w:val="004C1BD7"/>
    <w:rsid w:val="004C31FE"/>
    <w:rsid w:val="004C691D"/>
    <w:rsid w:val="004C6C07"/>
    <w:rsid w:val="004D6B5E"/>
    <w:rsid w:val="004D7DF1"/>
    <w:rsid w:val="004E0AB7"/>
    <w:rsid w:val="004E692D"/>
    <w:rsid w:val="00501554"/>
    <w:rsid w:val="005068F1"/>
    <w:rsid w:val="00507F83"/>
    <w:rsid w:val="00511126"/>
    <w:rsid w:val="00514CD7"/>
    <w:rsid w:val="005319B2"/>
    <w:rsid w:val="00532402"/>
    <w:rsid w:val="00532C74"/>
    <w:rsid w:val="00534E2E"/>
    <w:rsid w:val="00544552"/>
    <w:rsid w:val="0056408A"/>
    <w:rsid w:val="0056650E"/>
    <w:rsid w:val="00577C4D"/>
    <w:rsid w:val="00580EEF"/>
    <w:rsid w:val="00581932"/>
    <w:rsid w:val="005831D1"/>
    <w:rsid w:val="005963BB"/>
    <w:rsid w:val="00597FB2"/>
    <w:rsid w:val="005A3173"/>
    <w:rsid w:val="005A3223"/>
    <w:rsid w:val="005A3DA3"/>
    <w:rsid w:val="005A52C4"/>
    <w:rsid w:val="005B6A85"/>
    <w:rsid w:val="005D03AB"/>
    <w:rsid w:val="005D0B22"/>
    <w:rsid w:val="005D5017"/>
    <w:rsid w:val="005E1333"/>
    <w:rsid w:val="005F4686"/>
    <w:rsid w:val="005F77FB"/>
    <w:rsid w:val="00601A91"/>
    <w:rsid w:val="00602BA3"/>
    <w:rsid w:val="00602E3C"/>
    <w:rsid w:val="00606149"/>
    <w:rsid w:val="00606EED"/>
    <w:rsid w:val="00612E34"/>
    <w:rsid w:val="00614159"/>
    <w:rsid w:val="006160A7"/>
    <w:rsid w:val="00617C00"/>
    <w:rsid w:val="0062088B"/>
    <w:rsid w:val="006263BF"/>
    <w:rsid w:val="00626758"/>
    <w:rsid w:val="0062748A"/>
    <w:rsid w:val="00630A2C"/>
    <w:rsid w:val="00632E51"/>
    <w:rsid w:val="006354D3"/>
    <w:rsid w:val="0063682E"/>
    <w:rsid w:val="006436CD"/>
    <w:rsid w:val="00644D65"/>
    <w:rsid w:val="00651169"/>
    <w:rsid w:val="00653D69"/>
    <w:rsid w:val="00655282"/>
    <w:rsid w:val="00664451"/>
    <w:rsid w:val="006670BE"/>
    <w:rsid w:val="00670A76"/>
    <w:rsid w:val="006711AA"/>
    <w:rsid w:val="00672B57"/>
    <w:rsid w:val="00674313"/>
    <w:rsid w:val="00675622"/>
    <w:rsid w:val="0067747D"/>
    <w:rsid w:val="00680A0B"/>
    <w:rsid w:val="006810B9"/>
    <w:rsid w:val="00681C84"/>
    <w:rsid w:val="006906DB"/>
    <w:rsid w:val="00691E6C"/>
    <w:rsid w:val="00696129"/>
    <w:rsid w:val="00697CF2"/>
    <w:rsid w:val="006A12A5"/>
    <w:rsid w:val="006B0D94"/>
    <w:rsid w:val="006B485D"/>
    <w:rsid w:val="006C708E"/>
    <w:rsid w:val="006D14E7"/>
    <w:rsid w:val="006D5378"/>
    <w:rsid w:val="006D537A"/>
    <w:rsid w:val="006D6493"/>
    <w:rsid w:val="006D6EC7"/>
    <w:rsid w:val="006E13C5"/>
    <w:rsid w:val="006F5125"/>
    <w:rsid w:val="006F6D99"/>
    <w:rsid w:val="006F7FB3"/>
    <w:rsid w:val="00702B6F"/>
    <w:rsid w:val="00712D01"/>
    <w:rsid w:val="0071340B"/>
    <w:rsid w:val="00715257"/>
    <w:rsid w:val="0071558A"/>
    <w:rsid w:val="007174BB"/>
    <w:rsid w:val="0072025D"/>
    <w:rsid w:val="00726A9C"/>
    <w:rsid w:val="007353D3"/>
    <w:rsid w:val="0076420C"/>
    <w:rsid w:val="007655DD"/>
    <w:rsid w:val="007753C2"/>
    <w:rsid w:val="00775565"/>
    <w:rsid w:val="00776450"/>
    <w:rsid w:val="007824C4"/>
    <w:rsid w:val="007838B8"/>
    <w:rsid w:val="007A04B3"/>
    <w:rsid w:val="007A0701"/>
    <w:rsid w:val="007A07B0"/>
    <w:rsid w:val="007A102B"/>
    <w:rsid w:val="007A7C57"/>
    <w:rsid w:val="007B2E28"/>
    <w:rsid w:val="007C0F57"/>
    <w:rsid w:val="007C2372"/>
    <w:rsid w:val="007C30DA"/>
    <w:rsid w:val="007C40B6"/>
    <w:rsid w:val="007C729F"/>
    <w:rsid w:val="007E1D28"/>
    <w:rsid w:val="007F02F4"/>
    <w:rsid w:val="007F2641"/>
    <w:rsid w:val="007F7B78"/>
    <w:rsid w:val="007F7C36"/>
    <w:rsid w:val="008001CD"/>
    <w:rsid w:val="00805F85"/>
    <w:rsid w:val="00806796"/>
    <w:rsid w:val="00813745"/>
    <w:rsid w:val="008148B4"/>
    <w:rsid w:val="008151D6"/>
    <w:rsid w:val="00826F6D"/>
    <w:rsid w:val="008306F3"/>
    <w:rsid w:val="00830F72"/>
    <w:rsid w:val="00831844"/>
    <w:rsid w:val="00842C5F"/>
    <w:rsid w:val="00851695"/>
    <w:rsid w:val="00856DDD"/>
    <w:rsid w:val="00863E68"/>
    <w:rsid w:val="00882085"/>
    <w:rsid w:val="00882627"/>
    <w:rsid w:val="00883188"/>
    <w:rsid w:val="008909B0"/>
    <w:rsid w:val="00897D58"/>
    <w:rsid w:val="00897F22"/>
    <w:rsid w:val="008A1956"/>
    <w:rsid w:val="008A471E"/>
    <w:rsid w:val="008A4937"/>
    <w:rsid w:val="008A50F1"/>
    <w:rsid w:val="008C22FD"/>
    <w:rsid w:val="008D0F2F"/>
    <w:rsid w:val="008D1B5C"/>
    <w:rsid w:val="008D3C82"/>
    <w:rsid w:val="008D447E"/>
    <w:rsid w:val="008D7A41"/>
    <w:rsid w:val="008E30CB"/>
    <w:rsid w:val="008E3680"/>
    <w:rsid w:val="008E5870"/>
    <w:rsid w:val="008F1434"/>
    <w:rsid w:val="008F275E"/>
    <w:rsid w:val="008F7355"/>
    <w:rsid w:val="009067B7"/>
    <w:rsid w:val="00930937"/>
    <w:rsid w:val="00933E6C"/>
    <w:rsid w:val="00937958"/>
    <w:rsid w:val="00942160"/>
    <w:rsid w:val="0095146F"/>
    <w:rsid w:val="00953396"/>
    <w:rsid w:val="009564DB"/>
    <w:rsid w:val="009602C5"/>
    <w:rsid w:val="00962223"/>
    <w:rsid w:val="00966D0D"/>
    <w:rsid w:val="00974C21"/>
    <w:rsid w:val="009762D0"/>
    <w:rsid w:val="00982374"/>
    <w:rsid w:val="00991C76"/>
    <w:rsid w:val="00996080"/>
    <w:rsid w:val="009A05B1"/>
    <w:rsid w:val="009A4B2C"/>
    <w:rsid w:val="009B0F67"/>
    <w:rsid w:val="009C4DDE"/>
    <w:rsid w:val="009C703C"/>
    <w:rsid w:val="009D3CAA"/>
    <w:rsid w:val="009E40E1"/>
    <w:rsid w:val="009F4E46"/>
    <w:rsid w:val="009F5B65"/>
    <w:rsid w:val="009F5F2E"/>
    <w:rsid w:val="00A06225"/>
    <w:rsid w:val="00A107BB"/>
    <w:rsid w:val="00A128E6"/>
    <w:rsid w:val="00A17072"/>
    <w:rsid w:val="00A34E6C"/>
    <w:rsid w:val="00A37C8D"/>
    <w:rsid w:val="00A459B5"/>
    <w:rsid w:val="00A52248"/>
    <w:rsid w:val="00A5273B"/>
    <w:rsid w:val="00A53A9D"/>
    <w:rsid w:val="00A55FEE"/>
    <w:rsid w:val="00A621CE"/>
    <w:rsid w:val="00A62C1A"/>
    <w:rsid w:val="00A6426D"/>
    <w:rsid w:val="00A665C1"/>
    <w:rsid w:val="00A7053E"/>
    <w:rsid w:val="00A70622"/>
    <w:rsid w:val="00A70977"/>
    <w:rsid w:val="00A724C4"/>
    <w:rsid w:val="00A77613"/>
    <w:rsid w:val="00A82152"/>
    <w:rsid w:val="00A8390C"/>
    <w:rsid w:val="00A928BD"/>
    <w:rsid w:val="00AA4D1C"/>
    <w:rsid w:val="00AB32DA"/>
    <w:rsid w:val="00AB70A7"/>
    <w:rsid w:val="00AC193C"/>
    <w:rsid w:val="00AC5206"/>
    <w:rsid w:val="00AC7C3B"/>
    <w:rsid w:val="00AE11A5"/>
    <w:rsid w:val="00AE13E2"/>
    <w:rsid w:val="00AE22D3"/>
    <w:rsid w:val="00AF62DF"/>
    <w:rsid w:val="00AF68CC"/>
    <w:rsid w:val="00B00ED2"/>
    <w:rsid w:val="00B1059E"/>
    <w:rsid w:val="00B176C8"/>
    <w:rsid w:val="00B205AA"/>
    <w:rsid w:val="00B22E84"/>
    <w:rsid w:val="00B25F75"/>
    <w:rsid w:val="00B26B3F"/>
    <w:rsid w:val="00B4293A"/>
    <w:rsid w:val="00B43E90"/>
    <w:rsid w:val="00B4564B"/>
    <w:rsid w:val="00B467DC"/>
    <w:rsid w:val="00B53752"/>
    <w:rsid w:val="00B56118"/>
    <w:rsid w:val="00B5712A"/>
    <w:rsid w:val="00B6773F"/>
    <w:rsid w:val="00B801BA"/>
    <w:rsid w:val="00B83D9F"/>
    <w:rsid w:val="00B84D5C"/>
    <w:rsid w:val="00B91B14"/>
    <w:rsid w:val="00BA38FE"/>
    <w:rsid w:val="00BB5B24"/>
    <w:rsid w:val="00BB69F5"/>
    <w:rsid w:val="00BB783A"/>
    <w:rsid w:val="00BB7EC3"/>
    <w:rsid w:val="00BC067A"/>
    <w:rsid w:val="00BC4B9A"/>
    <w:rsid w:val="00BC774A"/>
    <w:rsid w:val="00BD2A72"/>
    <w:rsid w:val="00BD76CC"/>
    <w:rsid w:val="00BD784C"/>
    <w:rsid w:val="00BE4C10"/>
    <w:rsid w:val="00BF4CB6"/>
    <w:rsid w:val="00C00DA7"/>
    <w:rsid w:val="00C02CB7"/>
    <w:rsid w:val="00C12768"/>
    <w:rsid w:val="00C27B58"/>
    <w:rsid w:val="00C35996"/>
    <w:rsid w:val="00C403B9"/>
    <w:rsid w:val="00C4702B"/>
    <w:rsid w:val="00C4747E"/>
    <w:rsid w:val="00C5342C"/>
    <w:rsid w:val="00C56282"/>
    <w:rsid w:val="00C603D4"/>
    <w:rsid w:val="00C6256A"/>
    <w:rsid w:val="00C77891"/>
    <w:rsid w:val="00C86DEE"/>
    <w:rsid w:val="00C91449"/>
    <w:rsid w:val="00C92D10"/>
    <w:rsid w:val="00CE10C4"/>
    <w:rsid w:val="00CE27B5"/>
    <w:rsid w:val="00CF2114"/>
    <w:rsid w:val="00D0321E"/>
    <w:rsid w:val="00D033E4"/>
    <w:rsid w:val="00D1455A"/>
    <w:rsid w:val="00D31150"/>
    <w:rsid w:val="00D3138B"/>
    <w:rsid w:val="00D3280C"/>
    <w:rsid w:val="00D33189"/>
    <w:rsid w:val="00D3406A"/>
    <w:rsid w:val="00D44F11"/>
    <w:rsid w:val="00D4572C"/>
    <w:rsid w:val="00D469B2"/>
    <w:rsid w:val="00D46E29"/>
    <w:rsid w:val="00D478EC"/>
    <w:rsid w:val="00D548F9"/>
    <w:rsid w:val="00D73B96"/>
    <w:rsid w:val="00D741EB"/>
    <w:rsid w:val="00D83605"/>
    <w:rsid w:val="00D84934"/>
    <w:rsid w:val="00D91271"/>
    <w:rsid w:val="00D919F5"/>
    <w:rsid w:val="00D94F03"/>
    <w:rsid w:val="00DA18CC"/>
    <w:rsid w:val="00DA2CB5"/>
    <w:rsid w:val="00DA4BAC"/>
    <w:rsid w:val="00DB13D4"/>
    <w:rsid w:val="00DE677B"/>
    <w:rsid w:val="00DE6D27"/>
    <w:rsid w:val="00DF18F0"/>
    <w:rsid w:val="00DF217D"/>
    <w:rsid w:val="00DF26A7"/>
    <w:rsid w:val="00E012B7"/>
    <w:rsid w:val="00E15627"/>
    <w:rsid w:val="00E164B3"/>
    <w:rsid w:val="00E16910"/>
    <w:rsid w:val="00E313BD"/>
    <w:rsid w:val="00E4091D"/>
    <w:rsid w:val="00E42BDB"/>
    <w:rsid w:val="00E451CF"/>
    <w:rsid w:val="00E57EEB"/>
    <w:rsid w:val="00E62D94"/>
    <w:rsid w:val="00E65E54"/>
    <w:rsid w:val="00E67F43"/>
    <w:rsid w:val="00E80155"/>
    <w:rsid w:val="00E81F28"/>
    <w:rsid w:val="00E848C0"/>
    <w:rsid w:val="00E91B96"/>
    <w:rsid w:val="00E9225E"/>
    <w:rsid w:val="00E941A1"/>
    <w:rsid w:val="00E94F47"/>
    <w:rsid w:val="00E95CE3"/>
    <w:rsid w:val="00EA2825"/>
    <w:rsid w:val="00EB0B63"/>
    <w:rsid w:val="00EB1936"/>
    <w:rsid w:val="00EB5088"/>
    <w:rsid w:val="00EC73A4"/>
    <w:rsid w:val="00ED1644"/>
    <w:rsid w:val="00ED2593"/>
    <w:rsid w:val="00ED7D9C"/>
    <w:rsid w:val="00EF44A0"/>
    <w:rsid w:val="00EF4FED"/>
    <w:rsid w:val="00F01929"/>
    <w:rsid w:val="00F050BD"/>
    <w:rsid w:val="00F05657"/>
    <w:rsid w:val="00F25578"/>
    <w:rsid w:val="00F258E5"/>
    <w:rsid w:val="00F300BC"/>
    <w:rsid w:val="00F3334E"/>
    <w:rsid w:val="00F36CCB"/>
    <w:rsid w:val="00F374E5"/>
    <w:rsid w:val="00F43AF2"/>
    <w:rsid w:val="00F5007E"/>
    <w:rsid w:val="00F50EC4"/>
    <w:rsid w:val="00F550CF"/>
    <w:rsid w:val="00F57A6D"/>
    <w:rsid w:val="00F629F5"/>
    <w:rsid w:val="00F638CC"/>
    <w:rsid w:val="00F64CC1"/>
    <w:rsid w:val="00F656CE"/>
    <w:rsid w:val="00F72317"/>
    <w:rsid w:val="00F75AD0"/>
    <w:rsid w:val="00F80475"/>
    <w:rsid w:val="00F8247A"/>
    <w:rsid w:val="00F83DBB"/>
    <w:rsid w:val="00F84307"/>
    <w:rsid w:val="00F9629A"/>
    <w:rsid w:val="00F97EFC"/>
    <w:rsid w:val="00FA5883"/>
    <w:rsid w:val="00FA6055"/>
    <w:rsid w:val="00FB322F"/>
    <w:rsid w:val="00FB442F"/>
    <w:rsid w:val="00FB544B"/>
    <w:rsid w:val="00FB5709"/>
    <w:rsid w:val="00FB78C8"/>
    <w:rsid w:val="00FC1929"/>
    <w:rsid w:val="00FC5B46"/>
    <w:rsid w:val="00FD6D8E"/>
    <w:rsid w:val="00FD73D2"/>
    <w:rsid w:val="00FE0E94"/>
    <w:rsid w:val="00FE5CBA"/>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29A87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Bullet point,List Paragraph1,List Paragraph11,Recommendation,L,Bullet Point,Bulletr List Paragraph,Content descriptions,FooterText,List Bullet 1,List Paragraph2,List Paragraph21,Listeafsnit1,NFP GP Bulleted List,リスト段落"/>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Bullet point Char,List Paragraph1 Char,List Paragraph11 Char,Recommendation Char,L Char,Bullet Point Char,Bulletr List Paragraph Char,Content descriptions Char,FooterText Char,List Bullet 1 Char,List Paragraph2 Char"/>
    <w:basedOn w:val="DefaultParagraphFont"/>
    <w:link w:val="ListParagraph"/>
    <w:uiPriority w:val="34"/>
    <w:qFormat/>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rsid w:val="003C2FB5"/>
    <w:rPr>
      <w:rFonts w:ascii="Arial" w:hAnsi="Arial"/>
      <w:b/>
      <w:i/>
      <w:sz w:val="22"/>
      <w:szCs w:val="24"/>
    </w:rPr>
  </w:style>
  <w:style w:type="character" w:styleId="FollowedHyperlink">
    <w:name w:val="FollowedHyperlink"/>
    <w:basedOn w:val="DefaultParagraphFont"/>
    <w:semiHidden/>
    <w:unhideWhenUsed/>
    <w:rsid w:val="003A796D"/>
    <w:rPr>
      <w:color w:val="800080" w:themeColor="followedHyperlink"/>
      <w:u w:val="single"/>
    </w:rPr>
  </w:style>
  <w:style w:type="paragraph" w:styleId="Revision">
    <w:name w:val="Revision"/>
    <w:hidden/>
    <w:uiPriority w:val="71"/>
    <w:semiHidden/>
    <w:rsid w:val="005831D1"/>
    <w:rPr>
      <w:sz w:val="24"/>
      <w:szCs w:val="24"/>
    </w:rPr>
  </w:style>
  <w:style w:type="paragraph" w:styleId="BodyText">
    <w:name w:val="Body Text"/>
    <w:basedOn w:val="Normal"/>
    <w:link w:val="BodyTextChar"/>
    <w:semiHidden/>
    <w:unhideWhenUsed/>
    <w:rsid w:val="00597FB2"/>
    <w:pPr>
      <w:spacing w:after="120"/>
    </w:pPr>
  </w:style>
  <w:style w:type="character" w:customStyle="1" w:styleId="BodyTextChar">
    <w:name w:val="Body Text Char"/>
    <w:basedOn w:val="DefaultParagraphFont"/>
    <w:link w:val="BodyText"/>
    <w:rsid w:val="00597FB2"/>
    <w:rPr>
      <w:sz w:val="24"/>
      <w:szCs w:val="24"/>
    </w:rPr>
  </w:style>
  <w:style w:type="paragraph" w:styleId="FootnoteText">
    <w:name w:val="footnote text"/>
    <w:basedOn w:val="Normal"/>
    <w:link w:val="FootnoteTextChar"/>
    <w:semiHidden/>
    <w:unhideWhenUsed/>
    <w:rsid w:val="005F4686"/>
    <w:rPr>
      <w:sz w:val="20"/>
      <w:szCs w:val="20"/>
    </w:rPr>
  </w:style>
  <w:style w:type="character" w:customStyle="1" w:styleId="FootnoteTextChar">
    <w:name w:val="Footnote Text Char"/>
    <w:basedOn w:val="DefaultParagraphFont"/>
    <w:link w:val="FootnoteText"/>
    <w:semiHidden/>
    <w:rsid w:val="005F4686"/>
  </w:style>
  <w:style w:type="character" w:styleId="FootnoteReference">
    <w:name w:val="footnote reference"/>
    <w:basedOn w:val="DefaultParagraphFont"/>
    <w:semiHidden/>
    <w:unhideWhenUsed/>
    <w:rsid w:val="005F4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87792793">
      <w:bodyDiv w:val="1"/>
      <w:marLeft w:val="0"/>
      <w:marRight w:val="0"/>
      <w:marTop w:val="0"/>
      <w:marBottom w:val="0"/>
      <w:divBdr>
        <w:top w:val="none" w:sz="0" w:space="0" w:color="auto"/>
        <w:left w:val="none" w:sz="0" w:space="0" w:color="auto"/>
        <w:bottom w:val="none" w:sz="0" w:space="0" w:color="auto"/>
        <w:right w:val="none" w:sz="0" w:space="0" w:color="auto"/>
      </w:divBdr>
    </w:div>
    <w:div w:id="68814143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57562207">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atabankws.lareb.nl/Downloads/Signals_2018_Tiotropium%20and%20decreased%20therapeutic%20response.pdf" TargetMode="External"/><Relationship Id="rId2" Type="http://schemas.openxmlformats.org/officeDocument/2006/relationships/hyperlink" Target="https://www.gov.uk/drug-safety-update/braltus-tiotropium-risk-of-inhalation-of-capsule-if-placed-in-the-mouthpiece-of-the-inhaler" TargetMode="External"/><Relationship Id="rId1" Type="http://schemas.openxmlformats.org/officeDocument/2006/relationships/hyperlink" Target="https://laegemiddelstyrelsen.dk/en/sideeffects/direct-healthcare-professional-communication/delivered-dhpcs/~/media/EA186BA3684843888ECC623834FFBA2F.ash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E87BD-68C6-46C4-AD3A-EEF7798C0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1979</Words>
  <Characters>10865</Characters>
  <Application>Microsoft Office Word</Application>
  <DocSecurity>2</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2019-06-26T00:51:00Z</dcterms:created>
  <dcterms:modified xsi:type="dcterms:W3CDTF">2019-07-05T05:03:00Z</dcterms:modified>
</cp:coreProperties>
</file>