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D6493" w:rsidRPr="00024895" w:rsidRDefault="00E24CC1" w:rsidP="006D6493">
      <w:pPr>
        <w:pStyle w:val="Title"/>
        <w:spacing w:before="120" w:after="160"/>
        <w:ind w:left="720" w:hanging="720"/>
        <w:rPr>
          <w:rFonts w:asciiTheme="minorHAnsi" w:hAnsiTheme="minorHAnsi"/>
          <w:sz w:val="36"/>
          <w:szCs w:val="36"/>
        </w:rPr>
      </w:pPr>
      <w:r w:rsidRPr="00024895">
        <w:rPr>
          <w:rFonts w:asciiTheme="minorHAnsi" w:hAnsiTheme="minorHAnsi"/>
          <w:sz w:val="36"/>
          <w:szCs w:val="36"/>
        </w:rPr>
        <w:t>14</w:t>
      </w:r>
      <w:r w:rsidR="006D6493" w:rsidRPr="00024895">
        <w:rPr>
          <w:rFonts w:asciiTheme="minorHAnsi" w:hAnsiTheme="minorHAnsi"/>
          <w:sz w:val="36"/>
          <w:szCs w:val="36"/>
        </w:rPr>
        <w:t>.</w:t>
      </w:r>
      <w:r w:rsidRPr="00024895">
        <w:rPr>
          <w:rFonts w:asciiTheme="minorHAnsi" w:hAnsiTheme="minorHAnsi"/>
          <w:sz w:val="36"/>
          <w:szCs w:val="36"/>
        </w:rPr>
        <w:t>03(b)</w:t>
      </w:r>
      <w:r w:rsidR="006D6493" w:rsidRPr="00024895">
        <w:rPr>
          <w:rFonts w:asciiTheme="minorHAnsi" w:hAnsiTheme="minorHAnsi"/>
          <w:sz w:val="36"/>
          <w:szCs w:val="36"/>
        </w:rPr>
        <w:tab/>
      </w:r>
      <w:r w:rsidR="007F3347" w:rsidRPr="00024895">
        <w:rPr>
          <w:rFonts w:asciiTheme="minorHAnsi" w:hAnsiTheme="minorHAnsi"/>
          <w:sz w:val="36"/>
          <w:szCs w:val="36"/>
        </w:rPr>
        <w:t>SEVELAMER</w:t>
      </w:r>
      <w:r w:rsidR="006D6493" w:rsidRPr="00024895">
        <w:rPr>
          <w:rFonts w:asciiTheme="minorHAnsi" w:hAnsiTheme="minorHAnsi"/>
          <w:sz w:val="36"/>
          <w:szCs w:val="36"/>
        </w:rPr>
        <w:t xml:space="preserve"> </w:t>
      </w:r>
      <w:r w:rsidR="006D6493" w:rsidRPr="00024895">
        <w:rPr>
          <w:rFonts w:asciiTheme="minorHAnsi" w:hAnsiTheme="minorHAnsi"/>
          <w:sz w:val="36"/>
          <w:szCs w:val="36"/>
        </w:rPr>
        <w:br/>
      </w:r>
      <w:r w:rsidR="007F3347" w:rsidRPr="00024895">
        <w:rPr>
          <w:rFonts w:asciiTheme="minorHAnsi" w:hAnsiTheme="minorHAnsi"/>
          <w:sz w:val="36"/>
          <w:szCs w:val="36"/>
        </w:rPr>
        <w:t xml:space="preserve">Tablet containing </w:t>
      </w:r>
      <w:proofErr w:type="spellStart"/>
      <w:r w:rsidR="007F3347" w:rsidRPr="00024895">
        <w:rPr>
          <w:rFonts w:asciiTheme="minorHAnsi" w:hAnsiTheme="minorHAnsi"/>
          <w:sz w:val="36"/>
          <w:szCs w:val="36"/>
        </w:rPr>
        <w:t>sevelamer</w:t>
      </w:r>
      <w:proofErr w:type="spellEnd"/>
      <w:r w:rsidR="007F3347" w:rsidRPr="00024895">
        <w:rPr>
          <w:rFonts w:asciiTheme="minorHAnsi" w:hAnsiTheme="minorHAnsi"/>
          <w:sz w:val="36"/>
          <w:szCs w:val="36"/>
        </w:rPr>
        <w:t xml:space="preserve"> </w:t>
      </w:r>
      <w:r w:rsidR="00DF4E5D" w:rsidRPr="00024895">
        <w:rPr>
          <w:rFonts w:asciiTheme="minorHAnsi" w:hAnsiTheme="minorHAnsi"/>
          <w:sz w:val="36"/>
          <w:szCs w:val="36"/>
        </w:rPr>
        <w:t>carbonate</w:t>
      </w:r>
      <w:r w:rsidR="007F3347" w:rsidRPr="00024895">
        <w:rPr>
          <w:rFonts w:asciiTheme="minorHAnsi" w:hAnsiTheme="minorHAnsi"/>
          <w:sz w:val="36"/>
          <w:szCs w:val="36"/>
        </w:rPr>
        <w:t xml:space="preserve"> 800 mg</w:t>
      </w:r>
      <w:r w:rsidR="006D6493" w:rsidRPr="00024895">
        <w:rPr>
          <w:rFonts w:asciiTheme="minorHAnsi" w:hAnsiTheme="minorHAnsi"/>
          <w:sz w:val="36"/>
          <w:szCs w:val="36"/>
        </w:rPr>
        <w:br/>
      </w:r>
      <w:proofErr w:type="spellStart"/>
      <w:r w:rsidR="007F3347" w:rsidRPr="00024895">
        <w:rPr>
          <w:rFonts w:asciiTheme="minorHAnsi" w:hAnsiTheme="minorHAnsi"/>
          <w:sz w:val="36"/>
          <w:szCs w:val="36"/>
        </w:rPr>
        <w:t>Sevelamer</w:t>
      </w:r>
      <w:proofErr w:type="spellEnd"/>
      <w:r w:rsidR="007F3347" w:rsidRPr="00024895">
        <w:rPr>
          <w:rFonts w:asciiTheme="minorHAnsi" w:hAnsiTheme="minorHAnsi"/>
          <w:sz w:val="36"/>
          <w:szCs w:val="36"/>
        </w:rPr>
        <w:t xml:space="preserve"> Dr Reddy's</w:t>
      </w:r>
      <w:r w:rsidR="006D6493" w:rsidRPr="00024895">
        <w:rPr>
          <w:rFonts w:asciiTheme="minorHAnsi" w:hAnsiTheme="minorHAnsi"/>
          <w:sz w:val="36"/>
          <w:szCs w:val="36"/>
          <w:vertAlign w:val="superscript"/>
        </w:rPr>
        <w:t>®</w:t>
      </w:r>
      <w:r w:rsidR="006D6493" w:rsidRPr="00024895">
        <w:rPr>
          <w:rFonts w:asciiTheme="minorHAnsi" w:hAnsiTheme="minorHAnsi"/>
          <w:sz w:val="36"/>
          <w:szCs w:val="36"/>
        </w:rPr>
        <w:t xml:space="preserve">, </w:t>
      </w:r>
      <w:r w:rsidR="0004675C" w:rsidRPr="00024895">
        <w:rPr>
          <w:rFonts w:asciiTheme="minorHAnsi" w:hAnsiTheme="minorHAnsi"/>
          <w:sz w:val="36"/>
          <w:szCs w:val="36"/>
        </w:rPr>
        <w:t>Dr Reddy's Laboratories (Australia) Pty Ltd</w:t>
      </w:r>
    </w:p>
    <w:p w:rsidR="008A50F1" w:rsidRPr="00024895" w:rsidRDefault="00CE10C4" w:rsidP="00EB0B63">
      <w:pPr>
        <w:pStyle w:val="PBACHeading1"/>
        <w:spacing w:before="240" w:after="120"/>
        <w:ind w:left="709" w:hanging="709"/>
        <w:rPr>
          <w:rFonts w:asciiTheme="minorHAnsi" w:hAnsiTheme="minorHAnsi"/>
          <w:sz w:val="32"/>
          <w:szCs w:val="32"/>
        </w:rPr>
      </w:pPr>
      <w:r w:rsidRPr="00024895">
        <w:rPr>
          <w:rFonts w:asciiTheme="minorHAnsi" w:hAnsiTheme="minorHAnsi"/>
          <w:sz w:val="32"/>
          <w:szCs w:val="32"/>
        </w:rPr>
        <w:t xml:space="preserve">Purpose of </w:t>
      </w:r>
      <w:r w:rsidR="0004240E" w:rsidRPr="00024895">
        <w:rPr>
          <w:rFonts w:asciiTheme="minorHAnsi" w:hAnsiTheme="minorHAnsi"/>
          <w:sz w:val="32"/>
          <w:szCs w:val="32"/>
        </w:rPr>
        <w:t>Application</w:t>
      </w:r>
    </w:p>
    <w:p w:rsidR="006A12A5" w:rsidRPr="00024895" w:rsidRDefault="00EF44A0" w:rsidP="00EB0B63">
      <w:pPr>
        <w:pStyle w:val="ListParagraph"/>
        <w:widowControl/>
        <w:numPr>
          <w:ilvl w:val="1"/>
          <w:numId w:val="5"/>
        </w:numPr>
        <w:spacing w:after="120"/>
        <w:contextualSpacing w:val="0"/>
        <w:rPr>
          <w:rFonts w:asciiTheme="minorHAnsi" w:eastAsiaTheme="minorHAnsi" w:hAnsiTheme="minorHAnsi" w:cstheme="minorBidi"/>
          <w:snapToGrid/>
          <w:sz w:val="24"/>
          <w:szCs w:val="22"/>
        </w:rPr>
      </w:pPr>
      <w:r w:rsidRPr="00024895">
        <w:rPr>
          <w:rFonts w:asciiTheme="minorHAnsi" w:eastAsiaTheme="minorHAnsi" w:hAnsiTheme="minorHAnsi" w:cstheme="minorBidi"/>
          <w:snapToGrid/>
          <w:sz w:val="24"/>
          <w:szCs w:val="22"/>
        </w:rPr>
        <w:t xml:space="preserve">The </w:t>
      </w:r>
      <w:r w:rsidR="00E37F8F" w:rsidRPr="00024895">
        <w:rPr>
          <w:rFonts w:asciiTheme="minorHAnsi" w:eastAsiaTheme="minorHAnsi" w:hAnsiTheme="minorHAnsi" w:cstheme="minorBidi"/>
          <w:snapToGrid/>
          <w:sz w:val="24"/>
          <w:szCs w:val="22"/>
        </w:rPr>
        <w:t>minor submission</w:t>
      </w:r>
      <w:r w:rsidR="00FF2801" w:rsidRPr="00024895">
        <w:rPr>
          <w:rFonts w:asciiTheme="minorHAnsi" w:eastAsiaTheme="minorHAnsi" w:hAnsiTheme="minorHAnsi" w:cstheme="minorBidi"/>
          <w:snapToGrid/>
          <w:sz w:val="24"/>
          <w:szCs w:val="22"/>
        </w:rPr>
        <w:t xml:space="preserve"> </w:t>
      </w:r>
      <w:r w:rsidR="00800BC3" w:rsidRPr="00024895">
        <w:rPr>
          <w:rFonts w:asciiTheme="minorHAnsi" w:eastAsiaTheme="minorHAnsi" w:hAnsiTheme="minorHAnsi" w:cstheme="minorBidi"/>
          <w:snapToGrid/>
          <w:sz w:val="24"/>
          <w:szCs w:val="22"/>
        </w:rPr>
        <w:t xml:space="preserve">requested </w:t>
      </w:r>
      <w:r w:rsidR="004A3E48" w:rsidRPr="00024895">
        <w:rPr>
          <w:rFonts w:asciiTheme="minorHAnsi" w:eastAsiaTheme="minorHAnsi" w:hAnsiTheme="minorHAnsi" w:cstheme="minorBidi"/>
          <w:snapToGrid/>
          <w:sz w:val="24"/>
          <w:szCs w:val="22"/>
        </w:rPr>
        <w:t>a</w:t>
      </w:r>
      <w:r w:rsidR="00800BC3" w:rsidRPr="00024895">
        <w:rPr>
          <w:rFonts w:asciiTheme="minorHAnsi" w:eastAsiaTheme="minorHAnsi" w:hAnsiTheme="minorHAnsi" w:cstheme="minorBidi"/>
          <w:snapToGrid/>
          <w:sz w:val="24"/>
          <w:szCs w:val="22"/>
        </w:rPr>
        <w:t xml:space="preserve"> General Schedule </w:t>
      </w:r>
      <w:r w:rsidR="004A3E48" w:rsidRPr="00024895">
        <w:rPr>
          <w:rFonts w:asciiTheme="minorHAnsi" w:eastAsiaTheme="minorHAnsi" w:hAnsiTheme="minorHAnsi" w:cstheme="minorBidi"/>
          <w:snapToGrid/>
          <w:sz w:val="24"/>
          <w:szCs w:val="22"/>
        </w:rPr>
        <w:t xml:space="preserve">listing </w:t>
      </w:r>
      <w:r w:rsidR="00800BC3" w:rsidRPr="00024895">
        <w:rPr>
          <w:rFonts w:asciiTheme="minorHAnsi" w:eastAsiaTheme="minorHAnsi" w:hAnsiTheme="minorHAnsi" w:cstheme="minorBidi"/>
          <w:snapToGrid/>
          <w:sz w:val="24"/>
          <w:szCs w:val="22"/>
        </w:rPr>
        <w:t xml:space="preserve">and </w:t>
      </w:r>
      <w:r w:rsidR="004A3E48" w:rsidRPr="00024895">
        <w:rPr>
          <w:rFonts w:asciiTheme="minorHAnsi" w:eastAsiaTheme="minorHAnsi" w:hAnsiTheme="minorHAnsi" w:cstheme="minorBidi"/>
          <w:snapToGrid/>
          <w:sz w:val="24"/>
          <w:szCs w:val="22"/>
        </w:rPr>
        <w:t xml:space="preserve">a </w:t>
      </w:r>
      <w:r w:rsidR="00800BC3" w:rsidRPr="00024895">
        <w:rPr>
          <w:rFonts w:asciiTheme="minorHAnsi" w:eastAsiaTheme="minorHAnsi" w:hAnsiTheme="minorHAnsi" w:cstheme="minorBidi"/>
          <w:snapToGrid/>
          <w:sz w:val="24"/>
          <w:szCs w:val="22"/>
        </w:rPr>
        <w:t>Section 100 (Highly</w:t>
      </w:r>
      <w:r w:rsidR="007A40B9">
        <w:rPr>
          <w:rFonts w:asciiTheme="minorHAnsi" w:eastAsiaTheme="minorHAnsi" w:hAnsiTheme="minorHAnsi" w:cstheme="minorBidi"/>
          <w:snapToGrid/>
          <w:sz w:val="24"/>
          <w:szCs w:val="22"/>
        </w:rPr>
        <w:t xml:space="preserve"> Specialised Drugs) listing of </w:t>
      </w:r>
      <w:proofErr w:type="spellStart"/>
      <w:r w:rsidR="007A40B9">
        <w:rPr>
          <w:rFonts w:asciiTheme="minorHAnsi" w:eastAsiaTheme="minorHAnsi" w:hAnsiTheme="minorHAnsi" w:cstheme="minorBidi"/>
          <w:snapToGrid/>
          <w:sz w:val="24"/>
          <w:szCs w:val="22"/>
        </w:rPr>
        <w:t>S</w:t>
      </w:r>
      <w:r w:rsidR="00800BC3" w:rsidRPr="00024895">
        <w:rPr>
          <w:rFonts w:asciiTheme="minorHAnsi" w:eastAsiaTheme="minorHAnsi" w:hAnsiTheme="minorHAnsi" w:cstheme="minorBidi"/>
          <w:snapToGrid/>
          <w:sz w:val="24"/>
          <w:szCs w:val="22"/>
        </w:rPr>
        <w:t>evelamer</w:t>
      </w:r>
      <w:proofErr w:type="spellEnd"/>
      <w:r w:rsidR="00CB1C8F" w:rsidRPr="00024895">
        <w:rPr>
          <w:rFonts w:asciiTheme="minorHAnsi" w:eastAsiaTheme="minorHAnsi" w:hAnsiTheme="minorHAnsi" w:cstheme="minorBidi"/>
          <w:snapToGrid/>
          <w:sz w:val="24"/>
          <w:szCs w:val="22"/>
        </w:rPr>
        <w:t xml:space="preserve"> Dr Reddy’s (tablet containing </w:t>
      </w:r>
      <w:proofErr w:type="spellStart"/>
      <w:r w:rsidR="00CB1C8F" w:rsidRPr="00024895">
        <w:rPr>
          <w:rFonts w:asciiTheme="minorHAnsi" w:eastAsiaTheme="minorHAnsi" w:hAnsiTheme="minorHAnsi" w:cstheme="minorBidi"/>
          <w:snapToGrid/>
          <w:sz w:val="24"/>
          <w:szCs w:val="22"/>
        </w:rPr>
        <w:t>sevelamer</w:t>
      </w:r>
      <w:proofErr w:type="spellEnd"/>
      <w:r w:rsidR="00CB1C8F" w:rsidRPr="00024895">
        <w:rPr>
          <w:rFonts w:asciiTheme="minorHAnsi" w:eastAsiaTheme="minorHAnsi" w:hAnsiTheme="minorHAnsi" w:cstheme="minorBidi"/>
          <w:snapToGrid/>
          <w:sz w:val="24"/>
          <w:szCs w:val="22"/>
        </w:rPr>
        <w:t xml:space="preserve"> carbonate)</w:t>
      </w:r>
      <w:r w:rsidR="00800BC3" w:rsidRPr="00024895">
        <w:rPr>
          <w:rFonts w:asciiTheme="minorHAnsi" w:eastAsiaTheme="minorHAnsi" w:hAnsiTheme="minorHAnsi" w:cstheme="minorBidi"/>
          <w:snapToGrid/>
          <w:sz w:val="24"/>
          <w:szCs w:val="22"/>
        </w:rPr>
        <w:t xml:space="preserve">, </w:t>
      </w:r>
      <w:r w:rsidR="00BD2995" w:rsidRPr="00024895">
        <w:rPr>
          <w:rFonts w:asciiTheme="minorHAnsi" w:eastAsiaTheme="minorHAnsi" w:hAnsiTheme="minorHAnsi" w:cstheme="minorBidi"/>
          <w:snapToGrid/>
          <w:sz w:val="24"/>
          <w:szCs w:val="22"/>
        </w:rPr>
        <w:t xml:space="preserve">for the management of </w:t>
      </w:r>
      <w:proofErr w:type="spellStart"/>
      <w:r w:rsidR="00BD2995" w:rsidRPr="00024895">
        <w:rPr>
          <w:rFonts w:asciiTheme="minorHAnsi" w:eastAsiaTheme="minorHAnsi" w:hAnsiTheme="minorHAnsi" w:cstheme="minorBidi"/>
          <w:snapToGrid/>
          <w:sz w:val="24"/>
          <w:szCs w:val="22"/>
        </w:rPr>
        <w:t>hyp</w:t>
      </w:r>
      <w:r w:rsidR="00C646D7" w:rsidRPr="00024895">
        <w:rPr>
          <w:rFonts w:asciiTheme="minorHAnsi" w:eastAsiaTheme="minorHAnsi" w:hAnsiTheme="minorHAnsi" w:cstheme="minorBidi"/>
          <w:snapToGrid/>
          <w:sz w:val="24"/>
          <w:szCs w:val="22"/>
        </w:rPr>
        <w:t>er</w:t>
      </w:r>
      <w:r w:rsidR="00BD2995" w:rsidRPr="00024895">
        <w:rPr>
          <w:rFonts w:asciiTheme="minorHAnsi" w:eastAsiaTheme="minorHAnsi" w:hAnsiTheme="minorHAnsi" w:cstheme="minorBidi"/>
          <w:snapToGrid/>
          <w:sz w:val="24"/>
          <w:szCs w:val="22"/>
        </w:rPr>
        <w:t>phos</w:t>
      </w:r>
      <w:r w:rsidR="00C646D7" w:rsidRPr="00024895">
        <w:rPr>
          <w:rFonts w:asciiTheme="minorHAnsi" w:eastAsiaTheme="minorHAnsi" w:hAnsiTheme="minorHAnsi" w:cstheme="minorBidi"/>
          <w:snapToGrid/>
          <w:sz w:val="24"/>
          <w:szCs w:val="22"/>
        </w:rPr>
        <w:t>p</w:t>
      </w:r>
      <w:r w:rsidR="00BD2995" w:rsidRPr="00024895">
        <w:rPr>
          <w:rFonts w:asciiTheme="minorHAnsi" w:eastAsiaTheme="minorHAnsi" w:hAnsiTheme="minorHAnsi" w:cstheme="minorBidi"/>
          <w:snapToGrid/>
          <w:sz w:val="24"/>
          <w:szCs w:val="22"/>
        </w:rPr>
        <w:t>hataemia</w:t>
      </w:r>
      <w:proofErr w:type="spellEnd"/>
      <w:r w:rsidR="00BD2995" w:rsidRPr="00024895">
        <w:rPr>
          <w:rFonts w:asciiTheme="minorHAnsi" w:eastAsiaTheme="minorHAnsi" w:hAnsiTheme="minorHAnsi" w:cstheme="minorBidi"/>
          <w:snapToGrid/>
          <w:sz w:val="24"/>
          <w:szCs w:val="22"/>
        </w:rPr>
        <w:t xml:space="preserve"> in patients with chronic kidney disease </w:t>
      </w:r>
      <w:r w:rsidR="00E37F8F" w:rsidRPr="00024895">
        <w:rPr>
          <w:rFonts w:asciiTheme="minorHAnsi" w:eastAsiaTheme="minorHAnsi" w:hAnsiTheme="minorHAnsi" w:cstheme="minorBidi"/>
          <w:snapToGrid/>
          <w:sz w:val="24"/>
          <w:szCs w:val="22"/>
        </w:rPr>
        <w:t>that</w:t>
      </w:r>
      <w:r w:rsidR="00BD2995" w:rsidRPr="00024895">
        <w:rPr>
          <w:rFonts w:asciiTheme="minorHAnsi" w:eastAsiaTheme="minorHAnsi" w:hAnsiTheme="minorHAnsi" w:cstheme="minorBidi"/>
          <w:snapToGrid/>
          <w:sz w:val="24"/>
          <w:szCs w:val="22"/>
        </w:rPr>
        <w:t xml:space="preserve"> require dialysis.</w:t>
      </w:r>
    </w:p>
    <w:p w:rsidR="006A12A5" w:rsidRPr="00024895" w:rsidRDefault="006A12A5" w:rsidP="00EB0B63">
      <w:pPr>
        <w:pStyle w:val="PBACHeading1"/>
        <w:spacing w:before="240" w:after="120"/>
        <w:ind w:left="709" w:hanging="709"/>
        <w:rPr>
          <w:rFonts w:asciiTheme="minorHAnsi" w:hAnsiTheme="minorHAnsi"/>
          <w:sz w:val="32"/>
          <w:szCs w:val="32"/>
        </w:rPr>
      </w:pPr>
      <w:r w:rsidRPr="00024895">
        <w:rPr>
          <w:rFonts w:asciiTheme="minorHAnsi" w:hAnsiTheme="minorHAnsi"/>
          <w:sz w:val="32"/>
          <w:szCs w:val="32"/>
        </w:rPr>
        <w:t>Requested listing</w:t>
      </w:r>
    </w:p>
    <w:p w:rsidR="0067747D" w:rsidRPr="007A40B9" w:rsidRDefault="00EF44A0" w:rsidP="0067747D">
      <w:pPr>
        <w:pStyle w:val="ListParagraph"/>
        <w:widowControl/>
        <w:numPr>
          <w:ilvl w:val="1"/>
          <w:numId w:val="14"/>
        </w:numPr>
        <w:spacing w:after="120"/>
        <w:contextualSpacing w:val="0"/>
        <w:rPr>
          <w:rFonts w:asciiTheme="minorHAnsi" w:eastAsiaTheme="minorHAnsi" w:hAnsiTheme="minorHAnsi" w:cstheme="minorBidi"/>
          <w:snapToGrid/>
          <w:sz w:val="24"/>
          <w:szCs w:val="22"/>
        </w:rPr>
      </w:pPr>
      <w:r w:rsidRPr="00024895">
        <w:rPr>
          <w:rFonts w:asciiTheme="minorHAnsi" w:eastAsiaTheme="minorHAnsi" w:hAnsiTheme="minorHAnsi" w:cstheme="minorBidi"/>
          <w:snapToGrid/>
          <w:sz w:val="24"/>
          <w:szCs w:val="22"/>
        </w:rPr>
        <w:t xml:space="preserve">The submission </w:t>
      </w:r>
      <w:r w:rsidR="00FF2801" w:rsidRPr="00024895">
        <w:rPr>
          <w:rFonts w:asciiTheme="minorHAnsi" w:eastAsiaTheme="minorHAnsi" w:hAnsiTheme="minorHAnsi" w:cstheme="minorBidi"/>
          <w:snapToGrid/>
          <w:sz w:val="24"/>
          <w:szCs w:val="22"/>
        </w:rPr>
        <w:t>requested</w:t>
      </w:r>
      <w:r w:rsidR="002F1727" w:rsidRPr="00024895">
        <w:rPr>
          <w:rFonts w:asciiTheme="minorHAnsi" w:eastAsiaTheme="minorHAnsi" w:hAnsiTheme="minorHAnsi" w:cstheme="minorBidi"/>
          <w:snapToGrid/>
          <w:sz w:val="24"/>
          <w:szCs w:val="22"/>
        </w:rPr>
        <w:t xml:space="preserve"> a </w:t>
      </w:r>
      <w:r w:rsidR="00DF4E5D" w:rsidRPr="00024895">
        <w:rPr>
          <w:rFonts w:asciiTheme="minorHAnsi" w:eastAsiaTheme="minorHAnsi" w:hAnsiTheme="minorHAnsi" w:cstheme="minorBidi"/>
          <w:snapToGrid/>
          <w:sz w:val="24"/>
          <w:szCs w:val="22"/>
        </w:rPr>
        <w:t>new</w:t>
      </w:r>
      <w:r w:rsidR="002F1727" w:rsidRPr="00024895">
        <w:rPr>
          <w:rFonts w:asciiTheme="minorHAnsi" w:eastAsiaTheme="minorHAnsi" w:hAnsiTheme="minorHAnsi" w:cstheme="minorBidi"/>
          <w:snapToGrid/>
          <w:sz w:val="24"/>
          <w:szCs w:val="22"/>
        </w:rPr>
        <w:t xml:space="preserve"> </w:t>
      </w:r>
      <w:r w:rsidR="004A3E48" w:rsidRPr="00024895">
        <w:rPr>
          <w:rFonts w:asciiTheme="minorHAnsi" w:eastAsiaTheme="minorHAnsi" w:hAnsiTheme="minorHAnsi" w:cstheme="minorBidi"/>
          <w:snapToGrid/>
          <w:sz w:val="24"/>
          <w:szCs w:val="22"/>
        </w:rPr>
        <w:t>listing for</w:t>
      </w:r>
      <w:r w:rsidR="002F1727" w:rsidRPr="00024895">
        <w:rPr>
          <w:rFonts w:asciiTheme="minorHAnsi" w:eastAsiaTheme="minorHAnsi" w:hAnsiTheme="minorHAnsi" w:cstheme="minorBidi"/>
          <w:snapToGrid/>
          <w:sz w:val="24"/>
          <w:szCs w:val="22"/>
        </w:rPr>
        <w:t xml:space="preserve"> </w:t>
      </w:r>
      <w:proofErr w:type="spellStart"/>
      <w:r w:rsidR="007A40B9">
        <w:rPr>
          <w:rFonts w:asciiTheme="minorHAnsi" w:eastAsiaTheme="minorHAnsi" w:hAnsiTheme="minorHAnsi" w:cstheme="minorBidi"/>
          <w:snapToGrid/>
          <w:sz w:val="24"/>
          <w:szCs w:val="22"/>
        </w:rPr>
        <w:t>S</w:t>
      </w:r>
      <w:r w:rsidR="002F1727" w:rsidRPr="00024895">
        <w:rPr>
          <w:rFonts w:asciiTheme="minorHAnsi" w:eastAsiaTheme="minorHAnsi" w:hAnsiTheme="minorHAnsi" w:cstheme="minorBidi"/>
          <w:snapToGrid/>
          <w:sz w:val="24"/>
          <w:szCs w:val="22"/>
        </w:rPr>
        <w:t>evelamer</w:t>
      </w:r>
      <w:proofErr w:type="spellEnd"/>
      <w:r w:rsidR="002F1727" w:rsidRPr="00024895">
        <w:rPr>
          <w:rFonts w:asciiTheme="minorHAnsi" w:eastAsiaTheme="minorHAnsi" w:hAnsiTheme="minorHAnsi" w:cstheme="minorBidi"/>
          <w:snapToGrid/>
          <w:sz w:val="24"/>
          <w:szCs w:val="22"/>
        </w:rPr>
        <w:t xml:space="preserve"> </w:t>
      </w:r>
      <w:r w:rsidR="005A3308" w:rsidRPr="00024895">
        <w:rPr>
          <w:rFonts w:asciiTheme="minorHAnsi" w:eastAsiaTheme="minorHAnsi" w:hAnsiTheme="minorHAnsi" w:cstheme="minorBidi"/>
          <w:snapToGrid/>
          <w:sz w:val="24"/>
          <w:szCs w:val="22"/>
        </w:rPr>
        <w:t>D</w:t>
      </w:r>
      <w:r w:rsidR="00CB244A" w:rsidRPr="00024895">
        <w:rPr>
          <w:rFonts w:asciiTheme="minorHAnsi" w:eastAsiaTheme="minorHAnsi" w:hAnsiTheme="minorHAnsi" w:cstheme="minorBidi"/>
          <w:snapToGrid/>
          <w:sz w:val="24"/>
          <w:szCs w:val="22"/>
        </w:rPr>
        <w:t>r</w:t>
      </w:r>
      <w:r w:rsidR="005A3308" w:rsidRPr="00024895">
        <w:rPr>
          <w:rFonts w:asciiTheme="minorHAnsi" w:eastAsiaTheme="minorHAnsi" w:hAnsiTheme="minorHAnsi" w:cstheme="minorBidi"/>
          <w:snapToGrid/>
          <w:sz w:val="24"/>
          <w:szCs w:val="22"/>
        </w:rPr>
        <w:t xml:space="preserve"> Reddy’s </w:t>
      </w:r>
      <w:r w:rsidR="002F1727" w:rsidRPr="00024895">
        <w:rPr>
          <w:rFonts w:asciiTheme="minorHAnsi" w:eastAsiaTheme="minorHAnsi" w:hAnsiTheme="minorHAnsi" w:cstheme="minorBidi"/>
          <w:snapToGrid/>
          <w:sz w:val="24"/>
          <w:szCs w:val="22"/>
        </w:rPr>
        <w:t>(</w:t>
      </w:r>
      <w:r w:rsidR="005A3308" w:rsidRPr="00024895">
        <w:rPr>
          <w:rFonts w:asciiTheme="minorHAnsi" w:eastAsiaTheme="minorHAnsi" w:hAnsiTheme="minorHAnsi" w:cstheme="minorBidi"/>
          <w:snapToGrid/>
          <w:sz w:val="24"/>
          <w:szCs w:val="22"/>
        </w:rPr>
        <w:t>tablet containing</w:t>
      </w:r>
      <w:r w:rsidR="002F1727" w:rsidRPr="00024895">
        <w:rPr>
          <w:rFonts w:asciiTheme="minorHAnsi" w:eastAsiaTheme="minorHAnsi" w:hAnsiTheme="minorHAnsi" w:cstheme="minorBidi"/>
          <w:snapToGrid/>
          <w:sz w:val="24"/>
          <w:szCs w:val="22"/>
        </w:rPr>
        <w:t xml:space="preserve"> </w:t>
      </w:r>
      <w:proofErr w:type="spellStart"/>
      <w:r w:rsidR="002F1727" w:rsidRPr="00024895">
        <w:rPr>
          <w:rFonts w:asciiTheme="minorHAnsi" w:eastAsiaTheme="minorHAnsi" w:hAnsiTheme="minorHAnsi" w:cstheme="minorBidi"/>
          <w:snapToGrid/>
          <w:sz w:val="24"/>
          <w:szCs w:val="22"/>
        </w:rPr>
        <w:t>sevelamer</w:t>
      </w:r>
      <w:proofErr w:type="spellEnd"/>
      <w:r w:rsidR="002F1727" w:rsidRPr="00024895">
        <w:rPr>
          <w:rFonts w:asciiTheme="minorHAnsi" w:eastAsiaTheme="minorHAnsi" w:hAnsiTheme="minorHAnsi" w:cstheme="minorBidi"/>
          <w:snapToGrid/>
          <w:sz w:val="24"/>
          <w:szCs w:val="22"/>
        </w:rPr>
        <w:t xml:space="preserve"> </w:t>
      </w:r>
      <w:r w:rsidR="00DF4E5D" w:rsidRPr="00024895">
        <w:rPr>
          <w:rFonts w:asciiTheme="minorHAnsi" w:eastAsiaTheme="minorHAnsi" w:hAnsiTheme="minorHAnsi" w:cstheme="minorBidi"/>
          <w:snapToGrid/>
          <w:sz w:val="24"/>
          <w:szCs w:val="22"/>
        </w:rPr>
        <w:t>carbonate</w:t>
      </w:r>
      <w:r w:rsidR="002F1727" w:rsidRPr="00024895">
        <w:rPr>
          <w:rFonts w:asciiTheme="minorHAnsi" w:eastAsiaTheme="minorHAnsi" w:hAnsiTheme="minorHAnsi" w:cstheme="minorBidi"/>
          <w:snapToGrid/>
          <w:sz w:val="24"/>
          <w:szCs w:val="22"/>
        </w:rPr>
        <w:t xml:space="preserve">), with the same indication and restriction as </w:t>
      </w:r>
      <w:proofErr w:type="spellStart"/>
      <w:r w:rsidR="002F1727" w:rsidRPr="00024895">
        <w:rPr>
          <w:rFonts w:asciiTheme="minorHAnsi" w:eastAsiaTheme="minorHAnsi" w:hAnsiTheme="minorHAnsi" w:cstheme="minorBidi"/>
          <w:snapToGrid/>
          <w:sz w:val="24"/>
          <w:szCs w:val="22"/>
        </w:rPr>
        <w:t>sevelamer</w:t>
      </w:r>
      <w:proofErr w:type="spellEnd"/>
      <w:r w:rsidR="002F1727" w:rsidRPr="00024895">
        <w:rPr>
          <w:rFonts w:asciiTheme="minorHAnsi" w:eastAsiaTheme="minorHAnsi" w:hAnsiTheme="minorHAnsi" w:cstheme="minorBidi"/>
          <w:snapToGrid/>
          <w:sz w:val="24"/>
          <w:szCs w:val="22"/>
        </w:rPr>
        <w:t xml:space="preserve"> hydrochloride 800 mg </w:t>
      </w:r>
      <w:r w:rsidR="0093202C" w:rsidRPr="00024895">
        <w:rPr>
          <w:rFonts w:asciiTheme="minorHAnsi" w:eastAsiaTheme="minorHAnsi" w:hAnsiTheme="minorHAnsi" w:cstheme="minorBidi"/>
          <w:snapToGrid/>
          <w:sz w:val="24"/>
          <w:szCs w:val="22"/>
        </w:rPr>
        <w:t>(</w:t>
      </w:r>
      <w:proofErr w:type="spellStart"/>
      <w:r w:rsidR="0093202C" w:rsidRPr="00024895">
        <w:rPr>
          <w:rFonts w:asciiTheme="minorHAnsi" w:eastAsiaTheme="minorHAnsi" w:hAnsiTheme="minorHAnsi" w:cstheme="minorBidi"/>
          <w:snapToGrid/>
          <w:sz w:val="24"/>
          <w:szCs w:val="22"/>
        </w:rPr>
        <w:t>Ren</w:t>
      </w:r>
      <w:r w:rsidR="006309F9" w:rsidRPr="00024895">
        <w:rPr>
          <w:rFonts w:asciiTheme="minorHAnsi" w:eastAsiaTheme="minorHAnsi" w:hAnsiTheme="minorHAnsi" w:cstheme="minorBidi"/>
          <w:snapToGrid/>
          <w:sz w:val="24"/>
          <w:szCs w:val="22"/>
        </w:rPr>
        <w:t>a</w:t>
      </w:r>
      <w:r w:rsidR="0093202C" w:rsidRPr="00024895">
        <w:rPr>
          <w:rFonts w:asciiTheme="minorHAnsi" w:eastAsiaTheme="minorHAnsi" w:hAnsiTheme="minorHAnsi" w:cstheme="minorBidi"/>
          <w:snapToGrid/>
          <w:sz w:val="24"/>
          <w:szCs w:val="22"/>
        </w:rPr>
        <w:t>g</w:t>
      </w:r>
      <w:r w:rsidR="0031477E" w:rsidRPr="00024895">
        <w:rPr>
          <w:rFonts w:asciiTheme="minorHAnsi" w:eastAsiaTheme="minorHAnsi" w:hAnsiTheme="minorHAnsi" w:cstheme="minorBidi"/>
          <w:snapToGrid/>
          <w:sz w:val="24"/>
          <w:szCs w:val="22"/>
        </w:rPr>
        <w:t>e</w:t>
      </w:r>
      <w:r w:rsidR="0093202C" w:rsidRPr="00024895">
        <w:rPr>
          <w:rFonts w:asciiTheme="minorHAnsi" w:eastAsiaTheme="minorHAnsi" w:hAnsiTheme="minorHAnsi" w:cstheme="minorBidi"/>
          <w:snapToGrid/>
          <w:sz w:val="24"/>
          <w:szCs w:val="22"/>
        </w:rPr>
        <w:t>l</w:t>
      </w:r>
      <w:proofErr w:type="spellEnd"/>
      <w:r w:rsidR="007A40B9">
        <w:rPr>
          <w:rFonts w:asciiTheme="minorHAnsi" w:eastAsiaTheme="minorHAnsi" w:hAnsiTheme="minorHAnsi" w:cstheme="minorHAnsi"/>
          <w:snapToGrid/>
          <w:sz w:val="24"/>
          <w:szCs w:val="22"/>
        </w:rPr>
        <w:t>®</w:t>
      </w:r>
      <w:r w:rsidR="0093202C" w:rsidRPr="00024895">
        <w:rPr>
          <w:rFonts w:asciiTheme="minorHAnsi" w:eastAsiaTheme="minorHAnsi" w:hAnsiTheme="minorHAnsi" w:cstheme="minorBidi"/>
          <w:snapToGrid/>
          <w:sz w:val="24"/>
          <w:szCs w:val="22"/>
        </w:rPr>
        <w:t xml:space="preserve">) </w:t>
      </w:r>
      <w:r w:rsidR="004A3E48" w:rsidRPr="00024895">
        <w:rPr>
          <w:rFonts w:asciiTheme="minorHAnsi" w:eastAsiaTheme="minorHAnsi" w:hAnsiTheme="minorHAnsi" w:cstheme="minorBidi"/>
          <w:snapToGrid/>
          <w:sz w:val="24"/>
          <w:szCs w:val="22"/>
        </w:rPr>
        <w:t xml:space="preserve">that </w:t>
      </w:r>
      <w:proofErr w:type="gramStart"/>
      <w:r w:rsidR="004A3E48" w:rsidRPr="00024895">
        <w:rPr>
          <w:rFonts w:asciiTheme="minorHAnsi" w:eastAsiaTheme="minorHAnsi" w:hAnsiTheme="minorHAnsi" w:cstheme="minorBidi"/>
          <w:snapToGrid/>
          <w:sz w:val="24"/>
          <w:szCs w:val="22"/>
        </w:rPr>
        <w:t xml:space="preserve">is </w:t>
      </w:r>
      <w:r w:rsidR="002F1727" w:rsidRPr="00024895">
        <w:rPr>
          <w:rFonts w:asciiTheme="minorHAnsi" w:eastAsiaTheme="minorHAnsi" w:hAnsiTheme="minorHAnsi" w:cstheme="minorBidi"/>
          <w:snapToGrid/>
          <w:sz w:val="24"/>
          <w:szCs w:val="22"/>
        </w:rPr>
        <w:t>current</w:t>
      </w:r>
      <w:r w:rsidR="004A3E48" w:rsidRPr="00024895">
        <w:rPr>
          <w:rFonts w:asciiTheme="minorHAnsi" w:eastAsiaTheme="minorHAnsi" w:hAnsiTheme="minorHAnsi" w:cstheme="minorBidi"/>
          <w:snapToGrid/>
          <w:sz w:val="24"/>
          <w:szCs w:val="22"/>
        </w:rPr>
        <w:t>ly</w:t>
      </w:r>
      <w:r w:rsidR="002F1727" w:rsidRPr="00024895">
        <w:rPr>
          <w:rFonts w:asciiTheme="minorHAnsi" w:eastAsiaTheme="minorHAnsi" w:hAnsiTheme="minorHAnsi" w:cstheme="minorBidi"/>
          <w:snapToGrid/>
          <w:sz w:val="24"/>
          <w:szCs w:val="22"/>
        </w:rPr>
        <w:t xml:space="preserve"> listed</w:t>
      </w:r>
      <w:proofErr w:type="gramEnd"/>
      <w:r w:rsidR="002F1727" w:rsidRPr="00024895">
        <w:rPr>
          <w:rFonts w:asciiTheme="minorHAnsi" w:eastAsiaTheme="minorHAnsi" w:hAnsiTheme="minorHAnsi" w:cstheme="minorBidi"/>
          <w:snapToGrid/>
          <w:sz w:val="24"/>
          <w:szCs w:val="22"/>
        </w:rPr>
        <w:t xml:space="preserve"> on the PBS.</w:t>
      </w:r>
    </w:p>
    <w:tbl>
      <w:tblPr>
        <w:tblW w:w="4915" w:type="pct"/>
        <w:tblLook w:val="0000" w:firstRow="0" w:lastRow="0" w:firstColumn="0" w:lastColumn="0" w:noHBand="0" w:noVBand="0"/>
      </w:tblPr>
      <w:tblGrid>
        <w:gridCol w:w="1893"/>
        <w:gridCol w:w="1331"/>
        <w:gridCol w:w="712"/>
        <w:gridCol w:w="861"/>
        <w:gridCol w:w="1583"/>
        <w:gridCol w:w="2484"/>
        <w:gridCol w:w="9"/>
      </w:tblGrid>
      <w:tr w:rsidR="0004675C" w:rsidRPr="00024895" w:rsidTr="00115B0F">
        <w:trPr>
          <w:cantSplit/>
          <w:trHeight w:val="465"/>
        </w:trPr>
        <w:tc>
          <w:tcPr>
            <w:tcW w:w="1817" w:type="pct"/>
            <w:gridSpan w:val="2"/>
            <w:tcBorders>
              <w:bottom w:val="single" w:sz="4" w:space="0" w:color="auto"/>
            </w:tcBorders>
          </w:tcPr>
          <w:p w:rsidR="00826F6D" w:rsidRPr="00024895" w:rsidRDefault="00826F6D" w:rsidP="00EB0B63">
            <w:pPr>
              <w:keepNext/>
              <w:spacing w:before="40" w:after="40"/>
              <w:jc w:val="both"/>
              <w:rPr>
                <w:rFonts w:ascii="Arial Narrow" w:hAnsi="Arial Narrow" w:cs="Arial"/>
                <w:b/>
                <w:sz w:val="20"/>
                <w:szCs w:val="20"/>
              </w:rPr>
            </w:pPr>
            <w:r w:rsidRPr="00024895">
              <w:rPr>
                <w:rFonts w:ascii="Arial Narrow" w:hAnsi="Arial Narrow" w:cs="Arial"/>
                <w:b/>
                <w:sz w:val="20"/>
                <w:szCs w:val="20"/>
              </w:rPr>
              <w:t>Name, Restriction,</w:t>
            </w:r>
          </w:p>
          <w:p w:rsidR="00826F6D" w:rsidRPr="00024895" w:rsidRDefault="00826F6D" w:rsidP="00EB0B63">
            <w:pPr>
              <w:keepNext/>
              <w:spacing w:before="40" w:after="40"/>
              <w:jc w:val="both"/>
              <w:rPr>
                <w:rFonts w:ascii="Arial Narrow" w:hAnsi="Arial Narrow" w:cs="Arial"/>
                <w:b/>
                <w:sz w:val="20"/>
                <w:szCs w:val="20"/>
              </w:rPr>
            </w:pPr>
            <w:r w:rsidRPr="00024895">
              <w:rPr>
                <w:rFonts w:ascii="Arial Narrow" w:hAnsi="Arial Narrow" w:cs="Arial"/>
                <w:b/>
                <w:sz w:val="20"/>
                <w:szCs w:val="20"/>
              </w:rPr>
              <w:t>Manner of administration and form</w:t>
            </w:r>
          </w:p>
        </w:tc>
        <w:tc>
          <w:tcPr>
            <w:tcW w:w="401" w:type="pct"/>
            <w:tcBorders>
              <w:bottom w:val="single" w:sz="4" w:space="0" w:color="auto"/>
            </w:tcBorders>
          </w:tcPr>
          <w:p w:rsidR="00826F6D" w:rsidRPr="00024895" w:rsidRDefault="00826F6D" w:rsidP="00EB0B63">
            <w:pPr>
              <w:keepNext/>
              <w:spacing w:before="40" w:after="40"/>
              <w:jc w:val="both"/>
              <w:rPr>
                <w:rFonts w:ascii="Arial Narrow" w:hAnsi="Arial Narrow" w:cs="Arial"/>
                <w:b/>
                <w:sz w:val="20"/>
                <w:szCs w:val="20"/>
              </w:rPr>
            </w:pPr>
            <w:r w:rsidRPr="00024895">
              <w:rPr>
                <w:rFonts w:ascii="Arial Narrow" w:hAnsi="Arial Narrow" w:cs="Arial"/>
                <w:b/>
                <w:sz w:val="20"/>
                <w:szCs w:val="20"/>
              </w:rPr>
              <w:t>Max.</w:t>
            </w:r>
          </w:p>
          <w:p w:rsidR="00826F6D" w:rsidRPr="00024895" w:rsidRDefault="00826F6D" w:rsidP="00EB0B63">
            <w:pPr>
              <w:keepNext/>
              <w:spacing w:before="40" w:after="40"/>
              <w:jc w:val="both"/>
              <w:rPr>
                <w:rFonts w:ascii="Arial Narrow" w:hAnsi="Arial Narrow" w:cs="Arial"/>
                <w:b/>
                <w:sz w:val="20"/>
                <w:szCs w:val="20"/>
              </w:rPr>
            </w:pPr>
            <w:proofErr w:type="spellStart"/>
            <w:r w:rsidRPr="00024895">
              <w:rPr>
                <w:rFonts w:ascii="Arial Narrow" w:hAnsi="Arial Narrow" w:cs="Arial"/>
                <w:b/>
                <w:sz w:val="20"/>
                <w:szCs w:val="20"/>
              </w:rPr>
              <w:t>Qty</w:t>
            </w:r>
            <w:proofErr w:type="spellEnd"/>
          </w:p>
        </w:tc>
        <w:tc>
          <w:tcPr>
            <w:tcW w:w="485" w:type="pct"/>
            <w:tcBorders>
              <w:bottom w:val="single" w:sz="4" w:space="0" w:color="auto"/>
            </w:tcBorders>
          </w:tcPr>
          <w:p w:rsidR="00826F6D" w:rsidRPr="00024895" w:rsidRDefault="00826F6D" w:rsidP="00EB0B63">
            <w:pPr>
              <w:keepNext/>
              <w:spacing w:before="40" w:after="40"/>
              <w:jc w:val="both"/>
              <w:rPr>
                <w:rFonts w:ascii="Arial Narrow" w:hAnsi="Arial Narrow" w:cs="Arial"/>
                <w:b/>
                <w:sz w:val="20"/>
                <w:szCs w:val="20"/>
              </w:rPr>
            </w:pPr>
            <w:r w:rsidRPr="00024895">
              <w:rPr>
                <w:rFonts w:ascii="Arial Narrow" w:hAnsi="Arial Narrow" w:cs="Arial"/>
                <w:b/>
                <w:sz w:val="20"/>
                <w:szCs w:val="20"/>
              </w:rPr>
              <w:t>№.of</w:t>
            </w:r>
          </w:p>
          <w:p w:rsidR="00826F6D" w:rsidRPr="00024895" w:rsidRDefault="00826F6D" w:rsidP="00EB0B63">
            <w:pPr>
              <w:keepNext/>
              <w:spacing w:before="40" w:after="40"/>
              <w:jc w:val="both"/>
              <w:rPr>
                <w:rFonts w:ascii="Arial Narrow" w:hAnsi="Arial Narrow" w:cs="Arial"/>
                <w:b/>
                <w:sz w:val="20"/>
                <w:szCs w:val="20"/>
              </w:rPr>
            </w:pPr>
            <w:proofErr w:type="spellStart"/>
            <w:r w:rsidRPr="00024895">
              <w:rPr>
                <w:rFonts w:ascii="Arial Narrow" w:hAnsi="Arial Narrow" w:cs="Arial"/>
                <w:b/>
                <w:sz w:val="20"/>
                <w:szCs w:val="20"/>
              </w:rPr>
              <w:t>Rpts</w:t>
            </w:r>
            <w:proofErr w:type="spellEnd"/>
          </w:p>
        </w:tc>
        <w:tc>
          <w:tcPr>
            <w:tcW w:w="892" w:type="pct"/>
            <w:tcBorders>
              <w:bottom w:val="single" w:sz="4" w:space="0" w:color="auto"/>
            </w:tcBorders>
          </w:tcPr>
          <w:p w:rsidR="00826F6D" w:rsidRPr="00024895" w:rsidRDefault="00826F6D" w:rsidP="00EB0B63">
            <w:pPr>
              <w:keepNext/>
              <w:spacing w:before="40" w:after="40"/>
              <w:jc w:val="both"/>
              <w:rPr>
                <w:rFonts w:ascii="Arial Narrow" w:hAnsi="Arial Narrow" w:cs="Arial"/>
                <w:b/>
                <w:sz w:val="20"/>
                <w:szCs w:val="20"/>
              </w:rPr>
            </w:pPr>
            <w:r w:rsidRPr="00024895">
              <w:rPr>
                <w:rFonts w:ascii="Arial Narrow" w:hAnsi="Arial Narrow" w:cs="Arial"/>
                <w:b/>
                <w:sz w:val="20"/>
                <w:szCs w:val="20"/>
              </w:rPr>
              <w:t xml:space="preserve">Dispensed Price for Max. </w:t>
            </w:r>
            <w:proofErr w:type="spellStart"/>
            <w:r w:rsidRPr="00024895">
              <w:rPr>
                <w:rFonts w:ascii="Arial Narrow" w:hAnsi="Arial Narrow" w:cs="Arial"/>
                <w:b/>
                <w:sz w:val="20"/>
                <w:szCs w:val="20"/>
              </w:rPr>
              <w:t>Qty</w:t>
            </w:r>
            <w:proofErr w:type="spellEnd"/>
          </w:p>
        </w:tc>
        <w:tc>
          <w:tcPr>
            <w:tcW w:w="1404" w:type="pct"/>
            <w:gridSpan w:val="2"/>
            <w:tcBorders>
              <w:bottom w:val="single" w:sz="4" w:space="0" w:color="auto"/>
            </w:tcBorders>
          </w:tcPr>
          <w:p w:rsidR="00826F6D" w:rsidRPr="0089214F" w:rsidRDefault="00826F6D" w:rsidP="00EB0B63">
            <w:pPr>
              <w:keepNext/>
              <w:spacing w:before="40" w:after="40"/>
              <w:jc w:val="both"/>
              <w:rPr>
                <w:rFonts w:ascii="Arial Narrow" w:hAnsi="Arial Narrow" w:cs="Arial"/>
                <w:b/>
                <w:sz w:val="20"/>
                <w:szCs w:val="20"/>
              </w:rPr>
            </w:pPr>
            <w:r w:rsidRPr="00024895">
              <w:rPr>
                <w:rFonts w:ascii="Arial Narrow" w:hAnsi="Arial Narrow" w:cs="Arial"/>
                <w:b/>
                <w:sz w:val="20"/>
                <w:szCs w:val="20"/>
              </w:rPr>
              <w:t>Proprietary Name and Manufacturer</w:t>
            </w:r>
          </w:p>
        </w:tc>
      </w:tr>
      <w:tr w:rsidR="00145A57" w:rsidRPr="00024895" w:rsidTr="00115B0F">
        <w:trPr>
          <w:cantSplit/>
          <w:trHeight w:val="567"/>
        </w:trPr>
        <w:tc>
          <w:tcPr>
            <w:tcW w:w="1817" w:type="pct"/>
            <w:gridSpan w:val="2"/>
          </w:tcPr>
          <w:p w:rsidR="00145A57" w:rsidRPr="00024895" w:rsidRDefault="00145A57" w:rsidP="00EB0B63">
            <w:pPr>
              <w:keepNext/>
              <w:spacing w:before="40" w:after="40"/>
              <w:jc w:val="both"/>
              <w:rPr>
                <w:rFonts w:ascii="Arial Narrow" w:hAnsi="Arial Narrow" w:cs="Arial"/>
                <w:sz w:val="20"/>
                <w:szCs w:val="20"/>
              </w:rPr>
            </w:pPr>
            <w:r w:rsidRPr="00024895">
              <w:rPr>
                <w:rFonts w:ascii="Arial Narrow" w:hAnsi="Arial Narrow" w:cs="Arial"/>
                <w:smallCaps/>
                <w:sz w:val="20"/>
                <w:szCs w:val="20"/>
              </w:rPr>
              <w:t>SEVELAMER</w:t>
            </w:r>
          </w:p>
          <w:p w:rsidR="00145A57" w:rsidRPr="00024895" w:rsidRDefault="00145A57" w:rsidP="00DF4E5D">
            <w:pPr>
              <w:keepNext/>
              <w:spacing w:before="40" w:after="40"/>
              <w:jc w:val="both"/>
              <w:rPr>
                <w:rFonts w:ascii="Arial Narrow" w:hAnsi="Arial Narrow" w:cs="Arial"/>
                <w:sz w:val="20"/>
                <w:szCs w:val="20"/>
              </w:rPr>
            </w:pPr>
            <w:proofErr w:type="spellStart"/>
            <w:r w:rsidRPr="00024895">
              <w:rPr>
                <w:rFonts w:ascii="Arial Narrow" w:hAnsi="Arial Narrow" w:cs="Arial"/>
                <w:sz w:val="20"/>
                <w:szCs w:val="20"/>
              </w:rPr>
              <w:t>Sevelamer</w:t>
            </w:r>
            <w:proofErr w:type="spellEnd"/>
            <w:r w:rsidRPr="00024895">
              <w:rPr>
                <w:rFonts w:ascii="Arial Narrow" w:hAnsi="Arial Narrow" w:cs="Arial"/>
                <w:sz w:val="20"/>
                <w:szCs w:val="20"/>
              </w:rPr>
              <w:t xml:space="preserve"> carbonate, tablet 800, mg, 180  </w:t>
            </w:r>
          </w:p>
        </w:tc>
        <w:tc>
          <w:tcPr>
            <w:tcW w:w="401" w:type="pct"/>
          </w:tcPr>
          <w:p w:rsidR="00145A57" w:rsidRPr="00024895" w:rsidRDefault="00145A57" w:rsidP="00EB0B63">
            <w:pPr>
              <w:keepNext/>
              <w:spacing w:before="40" w:after="40"/>
              <w:jc w:val="both"/>
              <w:rPr>
                <w:rFonts w:ascii="Arial Narrow" w:hAnsi="Arial Narrow" w:cs="Arial"/>
                <w:sz w:val="20"/>
                <w:szCs w:val="20"/>
              </w:rPr>
            </w:pPr>
          </w:p>
          <w:p w:rsidR="00145A57" w:rsidRPr="00024895" w:rsidRDefault="00145A57" w:rsidP="00EB0B63">
            <w:pPr>
              <w:keepNext/>
              <w:spacing w:before="40" w:after="40"/>
              <w:jc w:val="both"/>
              <w:rPr>
                <w:rFonts w:ascii="Arial Narrow" w:hAnsi="Arial Narrow" w:cs="Arial"/>
                <w:sz w:val="20"/>
                <w:szCs w:val="20"/>
              </w:rPr>
            </w:pPr>
            <w:r w:rsidRPr="00024895">
              <w:rPr>
                <w:rFonts w:ascii="Arial Narrow" w:hAnsi="Arial Narrow" w:cs="Arial"/>
                <w:sz w:val="20"/>
                <w:szCs w:val="20"/>
              </w:rPr>
              <w:t>1</w:t>
            </w:r>
          </w:p>
        </w:tc>
        <w:tc>
          <w:tcPr>
            <w:tcW w:w="485" w:type="pct"/>
          </w:tcPr>
          <w:p w:rsidR="00145A57" w:rsidRPr="00024895" w:rsidRDefault="00145A57" w:rsidP="00EB0B63">
            <w:pPr>
              <w:keepNext/>
              <w:spacing w:before="40" w:after="40"/>
              <w:jc w:val="both"/>
              <w:rPr>
                <w:rFonts w:ascii="Arial Narrow" w:hAnsi="Arial Narrow" w:cs="Arial"/>
                <w:sz w:val="20"/>
                <w:szCs w:val="20"/>
              </w:rPr>
            </w:pPr>
          </w:p>
          <w:p w:rsidR="00145A57" w:rsidRPr="00024895" w:rsidRDefault="00145A57" w:rsidP="00EB0B63">
            <w:pPr>
              <w:keepNext/>
              <w:spacing w:before="40" w:after="40"/>
              <w:jc w:val="both"/>
              <w:rPr>
                <w:rFonts w:ascii="Arial Narrow" w:hAnsi="Arial Narrow" w:cs="Arial"/>
                <w:sz w:val="20"/>
                <w:szCs w:val="20"/>
              </w:rPr>
            </w:pPr>
            <w:r w:rsidRPr="00024895">
              <w:rPr>
                <w:rFonts w:ascii="Arial Narrow" w:hAnsi="Arial Narrow" w:cs="Arial"/>
                <w:sz w:val="20"/>
                <w:szCs w:val="20"/>
              </w:rPr>
              <w:t>5</w:t>
            </w:r>
          </w:p>
        </w:tc>
        <w:tc>
          <w:tcPr>
            <w:tcW w:w="892" w:type="pct"/>
          </w:tcPr>
          <w:p w:rsidR="00145A57" w:rsidRPr="00024895" w:rsidRDefault="00145A57" w:rsidP="00EB0B63">
            <w:pPr>
              <w:keepNext/>
              <w:spacing w:before="40" w:after="40"/>
              <w:jc w:val="both"/>
              <w:rPr>
                <w:rFonts w:ascii="Arial Narrow" w:hAnsi="Arial Narrow" w:cs="Arial"/>
                <w:sz w:val="20"/>
                <w:szCs w:val="20"/>
              </w:rPr>
            </w:pPr>
          </w:p>
          <w:p w:rsidR="00145A57" w:rsidRPr="00024895" w:rsidRDefault="00145A57" w:rsidP="00EB0B63">
            <w:pPr>
              <w:keepNext/>
              <w:spacing w:before="40" w:after="40"/>
              <w:jc w:val="both"/>
              <w:rPr>
                <w:rFonts w:ascii="Arial Narrow" w:hAnsi="Arial Narrow" w:cs="Arial"/>
                <w:sz w:val="20"/>
                <w:szCs w:val="20"/>
              </w:rPr>
            </w:pPr>
            <w:r w:rsidRPr="00024895">
              <w:rPr>
                <w:rFonts w:ascii="Arial Narrow" w:hAnsi="Arial Narrow" w:cs="Arial"/>
                <w:sz w:val="20"/>
                <w:szCs w:val="20"/>
              </w:rPr>
              <w:t>$229.98</w:t>
            </w:r>
          </w:p>
        </w:tc>
        <w:tc>
          <w:tcPr>
            <w:tcW w:w="1404" w:type="pct"/>
            <w:gridSpan w:val="2"/>
          </w:tcPr>
          <w:p w:rsidR="00145A57" w:rsidRPr="00024895" w:rsidRDefault="00145A57" w:rsidP="00EB0B63">
            <w:pPr>
              <w:keepNext/>
              <w:spacing w:before="40" w:after="40"/>
              <w:jc w:val="both"/>
              <w:rPr>
                <w:rFonts w:ascii="Arial Narrow" w:hAnsi="Arial Narrow" w:cs="Arial"/>
                <w:sz w:val="20"/>
                <w:szCs w:val="20"/>
              </w:rPr>
            </w:pPr>
          </w:p>
          <w:p w:rsidR="00145A57" w:rsidRPr="00024895" w:rsidRDefault="00145A57" w:rsidP="002F1727">
            <w:pPr>
              <w:keepNext/>
              <w:spacing w:before="40" w:after="40"/>
              <w:jc w:val="both"/>
              <w:rPr>
                <w:rFonts w:ascii="Arial Narrow" w:hAnsi="Arial Narrow" w:cs="Arial"/>
                <w:sz w:val="20"/>
                <w:szCs w:val="20"/>
              </w:rPr>
            </w:pPr>
            <w:proofErr w:type="spellStart"/>
            <w:r w:rsidRPr="00024895">
              <w:rPr>
                <w:rFonts w:ascii="Arial Narrow" w:hAnsi="Arial Narrow" w:cs="Arial"/>
                <w:sz w:val="20"/>
                <w:szCs w:val="20"/>
              </w:rPr>
              <w:t>Sevelamer</w:t>
            </w:r>
            <w:proofErr w:type="spellEnd"/>
            <w:r w:rsidRPr="00024895">
              <w:rPr>
                <w:rFonts w:ascii="Arial Narrow" w:hAnsi="Arial Narrow" w:cs="Arial"/>
                <w:sz w:val="20"/>
                <w:szCs w:val="20"/>
              </w:rPr>
              <w:t xml:space="preserve"> Dr Reddy’s</w:t>
            </w:r>
          </w:p>
          <w:p w:rsidR="00145A57" w:rsidRPr="00024895" w:rsidRDefault="00145A57" w:rsidP="00EB0B63">
            <w:pPr>
              <w:keepNext/>
              <w:spacing w:before="40" w:after="40"/>
              <w:jc w:val="both"/>
              <w:rPr>
                <w:rFonts w:ascii="Arial Narrow" w:hAnsi="Arial Narrow" w:cs="Arial"/>
                <w:sz w:val="20"/>
                <w:szCs w:val="20"/>
              </w:rPr>
            </w:pPr>
          </w:p>
          <w:p w:rsidR="00145A57" w:rsidRPr="00024895" w:rsidRDefault="00145A57" w:rsidP="002F1727">
            <w:pPr>
              <w:keepNext/>
              <w:spacing w:before="40" w:after="40"/>
              <w:jc w:val="both"/>
              <w:rPr>
                <w:rFonts w:ascii="Arial Narrow" w:hAnsi="Arial Narrow" w:cs="Arial"/>
                <w:sz w:val="20"/>
                <w:szCs w:val="20"/>
              </w:rPr>
            </w:pPr>
            <w:r w:rsidRPr="00024895">
              <w:rPr>
                <w:rFonts w:ascii="Arial Narrow" w:hAnsi="Arial Narrow" w:cs="Arial"/>
                <w:sz w:val="20"/>
                <w:szCs w:val="20"/>
              </w:rPr>
              <w:t>Dr Reddy’s Laboratories Australia Pty Ltd</w:t>
            </w:r>
          </w:p>
        </w:tc>
      </w:tr>
      <w:tr w:rsidR="00826F6D" w:rsidRPr="00024895" w:rsidTr="00115B0F">
        <w:trPr>
          <w:cantSplit/>
          <w:trHeight w:val="360"/>
        </w:trPr>
        <w:tc>
          <w:tcPr>
            <w:tcW w:w="5000" w:type="pct"/>
            <w:gridSpan w:val="7"/>
            <w:tcBorders>
              <w:bottom w:val="single" w:sz="4" w:space="0" w:color="auto"/>
            </w:tcBorders>
          </w:tcPr>
          <w:p w:rsidR="00826F6D" w:rsidRPr="00024895" w:rsidRDefault="00826F6D" w:rsidP="00EB0B63">
            <w:pPr>
              <w:spacing w:before="40" w:after="40"/>
              <w:jc w:val="both"/>
              <w:rPr>
                <w:rFonts w:ascii="Arial Narrow" w:hAnsi="Arial Narrow" w:cs="Arial"/>
                <w:sz w:val="20"/>
                <w:szCs w:val="20"/>
              </w:rPr>
            </w:pPr>
          </w:p>
        </w:tc>
      </w:tr>
      <w:tr w:rsidR="0004675C" w:rsidRPr="00024895" w:rsidTr="00115B0F">
        <w:trPr>
          <w:gridAfter w:val="1"/>
          <w:wAfter w:w="5" w:type="pct"/>
          <w:cantSplit/>
          <w:trHeight w:val="360"/>
        </w:trPr>
        <w:tc>
          <w:tcPr>
            <w:tcW w:w="1067" w:type="pct"/>
            <w:tcBorders>
              <w:top w:val="single" w:sz="4" w:space="0" w:color="auto"/>
              <w:left w:val="single" w:sz="4" w:space="0" w:color="auto"/>
              <w:bottom w:val="single" w:sz="4" w:space="0" w:color="auto"/>
              <w:right w:val="single" w:sz="4" w:space="0" w:color="auto"/>
            </w:tcBorders>
          </w:tcPr>
          <w:p w:rsidR="00826F6D" w:rsidRPr="00024895" w:rsidRDefault="00826F6D" w:rsidP="00EB0B63">
            <w:pPr>
              <w:spacing w:before="40" w:after="40"/>
              <w:jc w:val="both"/>
              <w:rPr>
                <w:rFonts w:ascii="Arial Narrow" w:hAnsi="Arial Narrow" w:cs="Arial"/>
                <w:b/>
                <w:sz w:val="20"/>
                <w:szCs w:val="20"/>
              </w:rPr>
            </w:pPr>
            <w:r w:rsidRPr="00024895">
              <w:rPr>
                <w:rFonts w:ascii="Arial Narrow" w:hAnsi="Arial Narrow" w:cs="Arial"/>
                <w:b/>
                <w:sz w:val="20"/>
                <w:szCs w:val="20"/>
              </w:rPr>
              <w:t xml:space="preserve">Category / </w:t>
            </w:r>
          </w:p>
          <w:p w:rsidR="00826F6D" w:rsidRPr="00024895" w:rsidRDefault="00826F6D" w:rsidP="00EB0B63">
            <w:pPr>
              <w:spacing w:before="40" w:after="40"/>
              <w:jc w:val="both"/>
              <w:rPr>
                <w:rFonts w:ascii="Arial Narrow" w:hAnsi="Arial Narrow" w:cs="Arial"/>
                <w:b/>
                <w:sz w:val="20"/>
                <w:szCs w:val="20"/>
              </w:rPr>
            </w:pPr>
            <w:r w:rsidRPr="00024895">
              <w:rPr>
                <w:rFonts w:ascii="Arial Narrow" w:hAnsi="Arial Narrow" w:cs="Arial"/>
                <w:b/>
                <w:sz w:val="20"/>
                <w:szCs w:val="20"/>
              </w:rPr>
              <w:t>Program</w:t>
            </w:r>
          </w:p>
        </w:tc>
        <w:tc>
          <w:tcPr>
            <w:tcW w:w="3928" w:type="pct"/>
            <w:gridSpan w:val="5"/>
            <w:tcBorders>
              <w:top w:val="single" w:sz="4" w:space="0" w:color="auto"/>
              <w:left w:val="single" w:sz="4" w:space="0" w:color="auto"/>
              <w:bottom w:val="single" w:sz="4" w:space="0" w:color="auto"/>
              <w:right w:val="single" w:sz="4" w:space="0" w:color="auto"/>
            </w:tcBorders>
          </w:tcPr>
          <w:p w:rsidR="00826F6D" w:rsidRPr="00024895" w:rsidRDefault="00826F6D" w:rsidP="00AF0B74">
            <w:pPr>
              <w:spacing w:before="40" w:after="40"/>
              <w:rPr>
                <w:rFonts w:ascii="Arial Narrow" w:hAnsi="Arial Narrow" w:cs="Arial"/>
                <w:sz w:val="20"/>
                <w:szCs w:val="20"/>
              </w:rPr>
            </w:pPr>
            <w:r w:rsidRPr="00024895">
              <w:rPr>
                <w:rFonts w:ascii="Arial Narrow" w:hAnsi="Arial Narrow" w:cs="Arial"/>
                <w:sz w:val="20"/>
                <w:szCs w:val="20"/>
              </w:rPr>
              <w:t>GENERAL – General Schedule (Code GE)</w:t>
            </w:r>
          </w:p>
        </w:tc>
      </w:tr>
      <w:tr w:rsidR="0004675C" w:rsidRPr="00024895" w:rsidTr="00115B0F">
        <w:trPr>
          <w:gridAfter w:val="1"/>
          <w:wAfter w:w="5" w:type="pct"/>
          <w:cantSplit/>
          <w:trHeight w:val="492"/>
        </w:trPr>
        <w:tc>
          <w:tcPr>
            <w:tcW w:w="1067" w:type="pct"/>
            <w:tcBorders>
              <w:top w:val="single" w:sz="4" w:space="0" w:color="auto"/>
              <w:left w:val="single" w:sz="4" w:space="0" w:color="auto"/>
              <w:bottom w:val="single" w:sz="4" w:space="0" w:color="auto"/>
              <w:right w:val="single" w:sz="4" w:space="0" w:color="auto"/>
            </w:tcBorders>
          </w:tcPr>
          <w:p w:rsidR="00826F6D" w:rsidRPr="00024895" w:rsidRDefault="00826F6D" w:rsidP="00EB0B63">
            <w:pPr>
              <w:spacing w:before="40" w:after="40"/>
              <w:jc w:val="both"/>
              <w:rPr>
                <w:rFonts w:ascii="Arial Narrow" w:hAnsi="Arial Narrow" w:cs="Arial"/>
                <w:b/>
                <w:sz w:val="20"/>
                <w:szCs w:val="20"/>
              </w:rPr>
            </w:pPr>
            <w:r w:rsidRPr="00024895">
              <w:rPr>
                <w:rFonts w:ascii="Arial Narrow" w:hAnsi="Arial Narrow" w:cs="Arial"/>
                <w:b/>
                <w:sz w:val="20"/>
                <w:szCs w:val="20"/>
              </w:rPr>
              <w:t>Prescriber type:</w:t>
            </w:r>
          </w:p>
        </w:tc>
        <w:tc>
          <w:tcPr>
            <w:tcW w:w="3928" w:type="pct"/>
            <w:gridSpan w:val="5"/>
            <w:tcBorders>
              <w:top w:val="single" w:sz="4" w:space="0" w:color="auto"/>
              <w:left w:val="single" w:sz="4" w:space="0" w:color="auto"/>
              <w:bottom w:val="single" w:sz="4" w:space="0" w:color="auto"/>
              <w:right w:val="single" w:sz="4" w:space="0" w:color="auto"/>
            </w:tcBorders>
          </w:tcPr>
          <w:p w:rsidR="00826F6D" w:rsidRPr="00024895" w:rsidRDefault="002F1727" w:rsidP="003F0629">
            <w:pPr>
              <w:spacing w:before="40" w:after="40"/>
              <w:rPr>
                <w:rFonts w:ascii="Arial Narrow" w:hAnsi="Arial Narrow" w:cs="Arial"/>
                <w:sz w:val="20"/>
                <w:szCs w:val="20"/>
              </w:rPr>
            </w:pPr>
            <w:r w:rsidRPr="0089214F">
              <w:rPr>
                <w:rFonts w:ascii="Arial Narrow" w:hAnsi="Arial Narrow" w:cs="Arial"/>
                <w:sz w:val="20"/>
                <w:szCs w:val="20"/>
              </w:rPr>
              <w:fldChar w:fldCharType="begin">
                <w:ffData>
                  <w:name w:val=""/>
                  <w:enabled/>
                  <w:calcOnExit w:val="0"/>
                  <w:checkBox>
                    <w:sizeAuto/>
                    <w:default w:val="1"/>
                  </w:checkBox>
                </w:ffData>
              </w:fldChar>
            </w:r>
            <w:r w:rsidRPr="00024895">
              <w:rPr>
                <w:rFonts w:ascii="Arial Narrow" w:hAnsi="Arial Narrow" w:cs="Arial"/>
                <w:sz w:val="20"/>
                <w:szCs w:val="20"/>
              </w:rPr>
              <w:instrText xml:space="preserve"> FORMCHECKBOX </w:instrText>
            </w:r>
            <w:r w:rsidR="003C3CE5">
              <w:rPr>
                <w:rFonts w:ascii="Arial Narrow" w:hAnsi="Arial Narrow" w:cs="Arial"/>
                <w:sz w:val="20"/>
                <w:szCs w:val="20"/>
              </w:rPr>
            </w:r>
            <w:r w:rsidR="003C3CE5">
              <w:rPr>
                <w:rFonts w:ascii="Arial Narrow" w:hAnsi="Arial Narrow" w:cs="Arial"/>
                <w:sz w:val="20"/>
                <w:szCs w:val="20"/>
              </w:rPr>
              <w:fldChar w:fldCharType="separate"/>
            </w:r>
            <w:r w:rsidRPr="0089214F">
              <w:rPr>
                <w:rFonts w:ascii="Arial Narrow" w:hAnsi="Arial Narrow" w:cs="Arial"/>
                <w:sz w:val="20"/>
                <w:szCs w:val="20"/>
              </w:rPr>
              <w:fldChar w:fldCharType="end"/>
            </w:r>
            <w:r w:rsidR="00826F6D" w:rsidRPr="00024895">
              <w:rPr>
                <w:rFonts w:ascii="Arial Narrow" w:hAnsi="Arial Narrow" w:cs="Arial"/>
                <w:sz w:val="20"/>
                <w:szCs w:val="20"/>
              </w:rPr>
              <w:t xml:space="preserve">Medical Practitioners  </w:t>
            </w:r>
            <w:r w:rsidR="003F0629" w:rsidRPr="0089214F">
              <w:rPr>
                <w:rFonts w:ascii="Arial Narrow" w:hAnsi="Arial Narrow" w:cs="Arial"/>
                <w:sz w:val="20"/>
                <w:szCs w:val="20"/>
              </w:rPr>
              <w:fldChar w:fldCharType="begin">
                <w:ffData>
                  <w:name w:val="Check3"/>
                  <w:enabled/>
                  <w:calcOnExit w:val="0"/>
                  <w:checkBox>
                    <w:sizeAuto/>
                    <w:default w:val="0"/>
                  </w:checkBox>
                </w:ffData>
              </w:fldChar>
            </w:r>
            <w:r w:rsidR="003F0629" w:rsidRPr="00024895">
              <w:rPr>
                <w:rFonts w:ascii="Arial Narrow" w:hAnsi="Arial Narrow" w:cs="Arial"/>
                <w:sz w:val="20"/>
                <w:szCs w:val="20"/>
              </w:rPr>
              <w:instrText xml:space="preserve"> </w:instrText>
            </w:r>
            <w:bookmarkStart w:id="0" w:name="Check3"/>
            <w:r w:rsidR="003F0629" w:rsidRPr="00024895">
              <w:rPr>
                <w:rFonts w:ascii="Arial Narrow" w:hAnsi="Arial Narrow" w:cs="Arial"/>
                <w:sz w:val="20"/>
                <w:szCs w:val="20"/>
              </w:rPr>
              <w:instrText xml:space="preserve">FORMCHECKBOX </w:instrText>
            </w:r>
            <w:r w:rsidR="003C3CE5">
              <w:rPr>
                <w:rFonts w:ascii="Arial Narrow" w:hAnsi="Arial Narrow" w:cs="Arial"/>
                <w:sz w:val="20"/>
                <w:szCs w:val="20"/>
              </w:rPr>
            </w:r>
            <w:r w:rsidR="003C3CE5">
              <w:rPr>
                <w:rFonts w:ascii="Arial Narrow" w:hAnsi="Arial Narrow" w:cs="Arial"/>
                <w:sz w:val="20"/>
                <w:szCs w:val="20"/>
              </w:rPr>
              <w:fldChar w:fldCharType="separate"/>
            </w:r>
            <w:r w:rsidR="003F0629" w:rsidRPr="0089214F">
              <w:rPr>
                <w:rFonts w:ascii="Arial Narrow" w:hAnsi="Arial Narrow" w:cs="Arial"/>
                <w:sz w:val="20"/>
                <w:szCs w:val="20"/>
              </w:rPr>
              <w:fldChar w:fldCharType="end"/>
            </w:r>
            <w:bookmarkEnd w:id="0"/>
            <w:r w:rsidR="00826F6D" w:rsidRPr="00024895">
              <w:rPr>
                <w:rFonts w:ascii="Arial Narrow" w:hAnsi="Arial Narrow" w:cs="Arial"/>
                <w:sz w:val="20"/>
                <w:szCs w:val="20"/>
              </w:rPr>
              <w:t xml:space="preserve">Nurse practitioners  </w:t>
            </w:r>
          </w:p>
        </w:tc>
      </w:tr>
      <w:tr w:rsidR="0004675C" w:rsidRPr="00024895" w:rsidTr="00115B0F">
        <w:trPr>
          <w:gridAfter w:val="1"/>
          <w:wAfter w:w="5" w:type="pct"/>
          <w:cantSplit/>
          <w:trHeight w:val="360"/>
        </w:trPr>
        <w:tc>
          <w:tcPr>
            <w:tcW w:w="1067" w:type="pct"/>
            <w:tcBorders>
              <w:top w:val="single" w:sz="4" w:space="0" w:color="auto"/>
              <w:left w:val="single" w:sz="4" w:space="0" w:color="auto"/>
              <w:bottom w:val="single" w:sz="4" w:space="0" w:color="auto"/>
              <w:right w:val="single" w:sz="4" w:space="0" w:color="auto"/>
            </w:tcBorders>
          </w:tcPr>
          <w:p w:rsidR="00826F6D" w:rsidRPr="00024895" w:rsidRDefault="00826F6D" w:rsidP="00EB0B63">
            <w:pPr>
              <w:spacing w:before="40" w:after="40"/>
              <w:jc w:val="both"/>
              <w:rPr>
                <w:rFonts w:ascii="Arial Narrow" w:hAnsi="Arial Narrow" w:cs="Arial"/>
                <w:b/>
                <w:sz w:val="20"/>
                <w:szCs w:val="20"/>
              </w:rPr>
            </w:pPr>
            <w:r w:rsidRPr="00024895">
              <w:rPr>
                <w:rFonts w:ascii="Arial Narrow" w:hAnsi="Arial Narrow" w:cs="Arial"/>
                <w:b/>
                <w:sz w:val="20"/>
                <w:szCs w:val="20"/>
              </w:rPr>
              <w:t>PBS Indication:</w:t>
            </w:r>
          </w:p>
        </w:tc>
        <w:tc>
          <w:tcPr>
            <w:tcW w:w="3928" w:type="pct"/>
            <w:gridSpan w:val="5"/>
            <w:tcBorders>
              <w:top w:val="single" w:sz="4" w:space="0" w:color="auto"/>
              <w:left w:val="single" w:sz="4" w:space="0" w:color="auto"/>
              <w:bottom w:val="single" w:sz="4" w:space="0" w:color="auto"/>
              <w:right w:val="single" w:sz="4" w:space="0" w:color="auto"/>
            </w:tcBorders>
          </w:tcPr>
          <w:p w:rsidR="00826F6D" w:rsidRPr="00024895" w:rsidRDefault="0004675C" w:rsidP="00EB0B63">
            <w:pPr>
              <w:spacing w:before="40" w:after="40"/>
              <w:rPr>
                <w:rFonts w:ascii="Arial Narrow" w:hAnsi="Arial Narrow" w:cs="Arial"/>
                <w:sz w:val="20"/>
                <w:szCs w:val="20"/>
              </w:rPr>
            </w:pPr>
            <w:proofErr w:type="spellStart"/>
            <w:r w:rsidRPr="00024895">
              <w:rPr>
                <w:rFonts w:ascii="Arial Narrow" w:hAnsi="Arial Narrow" w:cs="Arial"/>
                <w:sz w:val="20"/>
                <w:szCs w:val="20"/>
              </w:rPr>
              <w:t>Hyperphosphataemia</w:t>
            </w:r>
            <w:proofErr w:type="spellEnd"/>
          </w:p>
        </w:tc>
      </w:tr>
      <w:tr w:rsidR="0004675C" w:rsidRPr="00024895" w:rsidTr="00115B0F">
        <w:trPr>
          <w:gridAfter w:val="1"/>
          <w:wAfter w:w="5" w:type="pct"/>
          <w:cantSplit/>
          <w:trHeight w:val="360"/>
        </w:trPr>
        <w:tc>
          <w:tcPr>
            <w:tcW w:w="1067" w:type="pct"/>
            <w:tcBorders>
              <w:top w:val="single" w:sz="4" w:space="0" w:color="auto"/>
              <w:left w:val="single" w:sz="4" w:space="0" w:color="auto"/>
              <w:bottom w:val="single" w:sz="4" w:space="0" w:color="auto"/>
              <w:right w:val="single" w:sz="4" w:space="0" w:color="auto"/>
            </w:tcBorders>
          </w:tcPr>
          <w:p w:rsidR="00826F6D" w:rsidRPr="00024895" w:rsidRDefault="00826F6D" w:rsidP="00EB0B63">
            <w:pPr>
              <w:spacing w:before="40" w:after="40"/>
              <w:jc w:val="both"/>
              <w:rPr>
                <w:rFonts w:ascii="Arial Narrow" w:hAnsi="Arial Narrow" w:cs="Arial"/>
                <w:b/>
                <w:sz w:val="20"/>
                <w:szCs w:val="20"/>
              </w:rPr>
            </w:pPr>
            <w:r w:rsidRPr="00024895">
              <w:rPr>
                <w:rFonts w:ascii="Arial Narrow" w:hAnsi="Arial Narrow" w:cs="Arial"/>
                <w:b/>
                <w:sz w:val="20"/>
                <w:szCs w:val="20"/>
              </w:rPr>
              <w:t>Treatment phase:</w:t>
            </w:r>
          </w:p>
        </w:tc>
        <w:tc>
          <w:tcPr>
            <w:tcW w:w="3928" w:type="pct"/>
            <w:gridSpan w:val="5"/>
            <w:tcBorders>
              <w:top w:val="single" w:sz="4" w:space="0" w:color="auto"/>
              <w:left w:val="single" w:sz="4" w:space="0" w:color="auto"/>
              <w:bottom w:val="single" w:sz="4" w:space="0" w:color="auto"/>
              <w:right w:val="single" w:sz="4" w:space="0" w:color="auto"/>
            </w:tcBorders>
          </w:tcPr>
          <w:p w:rsidR="00826F6D" w:rsidRPr="00024895" w:rsidRDefault="0004675C" w:rsidP="00EB0B63">
            <w:pPr>
              <w:spacing w:before="40" w:after="40"/>
              <w:rPr>
                <w:rFonts w:ascii="Arial Narrow" w:hAnsi="Arial Narrow" w:cs="Arial"/>
                <w:sz w:val="20"/>
                <w:szCs w:val="20"/>
              </w:rPr>
            </w:pPr>
            <w:r w:rsidRPr="00024895">
              <w:rPr>
                <w:rFonts w:ascii="Arial Narrow" w:hAnsi="Arial Narrow" w:cs="Arial"/>
                <w:sz w:val="20"/>
                <w:szCs w:val="20"/>
              </w:rPr>
              <w:t>Maintenance following initiation and stabilisation</w:t>
            </w:r>
          </w:p>
        </w:tc>
      </w:tr>
      <w:tr w:rsidR="0004675C" w:rsidRPr="00024895" w:rsidTr="00115B0F">
        <w:trPr>
          <w:gridAfter w:val="1"/>
          <w:wAfter w:w="5" w:type="pct"/>
          <w:cantSplit/>
          <w:trHeight w:val="360"/>
        </w:trPr>
        <w:tc>
          <w:tcPr>
            <w:tcW w:w="1067" w:type="pct"/>
            <w:tcBorders>
              <w:top w:val="single" w:sz="4" w:space="0" w:color="auto"/>
              <w:left w:val="single" w:sz="4" w:space="0" w:color="auto"/>
              <w:bottom w:val="single" w:sz="4" w:space="0" w:color="auto"/>
              <w:right w:val="single" w:sz="4" w:space="0" w:color="auto"/>
            </w:tcBorders>
          </w:tcPr>
          <w:p w:rsidR="00826F6D" w:rsidRPr="00024895" w:rsidRDefault="00826F6D" w:rsidP="00EB0B63">
            <w:pPr>
              <w:spacing w:before="40" w:after="40"/>
              <w:jc w:val="both"/>
              <w:rPr>
                <w:rFonts w:ascii="Arial Narrow" w:hAnsi="Arial Narrow" w:cs="Arial"/>
                <w:b/>
                <w:sz w:val="20"/>
                <w:szCs w:val="20"/>
              </w:rPr>
            </w:pPr>
            <w:r w:rsidRPr="00024895">
              <w:rPr>
                <w:rFonts w:ascii="Arial Narrow" w:hAnsi="Arial Narrow" w:cs="Arial"/>
                <w:b/>
                <w:sz w:val="20"/>
                <w:szCs w:val="20"/>
              </w:rPr>
              <w:t>Restriction Level / Method:</w:t>
            </w:r>
          </w:p>
          <w:p w:rsidR="00826F6D" w:rsidRPr="00024895" w:rsidRDefault="00826F6D" w:rsidP="00EB0B63">
            <w:pPr>
              <w:spacing w:before="40" w:after="40"/>
              <w:rPr>
                <w:rFonts w:ascii="Arial Narrow" w:hAnsi="Arial Narrow" w:cs="Arial"/>
                <w:sz w:val="20"/>
                <w:szCs w:val="20"/>
              </w:rPr>
            </w:pPr>
          </w:p>
        </w:tc>
        <w:tc>
          <w:tcPr>
            <w:tcW w:w="3928" w:type="pct"/>
            <w:gridSpan w:val="5"/>
            <w:tcBorders>
              <w:top w:val="single" w:sz="4" w:space="0" w:color="auto"/>
              <w:left w:val="single" w:sz="4" w:space="0" w:color="auto"/>
              <w:bottom w:val="single" w:sz="4" w:space="0" w:color="auto"/>
              <w:right w:val="single" w:sz="4" w:space="0" w:color="auto"/>
            </w:tcBorders>
          </w:tcPr>
          <w:p w:rsidR="00826F6D" w:rsidRPr="00024895" w:rsidRDefault="00826F6D" w:rsidP="00EB0B63">
            <w:pPr>
              <w:spacing w:before="40" w:after="40"/>
              <w:rPr>
                <w:rFonts w:ascii="Arial Narrow" w:hAnsi="Arial Narrow" w:cs="Arial"/>
                <w:sz w:val="20"/>
                <w:szCs w:val="20"/>
              </w:rPr>
            </w:pPr>
            <w:r w:rsidRPr="0089214F">
              <w:rPr>
                <w:rFonts w:ascii="Arial Narrow" w:hAnsi="Arial Narrow" w:cs="Arial"/>
                <w:sz w:val="20"/>
                <w:szCs w:val="20"/>
              </w:rPr>
              <w:fldChar w:fldCharType="begin">
                <w:ffData>
                  <w:name w:val=""/>
                  <w:enabled/>
                  <w:calcOnExit w:val="0"/>
                  <w:checkBox>
                    <w:sizeAuto/>
                    <w:default w:val="0"/>
                  </w:checkBox>
                </w:ffData>
              </w:fldChar>
            </w:r>
            <w:r w:rsidRPr="00024895">
              <w:rPr>
                <w:rFonts w:ascii="Arial Narrow" w:hAnsi="Arial Narrow" w:cs="Arial"/>
                <w:sz w:val="20"/>
                <w:szCs w:val="20"/>
              </w:rPr>
              <w:instrText xml:space="preserve"> FORMCHECKBOX </w:instrText>
            </w:r>
            <w:r w:rsidR="003C3CE5">
              <w:rPr>
                <w:rFonts w:ascii="Arial Narrow" w:hAnsi="Arial Narrow" w:cs="Arial"/>
                <w:sz w:val="20"/>
                <w:szCs w:val="20"/>
              </w:rPr>
            </w:r>
            <w:r w:rsidR="003C3CE5">
              <w:rPr>
                <w:rFonts w:ascii="Arial Narrow" w:hAnsi="Arial Narrow" w:cs="Arial"/>
                <w:sz w:val="20"/>
                <w:szCs w:val="20"/>
              </w:rPr>
              <w:fldChar w:fldCharType="separate"/>
            </w:r>
            <w:r w:rsidRPr="0089214F">
              <w:rPr>
                <w:rFonts w:ascii="Arial Narrow" w:hAnsi="Arial Narrow" w:cs="Arial"/>
                <w:sz w:val="20"/>
                <w:szCs w:val="20"/>
              </w:rPr>
              <w:fldChar w:fldCharType="end"/>
            </w:r>
            <w:r w:rsidRPr="00024895">
              <w:rPr>
                <w:rFonts w:ascii="Arial Narrow" w:hAnsi="Arial Narrow" w:cs="Arial"/>
                <w:sz w:val="20"/>
                <w:szCs w:val="20"/>
              </w:rPr>
              <w:t>Authority Required - In Writing</w:t>
            </w:r>
          </w:p>
          <w:p w:rsidR="00826F6D" w:rsidRPr="00024895" w:rsidRDefault="00826F6D" w:rsidP="00EB0B63">
            <w:pPr>
              <w:spacing w:before="40" w:after="40"/>
              <w:rPr>
                <w:rFonts w:ascii="Arial Narrow" w:hAnsi="Arial Narrow" w:cs="Arial"/>
                <w:sz w:val="20"/>
                <w:szCs w:val="20"/>
              </w:rPr>
            </w:pPr>
            <w:r w:rsidRPr="0089214F">
              <w:rPr>
                <w:rFonts w:ascii="Arial Narrow" w:hAnsi="Arial Narrow" w:cs="Arial"/>
                <w:sz w:val="20"/>
                <w:szCs w:val="20"/>
              </w:rPr>
              <w:fldChar w:fldCharType="begin">
                <w:ffData>
                  <w:name w:val="Check3"/>
                  <w:enabled/>
                  <w:calcOnExit w:val="0"/>
                  <w:checkBox>
                    <w:sizeAuto/>
                    <w:default w:val="0"/>
                  </w:checkBox>
                </w:ffData>
              </w:fldChar>
            </w:r>
            <w:r w:rsidRPr="00024895">
              <w:rPr>
                <w:rFonts w:ascii="Arial Narrow" w:hAnsi="Arial Narrow" w:cs="Arial"/>
                <w:sz w:val="20"/>
                <w:szCs w:val="20"/>
              </w:rPr>
              <w:instrText xml:space="preserve"> FORMCHECKBOX </w:instrText>
            </w:r>
            <w:r w:rsidR="003C3CE5">
              <w:rPr>
                <w:rFonts w:ascii="Arial Narrow" w:hAnsi="Arial Narrow" w:cs="Arial"/>
                <w:sz w:val="20"/>
                <w:szCs w:val="20"/>
              </w:rPr>
            </w:r>
            <w:r w:rsidR="003C3CE5">
              <w:rPr>
                <w:rFonts w:ascii="Arial Narrow" w:hAnsi="Arial Narrow" w:cs="Arial"/>
                <w:sz w:val="20"/>
                <w:szCs w:val="20"/>
              </w:rPr>
              <w:fldChar w:fldCharType="separate"/>
            </w:r>
            <w:r w:rsidRPr="0089214F">
              <w:rPr>
                <w:rFonts w:ascii="Arial Narrow" w:hAnsi="Arial Narrow" w:cs="Arial"/>
                <w:sz w:val="20"/>
                <w:szCs w:val="20"/>
              </w:rPr>
              <w:fldChar w:fldCharType="end"/>
            </w:r>
            <w:r w:rsidRPr="00024895">
              <w:rPr>
                <w:rFonts w:ascii="Arial Narrow" w:hAnsi="Arial Narrow" w:cs="Arial"/>
                <w:sz w:val="20"/>
                <w:szCs w:val="20"/>
              </w:rPr>
              <w:t>Authority Required - Telephone</w:t>
            </w:r>
          </w:p>
          <w:p w:rsidR="00826F6D" w:rsidRPr="00024895" w:rsidRDefault="0004675C" w:rsidP="00EB0B63">
            <w:pPr>
              <w:spacing w:before="40" w:after="40"/>
              <w:rPr>
                <w:rFonts w:ascii="Arial Narrow" w:hAnsi="Arial Narrow" w:cs="Arial"/>
                <w:sz w:val="20"/>
                <w:szCs w:val="20"/>
              </w:rPr>
            </w:pPr>
            <w:r w:rsidRPr="0089214F">
              <w:rPr>
                <w:rFonts w:ascii="Arial Narrow" w:hAnsi="Arial Narrow" w:cs="Arial"/>
                <w:sz w:val="20"/>
                <w:szCs w:val="20"/>
              </w:rPr>
              <w:fldChar w:fldCharType="begin">
                <w:ffData>
                  <w:name w:val="Check5"/>
                  <w:enabled/>
                  <w:calcOnExit w:val="0"/>
                  <w:checkBox>
                    <w:sizeAuto/>
                    <w:default w:val="1"/>
                  </w:checkBox>
                </w:ffData>
              </w:fldChar>
            </w:r>
            <w:bookmarkStart w:id="1" w:name="Check5"/>
            <w:r w:rsidRPr="00024895">
              <w:rPr>
                <w:rFonts w:ascii="Arial Narrow" w:hAnsi="Arial Narrow" w:cs="Arial"/>
                <w:sz w:val="20"/>
                <w:szCs w:val="20"/>
              </w:rPr>
              <w:instrText xml:space="preserve"> FORMCHECKBOX </w:instrText>
            </w:r>
            <w:r w:rsidR="003C3CE5">
              <w:rPr>
                <w:rFonts w:ascii="Arial Narrow" w:hAnsi="Arial Narrow" w:cs="Arial"/>
                <w:sz w:val="20"/>
                <w:szCs w:val="20"/>
              </w:rPr>
            </w:r>
            <w:r w:rsidR="003C3CE5">
              <w:rPr>
                <w:rFonts w:ascii="Arial Narrow" w:hAnsi="Arial Narrow" w:cs="Arial"/>
                <w:sz w:val="20"/>
                <w:szCs w:val="20"/>
              </w:rPr>
              <w:fldChar w:fldCharType="separate"/>
            </w:r>
            <w:r w:rsidRPr="0089214F">
              <w:rPr>
                <w:rFonts w:ascii="Arial Narrow" w:hAnsi="Arial Narrow" w:cs="Arial"/>
                <w:sz w:val="20"/>
                <w:szCs w:val="20"/>
              </w:rPr>
              <w:fldChar w:fldCharType="end"/>
            </w:r>
            <w:bookmarkEnd w:id="1"/>
            <w:r w:rsidR="00826F6D" w:rsidRPr="00024895">
              <w:rPr>
                <w:rFonts w:ascii="Arial Narrow" w:hAnsi="Arial Narrow" w:cs="Arial"/>
                <w:sz w:val="20"/>
                <w:szCs w:val="20"/>
              </w:rPr>
              <w:t>Streamlined</w:t>
            </w:r>
          </w:p>
        </w:tc>
      </w:tr>
      <w:tr w:rsidR="0004675C" w:rsidRPr="00024895" w:rsidTr="00115B0F">
        <w:trPr>
          <w:gridAfter w:val="1"/>
          <w:wAfter w:w="5" w:type="pct"/>
          <w:cantSplit/>
          <w:trHeight w:val="360"/>
        </w:trPr>
        <w:tc>
          <w:tcPr>
            <w:tcW w:w="1067" w:type="pct"/>
            <w:tcBorders>
              <w:top w:val="single" w:sz="4" w:space="0" w:color="auto"/>
              <w:left w:val="single" w:sz="4" w:space="0" w:color="auto"/>
              <w:bottom w:val="single" w:sz="4" w:space="0" w:color="auto"/>
              <w:right w:val="single" w:sz="4" w:space="0" w:color="auto"/>
            </w:tcBorders>
          </w:tcPr>
          <w:p w:rsidR="00826F6D" w:rsidRPr="00024895" w:rsidRDefault="00826F6D" w:rsidP="00EB0B63">
            <w:pPr>
              <w:spacing w:before="40" w:after="40"/>
              <w:rPr>
                <w:rFonts w:ascii="Arial Narrow" w:hAnsi="Arial Narrow" w:cs="Arial"/>
                <w:b/>
                <w:sz w:val="20"/>
                <w:szCs w:val="20"/>
              </w:rPr>
            </w:pPr>
            <w:r w:rsidRPr="00024895">
              <w:rPr>
                <w:rFonts w:ascii="Arial Narrow" w:hAnsi="Arial Narrow" w:cs="Arial"/>
                <w:b/>
                <w:sz w:val="20"/>
                <w:szCs w:val="20"/>
              </w:rPr>
              <w:t>Treatment criteria:</w:t>
            </w:r>
          </w:p>
          <w:p w:rsidR="00826F6D" w:rsidRPr="00024895" w:rsidRDefault="00826F6D" w:rsidP="0004675C">
            <w:pPr>
              <w:spacing w:before="40" w:after="40"/>
              <w:rPr>
                <w:rFonts w:ascii="Arial Narrow" w:hAnsi="Arial Narrow" w:cs="Arial"/>
                <w:sz w:val="20"/>
                <w:szCs w:val="20"/>
              </w:rPr>
            </w:pPr>
          </w:p>
        </w:tc>
        <w:tc>
          <w:tcPr>
            <w:tcW w:w="3928" w:type="pct"/>
            <w:gridSpan w:val="5"/>
            <w:tcBorders>
              <w:top w:val="single" w:sz="4" w:space="0" w:color="auto"/>
              <w:left w:val="single" w:sz="4" w:space="0" w:color="auto"/>
              <w:bottom w:val="single" w:sz="4" w:space="0" w:color="auto"/>
              <w:right w:val="single" w:sz="4" w:space="0" w:color="auto"/>
            </w:tcBorders>
          </w:tcPr>
          <w:p w:rsidR="00826F6D" w:rsidRPr="00024895" w:rsidRDefault="0004675C" w:rsidP="00EB0B63">
            <w:pPr>
              <w:spacing w:before="40" w:after="40"/>
              <w:rPr>
                <w:rFonts w:ascii="Arial Narrow" w:hAnsi="Arial Narrow" w:cs="Arial"/>
                <w:sz w:val="20"/>
                <w:szCs w:val="20"/>
              </w:rPr>
            </w:pPr>
            <w:r w:rsidRPr="00024895">
              <w:rPr>
                <w:rFonts w:ascii="Arial Narrow" w:hAnsi="Arial Narrow" w:cs="Arial"/>
                <w:sz w:val="20"/>
                <w:szCs w:val="20"/>
              </w:rPr>
              <w:t>Patient must be undergoing dialysis for chronic kidney disease.</w:t>
            </w:r>
          </w:p>
        </w:tc>
      </w:tr>
      <w:tr w:rsidR="0004675C" w:rsidRPr="00024895" w:rsidTr="00115B0F">
        <w:trPr>
          <w:gridAfter w:val="1"/>
          <w:wAfter w:w="5" w:type="pct"/>
          <w:cantSplit/>
          <w:trHeight w:val="360"/>
        </w:trPr>
        <w:tc>
          <w:tcPr>
            <w:tcW w:w="1067" w:type="pct"/>
            <w:tcBorders>
              <w:top w:val="single" w:sz="4" w:space="0" w:color="auto"/>
              <w:left w:val="single" w:sz="4" w:space="0" w:color="auto"/>
              <w:bottom w:val="single" w:sz="4" w:space="0" w:color="auto"/>
              <w:right w:val="single" w:sz="4" w:space="0" w:color="auto"/>
            </w:tcBorders>
          </w:tcPr>
          <w:p w:rsidR="00826F6D" w:rsidRPr="00024895" w:rsidRDefault="00826F6D" w:rsidP="00EB0B63">
            <w:pPr>
              <w:spacing w:before="40" w:after="40"/>
              <w:jc w:val="both"/>
              <w:rPr>
                <w:rFonts w:ascii="Arial Narrow" w:hAnsi="Arial Narrow" w:cs="Arial"/>
                <w:b/>
                <w:sz w:val="20"/>
                <w:szCs w:val="20"/>
              </w:rPr>
            </w:pPr>
            <w:r w:rsidRPr="00024895">
              <w:rPr>
                <w:rFonts w:ascii="Arial Narrow" w:hAnsi="Arial Narrow" w:cs="Arial"/>
                <w:b/>
                <w:sz w:val="20"/>
                <w:szCs w:val="20"/>
              </w:rPr>
              <w:lastRenderedPageBreak/>
              <w:t>Clinical criteria:</w:t>
            </w:r>
          </w:p>
          <w:p w:rsidR="00826F6D" w:rsidRPr="00024895" w:rsidRDefault="00826F6D" w:rsidP="00EB0B63">
            <w:pPr>
              <w:spacing w:before="40" w:after="40"/>
              <w:jc w:val="both"/>
              <w:rPr>
                <w:rFonts w:ascii="Arial Narrow" w:hAnsi="Arial Narrow" w:cs="Arial"/>
                <w:i/>
                <w:sz w:val="20"/>
                <w:szCs w:val="20"/>
              </w:rPr>
            </w:pPr>
          </w:p>
          <w:p w:rsidR="00826F6D" w:rsidRPr="00024895" w:rsidRDefault="00826F6D" w:rsidP="0004675C">
            <w:pPr>
              <w:spacing w:before="40" w:after="40"/>
              <w:jc w:val="both"/>
              <w:rPr>
                <w:rFonts w:ascii="Arial Narrow" w:hAnsi="Arial Narrow" w:cs="Arial"/>
                <w:sz w:val="20"/>
                <w:szCs w:val="20"/>
              </w:rPr>
            </w:pPr>
          </w:p>
        </w:tc>
        <w:tc>
          <w:tcPr>
            <w:tcW w:w="3928" w:type="pct"/>
            <w:gridSpan w:val="5"/>
            <w:tcBorders>
              <w:top w:val="single" w:sz="4" w:space="0" w:color="auto"/>
              <w:left w:val="single" w:sz="4" w:space="0" w:color="auto"/>
              <w:bottom w:val="single" w:sz="4" w:space="0" w:color="auto"/>
              <w:right w:val="single" w:sz="4" w:space="0" w:color="auto"/>
            </w:tcBorders>
          </w:tcPr>
          <w:p w:rsidR="00826F6D" w:rsidRPr="00024895" w:rsidRDefault="0004675C" w:rsidP="00EB0B63">
            <w:pPr>
              <w:spacing w:before="40" w:after="40"/>
              <w:rPr>
                <w:rFonts w:ascii="Arial Narrow" w:hAnsi="Arial Narrow" w:cs="Arial"/>
                <w:sz w:val="20"/>
                <w:szCs w:val="20"/>
              </w:rPr>
            </w:pPr>
            <w:r w:rsidRPr="00024895">
              <w:rPr>
                <w:rFonts w:ascii="Arial Narrow" w:hAnsi="Arial Narrow" w:cs="Arial"/>
                <w:sz w:val="20"/>
                <w:szCs w:val="20"/>
              </w:rPr>
              <w:t>The condition must not be adequately controlled by calcium</w:t>
            </w:r>
          </w:p>
          <w:p w:rsidR="0004675C" w:rsidRPr="00024895" w:rsidRDefault="0004675C" w:rsidP="00EB0B63">
            <w:pPr>
              <w:spacing w:before="40" w:after="40"/>
              <w:rPr>
                <w:rFonts w:ascii="Arial Narrow" w:hAnsi="Arial Narrow" w:cs="Arial"/>
                <w:sz w:val="20"/>
                <w:szCs w:val="20"/>
              </w:rPr>
            </w:pPr>
            <w:r w:rsidRPr="00024895">
              <w:rPr>
                <w:rFonts w:ascii="Arial Narrow" w:hAnsi="Arial Narrow" w:cs="Arial"/>
                <w:sz w:val="20"/>
                <w:szCs w:val="20"/>
              </w:rPr>
              <w:t>AND</w:t>
            </w:r>
          </w:p>
          <w:p w:rsidR="0004675C" w:rsidRPr="00024895" w:rsidRDefault="0004675C" w:rsidP="00EB0B63">
            <w:pPr>
              <w:spacing w:before="40" w:after="40"/>
              <w:rPr>
                <w:rFonts w:ascii="Arial Narrow" w:hAnsi="Arial Narrow" w:cs="Arial"/>
                <w:sz w:val="20"/>
                <w:szCs w:val="20"/>
              </w:rPr>
            </w:pPr>
            <w:r w:rsidRPr="00024895">
              <w:rPr>
                <w:rFonts w:ascii="Arial Narrow" w:hAnsi="Arial Narrow" w:cs="Arial"/>
                <w:sz w:val="20"/>
                <w:szCs w:val="20"/>
              </w:rPr>
              <w:t xml:space="preserve">Patient must have a serum phosphate of greater than 1.6 </w:t>
            </w:r>
            <w:proofErr w:type="spellStart"/>
            <w:r w:rsidRPr="00024895">
              <w:rPr>
                <w:rFonts w:ascii="Arial Narrow" w:hAnsi="Arial Narrow" w:cs="Arial"/>
                <w:sz w:val="20"/>
                <w:szCs w:val="20"/>
              </w:rPr>
              <w:t>mmol</w:t>
            </w:r>
            <w:proofErr w:type="spellEnd"/>
            <w:r w:rsidRPr="00024895">
              <w:rPr>
                <w:rFonts w:ascii="Arial Narrow" w:hAnsi="Arial Narrow" w:cs="Arial"/>
                <w:sz w:val="20"/>
                <w:szCs w:val="20"/>
              </w:rPr>
              <w:t xml:space="preserve"> per L at the commencement of therapy; OR</w:t>
            </w:r>
          </w:p>
          <w:p w:rsidR="00826F6D" w:rsidRPr="00024895" w:rsidRDefault="0004675C" w:rsidP="00EB0B63">
            <w:pPr>
              <w:spacing w:before="40" w:after="40"/>
              <w:rPr>
                <w:rFonts w:ascii="Arial Narrow" w:hAnsi="Arial Narrow" w:cs="Arial"/>
                <w:sz w:val="20"/>
                <w:szCs w:val="20"/>
              </w:rPr>
            </w:pPr>
            <w:r w:rsidRPr="00024895">
              <w:rPr>
                <w:rFonts w:ascii="Arial Narrow" w:hAnsi="Arial Narrow" w:cs="Arial"/>
                <w:sz w:val="20"/>
                <w:szCs w:val="20"/>
              </w:rPr>
              <w:t>The condition must be where a serum calcium times phosphate product is greater than 4 at the commencement of therapy,</w:t>
            </w:r>
          </w:p>
          <w:p w:rsidR="0004675C" w:rsidRPr="00024895" w:rsidRDefault="0004675C" w:rsidP="00EB0B63">
            <w:pPr>
              <w:spacing w:before="40" w:after="40"/>
              <w:rPr>
                <w:rFonts w:ascii="Arial Narrow" w:hAnsi="Arial Narrow" w:cs="Arial"/>
                <w:sz w:val="20"/>
                <w:szCs w:val="20"/>
              </w:rPr>
            </w:pPr>
            <w:r w:rsidRPr="00024895">
              <w:rPr>
                <w:rFonts w:ascii="Arial Narrow" w:hAnsi="Arial Narrow" w:cs="Arial"/>
                <w:sz w:val="20"/>
                <w:szCs w:val="20"/>
              </w:rPr>
              <w:t>AND</w:t>
            </w:r>
          </w:p>
          <w:p w:rsidR="00826F6D" w:rsidRPr="00024895" w:rsidRDefault="0004675C" w:rsidP="0004675C">
            <w:pPr>
              <w:spacing w:before="40" w:after="40"/>
              <w:rPr>
                <w:rFonts w:ascii="Arial Narrow" w:hAnsi="Arial Narrow" w:cs="Arial"/>
                <w:sz w:val="20"/>
                <w:szCs w:val="20"/>
              </w:rPr>
            </w:pPr>
            <w:r w:rsidRPr="00024895">
              <w:rPr>
                <w:rFonts w:ascii="Arial Narrow" w:hAnsi="Arial Narrow" w:cs="Arial"/>
                <w:sz w:val="20"/>
                <w:szCs w:val="20"/>
              </w:rPr>
              <w:t xml:space="preserve">The treatment must not be used in combination with any other non-calcium </w:t>
            </w:r>
            <w:proofErr w:type="gramStart"/>
            <w:r w:rsidRPr="00024895">
              <w:rPr>
                <w:rFonts w:ascii="Arial Narrow" w:hAnsi="Arial Narrow" w:cs="Arial"/>
                <w:sz w:val="20"/>
                <w:szCs w:val="20"/>
              </w:rPr>
              <w:t>phosphate binding</w:t>
            </w:r>
            <w:proofErr w:type="gramEnd"/>
            <w:r w:rsidRPr="00024895">
              <w:rPr>
                <w:rFonts w:ascii="Arial Narrow" w:hAnsi="Arial Narrow" w:cs="Arial"/>
                <w:sz w:val="20"/>
                <w:szCs w:val="20"/>
              </w:rPr>
              <w:t xml:space="preserve"> agents.</w:t>
            </w:r>
          </w:p>
        </w:tc>
      </w:tr>
      <w:tr w:rsidR="0004675C" w:rsidRPr="00024895" w:rsidTr="00115B0F">
        <w:trPr>
          <w:gridAfter w:val="1"/>
          <w:wAfter w:w="5" w:type="pct"/>
          <w:cantSplit/>
          <w:trHeight w:val="360"/>
        </w:trPr>
        <w:tc>
          <w:tcPr>
            <w:tcW w:w="1067" w:type="pct"/>
            <w:tcBorders>
              <w:top w:val="single" w:sz="4" w:space="0" w:color="auto"/>
              <w:left w:val="single" w:sz="4" w:space="0" w:color="auto"/>
              <w:bottom w:val="single" w:sz="4" w:space="0" w:color="auto"/>
              <w:right w:val="single" w:sz="4" w:space="0" w:color="auto"/>
            </w:tcBorders>
          </w:tcPr>
          <w:p w:rsidR="00826F6D" w:rsidRPr="00024895" w:rsidRDefault="00826F6D" w:rsidP="00EB0B63">
            <w:pPr>
              <w:spacing w:before="40" w:after="40"/>
              <w:jc w:val="both"/>
              <w:rPr>
                <w:rFonts w:ascii="Arial Narrow" w:hAnsi="Arial Narrow" w:cs="Arial"/>
                <w:b/>
                <w:sz w:val="20"/>
                <w:szCs w:val="20"/>
              </w:rPr>
            </w:pPr>
            <w:r w:rsidRPr="00024895">
              <w:rPr>
                <w:rFonts w:ascii="Arial Narrow" w:hAnsi="Arial Narrow" w:cs="Arial"/>
                <w:b/>
                <w:sz w:val="20"/>
                <w:szCs w:val="20"/>
              </w:rPr>
              <w:t>Administrative Advice</w:t>
            </w:r>
          </w:p>
          <w:p w:rsidR="00826F6D" w:rsidRPr="00024895" w:rsidRDefault="00826F6D" w:rsidP="00182295">
            <w:pPr>
              <w:spacing w:before="40" w:after="40"/>
              <w:jc w:val="both"/>
              <w:rPr>
                <w:rFonts w:ascii="Arial Narrow" w:hAnsi="Arial Narrow" w:cs="Arial"/>
                <w:i/>
                <w:sz w:val="20"/>
                <w:szCs w:val="20"/>
              </w:rPr>
            </w:pPr>
          </w:p>
        </w:tc>
        <w:tc>
          <w:tcPr>
            <w:tcW w:w="3928" w:type="pct"/>
            <w:gridSpan w:val="5"/>
            <w:tcBorders>
              <w:top w:val="single" w:sz="4" w:space="0" w:color="auto"/>
              <w:left w:val="single" w:sz="4" w:space="0" w:color="auto"/>
              <w:bottom w:val="single" w:sz="4" w:space="0" w:color="auto"/>
              <w:right w:val="single" w:sz="4" w:space="0" w:color="auto"/>
            </w:tcBorders>
          </w:tcPr>
          <w:p w:rsidR="0004675C" w:rsidRPr="00024895" w:rsidRDefault="0004675C" w:rsidP="0004675C">
            <w:pPr>
              <w:spacing w:before="40" w:after="40"/>
              <w:rPr>
                <w:rFonts w:ascii="Arial Narrow" w:hAnsi="Arial Narrow" w:cs="Arial"/>
                <w:sz w:val="20"/>
                <w:szCs w:val="20"/>
              </w:rPr>
            </w:pPr>
            <w:r w:rsidRPr="00024895">
              <w:rPr>
                <w:rFonts w:ascii="Arial Narrow" w:hAnsi="Arial Narrow" w:cs="Arial"/>
                <w:sz w:val="20"/>
                <w:szCs w:val="20"/>
              </w:rPr>
              <w:t xml:space="preserve">Shared Care Model: </w:t>
            </w:r>
          </w:p>
          <w:p w:rsidR="0004675C" w:rsidRPr="00024895" w:rsidRDefault="0004675C" w:rsidP="0004675C">
            <w:pPr>
              <w:spacing w:before="40" w:after="40"/>
              <w:rPr>
                <w:rFonts w:ascii="Arial Narrow" w:hAnsi="Arial Narrow" w:cs="Arial"/>
                <w:sz w:val="20"/>
                <w:szCs w:val="20"/>
              </w:rPr>
            </w:pPr>
          </w:p>
          <w:p w:rsidR="00826F6D" w:rsidRPr="00024895" w:rsidRDefault="0004675C" w:rsidP="0004675C">
            <w:pPr>
              <w:spacing w:before="40" w:after="40"/>
              <w:rPr>
                <w:rFonts w:ascii="Arial Narrow" w:hAnsi="Arial Narrow" w:cs="Arial"/>
                <w:sz w:val="20"/>
                <w:szCs w:val="20"/>
              </w:rPr>
            </w:pPr>
            <w:r w:rsidRPr="00024895">
              <w:rPr>
                <w:rFonts w:ascii="Arial Narrow" w:hAnsi="Arial Narrow" w:cs="Arial"/>
                <w:sz w:val="20"/>
                <w:szCs w:val="20"/>
              </w:rPr>
              <w:t xml:space="preserve">For prescribing by nurse practitioners where care of a patient </w:t>
            </w:r>
            <w:proofErr w:type="gramStart"/>
            <w:r w:rsidRPr="00024895">
              <w:rPr>
                <w:rFonts w:ascii="Arial Narrow" w:hAnsi="Arial Narrow" w:cs="Arial"/>
                <w:sz w:val="20"/>
                <w:szCs w:val="20"/>
              </w:rPr>
              <w:t>is shared</w:t>
            </w:r>
            <w:proofErr w:type="gramEnd"/>
            <w:r w:rsidRPr="00024895">
              <w:rPr>
                <w:rFonts w:ascii="Arial Narrow" w:hAnsi="Arial Narrow" w:cs="Arial"/>
                <w:sz w:val="20"/>
                <w:szCs w:val="20"/>
              </w:rPr>
              <w:t xml:space="preserve"> between a nurse practitioner and medical practitioner in a formalised arrangement with an agreed management plan. Further information </w:t>
            </w:r>
            <w:proofErr w:type="gramStart"/>
            <w:r w:rsidRPr="00024895">
              <w:rPr>
                <w:rFonts w:ascii="Arial Narrow" w:hAnsi="Arial Narrow" w:cs="Arial"/>
                <w:sz w:val="20"/>
                <w:szCs w:val="20"/>
              </w:rPr>
              <w:t>can be found</w:t>
            </w:r>
            <w:proofErr w:type="gramEnd"/>
            <w:r w:rsidRPr="00024895">
              <w:rPr>
                <w:rFonts w:ascii="Arial Narrow" w:hAnsi="Arial Narrow" w:cs="Arial"/>
                <w:sz w:val="20"/>
                <w:szCs w:val="20"/>
              </w:rPr>
              <w:t xml:space="preserve"> in the Explanatory Notes for Nurse Practitioners.</w:t>
            </w:r>
          </w:p>
        </w:tc>
      </w:tr>
    </w:tbl>
    <w:p w:rsidR="00826F6D" w:rsidRPr="00024895" w:rsidRDefault="00826F6D" w:rsidP="002D4543">
      <w:pPr>
        <w:rPr>
          <w:szCs w:val="22"/>
        </w:rPr>
      </w:pPr>
    </w:p>
    <w:p w:rsidR="005D2B51" w:rsidRPr="00024895" w:rsidRDefault="005D2B51" w:rsidP="002D4543">
      <w:pPr>
        <w:rPr>
          <w:szCs w:val="22"/>
        </w:rPr>
      </w:pPr>
    </w:p>
    <w:tbl>
      <w:tblPr>
        <w:tblW w:w="4915" w:type="pct"/>
        <w:tblLook w:val="0000" w:firstRow="0" w:lastRow="0" w:firstColumn="0" w:lastColumn="0" w:noHBand="0" w:noVBand="0"/>
      </w:tblPr>
      <w:tblGrid>
        <w:gridCol w:w="3228"/>
        <w:gridCol w:w="713"/>
        <w:gridCol w:w="861"/>
        <w:gridCol w:w="1583"/>
        <w:gridCol w:w="2488"/>
      </w:tblGrid>
      <w:tr w:rsidR="00DF4E5D" w:rsidRPr="00024895" w:rsidTr="00145A57">
        <w:trPr>
          <w:cantSplit/>
          <w:trHeight w:val="465"/>
        </w:trPr>
        <w:tc>
          <w:tcPr>
            <w:tcW w:w="1819" w:type="pct"/>
            <w:tcBorders>
              <w:bottom w:val="single" w:sz="4" w:space="0" w:color="auto"/>
            </w:tcBorders>
          </w:tcPr>
          <w:p w:rsidR="00DF4E5D" w:rsidRPr="00024895" w:rsidRDefault="00DF4E5D" w:rsidP="005769FA">
            <w:pPr>
              <w:keepNext/>
              <w:spacing w:before="40" w:after="40"/>
              <w:jc w:val="both"/>
              <w:rPr>
                <w:rFonts w:ascii="Arial Narrow" w:hAnsi="Arial Narrow" w:cs="Arial"/>
                <w:b/>
                <w:sz w:val="20"/>
                <w:szCs w:val="20"/>
              </w:rPr>
            </w:pPr>
            <w:r w:rsidRPr="00024895">
              <w:rPr>
                <w:rFonts w:ascii="Arial Narrow" w:hAnsi="Arial Narrow" w:cs="Arial"/>
                <w:b/>
                <w:sz w:val="20"/>
                <w:szCs w:val="20"/>
              </w:rPr>
              <w:t>Name, Restriction,</w:t>
            </w:r>
          </w:p>
          <w:p w:rsidR="00DF4E5D" w:rsidRPr="00024895" w:rsidRDefault="00DF4E5D" w:rsidP="005769FA">
            <w:pPr>
              <w:keepNext/>
              <w:spacing w:before="40" w:after="40"/>
              <w:jc w:val="both"/>
              <w:rPr>
                <w:rFonts w:ascii="Arial Narrow" w:hAnsi="Arial Narrow" w:cs="Arial"/>
                <w:b/>
                <w:sz w:val="20"/>
                <w:szCs w:val="20"/>
              </w:rPr>
            </w:pPr>
            <w:r w:rsidRPr="00024895">
              <w:rPr>
                <w:rFonts w:ascii="Arial Narrow" w:hAnsi="Arial Narrow" w:cs="Arial"/>
                <w:b/>
                <w:sz w:val="20"/>
                <w:szCs w:val="20"/>
              </w:rPr>
              <w:t>Manner of administration and form</w:t>
            </w:r>
          </w:p>
        </w:tc>
        <w:tc>
          <w:tcPr>
            <w:tcW w:w="402" w:type="pct"/>
            <w:tcBorders>
              <w:bottom w:val="single" w:sz="4" w:space="0" w:color="auto"/>
            </w:tcBorders>
          </w:tcPr>
          <w:p w:rsidR="00DF4E5D" w:rsidRPr="00024895" w:rsidRDefault="00DF4E5D" w:rsidP="005769FA">
            <w:pPr>
              <w:keepNext/>
              <w:spacing w:before="40" w:after="40"/>
              <w:jc w:val="both"/>
              <w:rPr>
                <w:rFonts w:ascii="Arial Narrow" w:hAnsi="Arial Narrow" w:cs="Arial"/>
                <w:b/>
                <w:sz w:val="20"/>
                <w:szCs w:val="20"/>
              </w:rPr>
            </w:pPr>
            <w:r w:rsidRPr="00024895">
              <w:rPr>
                <w:rFonts w:ascii="Arial Narrow" w:hAnsi="Arial Narrow" w:cs="Arial"/>
                <w:b/>
                <w:sz w:val="20"/>
                <w:szCs w:val="20"/>
              </w:rPr>
              <w:t>Max.</w:t>
            </w:r>
          </w:p>
          <w:p w:rsidR="00DF4E5D" w:rsidRPr="00024895" w:rsidRDefault="00DF4E5D" w:rsidP="005769FA">
            <w:pPr>
              <w:keepNext/>
              <w:spacing w:before="40" w:after="40"/>
              <w:jc w:val="both"/>
              <w:rPr>
                <w:rFonts w:ascii="Arial Narrow" w:hAnsi="Arial Narrow" w:cs="Arial"/>
                <w:b/>
                <w:sz w:val="20"/>
                <w:szCs w:val="20"/>
              </w:rPr>
            </w:pPr>
            <w:proofErr w:type="spellStart"/>
            <w:r w:rsidRPr="00024895">
              <w:rPr>
                <w:rFonts w:ascii="Arial Narrow" w:hAnsi="Arial Narrow" w:cs="Arial"/>
                <w:b/>
                <w:sz w:val="20"/>
                <w:szCs w:val="20"/>
              </w:rPr>
              <w:t>Qty</w:t>
            </w:r>
            <w:proofErr w:type="spellEnd"/>
          </w:p>
        </w:tc>
        <w:tc>
          <w:tcPr>
            <w:tcW w:w="485" w:type="pct"/>
            <w:tcBorders>
              <w:bottom w:val="single" w:sz="4" w:space="0" w:color="auto"/>
            </w:tcBorders>
          </w:tcPr>
          <w:p w:rsidR="00DF4E5D" w:rsidRPr="00024895" w:rsidRDefault="00DF4E5D" w:rsidP="005769FA">
            <w:pPr>
              <w:keepNext/>
              <w:spacing w:before="40" w:after="40"/>
              <w:jc w:val="both"/>
              <w:rPr>
                <w:rFonts w:ascii="Arial Narrow" w:hAnsi="Arial Narrow" w:cs="Arial"/>
                <w:b/>
                <w:sz w:val="20"/>
                <w:szCs w:val="20"/>
              </w:rPr>
            </w:pPr>
            <w:r w:rsidRPr="00024895">
              <w:rPr>
                <w:rFonts w:ascii="Arial Narrow" w:hAnsi="Arial Narrow" w:cs="Arial"/>
                <w:b/>
                <w:sz w:val="20"/>
                <w:szCs w:val="20"/>
              </w:rPr>
              <w:t>№.of</w:t>
            </w:r>
          </w:p>
          <w:p w:rsidR="00DF4E5D" w:rsidRPr="00024895" w:rsidRDefault="00DF4E5D" w:rsidP="005769FA">
            <w:pPr>
              <w:keepNext/>
              <w:spacing w:before="40" w:after="40"/>
              <w:jc w:val="both"/>
              <w:rPr>
                <w:rFonts w:ascii="Arial Narrow" w:hAnsi="Arial Narrow" w:cs="Arial"/>
                <w:b/>
                <w:sz w:val="20"/>
                <w:szCs w:val="20"/>
              </w:rPr>
            </w:pPr>
            <w:proofErr w:type="spellStart"/>
            <w:r w:rsidRPr="00024895">
              <w:rPr>
                <w:rFonts w:ascii="Arial Narrow" w:hAnsi="Arial Narrow" w:cs="Arial"/>
                <w:b/>
                <w:sz w:val="20"/>
                <w:szCs w:val="20"/>
              </w:rPr>
              <w:t>Rpts</w:t>
            </w:r>
            <w:proofErr w:type="spellEnd"/>
          </w:p>
        </w:tc>
        <w:tc>
          <w:tcPr>
            <w:tcW w:w="892" w:type="pct"/>
            <w:tcBorders>
              <w:bottom w:val="single" w:sz="4" w:space="0" w:color="auto"/>
            </w:tcBorders>
          </w:tcPr>
          <w:p w:rsidR="00DF4E5D" w:rsidRPr="00024895" w:rsidRDefault="00DF4E5D" w:rsidP="005769FA">
            <w:pPr>
              <w:keepNext/>
              <w:spacing w:before="40" w:after="40"/>
              <w:jc w:val="both"/>
              <w:rPr>
                <w:rFonts w:ascii="Arial Narrow" w:hAnsi="Arial Narrow" w:cs="Arial"/>
                <w:b/>
                <w:sz w:val="20"/>
                <w:szCs w:val="20"/>
              </w:rPr>
            </w:pPr>
            <w:r w:rsidRPr="00024895">
              <w:rPr>
                <w:rFonts w:ascii="Arial Narrow" w:hAnsi="Arial Narrow" w:cs="Arial"/>
                <w:b/>
                <w:sz w:val="20"/>
                <w:szCs w:val="20"/>
              </w:rPr>
              <w:t xml:space="preserve">Dispensed Price for Max. </w:t>
            </w:r>
            <w:proofErr w:type="spellStart"/>
            <w:r w:rsidRPr="00024895">
              <w:rPr>
                <w:rFonts w:ascii="Arial Narrow" w:hAnsi="Arial Narrow" w:cs="Arial"/>
                <w:b/>
                <w:sz w:val="20"/>
                <w:szCs w:val="20"/>
              </w:rPr>
              <w:t>Qty</w:t>
            </w:r>
            <w:proofErr w:type="spellEnd"/>
          </w:p>
        </w:tc>
        <w:tc>
          <w:tcPr>
            <w:tcW w:w="1402" w:type="pct"/>
            <w:tcBorders>
              <w:bottom w:val="single" w:sz="4" w:space="0" w:color="auto"/>
            </w:tcBorders>
          </w:tcPr>
          <w:p w:rsidR="00DF4E5D" w:rsidRPr="0089214F" w:rsidRDefault="00DF4E5D" w:rsidP="005769FA">
            <w:pPr>
              <w:keepNext/>
              <w:spacing w:before="40" w:after="40"/>
              <w:jc w:val="both"/>
              <w:rPr>
                <w:rFonts w:ascii="Arial Narrow" w:hAnsi="Arial Narrow" w:cs="Arial"/>
                <w:b/>
                <w:sz w:val="20"/>
                <w:szCs w:val="20"/>
              </w:rPr>
            </w:pPr>
            <w:r w:rsidRPr="00024895">
              <w:rPr>
                <w:rFonts w:ascii="Arial Narrow" w:hAnsi="Arial Narrow" w:cs="Arial"/>
                <w:b/>
                <w:sz w:val="20"/>
                <w:szCs w:val="20"/>
              </w:rPr>
              <w:t>Proprietary Name and Manufacturer</w:t>
            </w:r>
          </w:p>
        </w:tc>
      </w:tr>
      <w:tr w:rsidR="00F5400A" w:rsidRPr="00024895" w:rsidTr="00145A57">
        <w:trPr>
          <w:cantSplit/>
          <w:trHeight w:val="567"/>
        </w:trPr>
        <w:tc>
          <w:tcPr>
            <w:tcW w:w="1819" w:type="pct"/>
            <w:vMerge w:val="restart"/>
          </w:tcPr>
          <w:p w:rsidR="00F5400A" w:rsidRPr="00024895" w:rsidRDefault="00F5400A" w:rsidP="005769FA">
            <w:pPr>
              <w:keepNext/>
              <w:spacing w:before="40" w:after="40"/>
              <w:jc w:val="both"/>
              <w:rPr>
                <w:rFonts w:ascii="Arial Narrow" w:hAnsi="Arial Narrow" w:cs="Arial"/>
                <w:sz w:val="20"/>
                <w:szCs w:val="20"/>
              </w:rPr>
            </w:pPr>
            <w:r w:rsidRPr="00024895">
              <w:rPr>
                <w:rFonts w:ascii="Arial Narrow" w:hAnsi="Arial Narrow" w:cs="Arial"/>
                <w:smallCaps/>
                <w:sz w:val="20"/>
                <w:szCs w:val="20"/>
              </w:rPr>
              <w:t>SEVELAMER</w:t>
            </w:r>
          </w:p>
          <w:p w:rsidR="00F5400A" w:rsidRPr="00024895" w:rsidRDefault="00F5400A" w:rsidP="00DF4E5D">
            <w:pPr>
              <w:keepNext/>
              <w:spacing w:before="40" w:after="40"/>
              <w:jc w:val="both"/>
              <w:rPr>
                <w:rFonts w:ascii="Arial Narrow" w:hAnsi="Arial Narrow" w:cs="Arial"/>
                <w:sz w:val="20"/>
                <w:szCs w:val="20"/>
              </w:rPr>
            </w:pPr>
            <w:proofErr w:type="spellStart"/>
            <w:r w:rsidRPr="00024895">
              <w:rPr>
                <w:rFonts w:ascii="Arial Narrow" w:hAnsi="Arial Narrow" w:cs="Arial"/>
                <w:sz w:val="20"/>
                <w:szCs w:val="20"/>
              </w:rPr>
              <w:t>Sevelamer</w:t>
            </w:r>
            <w:proofErr w:type="spellEnd"/>
            <w:r w:rsidRPr="00024895">
              <w:rPr>
                <w:rFonts w:ascii="Arial Narrow" w:hAnsi="Arial Narrow" w:cs="Arial"/>
                <w:sz w:val="20"/>
                <w:szCs w:val="20"/>
              </w:rPr>
              <w:t xml:space="preserve"> carbonate, tablet 800, mg, 180  </w:t>
            </w:r>
          </w:p>
        </w:tc>
        <w:tc>
          <w:tcPr>
            <w:tcW w:w="402" w:type="pct"/>
          </w:tcPr>
          <w:p w:rsidR="00F5400A" w:rsidRPr="00024895" w:rsidRDefault="00F5400A" w:rsidP="005769FA">
            <w:pPr>
              <w:keepNext/>
              <w:spacing w:before="40" w:after="40"/>
              <w:jc w:val="both"/>
              <w:rPr>
                <w:rFonts w:ascii="Arial Narrow" w:hAnsi="Arial Narrow" w:cs="Arial"/>
                <w:sz w:val="20"/>
                <w:szCs w:val="20"/>
              </w:rPr>
            </w:pPr>
          </w:p>
          <w:p w:rsidR="00F5400A" w:rsidRPr="00024895" w:rsidRDefault="00F5400A" w:rsidP="005769FA">
            <w:pPr>
              <w:keepNext/>
              <w:spacing w:before="40" w:after="40"/>
              <w:jc w:val="both"/>
              <w:rPr>
                <w:rFonts w:ascii="Arial Narrow" w:hAnsi="Arial Narrow" w:cs="Arial"/>
                <w:sz w:val="20"/>
                <w:szCs w:val="20"/>
              </w:rPr>
            </w:pPr>
            <w:r w:rsidRPr="00024895">
              <w:rPr>
                <w:rFonts w:ascii="Arial Narrow" w:hAnsi="Arial Narrow" w:cs="Arial"/>
                <w:sz w:val="20"/>
                <w:szCs w:val="20"/>
              </w:rPr>
              <w:t>2</w:t>
            </w:r>
          </w:p>
        </w:tc>
        <w:tc>
          <w:tcPr>
            <w:tcW w:w="485" w:type="pct"/>
          </w:tcPr>
          <w:p w:rsidR="00F5400A" w:rsidRPr="00024895" w:rsidRDefault="00F5400A" w:rsidP="005769FA">
            <w:pPr>
              <w:keepNext/>
              <w:spacing w:before="40" w:after="40"/>
              <w:jc w:val="both"/>
              <w:rPr>
                <w:rFonts w:ascii="Arial Narrow" w:hAnsi="Arial Narrow" w:cs="Arial"/>
                <w:sz w:val="20"/>
                <w:szCs w:val="20"/>
              </w:rPr>
            </w:pPr>
          </w:p>
          <w:p w:rsidR="00F5400A" w:rsidRPr="00024895" w:rsidRDefault="00F5400A" w:rsidP="005769FA">
            <w:pPr>
              <w:keepNext/>
              <w:spacing w:before="40" w:after="40"/>
              <w:jc w:val="both"/>
              <w:rPr>
                <w:rFonts w:ascii="Arial Narrow" w:hAnsi="Arial Narrow" w:cs="Arial"/>
                <w:sz w:val="20"/>
                <w:szCs w:val="20"/>
              </w:rPr>
            </w:pPr>
            <w:r w:rsidRPr="00024895">
              <w:rPr>
                <w:rFonts w:ascii="Arial Narrow" w:hAnsi="Arial Narrow" w:cs="Arial"/>
                <w:sz w:val="20"/>
                <w:szCs w:val="20"/>
              </w:rPr>
              <w:t>5</w:t>
            </w:r>
          </w:p>
        </w:tc>
        <w:tc>
          <w:tcPr>
            <w:tcW w:w="892" w:type="pct"/>
          </w:tcPr>
          <w:p w:rsidR="00F5400A" w:rsidRPr="00024895" w:rsidRDefault="00F5400A" w:rsidP="005769FA">
            <w:pPr>
              <w:keepNext/>
              <w:spacing w:before="40" w:after="40"/>
              <w:jc w:val="both"/>
              <w:rPr>
                <w:rFonts w:ascii="Arial Narrow" w:hAnsi="Arial Narrow" w:cs="Arial"/>
                <w:sz w:val="20"/>
                <w:szCs w:val="20"/>
              </w:rPr>
            </w:pPr>
          </w:p>
          <w:p w:rsidR="00F5400A" w:rsidRPr="00024895" w:rsidRDefault="00F5400A" w:rsidP="00145A57">
            <w:pPr>
              <w:keepNext/>
              <w:spacing w:before="40" w:after="40"/>
              <w:jc w:val="both"/>
              <w:rPr>
                <w:rFonts w:ascii="Arial Narrow" w:hAnsi="Arial Narrow" w:cs="Arial"/>
                <w:sz w:val="20"/>
                <w:szCs w:val="20"/>
              </w:rPr>
            </w:pPr>
            <w:r w:rsidRPr="00024895">
              <w:rPr>
                <w:rFonts w:ascii="Arial Narrow" w:hAnsi="Arial Narrow" w:cs="Arial"/>
                <w:sz w:val="20"/>
                <w:szCs w:val="20"/>
              </w:rPr>
              <w:t>$530.10 (HSD Public)</w:t>
            </w:r>
          </w:p>
        </w:tc>
        <w:tc>
          <w:tcPr>
            <w:tcW w:w="1402" w:type="pct"/>
            <w:vMerge w:val="restart"/>
          </w:tcPr>
          <w:p w:rsidR="00F5400A" w:rsidRPr="00024895" w:rsidRDefault="00F5400A" w:rsidP="005769FA">
            <w:pPr>
              <w:keepNext/>
              <w:spacing w:before="40" w:after="40"/>
              <w:jc w:val="both"/>
              <w:rPr>
                <w:rFonts w:ascii="Arial Narrow" w:hAnsi="Arial Narrow" w:cs="Arial"/>
                <w:sz w:val="20"/>
                <w:szCs w:val="20"/>
              </w:rPr>
            </w:pPr>
          </w:p>
          <w:p w:rsidR="00F5400A" w:rsidRPr="00024895" w:rsidRDefault="00F5400A" w:rsidP="005769FA">
            <w:pPr>
              <w:keepNext/>
              <w:spacing w:before="40" w:after="40"/>
              <w:jc w:val="both"/>
              <w:rPr>
                <w:rFonts w:ascii="Arial Narrow" w:hAnsi="Arial Narrow" w:cs="Arial"/>
                <w:sz w:val="20"/>
                <w:szCs w:val="20"/>
              </w:rPr>
            </w:pPr>
            <w:proofErr w:type="spellStart"/>
            <w:r w:rsidRPr="00024895">
              <w:rPr>
                <w:rFonts w:ascii="Arial Narrow" w:hAnsi="Arial Narrow" w:cs="Arial"/>
                <w:sz w:val="20"/>
                <w:szCs w:val="20"/>
              </w:rPr>
              <w:t>Sevelamer</w:t>
            </w:r>
            <w:proofErr w:type="spellEnd"/>
            <w:r w:rsidRPr="00024895">
              <w:rPr>
                <w:rFonts w:ascii="Arial Narrow" w:hAnsi="Arial Narrow" w:cs="Arial"/>
                <w:sz w:val="20"/>
                <w:szCs w:val="20"/>
              </w:rPr>
              <w:t xml:space="preserve"> Dr Reddy’s</w:t>
            </w:r>
          </w:p>
          <w:p w:rsidR="00F5400A" w:rsidRPr="00024895" w:rsidRDefault="00F5400A" w:rsidP="005769FA">
            <w:pPr>
              <w:keepNext/>
              <w:spacing w:before="40" w:after="40"/>
              <w:jc w:val="both"/>
              <w:rPr>
                <w:rFonts w:ascii="Arial Narrow" w:hAnsi="Arial Narrow" w:cs="Arial"/>
                <w:sz w:val="20"/>
                <w:szCs w:val="20"/>
              </w:rPr>
            </w:pPr>
          </w:p>
          <w:p w:rsidR="00F5400A" w:rsidRPr="00024895" w:rsidRDefault="00F5400A" w:rsidP="005769FA">
            <w:pPr>
              <w:keepNext/>
              <w:spacing w:before="40" w:after="40"/>
              <w:jc w:val="both"/>
              <w:rPr>
                <w:rFonts w:ascii="Arial Narrow" w:hAnsi="Arial Narrow" w:cs="Arial"/>
                <w:sz w:val="20"/>
                <w:szCs w:val="20"/>
              </w:rPr>
            </w:pPr>
            <w:r w:rsidRPr="00024895">
              <w:rPr>
                <w:rFonts w:ascii="Arial Narrow" w:hAnsi="Arial Narrow" w:cs="Arial"/>
                <w:sz w:val="20"/>
                <w:szCs w:val="20"/>
              </w:rPr>
              <w:t>Dr Reddy’s Laboratories Australia Pty Ltd</w:t>
            </w:r>
          </w:p>
        </w:tc>
      </w:tr>
      <w:tr w:rsidR="00F5400A" w:rsidRPr="00024895" w:rsidTr="007A40B9">
        <w:trPr>
          <w:cantSplit/>
          <w:trHeight w:val="567"/>
        </w:trPr>
        <w:tc>
          <w:tcPr>
            <w:tcW w:w="1819" w:type="pct"/>
            <w:vMerge/>
            <w:tcBorders>
              <w:bottom w:val="single" w:sz="4" w:space="0" w:color="auto"/>
            </w:tcBorders>
          </w:tcPr>
          <w:p w:rsidR="00F5400A" w:rsidRPr="00024895" w:rsidRDefault="00F5400A" w:rsidP="00145A57">
            <w:pPr>
              <w:keepNext/>
              <w:spacing w:before="40" w:after="40"/>
              <w:jc w:val="both"/>
              <w:rPr>
                <w:rFonts w:ascii="Arial Narrow" w:hAnsi="Arial Narrow" w:cs="Arial"/>
                <w:smallCaps/>
                <w:sz w:val="20"/>
                <w:szCs w:val="20"/>
              </w:rPr>
            </w:pPr>
          </w:p>
        </w:tc>
        <w:tc>
          <w:tcPr>
            <w:tcW w:w="402" w:type="pct"/>
            <w:tcBorders>
              <w:bottom w:val="single" w:sz="4" w:space="0" w:color="auto"/>
            </w:tcBorders>
          </w:tcPr>
          <w:p w:rsidR="00F5400A" w:rsidRPr="00024895" w:rsidRDefault="00F5400A" w:rsidP="005769FA">
            <w:pPr>
              <w:keepNext/>
              <w:spacing w:before="40" w:after="40"/>
              <w:jc w:val="both"/>
              <w:rPr>
                <w:rFonts w:ascii="Arial Narrow" w:hAnsi="Arial Narrow" w:cs="Arial"/>
                <w:sz w:val="20"/>
                <w:szCs w:val="20"/>
              </w:rPr>
            </w:pPr>
          </w:p>
        </w:tc>
        <w:tc>
          <w:tcPr>
            <w:tcW w:w="485" w:type="pct"/>
            <w:tcBorders>
              <w:bottom w:val="single" w:sz="4" w:space="0" w:color="auto"/>
            </w:tcBorders>
          </w:tcPr>
          <w:p w:rsidR="00F5400A" w:rsidRPr="00024895" w:rsidRDefault="00F5400A" w:rsidP="005769FA">
            <w:pPr>
              <w:keepNext/>
              <w:spacing w:before="40" w:after="40"/>
              <w:jc w:val="both"/>
              <w:rPr>
                <w:rFonts w:ascii="Arial Narrow" w:hAnsi="Arial Narrow" w:cs="Arial"/>
                <w:sz w:val="20"/>
                <w:szCs w:val="20"/>
              </w:rPr>
            </w:pPr>
          </w:p>
        </w:tc>
        <w:tc>
          <w:tcPr>
            <w:tcW w:w="892" w:type="pct"/>
            <w:tcBorders>
              <w:bottom w:val="single" w:sz="4" w:space="0" w:color="auto"/>
            </w:tcBorders>
          </w:tcPr>
          <w:p w:rsidR="00F5400A" w:rsidRPr="00024895" w:rsidRDefault="00F5400A" w:rsidP="005769FA">
            <w:pPr>
              <w:keepNext/>
              <w:spacing w:before="40" w:after="40"/>
              <w:jc w:val="both"/>
              <w:rPr>
                <w:rFonts w:ascii="Arial Narrow" w:hAnsi="Arial Narrow" w:cs="Arial"/>
                <w:sz w:val="20"/>
                <w:szCs w:val="20"/>
              </w:rPr>
            </w:pPr>
            <w:r w:rsidRPr="00024895">
              <w:rPr>
                <w:rFonts w:ascii="Arial Narrow" w:hAnsi="Arial Narrow" w:cs="Arial"/>
                <w:sz w:val="20"/>
                <w:szCs w:val="20"/>
              </w:rPr>
              <w:t>$558.59 (HSD Private)</w:t>
            </w:r>
          </w:p>
        </w:tc>
        <w:tc>
          <w:tcPr>
            <w:tcW w:w="1402" w:type="pct"/>
            <w:vMerge/>
            <w:tcBorders>
              <w:bottom w:val="single" w:sz="4" w:space="0" w:color="auto"/>
            </w:tcBorders>
          </w:tcPr>
          <w:p w:rsidR="00F5400A" w:rsidRPr="00024895" w:rsidRDefault="00F5400A" w:rsidP="005769FA">
            <w:pPr>
              <w:keepNext/>
              <w:spacing w:before="40" w:after="40"/>
              <w:jc w:val="both"/>
              <w:rPr>
                <w:rFonts w:ascii="Arial Narrow" w:hAnsi="Arial Narrow" w:cs="Arial"/>
                <w:sz w:val="20"/>
                <w:szCs w:val="20"/>
              </w:rPr>
            </w:pPr>
          </w:p>
        </w:tc>
      </w:tr>
    </w:tbl>
    <w:p w:rsidR="00DF4E5D" w:rsidRPr="00024895" w:rsidRDefault="00DF4E5D" w:rsidP="002D4543">
      <w:pPr>
        <w:rPr>
          <w:szCs w:val="22"/>
        </w:rPr>
      </w:pPr>
    </w:p>
    <w:tbl>
      <w:tblPr>
        <w:tblW w:w="4915" w:type="pct"/>
        <w:tblLook w:val="0000" w:firstRow="0" w:lastRow="0" w:firstColumn="0" w:lastColumn="0" w:noHBand="0" w:noVBand="0"/>
      </w:tblPr>
      <w:tblGrid>
        <w:gridCol w:w="1895"/>
        <w:gridCol w:w="6968"/>
      </w:tblGrid>
      <w:tr w:rsidR="00DF4E5D" w:rsidRPr="00024895" w:rsidTr="0075361C">
        <w:trPr>
          <w:cantSplit/>
          <w:trHeight w:val="360"/>
        </w:trPr>
        <w:tc>
          <w:tcPr>
            <w:tcW w:w="1069" w:type="pct"/>
            <w:tcBorders>
              <w:top w:val="single" w:sz="4" w:space="0" w:color="auto"/>
              <w:left w:val="single" w:sz="4" w:space="0" w:color="auto"/>
              <w:bottom w:val="single" w:sz="4" w:space="0" w:color="auto"/>
              <w:right w:val="single" w:sz="4" w:space="0" w:color="auto"/>
            </w:tcBorders>
          </w:tcPr>
          <w:p w:rsidR="00DF4E5D" w:rsidRPr="00024895" w:rsidRDefault="00DF4E5D" w:rsidP="005769FA">
            <w:pPr>
              <w:spacing w:before="40" w:after="40"/>
              <w:jc w:val="both"/>
              <w:rPr>
                <w:rFonts w:ascii="Arial Narrow" w:hAnsi="Arial Narrow" w:cs="Arial"/>
                <w:b/>
                <w:sz w:val="20"/>
                <w:szCs w:val="20"/>
              </w:rPr>
            </w:pPr>
            <w:r w:rsidRPr="00024895">
              <w:rPr>
                <w:rFonts w:ascii="Arial Narrow" w:hAnsi="Arial Narrow" w:cs="Arial"/>
                <w:b/>
                <w:sz w:val="20"/>
                <w:szCs w:val="20"/>
              </w:rPr>
              <w:t xml:space="preserve">Category / </w:t>
            </w:r>
          </w:p>
          <w:p w:rsidR="00DF4E5D" w:rsidRPr="00024895" w:rsidRDefault="00DF4E5D" w:rsidP="005769FA">
            <w:pPr>
              <w:spacing w:before="40" w:after="40"/>
              <w:jc w:val="both"/>
              <w:rPr>
                <w:rFonts w:ascii="Arial Narrow" w:hAnsi="Arial Narrow" w:cs="Arial"/>
                <w:b/>
                <w:sz w:val="20"/>
                <w:szCs w:val="20"/>
              </w:rPr>
            </w:pPr>
            <w:r w:rsidRPr="00024895">
              <w:rPr>
                <w:rFonts w:ascii="Arial Narrow" w:hAnsi="Arial Narrow" w:cs="Arial"/>
                <w:b/>
                <w:sz w:val="20"/>
                <w:szCs w:val="20"/>
              </w:rPr>
              <w:t>Program</w:t>
            </w:r>
          </w:p>
        </w:tc>
        <w:tc>
          <w:tcPr>
            <w:tcW w:w="3931" w:type="pct"/>
            <w:tcBorders>
              <w:top w:val="single" w:sz="4" w:space="0" w:color="auto"/>
              <w:left w:val="single" w:sz="4" w:space="0" w:color="auto"/>
              <w:bottom w:val="single" w:sz="4" w:space="0" w:color="auto"/>
              <w:right w:val="single" w:sz="4" w:space="0" w:color="auto"/>
            </w:tcBorders>
          </w:tcPr>
          <w:p w:rsidR="00DF4E5D" w:rsidRPr="00024895" w:rsidRDefault="00DF4E5D" w:rsidP="005769FA">
            <w:pPr>
              <w:spacing w:before="40" w:after="40"/>
              <w:rPr>
                <w:rFonts w:ascii="Arial Narrow" w:hAnsi="Arial Narrow" w:cs="Arial"/>
                <w:sz w:val="20"/>
                <w:szCs w:val="20"/>
              </w:rPr>
            </w:pPr>
            <w:r w:rsidRPr="00024895">
              <w:rPr>
                <w:rFonts w:ascii="Arial Narrow" w:hAnsi="Arial Narrow" w:cs="Arial"/>
                <w:sz w:val="20"/>
                <w:szCs w:val="20"/>
              </w:rPr>
              <w:t>Section 100 – Highly Specialised Drugs Program</w:t>
            </w:r>
          </w:p>
          <w:p w:rsidR="00DF4E5D" w:rsidRPr="00024895" w:rsidRDefault="00C2741B" w:rsidP="005769FA">
            <w:pPr>
              <w:spacing w:before="40" w:after="40"/>
              <w:rPr>
                <w:rFonts w:ascii="Arial Narrow" w:hAnsi="Arial Narrow" w:cs="Arial"/>
                <w:sz w:val="20"/>
                <w:szCs w:val="20"/>
              </w:rPr>
            </w:pPr>
            <w:r w:rsidRPr="00024895">
              <w:rPr>
                <w:rFonts w:ascii="Arial Narrow" w:hAnsi="Arial Narrow" w:cs="Arial"/>
                <w:sz w:val="20"/>
                <w:szCs w:val="20"/>
              </w:rPr>
              <w:t>(</w:t>
            </w:r>
            <w:r w:rsidR="00DF4E5D" w:rsidRPr="00024895">
              <w:rPr>
                <w:rFonts w:ascii="Arial Narrow" w:hAnsi="Arial Narrow" w:cs="Arial"/>
                <w:sz w:val="20"/>
                <w:szCs w:val="20"/>
              </w:rPr>
              <w:t>Public and Private Hospitals</w:t>
            </w:r>
            <w:r w:rsidRPr="00024895">
              <w:rPr>
                <w:rFonts w:ascii="Arial Narrow" w:hAnsi="Arial Narrow" w:cs="Arial"/>
                <w:sz w:val="20"/>
                <w:szCs w:val="20"/>
              </w:rPr>
              <w:t>)</w:t>
            </w:r>
          </w:p>
        </w:tc>
      </w:tr>
      <w:tr w:rsidR="00DF4E5D" w:rsidRPr="00024895" w:rsidTr="0075361C">
        <w:trPr>
          <w:cantSplit/>
          <w:trHeight w:val="492"/>
        </w:trPr>
        <w:tc>
          <w:tcPr>
            <w:tcW w:w="1069" w:type="pct"/>
            <w:tcBorders>
              <w:top w:val="single" w:sz="4" w:space="0" w:color="auto"/>
              <w:left w:val="single" w:sz="4" w:space="0" w:color="auto"/>
              <w:bottom w:val="single" w:sz="4" w:space="0" w:color="auto"/>
              <w:right w:val="single" w:sz="4" w:space="0" w:color="auto"/>
            </w:tcBorders>
          </w:tcPr>
          <w:p w:rsidR="00DF4E5D" w:rsidRPr="00024895" w:rsidRDefault="00DF4E5D" w:rsidP="005769FA">
            <w:pPr>
              <w:spacing w:before="40" w:after="40"/>
              <w:jc w:val="both"/>
              <w:rPr>
                <w:rFonts w:ascii="Arial Narrow" w:hAnsi="Arial Narrow" w:cs="Arial"/>
                <w:b/>
                <w:sz w:val="20"/>
                <w:szCs w:val="20"/>
              </w:rPr>
            </w:pPr>
            <w:r w:rsidRPr="00024895">
              <w:rPr>
                <w:rFonts w:ascii="Arial Narrow" w:hAnsi="Arial Narrow" w:cs="Arial"/>
                <w:b/>
                <w:sz w:val="20"/>
                <w:szCs w:val="20"/>
              </w:rPr>
              <w:t>Prescriber type:</w:t>
            </w:r>
          </w:p>
        </w:tc>
        <w:tc>
          <w:tcPr>
            <w:tcW w:w="3931" w:type="pct"/>
            <w:tcBorders>
              <w:top w:val="single" w:sz="4" w:space="0" w:color="auto"/>
              <w:left w:val="single" w:sz="4" w:space="0" w:color="auto"/>
              <w:bottom w:val="single" w:sz="4" w:space="0" w:color="auto"/>
              <w:right w:val="single" w:sz="4" w:space="0" w:color="auto"/>
            </w:tcBorders>
          </w:tcPr>
          <w:p w:rsidR="00DF4E5D" w:rsidRPr="00024895" w:rsidRDefault="00DF4E5D" w:rsidP="005769FA">
            <w:pPr>
              <w:spacing w:before="40" w:after="40"/>
              <w:rPr>
                <w:rFonts w:ascii="Arial Narrow" w:hAnsi="Arial Narrow" w:cs="Arial"/>
                <w:sz w:val="20"/>
                <w:szCs w:val="20"/>
              </w:rPr>
            </w:pPr>
            <w:r w:rsidRPr="0089214F">
              <w:rPr>
                <w:rFonts w:ascii="Arial Narrow" w:hAnsi="Arial Narrow" w:cs="Arial"/>
                <w:sz w:val="20"/>
                <w:szCs w:val="20"/>
              </w:rPr>
              <w:fldChar w:fldCharType="begin">
                <w:ffData>
                  <w:name w:val=""/>
                  <w:enabled/>
                  <w:calcOnExit w:val="0"/>
                  <w:checkBox>
                    <w:sizeAuto/>
                    <w:default w:val="1"/>
                  </w:checkBox>
                </w:ffData>
              </w:fldChar>
            </w:r>
            <w:r w:rsidRPr="00024895">
              <w:rPr>
                <w:rFonts w:ascii="Arial Narrow" w:hAnsi="Arial Narrow" w:cs="Arial"/>
                <w:sz w:val="20"/>
                <w:szCs w:val="20"/>
              </w:rPr>
              <w:instrText xml:space="preserve"> FORMCHECKBOX </w:instrText>
            </w:r>
            <w:r w:rsidR="003C3CE5">
              <w:rPr>
                <w:rFonts w:ascii="Arial Narrow" w:hAnsi="Arial Narrow" w:cs="Arial"/>
                <w:sz w:val="20"/>
                <w:szCs w:val="20"/>
              </w:rPr>
            </w:r>
            <w:r w:rsidR="003C3CE5">
              <w:rPr>
                <w:rFonts w:ascii="Arial Narrow" w:hAnsi="Arial Narrow" w:cs="Arial"/>
                <w:sz w:val="20"/>
                <w:szCs w:val="20"/>
              </w:rPr>
              <w:fldChar w:fldCharType="separate"/>
            </w:r>
            <w:r w:rsidRPr="0089214F">
              <w:rPr>
                <w:rFonts w:ascii="Arial Narrow" w:hAnsi="Arial Narrow" w:cs="Arial"/>
                <w:sz w:val="20"/>
                <w:szCs w:val="20"/>
              </w:rPr>
              <w:fldChar w:fldCharType="end"/>
            </w:r>
            <w:r w:rsidRPr="00024895">
              <w:rPr>
                <w:rFonts w:ascii="Arial Narrow" w:hAnsi="Arial Narrow" w:cs="Arial"/>
                <w:sz w:val="20"/>
                <w:szCs w:val="20"/>
              </w:rPr>
              <w:t xml:space="preserve">Medical Practitioners  </w:t>
            </w:r>
            <w:r w:rsidRPr="0089214F">
              <w:rPr>
                <w:rFonts w:ascii="Arial Narrow" w:hAnsi="Arial Narrow" w:cs="Arial"/>
                <w:sz w:val="20"/>
                <w:szCs w:val="20"/>
              </w:rPr>
              <w:fldChar w:fldCharType="begin">
                <w:ffData>
                  <w:name w:val="Check3"/>
                  <w:enabled/>
                  <w:calcOnExit w:val="0"/>
                  <w:checkBox>
                    <w:sizeAuto/>
                    <w:default w:val="1"/>
                  </w:checkBox>
                </w:ffData>
              </w:fldChar>
            </w:r>
            <w:r w:rsidRPr="00024895">
              <w:rPr>
                <w:rFonts w:ascii="Arial Narrow" w:hAnsi="Arial Narrow" w:cs="Arial"/>
                <w:sz w:val="20"/>
                <w:szCs w:val="20"/>
              </w:rPr>
              <w:instrText xml:space="preserve"> FORMCHECKBOX </w:instrText>
            </w:r>
            <w:r w:rsidR="003C3CE5">
              <w:rPr>
                <w:rFonts w:ascii="Arial Narrow" w:hAnsi="Arial Narrow" w:cs="Arial"/>
                <w:sz w:val="20"/>
                <w:szCs w:val="20"/>
              </w:rPr>
            </w:r>
            <w:r w:rsidR="003C3CE5">
              <w:rPr>
                <w:rFonts w:ascii="Arial Narrow" w:hAnsi="Arial Narrow" w:cs="Arial"/>
                <w:sz w:val="20"/>
                <w:szCs w:val="20"/>
              </w:rPr>
              <w:fldChar w:fldCharType="separate"/>
            </w:r>
            <w:r w:rsidRPr="0089214F">
              <w:rPr>
                <w:rFonts w:ascii="Arial Narrow" w:hAnsi="Arial Narrow" w:cs="Arial"/>
                <w:sz w:val="20"/>
                <w:szCs w:val="20"/>
              </w:rPr>
              <w:fldChar w:fldCharType="end"/>
            </w:r>
            <w:r w:rsidRPr="00024895">
              <w:rPr>
                <w:rFonts w:ascii="Arial Narrow" w:hAnsi="Arial Narrow" w:cs="Arial"/>
                <w:sz w:val="20"/>
                <w:szCs w:val="20"/>
              </w:rPr>
              <w:t xml:space="preserve">Nurse practitioners  </w:t>
            </w:r>
          </w:p>
        </w:tc>
      </w:tr>
      <w:tr w:rsidR="00DF4E5D" w:rsidRPr="00024895" w:rsidTr="0075361C">
        <w:trPr>
          <w:cantSplit/>
          <w:trHeight w:val="360"/>
        </w:trPr>
        <w:tc>
          <w:tcPr>
            <w:tcW w:w="1069" w:type="pct"/>
            <w:tcBorders>
              <w:top w:val="single" w:sz="4" w:space="0" w:color="auto"/>
              <w:left w:val="single" w:sz="4" w:space="0" w:color="auto"/>
              <w:bottom w:val="single" w:sz="4" w:space="0" w:color="auto"/>
              <w:right w:val="single" w:sz="4" w:space="0" w:color="auto"/>
            </w:tcBorders>
          </w:tcPr>
          <w:p w:rsidR="00DF4E5D" w:rsidRPr="00024895" w:rsidRDefault="00DF4E5D" w:rsidP="005769FA">
            <w:pPr>
              <w:spacing w:before="40" w:after="40"/>
              <w:jc w:val="both"/>
              <w:rPr>
                <w:rFonts w:ascii="Arial Narrow" w:hAnsi="Arial Narrow" w:cs="Arial"/>
                <w:b/>
                <w:sz w:val="20"/>
                <w:szCs w:val="20"/>
              </w:rPr>
            </w:pPr>
            <w:r w:rsidRPr="00024895">
              <w:rPr>
                <w:rFonts w:ascii="Arial Narrow" w:hAnsi="Arial Narrow" w:cs="Arial"/>
                <w:b/>
                <w:sz w:val="20"/>
                <w:szCs w:val="20"/>
              </w:rPr>
              <w:t>PBS Indication:</w:t>
            </w:r>
          </w:p>
        </w:tc>
        <w:tc>
          <w:tcPr>
            <w:tcW w:w="3931" w:type="pct"/>
            <w:tcBorders>
              <w:top w:val="single" w:sz="4" w:space="0" w:color="auto"/>
              <w:left w:val="single" w:sz="4" w:space="0" w:color="auto"/>
              <w:bottom w:val="single" w:sz="4" w:space="0" w:color="auto"/>
              <w:right w:val="single" w:sz="4" w:space="0" w:color="auto"/>
            </w:tcBorders>
          </w:tcPr>
          <w:p w:rsidR="00DF4E5D" w:rsidRPr="00024895" w:rsidRDefault="00DF4E5D" w:rsidP="005769FA">
            <w:pPr>
              <w:spacing w:before="40" w:after="40"/>
              <w:rPr>
                <w:rFonts w:ascii="Arial Narrow" w:hAnsi="Arial Narrow" w:cs="Arial"/>
                <w:sz w:val="20"/>
                <w:szCs w:val="20"/>
              </w:rPr>
            </w:pPr>
            <w:proofErr w:type="spellStart"/>
            <w:r w:rsidRPr="00024895">
              <w:rPr>
                <w:rFonts w:ascii="Arial Narrow" w:hAnsi="Arial Narrow" w:cs="Arial"/>
                <w:sz w:val="20"/>
                <w:szCs w:val="20"/>
              </w:rPr>
              <w:t>Hyperphosphataemia</w:t>
            </w:r>
            <w:proofErr w:type="spellEnd"/>
          </w:p>
        </w:tc>
      </w:tr>
      <w:tr w:rsidR="00DF4E5D" w:rsidRPr="00024895" w:rsidTr="0075361C">
        <w:trPr>
          <w:cantSplit/>
          <w:trHeight w:val="360"/>
        </w:trPr>
        <w:tc>
          <w:tcPr>
            <w:tcW w:w="1069" w:type="pct"/>
            <w:tcBorders>
              <w:top w:val="single" w:sz="4" w:space="0" w:color="auto"/>
              <w:left w:val="single" w:sz="4" w:space="0" w:color="auto"/>
              <w:bottom w:val="single" w:sz="4" w:space="0" w:color="auto"/>
              <w:right w:val="single" w:sz="4" w:space="0" w:color="auto"/>
            </w:tcBorders>
          </w:tcPr>
          <w:p w:rsidR="00DF4E5D" w:rsidRPr="00024895" w:rsidRDefault="00DF4E5D" w:rsidP="005769FA">
            <w:pPr>
              <w:spacing w:before="40" w:after="40"/>
              <w:jc w:val="both"/>
              <w:rPr>
                <w:rFonts w:ascii="Arial Narrow" w:hAnsi="Arial Narrow" w:cs="Arial"/>
                <w:b/>
                <w:sz w:val="20"/>
                <w:szCs w:val="20"/>
              </w:rPr>
            </w:pPr>
            <w:r w:rsidRPr="00024895">
              <w:rPr>
                <w:rFonts w:ascii="Arial Narrow" w:hAnsi="Arial Narrow" w:cs="Arial"/>
                <w:b/>
                <w:sz w:val="20"/>
                <w:szCs w:val="20"/>
              </w:rPr>
              <w:t>Treatment phase:</w:t>
            </w:r>
          </w:p>
        </w:tc>
        <w:tc>
          <w:tcPr>
            <w:tcW w:w="3931" w:type="pct"/>
            <w:tcBorders>
              <w:top w:val="single" w:sz="4" w:space="0" w:color="auto"/>
              <w:left w:val="single" w:sz="4" w:space="0" w:color="auto"/>
              <w:bottom w:val="single" w:sz="4" w:space="0" w:color="auto"/>
              <w:right w:val="single" w:sz="4" w:space="0" w:color="auto"/>
            </w:tcBorders>
          </w:tcPr>
          <w:p w:rsidR="00DF4E5D" w:rsidRPr="00024895" w:rsidRDefault="00DF4E5D" w:rsidP="005769FA">
            <w:pPr>
              <w:spacing w:before="40" w:after="40"/>
              <w:rPr>
                <w:rFonts w:ascii="Arial Narrow" w:hAnsi="Arial Narrow" w:cs="Arial"/>
                <w:sz w:val="20"/>
                <w:szCs w:val="20"/>
              </w:rPr>
            </w:pPr>
            <w:r w:rsidRPr="00024895">
              <w:rPr>
                <w:rFonts w:ascii="Arial Narrow" w:hAnsi="Arial Narrow" w:cs="Arial"/>
                <w:sz w:val="20"/>
                <w:szCs w:val="20"/>
              </w:rPr>
              <w:t>Maintenance following initiation and stabilisation</w:t>
            </w:r>
          </w:p>
        </w:tc>
      </w:tr>
      <w:tr w:rsidR="00DF4E5D" w:rsidRPr="00024895" w:rsidTr="0075361C">
        <w:trPr>
          <w:cantSplit/>
          <w:trHeight w:val="360"/>
        </w:trPr>
        <w:tc>
          <w:tcPr>
            <w:tcW w:w="1069" w:type="pct"/>
            <w:tcBorders>
              <w:top w:val="single" w:sz="4" w:space="0" w:color="auto"/>
              <w:left w:val="single" w:sz="4" w:space="0" w:color="auto"/>
              <w:bottom w:val="single" w:sz="4" w:space="0" w:color="auto"/>
              <w:right w:val="single" w:sz="4" w:space="0" w:color="auto"/>
            </w:tcBorders>
          </w:tcPr>
          <w:p w:rsidR="00DF4E5D" w:rsidRPr="00024895" w:rsidRDefault="00DF4E5D" w:rsidP="005769FA">
            <w:pPr>
              <w:spacing w:before="40" w:after="40"/>
              <w:jc w:val="both"/>
              <w:rPr>
                <w:rFonts w:ascii="Arial Narrow" w:hAnsi="Arial Narrow" w:cs="Arial"/>
                <w:b/>
                <w:sz w:val="20"/>
                <w:szCs w:val="20"/>
              </w:rPr>
            </w:pPr>
            <w:r w:rsidRPr="00024895">
              <w:rPr>
                <w:rFonts w:ascii="Arial Narrow" w:hAnsi="Arial Narrow" w:cs="Arial"/>
                <w:b/>
                <w:sz w:val="20"/>
                <w:szCs w:val="20"/>
              </w:rPr>
              <w:t>Restriction Level / Method:</w:t>
            </w:r>
          </w:p>
          <w:p w:rsidR="00DF4E5D" w:rsidRPr="00024895" w:rsidRDefault="00DF4E5D" w:rsidP="005769FA">
            <w:pPr>
              <w:spacing w:before="40" w:after="40"/>
              <w:rPr>
                <w:rFonts w:ascii="Arial Narrow" w:hAnsi="Arial Narrow" w:cs="Arial"/>
                <w:sz w:val="20"/>
                <w:szCs w:val="20"/>
              </w:rPr>
            </w:pPr>
          </w:p>
        </w:tc>
        <w:tc>
          <w:tcPr>
            <w:tcW w:w="3931" w:type="pct"/>
            <w:tcBorders>
              <w:top w:val="single" w:sz="4" w:space="0" w:color="auto"/>
              <w:left w:val="single" w:sz="4" w:space="0" w:color="auto"/>
              <w:bottom w:val="single" w:sz="4" w:space="0" w:color="auto"/>
              <w:right w:val="single" w:sz="4" w:space="0" w:color="auto"/>
            </w:tcBorders>
          </w:tcPr>
          <w:p w:rsidR="00DF4E5D" w:rsidRPr="00024895" w:rsidRDefault="00AF0B74" w:rsidP="005769FA">
            <w:pPr>
              <w:spacing w:before="40" w:after="40"/>
              <w:rPr>
                <w:rFonts w:ascii="Arial Narrow" w:hAnsi="Arial Narrow" w:cs="Arial"/>
                <w:sz w:val="20"/>
                <w:szCs w:val="20"/>
              </w:rPr>
            </w:pPr>
            <w:r w:rsidRPr="0089214F">
              <w:rPr>
                <w:rFonts w:ascii="Arial Narrow" w:hAnsi="Arial Narrow" w:cs="Arial"/>
                <w:sz w:val="20"/>
                <w:szCs w:val="20"/>
              </w:rPr>
              <w:fldChar w:fldCharType="begin">
                <w:ffData>
                  <w:name w:val=""/>
                  <w:enabled/>
                  <w:calcOnExit w:val="0"/>
                  <w:checkBox>
                    <w:sizeAuto/>
                    <w:default w:val="1"/>
                  </w:checkBox>
                </w:ffData>
              </w:fldChar>
            </w:r>
            <w:r w:rsidRPr="00024895">
              <w:rPr>
                <w:rFonts w:ascii="Arial Narrow" w:hAnsi="Arial Narrow" w:cs="Arial"/>
                <w:sz w:val="20"/>
                <w:szCs w:val="20"/>
              </w:rPr>
              <w:instrText xml:space="preserve"> FORMCHECKBOX </w:instrText>
            </w:r>
            <w:r w:rsidR="003C3CE5">
              <w:rPr>
                <w:rFonts w:ascii="Arial Narrow" w:hAnsi="Arial Narrow" w:cs="Arial"/>
                <w:sz w:val="20"/>
                <w:szCs w:val="20"/>
              </w:rPr>
            </w:r>
            <w:r w:rsidR="003C3CE5">
              <w:rPr>
                <w:rFonts w:ascii="Arial Narrow" w:hAnsi="Arial Narrow" w:cs="Arial"/>
                <w:sz w:val="20"/>
                <w:szCs w:val="20"/>
              </w:rPr>
              <w:fldChar w:fldCharType="separate"/>
            </w:r>
            <w:r w:rsidRPr="0089214F">
              <w:rPr>
                <w:rFonts w:ascii="Arial Narrow" w:hAnsi="Arial Narrow" w:cs="Arial"/>
                <w:sz w:val="20"/>
                <w:szCs w:val="20"/>
              </w:rPr>
              <w:fldChar w:fldCharType="end"/>
            </w:r>
            <w:r w:rsidR="00DF4E5D" w:rsidRPr="00024895">
              <w:rPr>
                <w:rFonts w:ascii="Arial Narrow" w:hAnsi="Arial Narrow" w:cs="Arial"/>
                <w:sz w:val="20"/>
                <w:szCs w:val="20"/>
              </w:rPr>
              <w:t>Authority Required – Telephone (Private Hospitals</w:t>
            </w:r>
            <w:r w:rsidR="00C2741B" w:rsidRPr="00024895">
              <w:rPr>
                <w:rFonts w:ascii="Arial Narrow" w:hAnsi="Arial Narrow" w:cs="Arial"/>
                <w:sz w:val="20"/>
                <w:szCs w:val="20"/>
              </w:rPr>
              <w:t>)</w:t>
            </w:r>
          </w:p>
          <w:p w:rsidR="00DF4E5D" w:rsidRPr="00024895" w:rsidRDefault="00DF4E5D" w:rsidP="005769FA">
            <w:pPr>
              <w:spacing w:before="40" w:after="40"/>
              <w:rPr>
                <w:rFonts w:ascii="Arial Narrow" w:hAnsi="Arial Narrow" w:cs="Arial"/>
                <w:sz w:val="20"/>
                <w:szCs w:val="20"/>
              </w:rPr>
            </w:pPr>
            <w:r w:rsidRPr="0089214F">
              <w:rPr>
                <w:rFonts w:ascii="Arial Narrow" w:hAnsi="Arial Narrow" w:cs="Arial"/>
                <w:sz w:val="20"/>
                <w:szCs w:val="20"/>
              </w:rPr>
              <w:fldChar w:fldCharType="begin">
                <w:ffData>
                  <w:name w:val="Check5"/>
                  <w:enabled/>
                  <w:calcOnExit w:val="0"/>
                  <w:checkBox>
                    <w:sizeAuto/>
                    <w:default w:val="1"/>
                  </w:checkBox>
                </w:ffData>
              </w:fldChar>
            </w:r>
            <w:r w:rsidRPr="00024895">
              <w:rPr>
                <w:rFonts w:ascii="Arial Narrow" w:hAnsi="Arial Narrow" w:cs="Arial"/>
                <w:sz w:val="20"/>
                <w:szCs w:val="20"/>
              </w:rPr>
              <w:instrText xml:space="preserve"> FORMCHECKBOX </w:instrText>
            </w:r>
            <w:r w:rsidR="003C3CE5">
              <w:rPr>
                <w:rFonts w:ascii="Arial Narrow" w:hAnsi="Arial Narrow" w:cs="Arial"/>
                <w:sz w:val="20"/>
                <w:szCs w:val="20"/>
              </w:rPr>
            </w:r>
            <w:r w:rsidR="003C3CE5">
              <w:rPr>
                <w:rFonts w:ascii="Arial Narrow" w:hAnsi="Arial Narrow" w:cs="Arial"/>
                <w:sz w:val="20"/>
                <w:szCs w:val="20"/>
              </w:rPr>
              <w:fldChar w:fldCharType="separate"/>
            </w:r>
            <w:r w:rsidRPr="0089214F">
              <w:rPr>
                <w:rFonts w:ascii="Arial Narrow" w:hAnsi="Arial Narrow" w:cs="Arial"/>
                <w:sz w:val="20"/>
                <w:szCs w:val="20"/>
              </w:rPr>
              <w:fldChar w:fldCharType="end"/>
            </w:r>
            <w:r w:rsidRPr="00024895">
              <w:rPr>
                <w:rFonts w:ascii="Arial Narrow" w:hAnsi="Arial Narrow" w:cs="Arial"/>
                <w:sz w:val="20"/>
                <w:szCs w:val="20"/>
              </w:rPr>
              <w:t>Streamlined (Public Hospitals)</w:t>
            </w:r>
          </w:p>
        </w:tc>
      </w:tr>
      <w:tr w:rsidR="00DF4E5D" w:rsidRPr="00024895" w:rsidTr="0075361C">
        <w:trPr>
          <w:cantSplit/>
          <w:trHeight w:val="360"/>
        </w:trPr>
        <w:tc>
          <w:tcPr>
            <w:tcW w:w="1069" w:type="pct"/>
            <w:tcBorders>
              <w:top w:val="single" w:sz="4" w:space="0" w:color="auto"/>
              <w:left w:val="single" w:sz="4" w:space="0" w:color="auto"/>
              <w:bottom w:val="single" w:sz="4" w:space="0" w:color="auto"/>
              <w:right w:val="single" w:sz="4" w:space="0" w:color="auto"/>
            </w:tcBorders>
          </w:tcPr>
          <w:p w:rsidR="00DF4E5D" w:rsidRPr="00024895" w:rsidRDefault="00DF4E5D" w:rsidP="005769FA">
            <w:pPr>
              <w:spacing w:before="40" w:after="40"/>
              <w:rPr>
                <w:rFonts w:ascii="Arial Narrow" w:hAnsi="Arial Narrow" w:cs="Arial"/>
                <w:b/>
                <w:sz w:val="20"/>
                <w:szCs w:val="20"/>
              </w:rPr>
            </w:pPr>
            <w:r w:rsidRPr="00024895">
              <w:rPr>
                <w:rFonts w:ascii="Arial Narrow" w:hAnsi="Arial Narrow" w:cs="Arial"/>
                <w:b/>
                <w:sz w:val="20"/>
                <w:szCs w:val="20"/>
              </w:rPr>
              <w:t>Treatment criteria:</w:t>
            </w:r>
          </w:p>
          <w:p w:rsidR="00DF4E5D" w:rsidRPr="00024895" w:rsidRDefault="00DF4E5D" w:rsidP="005769FA">
            <w:pPr>
              <w:spacing w:before="40" w:after="40"/>
              <w:rPr>
                <w:rFonts w:ascii="Arial Narrow" w:hAnsi="Arial Narrow" w:cs="Arial"/>
                <w:sz w:val="20"/>
                <w:szCs w:val="20"/>
              </w:rPr>
            </w:pPr>
          </w:p>
        </w:tc>
        <w:tc>
          <w:tcPr>
            <w:tcW w:w="3931" w:type="pct"/>
            <w:tcBorders>
              <w:top w:val="single" w:sz="4" w:space="0" w:color="auto"/>
              <w:left w:val="single" w:sz="4" w:space="0" w:color="auto"/>
              <w:bottom w:val="single" w:sz="4" w:space="0" w:color="auto"/>
              <w:right w:val="single" w:sz="4" w:space="0" w:color="auto"/>
            </w:tcBorders>
          </w:tcPr>
          <w:p w:rsidR="00DF4E5D" w:rsidRPr="00024895" w:rsidRDefault="00DF4E5D" w:rsidP="005769FA">
            <w:pPr>
              <w:spacing w:before="40" w:after="40"/>
              <w:rPr>
                <w:rFonts w:ascii="Arial Narrow" w:hAnsi="Arial Narrow" w:cs="Arial"/>
                <w:sz w:val="20"/>
                <w:szCs w:val="20"/>
              </w:rPr>
            </w:pPr>
            <w:r w:rsidRPr="00024895">
              <w:rPr>
                <w:rFonts w:ascii="Arial Narrow" w:hAnsi="Arial Narrow" w:cs="Arial"/>
                <w:sz w:val="20"/>
                <w:szCs w:val="20"/>
              </w:rPr>
              <w:t>Patient must be undergoing dialysis for chronic kidney disease.</w:t>
            </w:r>
          </w:p>
        </w:tc>
      </w:tr>
      <w:tr w:rsidR="00DF4E5D" w:rsidRPr="00024895" w:rsidTr="0075361C">
        <w:trPr>
          <w:cantSplit/>
          <w:trHeight w:val="360"/>
        </w:trPr>
        <w:tc>
          <w:tcPr>
            <w:tcW w:w="1069" w:type="pct"/>
            <w:tcBorders>
              <w:top w:val="single" w:sz="4" w:space="0" w:color="auto"/>
              <w:left w:val="single" w:sz="4" w:space="0" w:color="auto"/>
              <w:bottom w:val="single" w:sz="4" w:space="0" w:color="auto"/>
              <w:right w:val="single" w:sz="4" w:space="0" w:color="auto"/>
            </w:tcBorders>
          </w:tcPr>
          <w:p w:rsidR="00DF4E5D" w:rsidRPr="00024895" w:rsidRDefault="00DF4E5D" w:rsidP="005769FA">
            <w:pPr>
              <w:spacing w:before="40" w:after="40"/>
              <w:jc w:val="both"/>
              <w:rPr>
                <w:rFonts w:ascii="Arial Narrow" w:hAnsi="Arial Narrow" w:cs="Arial"/>
                <w:b/>
                <w:sz w:val="20"/>
                <w:szCs w:val="20"/>
              </w:rPr>
            </w:pPr>
            <w:r w:rsidRPr="00024895">
              <w:rPr>
                <w:rFonts w:ascii="Arial Narrow" w:hAnsi="Arial Narrow" w:cs="Arial"/>
                <w:b/>
                <w:sz w:val="20"/>
                <w:szCs w:val="20"/>
              </w:rPr>
              <w:t>Clinical criteria:</w:t>
            </w:r>
          </w:p>
          <w:p w:rsidR="00DF4E5D" w:rsidRPr="00024895" w:rsidRDefault="00DF4E5D" w:rsidP="005769FA">
            <w:pPr>
              <w:spacing w:before="40" w:after="40"/>
              <w:jc w:val="both"/>
              <w:rPr>
                <w:rFonts w:ascii="Arial Narrow" w:hAnsi="Arial Narrow" w:cs="Arial"/>
                <w:i/>
                <w:sz w:val="20"/>
                <w:szCs w:val="20"/>
              </w:rPr>
            </w:pPr>
          </w:p>
          <w:p w:rsidR="00DF4E5D" w:rsidRPr="00024895" w:rsidRDefault="00DF4E5D" w:rsidP="005769FA">
            <w:pPr>
              <w:spacing w:before="40" w:after="40"/>
              <w:jc w:val="both"/>
              <w:rPr>
                <w:rFonts w:ascii="Arial Narrow" w:hAnsi="Arial Narrow" w:cs="Arial"/>
                <w:sz w:val="20"/>
                <w:szCs w:val="20"/>
              </w:rPr>
            </w:pPr>
          </w:p>
        </w:tc>
        <w:tc>
          <w:tcPr>
            <w:tcW w:w="3931" w:type="pct"/>
            <w:tcBorders>
              <w:top w:val="single" w:sz="4" w:space="0" w:color="auto"/>
              <w:left w:val="single" w:sz="4" w:space="0" w:color="auto"/>
              <w:bottom w:val="single" w:sz="4" w:space="0" w:color="auto"/>
              <w:right w:val="single" w:sz="4" w:space="0" w:color="auto"/>
            </w:tcBorders>
          </w:tcPr>
          <w:p w:rsidR="00DF4E5D" w:rsidRPr="00024895" w:rsidRDefault="00DF4E5D" w:rsidP="005769FA">
            <w:pPr>
              <w:spacing w:before="40" w:after="40"/>
              <w:rPr>
                <w:rFonts w:ascii="Arial Narrow" w:hAnsi="Arial Narrow" w:cs="Arial"/>
                <w:sz w:val="20"/>
                <w:szCs w:val="20"/>
              </w:rPr>
            </w:pPr>
            <w:r w:rsidRPr="00024895">
              <w:rPr>
                <w:rFonts w:ascii="Arial Narrow" w:hAnsi="Arial Narrow" w:cs="Arial"/>
                <w:sz w:val="20"/>
                <w:szCs w:val="20"/>
              </w:rPr>
              <w:t>The condition must not be adequately controlled by calcium</w:t>
            </w:r>
          </w:p>
          <w:p w:rsidR="00DF4E5D" w:rsidRPr="00024895" w:rsidRDefault="00DF4E5D" w:rsidP="005769FA">
            <w:pPr>
              <w:spacing w:before="40" w:after="40"/>
              <w:rPr>
                <w:rFonts w:ascii="Arial Narrow" w:hAnsi="Arial Narrow" w:cs="Arial"/>
                <w:sz w:val="20"/>
                <w:szCs w:val="20"/>
              </w:rPr>
            </w:pPr>
            <w:r w:rsidRPr="00024895">
              <w:rPr>
                <w:rFonts w:ascii="Arial Narrow" w:hAnsi="Arial Narrow" w:cs="Arial"/>
                <w:sz w:val="20"/>
                <w:szCs w:val="20"/>
              </w:rPr>
              <w:t>AND</w:t>
            </w:r>
          </w:p>
          <w:p w:rsidR="00DF4E5D" w:rsidRPr="00024895" w:rsidRDefault="00DF4E5D" w:rsidP="005769FA">
            <w:pPr>
              <w:spacing w:before="40" w:after="40"/>
              <w:rPr>
                <w:rFonts w:ascii="Arial Narrow" w:hAnsi="Arial Narrow" w:cs="Arial"/>
                <w:sz w:val="20"/>
                <w:szCs w:val="20"/>
              </w:rPr>
            </w:pPr>
            <w:r w:rsidRPr="00024895">
              <w:rPr>
                <w:rFonts w:ascii="Arial Narrow" w:hAnsi="Arial Narrow" w:cs="Arial"/>
                <w:sz w:val="20"/>
                <w:szCs w:val="20"/>
              </w:rPr>
              <w:t xml:space="preserve">Patient must have a serum phosphate of greater than 1.6 </w:t>
            </w:r>
            <w:proofErr w:type="spellStart"/>
            <w:r w:rsidRPr="00024895">
              <w:rPr>
                <w:rFonts w:ascii="Arial Narrow" w:hAnsi="Arial Narrow" w:cs="Arial"/>
                <w:sz w:val="20"/>
                <w:szCs w:val="20"/>
              </w:rPr>
              <w:t>mmol</w:t>
            </w:r>
            <w:proofErr w:type="spellEnd"/>
            <w:r w:rsidRPr="00024895">
              <w:rPr>
                <w:rFonts w:ascii="Arial Narrow" w:hAnsi="Arial Narrow" w:cs="Arial"/>
                <w:sz w:val="20"/>
                <w:szCs w:val="20"/>
              </w:rPr>
              <w:t xml:space="preserve"> per L at the commencement of therapy; OR</w:t>
            </w:r>
          </w:p>
          <w:p w:rsidR="00DF4E5D" w:rsidRPr="00024895" w:rsidRDefault="00DF4E5D" w:rsidP="005769FA">
            <w:pPr>
              <w:spacing w:before="40" w:after="40"/>
              <w:rPr>
                <w:rFonts w:ascii="Arial Narrow" w:hAnsi="Arial Narrow" w:cs="Arial"/>
                <w:sz w:val="20"/>
                <w:szCs w:val="20"/>
              </w:rPr>
            </w:pPr>
            <w:r w:rsidRPr="00024895">
              <w:rPr>
                <w:rFonts w:ascii="Arial Narrow" w:hAnsi="Arial Narrow" w:cs="Arial"/>
                <w:sz w:val="20"/>
                <w:szCs w:val="20"/>
              </w:rPr>
              <w:t>The condition must be where a serum calcium times phosphate product is greater than 4 at the commencement of therapy,</w:t>
            </w:r>
          </w:p>
          <w:p w:rsidR="00DF4E5D" w:rsidRPr="00024895" w:rsidRDefault="00DF4E5D" w:rsidP="005769FA">
            <w:pPr>
              <w:spacing w:before="40" w:after="40"/>
              <w:rPr>
                <w:rFonts w:ascii="Arial Narrow" w:hAnsi="Arial Narrow" w:cs="Arial"/>
                <w:sz w:val="20"/>
                <w:szCs w:val="20"/>
              </w:rPr>
            </w:pPr>
            <w:r w:rsidRPr="00024895">
              <w:rPr>
                <w:rFonts w:ascii="Arial Narrow" w:hAnsi="Arial Narrow" w:cs="Arial"/>
                <w:sz w:val="20"/>
                <w:szCs w:val="20"/>
              </w:rPr>
              <w:t>AND</w:t>
            </w:r>
          </w:p>
          <w:p w:rsidR="00DF4E5D" w:rsidRPr="00024895" w:rsidRDefault="00DF4E5D" w:rsidP="005769FA">
            <w:pPr>
              <w:spacing w:before="40" w:after="40"/>
              <w:rPr>
                <w:rFonts w:ascii="Arial Narrow" w:hAnsi="Arial Narrow" w:cs="Arial"/>
                <w:sz w:val="20"/>
                <w:szCs w:val="20"/>
              </w:rPr>
            </w:pPr>
            <w:r w:rsidRPr="00024895">
              <w:rPr>
                <w:rFonts w:ascii="Arial Narrow" w:hAnsi="Arial Narrow" w:cs="Arial"/>
                <w:sz w:val="20"/>
                <w:szCs w:val="20"/>
              </w:rPr>
              <w:t xml:space="preserve">The treatment must not be used in combination with any other non-calcium </w:t>
            </w:r>
            <w:proofErr w:type="gramStart"/>
            <w:r w:rsidRPr="00024895">
              <w:rPr>
                <w:rFonts w:ascii="Arial Narrow" w:hAnsi="Arial Narrow" w:cs="Arial"/>
                <w:sz w:val="20"/>
                <w:szCs w:val="20"/>
              </w:rPr>
              <w:t>phosphate binding</w:t>
            </w:r>
            <w:proofErr w:type="gramEnd"/>
            <w:r w:rsidRPr="00024895">
              <w:rPr>
                <w:rFonts w:ascii="Arial Narrow" w:hAnsi="Arial Narrow" w:cs="Arial"/>
                <w:sz w:val="20"/>
                <w:szCs w:val="20"/>
              </w:rPr>
              <w:t xml:space="preserve"> agents.</w:t>
            </w:r>
          </w:p>
        </w:tc>
      </w:tr>
      <w:tr w:rsidR="00DF4E5D" w:rsidRPr="00024895" w:rsidTr="0075361C">
        <w:trPr>
          <w:cantSplit/>
          <w:trHeight w:val="360"/>
        </w:trPr>
        <w:tc>
          <w:tcPr>
            <w:tcW w:w="1069" w:type="pct"/>
            <w:tcBorders>
              <w:top w:val="single" w:sz="4" w:space="0" w:color="auto"/>
              <w:left w:val="single" w:sz="4" w:space="0" w:color="auto"/>
              <w:bottom w:val="single" w:sz="4" w:space="0" w:color="auto"/>
              <w:right w:val="single" w:sz="4" w:space="0" w:color="auto"/>
            </w:tcBorders>
          </w:tcPr>
          <w:p w:rsidR="00DF4E5D" w:rsidRPr="00024895" w:rsidRDefault="00DF4E5D" w:rsidP="005769FA">
            <w:pPr>
              <w:spacing w:before="40" w:after="40"/>
              <w:jc w:val="both"/>
              <w:rPr>
                <w:rFonts w:ascii="Arial Narrow" w:hAnsi="Arial Narrow" w:cs="Arial"/>
                <w:b/>
                <w:sz w:val="20"/>
                <w:szCs w:val="20"/>
              </w:rPr>
            </w:pPr>
            <w:r w:rsidRPr="00024895">
              <w:rPr>
                <w:rFonts w:ascii="Arial Narrow" w:hAnsi="Arial Narrow" w:cs="Arial"/>
                <w:b/>
                <w:sz w:val="20"/>
                <w:szCs w:val="20"/>
              </w:rPr>
              <w:lastRenderedPageBreak/>
              <w:t>Administrative Advice</w:t>
            </w:r>
          </w:p>
          <w:p w:rsidR="00DF4E5D" w:rsidRPr="00024895" w:rsidRDefault="00DF4E5D" w:rsidP="00182295">
            <w:pPr>
              <w:spacing w:before="40" w:after="40"/>
              <w:jc w:val="both"/>
              <w:rPr>
                <w:rFonts w:ascii="Arial Narrow" w:hAnsi="Arial Narrow" w:cs="Arial"/>
                <w:i/>
                <w:sz w:val="20"/>
                <w:szCs w:val="20"/>
              </w:rPr>
            </w:pPr>
          </w:p>
        </w:tc>
        <w:tc>
          <w:tcPr>
            <w:tcW w:w="3931" w:type="pct"/>
            <w:tcBorders>
              <w:top w:val="single" w:sz="4" w:space="0" w:color="auto"/>
              <w:left w:val="single" w:sz="4" w:space="0" w:color="auto"/>
              <w:bottom w:val="single" w:sz="4" w:space="0" w:color="auto"/>
              <w:right w:val="single" w:sz="4" w:space="0" w:color="auto"/>
            </w:tcBorders>
          </w:tcPr>
          <w:p w:rsidR="00DF4E5D" w:rsidRPr="00024895" w:rsidRDefault="00DF4E5D" w:rsidP="005769FA">
            <w:pPr>
              <w:spacing w:before="40" w:after="40"/>
              <w:rPr>
                <w:rFonts w:ascii="Arial Narrow" w:hAnsi="Arial Narrow" w:cs="Arial"/>
                <w:sz w:val="20"/>
                <w:szCs w:val="20"/>
              </w:rPr>
            </w:pPr>
            <w:r w:rsidRPr="00024895">
              <w:rPr>
                <w:rFonts w:ascii="Arial Narrow" w:hAnsi="Arial Narrow" w:cs="Arial"/>
                <w:sz w:val="20"/>
                <w:szCs w:val="20"/>
              </w:rPr>
              <w:t xml:space="preserve">Shared Care Model: </w:t>
            </w:r>
          </w:p>
          <w:p w:rsidR="00DF4E5D" w:rsidRPr="00024895" w:rsidRDefault="00DF4E5D" w:rsidP="005769FA">
            <w:pPr>
              <w:spacing w:before="40" w:after="40"/>
              <w:rPr>
                <w:rFonts w:ascii="Arial Narrow" w:hAnsi="Arial Narrow" w:cs="Arial"/>
                <w:sz w:val="20"/>
                <w:szCs w:val="20"/>
              </w:rPr>
            </w:pPr>
          </w:p>
          <w:p w:rsidR="00DF4E5D" w:rsidRPr="00024895" w:rsidRDefault="00DF4E5D" w:rsidP="005769FA">
            <w:pPr>
              <w:spacing w:before="40" w:after="40"/>
              <w:rPr>
                <w:rFonts w:ascii="Arial Narrow" w:hAnsi="Arial Narrow" w:cs="Arial"/>
                <w:sz w:val="20"/>
                <w:szCs w:val="20"/>
              </w:rPr>
            </w:pPr>
            <w:r w:rsidRPr="00024895">
              <w:rPr>
                <w:rFonts w:ascii="Arial Narrow" w:hAnsi="Arial Narrow" w:cs="Arial"/>
                <w:sz w:val="20"/>
                <w:szCs w:val="20"/>
              </w:rPr>
              <w:t xml:space="preserve">For prescribing by nurse practitioners where care of a patient </w:t>
            </w:r>
            <w:proofErr w:type="gramStart"/>
            <w:r w:rsidRPr="00024895">
              <w:rPr>
                <w:rFonts w:ascii="Arial Narrow" w:hAnsi="Arial Narrow" w:cs="Arial"/>
                <w:sz w:val="20"/>
                <w:szCs w:val="20"/>
              </w:rPr>
              <w:t>is shared</w:t>
            </w:r>
            <w:proofErr w:type="gramEnd"/>
            <w:r w:rsidRPr="00024895">
              <w:rPr>
                <w:rFonts w:ascii="Arial Narrow" w:hAnsi="Arial Narrow" w:cs="Arial"/>
                <w:sz w:val="20"/>
                <w:szCs w:val="20"/>
              </w:rPr>
              <w:t xml:space="preserve"> between a nurse practitioner and medical practitioner in a formalised arrangement with an agreed management plan. Further information </w:t>
            </w:r>
            <w:proofErr w:type="gramStart"/>
            <w:r w:rsidRPr="00024895">
              <w:rPr>
                <w:rFonts w:ascii="Arial Narrow" w:hAnsi="Arial Narrow" w:cs="Arial"/>
                <w:sz w:val="20"/>
                <w:szCs w:val="20"/>
              </w:rPr>
              <w:t>can be found</w:t>
            </w:r>
            <w:proofErr w:type="gramEnd"/>
            <w:r w:rsidRPr="00024895">
              <w:rPr>
                <w:rFonts w:ascii="Arial Narrow" w:hAnsi="Arial Narrow" w:cs="Arial"/>
                <w:sz w:val="20"/>
                <w:szCs w:val="20"/>
              </w:rPr>
              <w:t xml:space="preserve"> in the Explanatory Notes for Nurse Practitioners.</w:t>
            </w:r>
          </w:p>
        </w:tc>
      </w:tr>
    </w:tbl>
    <w:p w:rsidR="0075361C" w:rsidRPr="00024895" w:rsidRDefault="0075361C" w:rsidP="000E5444">
      <w:pPr>
        <w:pStyle w:val="ListParagraph"/>
        <w:spacing w:before="120" w:after="120"/>
        <w:ind w:left="709"/>
        <w:rPr>
          <w:rFonts w:asciiTheme="minorHAnsi" w:hAnsiTheme="minorHAnsi"/>
          <w:i/>
        </w:rPr>
      </w:pPr>
    </w:p>
    <w:p w:rsidR="0075361C" w:rsidRPr="00024895" w:rsidRDefault="0075361C" w:rsidP="000E5444">
      <w:pPr>
        <w:pStyle w:val="ListParagraph"/>
        <w:spacing w:before="120" w:after="120"/>
        <w:ind w:left="709"/>
        <w:rPr>
          <w:rFonts w:asciiTheme="minorHAnsi" w:hAnsiTheme="minorHAnsi"/>
          <w:i/>
        </w:rPr>
      </w:pPr>
      <w:r w:rsidRPr="00024895">
        <w:rPr>
          <w:rFonts w:asciiTheme="minorHAnsi" w:hAnsiTheme="minorHAnsi"/>
          <w:i/>
        </w:rPr>
        <w:t xml:space="preserve">For more detail on PBAC’s view, see section </w:t>
      </w:r>
      <w:r w:rsidR="00820DED" w:rsidRPr="00024895">
        <w:rPr>
          <w:rFonts w:asciiTheme="minorHAnsi" w:hAnsiTheme="minorHAnsi"/>
          <w:i/>
        </w:rPr>
        <w:t xml:space="preserve">6 </w:t>
      </w:r>
      <w:r w:rsidRPr="00024895">
        <w:rPr>
          <w:rFonts w:asciiTheme="minorHAnsi" w:hAnsiTheme="minorHAnsi"/>
          <w:i/>
        </w:rPr>
        <w:t>PBAC outcome.</w:t>
      </w:r>
    </w:p>
    <w:p w:rsidR="00C603D4" w:rsidRPr="00024895" w:rsidRDefault="00CE10C4" w:rsidP="000E5444">
      <w:pPr>
        <w:pStyle w:val="PBACHeading1"/>
        <w:spacing w:before="120" w:after="120"/>
        <w:ind w:left="709" w:hanging="709"/>
        <w:rPr>
          <w:rFonts w:asciiTheme="minorHAnsi" w:hAnsiTheme="minorHAnsi"/>
          <w:sz w:val="32"/>
          <w:szCs w:val="32"/>
        </w:rPr>
      </w:pPr>
      <w:r w:rsidRPr="00024895">
        <w:rPr>
          <w:rFonts w:asciiTheme="minorHAnsi" w:hAnsiTheme="minorHAnsi"/>
          <w:sz w:val="32"/>
          <w:szCs w:val="32"/>
        </w:rPr>
        <w:t>Background</w:t>
      </w:r>
    </w:p>
    <w:p w:rsidR="006B0D94" w:rsidRPr="00024895" w:rsidRDefault="00C1096D" w:rsidP="000E5444">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proofErr w:type="spellStart"/>
      <w:r w:rsidRPr="00024895">
        <w:rPr>
          <w:rFonts w:asciiTheme="minorHAnsi" w:eastAsiaTheme="minorHAnsi" w:hAnsiTheme="minorHAnsi" w:cstheme="minorBidi"/>
          <w:snapToGrid/>
          <w:sz w:val="24"/>
          <w:szCs w:val="22"/>
        </w:rPr>
        <w:t>Sevelamer</w:t>
      </w:r>
      <w:proofErr w:type="spellEnd"/>
      <w:r w:rsidRPr="00024895">
        <w:rPr>
          <w:rFonts w:asciiTheme="minorHAnsi" w:eastAsiaTheme="minorHAnsi" w:hAnsiTheme="minorHAnsi" w:cstheme="minorBidi"/>
          <w:snapToGrid/>
          <w:sz w:val="24"/>
          <w:szCs w:val="22"/>
        </w:rPr>
        <w:t xml:space="preserve"> </w:t>
      </w:r>
      <w:r w:rsidR="005A3308" w:rsidRPr="00024895">
        <w:rPr>
          <w:rFonts w:asciiTheme="minorHAnsi" w:eastAsiaTheme="minorHAnsi" w:hAnsiTheme="minorHAnsi" w:cstheme="minorBidi"/>
          <w:snapToGrid/>
          <w:sz w:val="24"/>
          <w:szCs w:val="22"/>
        </w:rPr>
        <w:t>Dr Reddy’s</w:t>
      </w:r>
      <w:r w:rsidR="008A5058" w:rsidRPr="00024895">
        <w:rPr>
          <w:rFonts w:asciiTheme="minorHAnsi" w:eastAsiaTheme="minorHAnsi" w:hAnsiTheme="minorHAnsi" w:cstheme="minorBidi"/>
          <w:snapToGrid/>
          <w:sz w:val="24"/>
          <w:szCs w:val="22"/>
        </w:rPr>
        <w:t xml:space="preserve"> </w:t>
      </w:r>
      <w:r w:rsidR="00F32066" w:rsidRPr="00024895">
        <w:rPr>
          <w:rFonts w:asciiTheme="minorHAnsi" w:eastAsiaTheme="minorHAnsi" w:hAnsiTheme="minorHAnsi" w:cstheme="minorBidi"/>
          <w:snapToGrid/>
          <w:sz w:val="24"/>
          <w:szCs w:val="22"/>
        </w:rPr>
        <w:t>(</w:t>
      </w:r>
      <w:proofErr w:type="spellStart"/>
      <w:r w:rsidR="00F32066" w:rsidRPr="00024895">
        <w:rPr>
          <w:rFonts w:asciiTheme="minorHAnsi" w:eastAsiaTheme="minorHAnsi" w:hAnsiTheme="minorHAnsi" w:cstheme="minorBidi"/>
          <w:snapToGrid/>
          <w:sz w:val="24"/>
          <w:szCs w:val="22"/>
        </w:rPr>
        <w:t>sevelamer</w:t>
      </w:r>
      <w:proofErr w:type="spellEnd"/>
      <w:r w:rsidR="00F32066" w:rsidRPr="00024895">
        <w:rPr>
          <w:rFonts w:asciiTheme="minorHAnsi" w:eastAsiaTheme="minorHAnsi" w:hAnsiTheme="minorHAnsi" w:cstheme="minorBidi"/>
          <w:snapToGrid/>
          <w:sz w:val="24"/>
          <w:szCs w:val="22"/>
        </w:rPr>
        <w:t xml:space="preserve"> carbonate 800 mg) </w:t>
      </w:r>
      <w:r w:rsidR="006C0191" w:rsidRPr="00024895">
        <w:rPr>
          <w:rFonts w:asciiTheme="minorHAnsi" w:eastAsiaTheme="minorHAnsi" w:hAnsiTheme="minorHAnsi" w:cstheme="minorBidi"/>
          <w:snapToGrid/>
          <w:sz w:val="24"/>
          <w:szCs w:val="22"/>
        </w:rPr>
        <w:t>ha</w:t>
      </w:r>
      <w:r w:rsidR="005A3308" w:rsidRPr="00024895">
        <w:rPr>
          <w:rFonts w:asciiTheme="minorHAnsi" w:eastAsiaTheme="minorHAnsi" w:hAnsiTheme="minorHAnsi" w:cstheme="minorBidi"/>
          <w:snapToGrid/>
          <w:sz w:val="24"/>
          <w:szCs w:val="22"/>
        </w:rPr>
        <w:t>s</w:t>
      </w:r>
      <w:r w:rsidR="006C0191" w:rsidRPr="00024895">
        <w:rPr>
          <w:rFonts w:asciiTheme="minorHAnsi" w:eastAsiaTheme="minorHAnsi" w:hAnsiTheme="minorHAnsi" w:cstheme="minorBidi"/>
          <w:snapToGrid/>
          <w:sz w:val="24"/>
          <w:szCs w:val="22"/>
        </w:rPr>
        <w:t xml:space="preserve"> </w:t>
      </w:r>
      <w:r w:rsidR="00476245" w:rsidRPr="00024895">
        <w:rPr>
          <w:rFonts w:asciiTheme="minorHAnsi" w:eastAsiaTheme="minorHAnsi" w:hAnsiTheme="minorHAnsi" w:cstheme="minorBidi"/>
          <w:snapToGrid/>
          <w:sz w:val="24"/>
          <w:szCs w:val="22"/>
        </w:rPr>
        <w:t>TGA registr</w:t>
      </w:r>
      <w:r w:rsidR="006C0191" w:rsidRPr="00024895">
        <w:rPr>
          <w:rFonts w:asciiTheme="minorHAnsi" w:eastAsiaTheme="minorHAnsi" w:hAnsiTheme="minorHAnsi" w:cstheme="minorBidi"/>
          <w:snapToGrid/>
          <w:sz w:val="24"/>
          <w:szCs w:val="22"/>
        </w:rPr>
        <w:t>ation</w:t>
      </w:r>
      <w:r w:rsidR="00476245" w:rsidRPr="00024895">
        <w:rPr>
          <w:rFonts w:asciiTheme="minorHAnsi" w:eastAsiaTheme="minorHAnsi" w:hAnsiTheme="minorHAnsi" w:cstheme="minorBidi"/>
          <w:snapToGrid/>
          <w:sz w:val="24"/>
          <w:szCs w:val="22"/>
        </w:rPr>
        <w:t xml:space="preserve"> for</w:t>
      </w:r>
      <w:r w:rsidR="00D37C88" w:rsidRPr="00024895">
        <w:rPr>
          <w:rFonts w:asciiTheme="minorHAnsi" w:eastAsiaTheme="minorHAnsi" w:hAnsiTheme="minorHAnsi" w:cstheme="minorBidi"/>
          <w:snapToGrid/>
          <w:sz w:val="24"/>
          <w:szCs w:val="22"/>
        </w:rPr>
        <w:t xml:space="preserve"> the management of </w:t>
      </w:r>
      <w:proofErr w:type="spellStart"/>
      <w:r w:rsidR="00D37C88" w:rsidRPr="00024895">
        <w:rPr>
          <w:rFonts w:asciiTheme="minorHAnsi" w:eastAsiaTheme="minorHAnsi" w:hAnsiTheme="minorHAnsi" w:cstheme="minorBidi"/>
          <w:snapToGrid/>
          <w:sz w:val="24"/>
          <w:szCs w:val="22"/>
        </w:rPr>
        <w:t>hyperphosphataemia</w:t>
      </w:r>
      <w:proofErr w:type="spellEnd"/>
      <w:r w:rsidR="00D37C88" w:rsidRPr="00024895">
        <w:rPr>
          <w:rFonts w:asciiTheme="minorHAnsi" w:eastAsiaTheme="minorHAnsi" w:hAnsiTheme="minorHAnsi" w:cstheme="minorBidi"/>
          <w:snapToGrid/>
          <w:sz w:val="24"/>
          <w:szCs w:val="22"/>
        </w:rPr>
        <w:t xml:space="preserve"> in adult patients with stage 4 and 5 chronic kidney disease</w:t>
      </w:r>
      <w:r w:rsidR="007A40B9">
        <w:rPr>
          <w:rFonts w:asciiTheme="minorHAnsi" w:eastAsiaTheme="minorHAnsi" w:hAnsiTheme="minorHAnsi" w:cstheme="minorBidi"/>
          <w:snapToGrid/>
          <w:sz w:val="24"/>
          <w:szCs w:val="22"/>
        </w:rPr>
        <w:t>.</w:t>
      </w:r>
    </w:p>
    <w:p w:rsidR="00F32066" w:rsidRPr="00024895" w:rsidRDefault="00D37C88" w:rsidP="000E5444">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proofErr w:type="spellStart"/>
      <w:r w:rsidRPr="00024895">
        <w:rPr>
          <w:rFonts w:asciiTheme="minorHAnsi" w:eastAsiaTheme="minorHAnsi" w:hAnsiTheme="minorHAnsi" w:cstheme="minorBidi"/>
          <w:snapToGrid/>
          <w:sz w:val="24"/>
          <w:szCs w:val="22"/>
        </w:rPr>
        <w:t>Sev</w:t>
      </w:r>
      <w:r w:rsidR="006309F9" w:rsidRPr="00024895">
        <w:rPr>
          <w:rFonts w:asciiTheme="minorHAnsi" w:eastAsiaTheme="minorHAnsi" w:hAnsiTheme="minorHAnsi" w:cstheme="minorBidi"/>
          <w:snapToGrid/>
          <w:sz w:val="24"/>
          <w:szCs w:val="22"/>
        </w:rPr>
        <w:t>e</w:t>
      </w:r>
      <w:r w:rsidRPr="00024895">
        <w:rPr>
          <w:rFonts w:asciiTheme="minorHAnsi" w:eastAsiaTheme="minorHAnsi" w:hAnsiTheme="minorHAnsi" w:cstheme="minorBidi"/>
          <w:snapToGrid/>
          <w:sz w:val="24"/>
          <w:szCs w:val="22"/>
        </w:rPr>
        <w:t>lamer</w:t>
      </w:r>
      <w:proofErr w:type="spellEnd"/>
      <w:r w:rsidRPr="00024895">
        <w:rPr>
          <w:rFonts w:asciiTheme="minorHAnsi" w:eastAsiaTheme="minorHAnsi" w:hAnsiTheme="minorHAnsi" w:cstheme="minorBidi"/>
          <w:snapToGrid/>
          <w:sz w:val="24"/>
          <w:szCs w:val="22"/>
        </w:rPr>
        <w:t xml:space="preserve"> carbonate </w:t>
      </w:r>
      <w:r w:rsidR="009A3805" w:rsidRPr="00024895">
        <w:rPr>
          <w:rFonts w:asciiTheme="minorHAnsi" w:eastAsiaTheme="minorHAnsi" w:hAnsiTheme="minorHAnsi" w:cstheme="minorBidi"/>
          <w:snapToGrid/>
          <w:sz w:val="24"/>
          <w:szCs w:val="22"/>
        </w:rPr>
        <w:t xml:space="preserve">2.4g </w:t>
      </w:r>
      <w:r w:rsidRPr="00024895">
        <w:rPr>
          <w:rFonts w:asciiTheme="minorHAnsi" w:eastAsiaTheme="minorHAnsi" w:hAnsiTheme="minorHAnsi" w:cstheme="minorBidi"/>
          <w:snapToGrid/>
          <w:sz w:val="24"/>
          <w:szCs w:val="22"/>
        </w:rPr>
        <w:t xml:space="preserve">as </w:t>
      </w:r>
      <w:r w:rsidR="006C0191" w:rsidRPr="00024895">
        <w:rPr>
          <w:rFonts w:asciiTheme="minorHAnsi" w:eastAsiaTheme="minorHAnsi" w:hAnsiTheme="minorHAnsi" w:cstheme="minorBidi"/>
          <w:snapToGrid/>
          <w:sz w:val="24"/>
          <w:szCs w:val="22"/>
        </w:rPr>
        <w:t xml:space="preserve">a </w:t>
      </w:r>
      <w:r w:rsidRPr="00024895">
        <w:rPr>
          <w:rFonts w:asciiTheme="minorHAnsi" w:eastAsiaTheme="minorHAnsi" w:hAnsiTheme="minorHAnsi" w:cstheme="minorBidi"/>
          <w:snapToGrid/>
          <w:sz w:val="24"/>
          <w:szCs w:val="22"/>
        </w:rPr>
        <w:t xml:space="preserve">powder for suspension </w:t>
      </w:r>
      <w:r w:rsidR="005A3308" w:rsidRPr="00024895">
        <w:rPr>
          <w:rFonts w:asciiTheme="minorHAnsi" w:eastAsiaTheme="minorHAnsi" w:hAnsiTheme="minorHAnsi" w:cstheme="minorBidi"/>
          <w:snapToGrid/>
          <w:sz w:val="24"/>
          <w:szCs w:val="22"/>
        </w:rPr>
        <w:t>(</w:t>
      </w:r>
      <w:proofErr w:type="spellStart"/>
      <w:r w:rsidR="00F32066" w:rsidRPr="00024895">
        <w:rPr>
          <w:rFonts w:asciiTheme="minorHAnsi" w:eastAsiaTheme="minorHAnsi" w:hAnsiTheme="minorHAnsi" w:cstheme="minorBidi"/>
          <w:snapToGrid/>
          <w:sz w:val="24"/>
          <w:szCs w:val="22"/>
        </w:rPr>
        <w:t>Renvela</w:t>
      </w:r>
      <w:proofErr w:type="spellEnd"/>
      <w:r w:rsidR="007A40B9">
        <w:rPr>
          <w:rFonts w:asciiTheme="minorHAnsi" w:eastAsiaTheme="minorHAnsi" w:hAnsiTheme="minorHAnsi" w:cstheme="minorHAnsi"/>
          <w:snapToGrid/>
          <w:sz w:val="24"/>
          <w:szCs w:val="22"/>
        </w:rPr>
        <w:t>®</w:t>
      </w:r>
      <w:r w:rsidR="00F32066" w:rsidRPr="00024895">
        <w:rPr>
          <w:rFonts w:asciiTheme="minorHAnsi" w:eastAsiaTheme="minorHAnsi" w:hAnsiTheme="minorHAnsi" w:cstheme="minorBidi"/>
          <w:snapToGrid/>
          <w:sz w:val="24"/>
          <w:szCs w:val="22"/>
        </w:rPr>
        <w:t xml:space="preserve">) </w:t>
      </w:r>
      <w:r w:rsidR="005A3308" w:rsidRPr="00024895">
        <w:rPr>
          <w:rFonts w:asciiTheme="minorHAnsi" w:eastAsiaTheme="minorHAnsi" w:hAnsiTheme="minorHAnsi" w:cstheme="minorBidi"/>
          <w:snapToGrid/>
          <w:sz w:val="24"/>
          <w:szCs w:val="22"/>
        </w:rPr>
        <w:t xml:space="preserve">sponsored by Sanofi-Aventis </w:t>
      </w:r>
      <w:proofErr w:type="gramStart"/>
      <w:r w:rsidR="00024895">
        <w:rPr>
          <w:rFonts w:asciiTheme="minorHAnsi" w:eastAsiaTheme="minorHAnsi" w:hAnsiTheme="minorHAnsi" w:cstheme="minorBidi"/>
          <w:snapToGrid/>
          <w:sz w:val="24"/>
          <w:szCs w:val="22"/>
        </w:rPr>
        <w:t xml:space="preserve">was </w:t>
      </w:r>
      <w:r w:rsidRPr="00024895">
        <w:rPr>
          <w:rFonts w:asciiTheme="minorHAnsi" w:eastAsiaTheme="minorHAnsi" w:hAnsiTheme="minorHAnsi" w:cstheme="minorBidi"/>
          <w:snapToGrid/>
          <w:sz w:val="24"/>
          <w:szCs w:val="22"/>
        </w:rPr>
        <w:t>recommended</w:t>
      </w:r>
      <w:proofErr w:type="gramEnd"/>
      <w:r w:rsidRPr="00024895">
        <w:rPr>
          <w:rFonts w:asciiTheme="minorHAnsi" w:eastAsiaTheme="minorHAnsi" w:hAnsiTheme="minorHAnsi" w:cstheme="minorBidi"/>
          <w:snapToGrid/>
          <w:sz w:val="24"/>
          <w:szCs w:val="22"/>
        </w:rPr>
        <w:t xml:space="preserve"> by the PBAC for the same indication (PBAC November 2017).</w:t>
      </w:r>
      <w:r w:rsidR="00F32066" w:rsidRPr="00024895">
        <w:rPr>
          <w:rFonts w:asciiTheme="minorHAnsi" w:eastAsiaTheme="minorHAnsi" w:hAnsiTheme="minorHAnsi" w:cstheme="minorBidi"/>
          <w:snapToGrid/>
          <w:sz w:val="24"/>
          <w:szCs w:val="22"/>
        </w:rPr>
        <w:t xml:space="preserve"> </w:t>
      </w:r>
      <w:r w:rsidR="00024895">
        <w:rPr>
          <w:rFonts w:asciiTheme="minorHAnsi" w:eastAsiaTheme="minorHAnsi" w:hAnsiTheme="minorHAnsi" w:cstheme="minorBidi"/>
          <w:snapToGrid/>
          <w:sz w:val="24"/>
          <w:szCs w:val="22"/>
        </w:rPr>
        <w:t xml:space="preserve">To date, </w:t>
      </w:r>
      <w:r w:rsidR="00F32066" w:rsidRPr="00024895">
        <w:rPr>
          <w:rFonts w:asciiTheme="minorHAnsi" w:eastAsiaTheme="minorHAnsi" w:hAnsiTheme="minorHAnsi" w:cstheme="minorBidi"/>
          <w:snapToGrid/>
          <w:sz w:val="24"/>
          <w:szCs w:val="22"/>
        </w:rPr>
        <w:t xml:space="preserve">Sanofi has not proceeded </w:t>
      </w:r>
      <w:r w:rsidR="00024895">
        <w:rPr>
          <w:rFonts w:asciiTheme="minorHAnsi" w:eastAsiaTheme="minorHAnsi" w:hAnsiTheme="minorHAnsi" w:cstheme="minorBidi"/>
          <w:snapToGrid/>
          <w:sz w:val="24"/>
          <w:szCs w:val="22"/>
        </w:rPr>
        <w:t xml:space="preserve">with this </w:t>
      </w:r>
      <w:r w:rsidR="00F32066" w:rsidRPr="00024895">
        <w:rPr>
          <w:rFonts w:asciiTheme="minorHAnsi" w:eastAsiaTheme="minorHAnsi" w:hAnsiTheme="minorHAnsi" w:cstheme="minorBidi"/>
          <w:snapToGrid/>
          <w:sz w:val="24"/>
          <w:szCs w:val="22"/>
        </w:rPr>
        <w:t>listing on the PBS.</w:t>
      </w:r>
    </w:p>
    <w:p w:rsidR="008A5058" w:rsidRPr="00024895" w:rsidRDefault="008A5058" w:rsidP="000E5444">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proofErr w:type="spellStart"/>
      <w:r w:rsidRPr="00024895">
        <w:rPr>
          <w:rFonts w:asciiTheme="minorHAnsi" w:eastAsiaTheme="minorHAnsi" w:hAnsiTheme="minorHAnsi" w:cstheme="minorBidi"/>
          <w:snapToGrid/>
          <w:sz w:val="24"/>
          <w:szCs w:val="22"/>
        </w:rPr>
        <w:t>Sevelamer</w:t>
      </w:r>
      <w:proofErr w:type="spellEnd"/>
      <w:r w:rsidRPr="00024895">
        <w:rPr>
          <w:rFonts w:asciiTheme="minorHAnsi" w:eastAsiaTheme="minorHAnsi" w:hAnsiTheme="minorHAnsi" w:cstheme="minorBidi"/>
          <w:snapToGrid/>
          <w:sz w:val="24"/>
          <w:szCs w:val="22"/>
        </w:rPr>
        <w:t xml:space="preserve"> is currently available on the PBS as </w:t>
      </w:r>
      <w:proofErr w:type="spellStart"/>
      <w:r w:rsidRPr="00024895">
        <w:rPr>
          <w:rFonts w:asciiTheme="minorHAnsi" w:eastAsiaTheme="minorHAnsi" w:hAnsiTheme="minorHAnsi" w:cstheme="minorBidi"/>
          <w:snapToGrid/>
          <w:sz w:val="24"/>
          <w:szCs w:val="22"/>
        </w:rPr>
        <w:t>sevelamer</w:t>
      </w:r>
      <w:proofErr w:type="spellEnd"/>
      <w:r w:rsidRPr="00024895">
        <w:rPr>
          <w:rFonts w:asciiTheme="minorHAnsi" w:eastAsiaTheme="minorHAnsi" w:hAnsiTheme="minorHAnsi" w:cstheme="minorBidi"/>
          <w:snapToGrid/>
          <w:sz w:val="24"/>
          <w:szCs w:val="22"/>
        </w:rPr>
        <w:t xml:space="preserve"> hydrochloride 800 mg tablets</w:t>
      </w:r>
      <w:r w:rsidR="00606174" w:rsidRPr="00024895">
        <w:rPr>
          <w:rFonts w:asciiTheme="minorHAnsi" w:eastAsiaTheme="minorHAnsi" w:hAnsiTheme="minorHAnsi" w:cstheme="minorBidi"/>
          <w:snapToGrid/>
          <w:sz w:val="24"/>
          <w:szCs w:val="22"/>
        </w:rPr>
        <w:t xml:space="preserve"> (</w:t>
      </w:r>
      <w:proofErr w:type="spellStart"/>
      <w:r w:rsidR="00606174" w:rsidRPr="00024895">
        <w:rPr>
          <w:rFonts w:asciiTheme="minorHAnsi" w:eastAsiaTheme="minorHAnsi" w:hAnsiTheme="minorHAnsi" w:cstheme="minorBidi"/>
          <w:snapToGrid/>
          <w:sz w:val="24"/>
          <w:szCs w:val="22"/>
        </w:rPr>
        <w:t>Renagel</w:t>
      </w:r>
      <w:proofErr w:type="spellEnd"/>
      <w:r w:rsidR="007A40B9">
        <w:rPr>
          <w:rFonts w:asciiTheme="minorHAnsi" w:eastAsiaTheme="minorHAnsi" w:hAnsiTheme="minorHAnsi" w:cstheme="minorHAnsi"/>
          <w:snapToGrid/>
          <w:sz w:val="24"/>
          <w:szCs w:val="22"/>
        </w:rPr>
        <w:t>®</w:t>
      </w:r>
      <w:r w:rsidR="00606174" w:rsidRPr="00024895">
        <w:rPr>
          <w:rFonts w:asciiTheme="minorHAnsi" w:eastAsiaTheme="minorHAnsi" w:hAnsiTheme="minorHAnsi" w:cstheme="minorBidi"/>
          <w:snapToGrid/>
          <w:sz w:val="24"/>
          <w:szCs w:val="22"/>
        </w:rPr>
        <w:t>)</w:t>
      </w:r>
      <w:r w:rsidRPr="00024895">
        <w:rPr>
          <w:rFonts w:asciiTheme="minorHAnsi" w:eastAsiaTheme="minorHAnsi" w:hAnsiTheme="minorHAnsi" w:cstheme="minorBidi"/>
          <w:snapToGrid/>
          <w:sz w:val="24"/>
          <w:szCs w:val="22"/>
        </w:rPr>
        <w:t xml:space="preserve"> for</w:t>
      </w:r>
      <w:r w:rsidR="00606174" w:rsidRPr="00024895">
        <w:rPr>
          <w:rFonts w:asciiTheme="minorHAnsi" w:eastAsiaTheme="minorHAnsi" w:hAnsiTheme="minorHAnsi" w:cstheme="minorBidi"/>
          <w:snapToGrid/>
          <w:sz w:val="24"/>
          <w:szCs w:val="22"/>
        </w:rPr>
        <w:t xml:space="preserve"> the management of</w:t>
      </w:r>
      <w:r w:rsidRPr="00024895">
        <w:rPr>
          <w:rFonts w:asciiTheme="minorHAnsi" w:eastAsiaTheme="minorHAnsi" w:hAnsiTheme="minorHAnsi" w:cstheme="minorBidi"/>
          <w:snapToGrid/>
          <w:sz w:val="24"/>
          <w:szCs w:val="22"/>
        </w:rPr>
        <w:t xml:space="preserve"> </w:t>
      </w:r>
      <w:proofErr w:type="spellStart"/>
      <w:r w:rsidRPr="00024895">
        <w:rPr>
          <w:rFonts w:asciiTheme="minorHAnsi" w:eastAsiaTheme="minorHAnsi" w:hAnsiTheme="minorHAnsi" w:cstheme="minorBidi"/>
          <w:snapToGrid/>
          <w:sz w:val="24"/>
          <w:szCs w:val="22"/>
        </w:rPr>
        <w:t>hyperphosphataemia</w:t>
      </w:r>
      <w:proofErr w:type="spellEnd"/>
      <w:r w:rsidRPr="00024895">
        <w:rPr>
          <w:rFonts w:asciiTheme="minorHAnsi" w:eastAsiaTheme="minorHAnsi" w:hAnsiTheme="minorHAnsi" w:cstheme="minorBidi"/>
          <w:snapToGrid/>
          <w:sz w:val="24"/>
          <w:szCs w:val="22"/>
        </w:rPr>
        <w:t xml:space="preserve"> in patients undergoing dialysis for chronic kidney disease. </w:t>
      </w:r>
    </w:p>
    <w:p w:rsidR="0075361C" w:rsidRPr="00024895" w:rsidRDefault="0075361C" w:rsidP="000E5444">
      <w:pPr>
        <w:pStyle w:val="ListParagraph"/>
        <w:spacing w:before="120" w:after="120"/>
        <w:ind w:left="709"/>
        <w:rPr>
          <w:rFonts w:asciiTheme="minorHAnsi" w:hAnsiTheme="minorHAnsi"/>
          <w:i/>
          <w:sz w:val="24"/>
          <w:szCs w:val="24"/>
        </w:rPr>
      </w:pPr>
      <w:r w:rsidRPr="00024895">
        <w:rPr>
          <w:rFonts w:asciiTheme="minorHAnsi" w:hAnsiTheme="minorHAnsi"/>
          <w:i/>
          <w:sz w:val="24"/>
          <w:szCs w:val="24"/>
        </w:rPr>
        <w:t xml:space="preserve">For more detail on PBAC’s view, see section </w:t>
      </w:r>
      <w:r w:rsidR="00B62AC3" w:rsidRPr="00024895">
        <w:rPr>
          <w:rFonts w:asciiTheme="minorHAnsi" w:hAnsiTheme="minorHAnsi"/>
          <w:i/>
          <w:sz w:val="24"/>
          <w:szCs w:val="24"/>
        </w:rPr>
        <w:t>6</w:t>
      </w:r>
      <w:r w:rsidR="005349F3" w:rsidRPr="00024895">
        <w:rPr>
          <w:rFonts w:asciiTheme="minorHAnsi" w:hAnsiTheme="minorHAnsi"/>
          <w:i/>
          <w:sz w:val="24"/>
          <w:szCs w:val="24"/>
        </w:rPr>
        <w:t xml:space="preserve"> </w:t>
      </w:r>
      <w:r w:rsidRPr="00024895">
        <w:rPr>
          <w:rFonts w:asciiTheme="minorHAnsi" w:hAnsiTheme="minorHAnsi"/>
          <w:i/>
          <w:sz w:val="24"/>
          <w:szCs w:val="24"/>
        </w:rPr>
        <w:t>PBAC outcome.</w:t>
      </w:r>
    </w:p>
    <w:p w:rsidR="000B558D" w:rsidRPr="00024895" w:rsidRDefault="008D7A41" w:rsidP="000E5444">
      <w:pPr>
        <w:pStyle w:val="Heading1"/>
        <w:keepNext/>
        <w:keepLines/>
        <w:widowControl/>
        <w:numPr>
          <w:ilvl w:val="0"/>
          <w:numId w:val="14"/>
        </w:numPr>
        <w:spacing w:before="120" w:after="120"/>
        <w:ind w:left="709" w:hanging="709"/>
        <w:contextualSpacing w:val="0"/>
        <w:jc w:val="left"/>
        <w:rPr>
          <w:rFonts w:asciiTheme="minorHAnsi" w:hAnsiTheme="minorHAnsi"/>
          <w:sz w:val="32"/>
          <w:szCs w:val="32"/>
        </w:rPr>
      </w:pPr>
      <w:r w:rsidRPr="00024895">
        <w:rPr>
          <w:rFonts w:asciiTheme="minorHAnsi" w:hAnsiTheme="minorHAnsi"/>
          <w:sz w:val="32"/>
          <w:szCs w:val="32"/>
        </w:rPr>
        <w:t>C</w:t>
      </w:r>
      <w:r w:rsidR="00D84934" w:rsidRPr="00024895">
        <w:rPr>
          <w:rFonts w:asciiTheme="minorHAnsi" w:hAnsiTheme="minorHAnsi"/>
          <w:sz w:val="32"/>
          <w:szCs w:val="32"/>
        </w:rPr>
        <w:t>onsideration of the evidence</w:t>
      </w:r>
    </w:p>
    <w:p w:rsidR="00D84934" w:rsidRPr="00024895" w:rsidRDefault="00D84934" w:rsidP="000E5444">
      <w:pPr>
        <w:pStyle w:val="Heading2"/>
        <w:keepLines/>
        <w:spacing w:before="120" w:after="120"/>
        <w:rPr>
          <w:rFonts w:asciiTheme="minorHAnsi" w:eastAsiaTheme="majorEastAsia" w:hAnsiTheme="minorHAnsi" w:cstheme="majorBidi"/>
          <w:sz w:val="28"/>
          <w:szCs w:val="28"/>
          <w:lang w:eastAsia="en-US"/>
        </w:rPr>
      </w:pPr>
      <w:r w:rsidRPr="00024895">
        <w:rPr>
          <w:rFonts w:asciiTheme="minorHAnsi" w:eastAsiaTheme="majorEastAsia" w:hAnsiTheme="minorHAnsi" w:cstheme="majorBidi"/>
          <w:sz w:val="28"/>
          <w:szCs w:val="28"/>
          <w:lang w:eastAsia="en-US"/>
        </w:rPr>
        <w:t>Clinical trials</w:t>
      </w:r>
    </w:p>
    <w:p w:rsidR="00DE65F3" w:rsidRPr="00024895" w:rsidRDefault="00DE65F3" w:rsidP="000E5444">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024895">
        <w:rPr>
          <w:rFonts w:asciiTheme="minorHAnsi" w:eastAsiaTheme="minorHAnsi" w:hAnsiTheme="minorHAnsi" w:cstheme="minorBidi"/>
          <w:snapToGrid/>
          <w:sz w:val="24"/>
          <w:szCs w:val="22"/>
        </w:rPr>
        <w:t>The TGA ha</w:t>
      </w:r>
      <w:r w:rsidR="00F32066" w:rsidRPr="00024895">
        <w:rPr>
          <w:rFonts w:asciiTheme="minorHAnsi" w:eastAsiaTheme="minorHAnsi" w:hAnsiTheme="minorHAnsi" w:cstheme="minorBidi"/>
          <w:snapToGrid/>
          <w:sz w:val="24"/>
          <w:szCs w:val="22"/>
        </w:rPr>
        <w:t>s</w:t>
      </w:r>
      <w:r w:rsidRPr="00024895">
        <w:rPr>
          <w:rFonts w:asciiTheme="minorHAnsi" w:eastAsiaTheme="minorHAnsi" w:hAnsiTheme="minorHAnsi" w:cstheme="minorBidi"/>
          <w:snapToGrid/>
          <w:sz w:val="24"/>
          <w:szCs w:val="22"/>
        </w:rPr>
        <w:t xml:space="preserve"> previously considered </w:t>
      </w:r>
      <w:proofErr w:type="spellStart"/>
      <w:r w:rsidRPr="00024895">
        <w:rPr>
          <w:rFonts w:asciiTheme="minorHAnsi" w:eastAsiaTheme="minorHAnsi" w:hAnsiTheme="minorHAnsi" w:cstheme="minorBidi"/>
          <w:snapToGrid/>
          <w:sz w:val="24"/>
          <w:szCs w:val="22"/>
        </w:rPr>
        <w:t>Renagel</w:t>
      </w:r>
      <w:proofErr w:type="spellEnd"/>
      <w:r w:rsidRPr="00024895">
        <w:rPr>
          <w:rFonts w:asciiTheme="minorHAnsi" w:eastAsiaTheme="minorHAnsi" w:hAnsiTheme="minorHAnsi" w:cstheme="minorBidi"/>
          <w:snapToGrid/>
          <w:sz w:val="24"/>
          <w:szCs w:val="22"/>
        </w:rPr>
        <w:t xml:space="preserve"> and </w:t>
      </w:r>
      <w:proofErr w:type="spellStart"/>
      <w:r w:rsidRPr="00024895">
        <w:rPr>
          <w:rFonts w:asciiTheme="minorHAnsi" w:eastAsiaTheme="minorHAnsi" w:hAnsiTheme="minorHAnsi" w:cstheme="minorBidi"/>
          <w:snapToGrid/>
          <w:sz w:val="24"/>
          <w:szCs w:val="22"/>
        </w:rPr>
        <w:t>sevelamer</w:t>
      </w:r>
      <w:proofErr w:type="spellEnd"/>
      <w:r w:rsidRPr="00024895">
        <w:rPr>
          <w:rFonts w:asciiTheme="minorHAnsi" w:eastAsiaTheme="minorHAnsi" w:hAnsiTheme="minorHAnsi" w:cstheme="minorBidi"/>
          <w:snapToGrid/>
          <w:sz w:val="24"/>
          <w:szCs w:val="22"/>
        </w:rPr>
        <w:t xml:space="preserve"> carbonate (</w:t>
      </w:r>
      <w:proofErr w:type="spellStart"/>
      <w:r w:rsidRPr="00024895">
        <w:rPr>
          <w:rFonts w:asciiTheme="minorHAnsi" w:eastAsiaTheme="minorHAnsi" w:hAnsiTheme="minorHAnsi" w:cstheme="minorBidi"/>
          <w:snapToGrid/>
          <w:sz w:val="24"/>
          <w:szCs w:val="22"/>
        </w:rPr>
        <w:t>Renvela</w:t>
      </w:r>
      <w:proofErr w:type="spellEnd"/>
      <w:r w:rsidRPr="00024895">
        <w:rPr>
          <w:rFonts w:asciiTheme="minorHAnsi" w:eastAsiaTheme="minorHAnsi" w:hAnsiTheme="minorHAnsi" w:cstheme="minorBidi"/>
          <w:snapToGrid/>
          <w:sz w:val="24"/>
          <w:szCs w:val="22"/>
        </w:rPr>
        <w:t>) salts to have</w:t>
      </w:r>
      <w:r w:rsidR="005B61E7" w:rsidRPr="00024895">
        <w:rPr>
          <w:rFonts w:asciiTheme="minorHAnsi" w:eastAsiaTheme="minorHAnsi" w:hAnsiTheme="minorHAnsi" w:cstheme="minorBidi"/>
          <w:snapToGrid/>
          <w:sz w:val="24"/>
          <w:szCs w:val="22"/>
        </w:rPr>
        <w:t xml:space="preserve"> a</w:t>
      </w:r>
      <w:r w:rsidRPr="00024895">
        <w:rPr>
          <w:rFonts w:asciiTheme="minorHAnsi" w:eastAsiaTheme="minorHAnsi" w:hAnsiTheme="minorHAnsi" w:cstheme="minorBidi"/>
          <w:snapToGrid/>
          <w:sz w:val="24"/>
          <w:szCs w:val="22"/>
        </w:rPr>
        <w:t xml:space="preserve"> favourable benefit risk profile in</w:t>
      </w:r>
      <w:r w:rsidR="005B61E7" w:rsidRPr="00024895">
        <w:rPr>
          <w:rFonts w:asciiTheme="minorHAnsi" w:eastAsiaTheme="minorHAnsi" w:hAnsiTheme="minorHAnsi" w:cstheme="minorBidi"/>
          <w:snapToGrid/>
          <w:sz w:val="24"/>
          <w:szCs w:val="22"/>
        </w:rPr>
        <w:t xml:space="preserve"> adult</w:t>
      </w:r>
      <w:r w:rsidRPr="00024895">
        <w:rPr>
          <w:rFonts w:asciiTheme="minorHAnsi" w:eastAsiaTheme="minorHAnsi" w:hAnsiTheme="minorHAnsi" w:cstheme="minorBidi"/>
          <w:snapToGrid/>
          <w:sz w:val="24"/>
          <w:szCs w:val="22"/>
        </w:rPr>
        <w:t xml:space="preserve"> patients with stage 4 and 5 chronic renal disease</w:t>
      </w:r>
      <w:r w:rsidR="00277735" w:rsidRPr="00024895">
        <w:rPr>
          <w:rFonts w:asciiTheme="minorHAnsi" w:eastAsiaTheme="minorHAnsi" w:hAnsiTheme="minorHAnsi" w:cstheme="minorBidi"/>
          <w:snapToGrid/>
          <w:sz w:val="24"/>
          <w:szCs w:val="22"/>
        </w:rPr>
        <w:t xml:space="preserve">. </w:t>
      </w:r>
      <w:r w:rsidR="00E4433F" w:rsidRPr="00024895">
        <w:rPr>
          <w:rFonts w:asciiTheme="minorHAnsi" w:eastAsiaTheme="minorHAnsi" w:hAnsiTheme="minorHAnsi" w:cstheme="minorBidi"/>
          <w:snapToGrid/>
          <w:sz w:val="24"/>
          <w:szCs w:val="22"/>
        </w:rPr>
        <w:t>T</w:t>
      </w:r>
      <w:r w:rsidR="00277735" w:rsidRPr="00024895">
        <w:rPr>
          <w:rFonts w:asciiTheme="minorHAnsi" w:eastAsiaTheme="minorHAnsi" w:hAnsiTheme="minorHAnsi" w:cstheme="minorBidi"/>
          <w:snapToGrid/>
          <w:sz w:val="24"/>
          <w:szCs w:val="22"/>
        </w:rPr>
        <w:t>he TGA</w:t>
      </w:r>
      <w:r w:rsidR="00E4433F" w:rsidRPr="00024895">
        <w:rPr>
          <w:rFonts w:asciiTheme="minorHAnsi" w:eastAsiaTheme="minorHAnsi" w:hAnsiTheme="minorHAnsi" w:cstheme="minorBidi"/>
          <w:snapToGrid/>
          <w:sz w:val="24"/>
          <w:szCs w:val="22"/>
        </w:rPr>
        <w:t xml:space="preserve"> based this conclusion on</w:t>
      </w:r>
      <w:r w:rsidR="005B61E7" w:rsidRPr="00024895">
        <w:rPr>
          <w:rFonts w:asciiTheme="minorHAnsi" w:eastAsiaTheme="minorHAnsi" w:hAnsiTheme="minorHAnsi" w:cstheme="minorBidi"/>
          <w:snapToGrid/>
          <w:sz w:val="24"/>
          <w:szCs w:val="22"/>
        </w:rPr>
        <w:t xml:space="preserve"> t</w:t>
      </w:r>
      <w:r w:rsidRPr="00024895">
        <w:rPr>
          <w:rFonts w:asciiTheme="minorHAnsi" w:eastAsiaTheme="minorHAnsi" w:hAnsiTheme="minorHAnsi" w:cstheme="minorBidi"/>
          <w:snapToGrid/>
          <w:sz w:val="24"/>
          <w:szCs w:val="22"/>
        </w:rPr>
        <w:t>herape</w:t>
      </w:r>
      <w:r w:rsidR="00277735" w:rsidRPr="00024895">
        <w:rPr>
          <w:rFonts w:asciiTheme="minorHAnsi" w:eastAsiaTheme="minorHAnsi" w:hAnsiTheme="minorHAnsi" w:cstheme="minorBidi"/>
          <w:snapToGrid/>
          <w:sz w:val="24"/>
          <w:szCs w:val="22"/>
        </w:rPr>
        <w:t>utic</w:t>
      </w:r>
      <w:r w:rsidR="005B61E7" w:rsidRPr="00024895">
        <w:rPr>
          <w:rFonts w:asciiTheme="minorHAnsi" w:eastAsiaTheme="minorHAnsi" w:hAnsiTheme="minorHAnsi" w:cstheme="minorBidi"/>
          <w:snapToGrid/>
          <w:sz w:val="24"/>
          <w:szCs w:val="22"/>
        </w:rPr>
        <w:t xml:space="preserve"> equivalence evidenced from </w:t>
      </w:r>
      <w:r w:rsidRPr="00024895">
        <w:rPr>
          <w:rFonts w:asciiTheme="minorHAnsi" w:eastAsiaTheme="minorHAnsi" w:hAnsiTheme="minorHAnsi" w:cstheme="minorBidi"/>
          <w:snapToGrid/>
          <w:sz w:val="24"/>
          <w:szCs w:val="22"/>
        </w:rPr>
        <w:t xml:space="preserve">extensive </w:t>
      </w:r>
      <w:r w:rsidR="00024895" w:rsidRPr="00024895">
        <w:rPr>
          <w:rFonts w:asciiTheme="minorHAnsi" w:eastAsiaTheme="minorHAnsi" w:hAnsiTheme="minorHAnsi" w:cstheme="minorBidi"/>
          <w:snapToGrid/>
          <w:sz w:val="24"/>
          <w:szCs w:val="22"/>
        </w:rPr>
        <w:t>worldwide</w:t>
      </w:r>
      <w:r w:rsidR="005B61E7" w:rsidRPr="00024895">
        <w:rPr>
          <w:rFonts w:asciiTheme="minorHAnsi" w:eastAsiaTheme="minorHAnsi" w:hAnsiTheme="minorHAnsi" w:cstheme="minorBidi"/>
          <w:snapToGrid/>
          <w:sz w:val="24"/>
          <w:szCs w:val="22"/>
        </w:rPr>
        <w:t xml:space="preserve"> </w:t>
      </w:r>
      <w:r w:rsidR="00024895" w:rsidRPr="00024895">
        <w:rPr>
          <w:rFonts w:asciiTheme="minorHAnsi" w:eastAsiaTheme="minorHAnsi" w:hAnsiTheme="minorHAnsi" w:cstheme="minorBidi"/>
          <w:snapToGrid/>
          <w:sz w:val="24"/>
          <w:szCs w:val="22"/>
        </w:rPr>
        <w:t>post marketing</w:t>
      </w:r>
      <w:r w:rsidR="005B61E7" w:rsidRPr="00024895">
        <w:rPr>
          <w:rFonts w:asciiTheme="minorHAnsi" w:eastAsiaTheme="minorHAnsi" w:hAnsiTheme="minorHAnsi" w:cstheme="minorBidi"/>
          <w:snapToGrid/>
          <w:sz w:val="24"/>
          <w:szCs w:val="22"/>
        </w:rPr>
        <w:t xml:space="preserve"> experience,</w:t>
      </w:r>
      <w:r w:rsidRPr="00024895">
        <w:rPr>
          <w:rFonts w:asciiTheme="minorHAnsi" w:eastAsiaTheme="minorHAnsi" w:hAnsiTheme="minorHAnsi" w:cstheme="minorBidi"/>
          <w:snapToGrid/>
          <w:sz w:val="24"/>
          <w:szCs w:val="22"/>
        </w:rPr>
        <w:t xml:space="preserve"> long </w:t>
      </w:r>
      <w:r w:rsidR="005B61E7" w:rsidRPr="00024895">
        <w:rPr>
          <w:rFonts w:asciiTheme="minorHAnsi" w:eastAsiaTheme="minorHAnsi" w:hAnsiTheme="minorHAnsi" w:cstheme="minorBidi"/>
          <w:snapToGrid/>
          <w:sz w:val="24"/>
          <w:szCs w:val="22"/>
        </w:rPr>
        <w:t>established use in clinical practice in Australia and safety profile based on estimated cumulative exposure of 1.9 million patient years for both the salts</w:t>
      </w:r>
      <w:r w:rsidR="00277735" w:rsidRPr="00024895">
        <w:rPr>
          <w:rStyle w:val="FootnoteReference"/>
          <w:rFonts w:asciiTheme="minorHAnsi" w:eastAsiaTheme="minorHAnsi" w:hAnsiTheme="minorHAnsi" w:cstheme="minorBidi"/>
          <w:snapToGrid/>
          <w:sz w:val="24"/>
          <w:szCs w:val="22"/>
        </w:rPr>
        <w:footnoteReference w:id="1"/>
      </w:r>
      <w:r w:rsidR="005B61E7" w:rsidRPr="00024895">
        <w:rPr>
          <w:rFonts w:asciiTheme="minorHAnsi" w:eastAsiaTheme="minorHAnsi" w:hAnsiTheme="minorHAnsi" w:cstheme="minorBidi"/>
          <w:snapToGrid/>
          <w:sz w:val="24"/>
          <w:szCs w:val="22"/>
        </w:rPr>
        <w:t>.</w:t>
      </w:r>
    </w:p>
    <w:p w:rsidR="0076420C" w:rsidRPr="007A40B9" w:rsidRDefault="00B50F84" w:rsidP="000E5444">
      <w:pPr>
        <w:pStyle w:val="ListParagraph"/>
        <w:widowControl/>
        <w:numPr>
          <w:ilvl w:val="1"/>
          <w:numId w:val="14"/>
        </w:numPr>
        <w:spacing w:before="120" w:after="120"/>
        <w:contextualSpacing w:val="0"/>
        <w:rPr>
          <w:rFonts w:asciiTheme="minorHAnsi" w:eastAsiaTheme="minorHAnsi" w:hAnsiTheme="minorHAnsi" w:cstheme="minorBidi"/>
          <w:snapToGrid/>
          <w:sz w:val="24"/>
          <w:szCs w:val="22"/>
        </w:rPr>
      </w:pPr>
      <w:r w:rsidRPr="00024895">
        <w:rPr>
          <w:rFonts w:asciiTheme="minorHAnsi" w:eastAsiaTheme="minorHAnsi" w:hAnsiTheme="minorHAnsi" w:cstheme="minorBidi"/>
          <w:snapToGrid/>
          <w:sz w:val="24"/>
          <w:szCs w:val="22"/>
        </w:rPr>
        <w:t xml:space="preserve">The submission presented one in vitro equilibrium </w:t>
      </w:r>
      <w:r w:rsidR="00C34322" w:rsidRPr="00024895">
        <w:rPr>
          <w:rFonts w:asciiTheme="minorHAnsi" w:eastAsiaTheme="minorHAnsi" w:hAnsiTheme="minorHAnsi" w:cstheme="minorBidi"/>
          <w:snapToGrid/>
          <w:sz w:val="24"/>
          <w:szCs w:val="22"/>
        </w:rPr>
        <w:t xml:space="preserve">binding </w:t>
      </w:r>
      <w:r w:rsidRPr="00024895">
        <w:rPr>
          <w:rFonts w:asciiTheme="minorHAnsi" w:eastAsiaTheme="minorHAnsi" w:hAnsiTheme="minorHAnsi" w:cstheme="minorBidi"/>
          <w:snapToGrid/>
          <w:sz w:val="24"/>
          <w:szCs w:val="22"/>
        </w:rPr>
        <w:t xml:space="preserve">and kinetic study (VP15151) to demonstrate bioequivalence between 800 mg tablets of </w:t>
      </w:r>
      <w:proofErr w:type="spellStart"/>
      <w:r w:rsidRPr="00024895">
        <w:rPr>
          <w:rFonts w:asciiTheme="minorHAnsi" w:eastAsiaTheme="minorHAnsi" w:hAnsiTheme="minorHAnsi" w:cstheme="minorBidi"/>
          <w:snapToGrid/>
          <w:sz w:val="24"/>
          <w:szCs w:val="22"/>
        </w:rPr>
        <w:t>sevelamer</w:t>
      </w:r>
      <w:proofErr w:type="spellEnd"/>
      <w:r w:rsidRPr="00024895">
        <w:rPr>
          <w:rFonts w:asciiTheme="minorHAnsi" w:eastAsiaTheme="minorHAnsi" w:hAnsiTheme="minorHAnsi" w:cstheme="minorBidi"/>
          <w:snapToGrid/>
          <w:sz w:val="24"/>
          <w:szCs w:val="22"/>
        </w:rPr>
        <w:t xml:space="preserve"> Dr Reddy’s and </w:t>
      </w:r>
      <w:proofErr w:type="spellStart"/>
      <w:r w:rsidRPr="00024895">
        <w:rPr>
          <w:rFonts w:asciiTheme="minorHAnsi" w:eastAsiaTheme="minorHAnsi" w:hAnsiTheme="minorHAnsi" w:cstheme="minorBidi"/>
          <w:snapToGrid/>
          <w:sz w:val="24"/>
          <w:szCs w:val="22"/>
        </w:rPr>
        <w:t>Renvela</w:t>
      </w:r>
      <w:proofErr w:type="spellEnd"/>
      <w:r w:rsidRPr="00024895">
        <w:rPr>
          <w:rFonts w:asciiTheme="minorHAnsi" w:eastAsiaTheme="minorHAnsi" w:hAnsiTheme="minorHAnsi" w:cstheme="minorBidi"/>
          <w:snapToGrid/>
          <w:sz w:val="24"/>
          <w:szCs w:val="22"/>
        </w:rPr>
        <w:t>.</w:t>
      </w:r>
      <w:r w:rsidR="00157A33" w:rsidRPr="00024895">
        <w:rPr>
          <w:rFonts w:asciiTheme="minorHAnsi" w:eastAsiaTheme="minorHAnsi" w:hAnsiTheme="minorHAnsi" w:cstheme="minorBidi"/>
          <w:snapToGrid/>
          <w:sz w:val="24"/>
          <w:szCs w:val="22"/>
        </w:rPr>
        <w:t xml:space="preserve"> </w:t>
      </w:r>
    </w:p>
    <w:p w:rsidR="0076420C" w:rsidRPr="00024895" w:rsidRDefault="0050706D" w:rsidP="00217BE1">
      <w:pPr>
        <w:pStyle w:val="NoSpacing"/>
        <w:spacing w:after="60"/>
        <w:rPr>
          <w:rFonts w:ascii="Arial Narrow" w:hAnsi="Arial Narrow"/>
          <w:b/>
          <w:sz w:val="20"/>
        </w:rPr>
      </w:pPr>
      <w:r>
        <w:rPr>
          <w:rFonts w:ascii="Arial Narrow" w:hAnsi="Arial Narrow"/>
          <w:b/>
          <w:sz w:val="20"/>
        </w:rPr>
        <w:t xml:space="preserve">Table 1: </w:t>
      </w:r>
      <w:r w:rsidR="0076420C" w:rsidRPr="00024895">
        <w:rPr>
          <w:rFonts w:ascii="Arial Narrow" w:hAnsi="Arial Narrow"/>
          <w:b/>
          <w:sz w:val="20"/>
        </w:rPr>
        <w:t>Trials and associa</w:t>
      </w:r>
      <w:r w:rsidR="00B50F84" w:rsidRPr="00024895">
        <w:rPr>
          <w:rFonts w:ascii="Arial Narrow" w:hAnsi="Arial Narrow"/>
          <w:b/>
          <w:sz w:val="20"/>
        </w:rPr>
        <w:t xml:space="preserve">ted reports presented in the </w:t>
      </w:r>
      <w:r w:rsidR="0076420C" w:rsidRPr="00024895">
        <w:rPr>
          <w:rFonts w:ascii="Arial Narrow" w:hAnsi="Arial Narrow"/>
          <w:b/>
          <w:sz w:val="20"/>
        </w:rPr>
        <w:t>submission</w:t>
      </w:r>
    </w:p>
    <w:tbl>
      <w:tblPr>
        <w:tblW w:w="49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Caption w:val="Trials and associated reports presented in the submission"/>
      </w:tblPr>
      <w:tblGrid>
        <w:gridCol w:w="1411"/>
        <w:gridCol w:w="5363"/>
        <w:gridCol w:w="2085"/>
      </w:tblGrid>
      <w:tr w:rsidR="0076420C" w:rsidRPr="00024895" w:rsidTr="00D31150">
        <w:trPr>
          <w:cantSplit/>
          <w:trHeight w:val="539"/>
          <w:tblHeader/>
        </w:trPr>
        <w:tc>
          <w:tcPr>
            <w:tcW w:w="796" w:type="pct"/>
          </w:tcPr>
          <w:p w:rsidR="0076420C" w:rsidRPr="00024895" w:rsidRDefault="0076420C" w:rsidP="006670BE">
            <w:pPr>
              <w:pStyle w:val="NoSpacing"/>
              <w:spacing w:before="40" w:after="40"/>
              <w:jc w:val="left"/>
              <w:rPr>
                <w:rFonts w:ascii="Arial Narrow" w:hAnsi="Arial Narrow"/>
                <w:b/>
                <w:sz w:val="20"/>
              </w:rPr>
            </w:pPr>
            <w:r w:rsidRPr="00024895">
              <w:rPr>
                <w:rFonts w:ascii="Arial Narrow" w:hAnsi="Arial Narrow"/>
                <w:b/>
                <w:sz w:val="20"/>
              </w:rPr>
              <w:t>Trial ID</w:t>
            </w:r>
            <w:r w:rsidR="006670BE" w:rsidRPr="00024895">
              <w:rPr>
                <w:rFonts w:ascii="Arial Narrow" w:hAnsi="Arial Narrow"/>
                <w:b/>
                <w:sz w:val="20"/>
              </w:rPr>
              <w:t>/First Author</w:t>
            </w:r>
          </w:p>
        </w:tc>
        <w:tc>
          <w:tcPr>
            <w:tcW w:w="3027" w:type="pct"/>
          </w:tcPr>
          <w:p w:rsidR="0076420C" w:rsidRPr="00024895" w:rsidRDefault="0076420C" w:rsidP="006670BE">
            <w:pPr>
              <w:keepNext/>
              <w:spacing w:before="40" w:after="40"/>
              <w:rPr>
                <w:rFonts w:ascii="Arial Narrow" w:hAnsi="Arial Narrow"/>
                <w:b/>
                <w:sz w:val="20"/>
              </w:rPr>
            </w:pPr>
            <w:r w:rsidRPr="00024895">
              <w:rPr>
                <w:rFonts w:ascii="Arial Narrow" w:hAnsi="Arial Narrow"/>
                <w:b/>
                <w:sz w:val="20"/>
              </w:rPr>
              <w:t>Protocol title/ Publication title</w:t>
            </w:r>
          </w:p>
        </w:tc>
        <w:tc>
          <w:tcPr>
            <w:tcW w:w="1177" w:type="pct"/>
          </w:tcPr>
          <w:p w:rsidR="0076420C" w:rsidRPr="00024895" w:rsidRDefault="0076420C" w:rsidP="006670BE">
            <w:pPr>
              <w:keepNext/>
              <w:spacing w:before="40" w:after="40"/>
              <w:rPr>
                <w:rFonts w:ascii="Arial Narrow" w:hAnsi="Arial Narrow"/>
                <w:b/>
                <w:sz w:val="20"/>
              </w:rPr>
            </w:pPr>
            <w:r w:rsidRPr="00024895">
              <w:rPr>
                <w:rFonts w:ascii="Arial Narrow" w:hAnsi="Arial Narrow"/>
                <w:b/>
                <w:sz w:val="20"/>
              </w:rPr>
              <w:t>Publication citation</w:t>
            </w:r>
          </w:p>
        </w:tc>
      </w:tr>
      <w:tr w:rsidR="0076420C" w:rsidRPr="00024895" w:rsidTr="004A71D1">
        <w:trPr>
          <w:cantSplit/>
        </w:trPr>
        <w:tc>
          <w:tcPr>
            <w:tcW w:w="5000" w:type="pct"/>
            <w:gridSpan w:val="3"/>
          </w:tcPr>
          <w:p w:rsidR="0076420C" w:rsidRPr="00024895" w:rsidRDefault="00157A33" w:rsidP="006670BE">
            <w:pPr>
              <w:pStyle w:val="NoSpacing"/>
              <w:spacing w:before="40" w:after="40"/>
              <w:rPr>
                <w:rFonts w:ascii="Arial Narrow" w:hAnsi="Arial Narrow"/>
                <w:b/>
                <w:sz w:val="20"/>
              </w:rPr>
            </w:pPr>
            <w:r w:rsidRPr="00024895">
              <w:rPr>
                <w:rFonts w:ascii="Arial Narrow" w:hAnsi="Arial Narrow"/>
                <w:b/>
                <w:sz w:val="20"/>
              </w:rPr>
              <w:t>Bioequivalence studies</w:t>
            </w:r>
          </w:p>
        </w:tc>
      </w:tr>
      <w:tr w:rsidR="0076420C" w:rsidRPr="00024895" w:rsidTr="004A71D1">
        <w:trPr>
          <w:cantSplit/>
        </w:trPr>
        <w:tc>
          <w:tcPr>
            <w:tcW w:w="796" w:type="pct"/>
          </w:tcPr>
          <w:p w:rsidR="0076420C" w:rsidRPr="00024895" w:rsidRDefault="007A0CD6" w:rsidP="004A71D1">
            <w:pPr>
              <w:pStyle w:val="NoSpacing"/>
              <w:tabs>
                <w:tab w:val="left" w:pos="1289"/>
              </w:tabs>
              <w:jc w:val="left"/>
              <w:rPr>
                <w:rFonts w:ascii="Arial Narrow" w:hAnsi="Arial Narrow"/>
                <w:sz w:val="20"/>
              </w:rPr>
            </w:pPr>
            <w:r w:rsidRPr="00024895">
              <w:rPr>
                <w:rFonts w:ascii="Arial Narrow" w:hAnsi="Arial Narrow"/>
                <w:sz w:val="20"/>
              </w:rPr>
              <w:t xml:space="preserve">VP15151 </w:t>
            </w:r>
          </w:p>
        </w:tc>
        <w:tc>
          <w:tcPr>
            <w:tcW w:w="3027" w:type="pct"/>
          </w:tcPr>
          <w:p w:rsidR="0076420C" w:rsidRPr="00024895" w:rsidRDefault="007A0CD6" w:rsidP="007A0CD6">
            <w:pPr>
              <w:keepNext/>
              <w:rPr>
                <w:rFonts w:ascii="Arial Narrow" w:hAnsi="Arial Narrow"/>
                <w:sz w:val="20"/>
              </w:rPr>
            </w:pPr>
            <w:r w:rsidRPr="00024895">
              <w:rPr>
                <w:rFonts w:ascii="Arial Narrow" w:hAnsi="Arial Narrow"/>
                <w:sz w:val="20"/>
              </w:rPr>
              <w:t xml:space="preserve">In-Vitro </w:t>
            </w:r>
            <w:r w:rsidR="00157A33" w:rsidRPr="00024895">
              <w:rPr>
                <w:rFonts w:ascii="Arial Narrow" w:hAnsi="Arial Narrow"/>
                <w:sz w:val="20"/>
              </w:rPr>
              <w:t>Bioequivalence</w:t>
            </w:r>
            <w:r w:rsidRPr="00024895">
              <w:rPr>
                <w:rFonts w:ascii="Arial Narrow" w:hAnsi="Arial Narrow"/>
                <w:sz w:val="20"/>
              </w:rPr>
              <w:t xml:space="preserve"> study of </w:t>
            </w:r>
            <w:proofErr w:type="spellStart"/>
            <w:r w:rsidRPr="00024895">
              <w:rPr>
                <w:rFonts w:ascii="Arial Narrow" w:hAnsi="Arial Narrow"/>
                <w:sz w:val="20"/>
              </w:rPr>
              <w:t>sevelamer</w:t>
            </w:r>
            <w:proofErr w:type="spellEnd"/>
            <w:r w:rsidRPr="00024895">
              <w:rPr>
                <w:rFonts w:ascii="Arial Narrow" w:hAnsi="Arial Narrow"/>
                <w:sz w:val="20"/>
              </w:rPr>
              <w:t xml:space="preserve"> carbonate tablets 800 mg (</w:t>
            </w:r>
            <w:proofErr w:type="spellStart"/>
            <w:r w:rsidRPr="00024895">
              <w:rPr>
                <w:rFonts w:ascii="Arial Narrow" w:hAnsi="Arial Narrow"/>
                <w:sz w:val="20"/>
              </w:rPr>
              <w:t>biostatistical</w:t>
            </w:r>
            <w:proofErr w:type="spellEnd"/>
            <w:r w:rsidRPr="00024895">
              <w:rPr>
                <w:rFonts w:ascii="Arial Narrow" w:hAnsi="Arial Narrow"/>
                <w:sz w:val="20"/>
              </w:rPr>
              <w:t xml:space="preserve"> component)</w:t>
            </w:r>
          </w:p>
        </w:tc>
        <w:tc>
          <w:tcPr>
            <w:tcW w:w="1177" w:type="pct"/>
          </w:tcPr>
          <w:p w:rsidR="0076420C" w:rsidRPr="00024895" w:rsidRDefault="007A0CD6" w:rsidP="0062748A">
            <w:pPr>
              <w:keepNext/>
              <w:rPr>
                <w:rFonts w:ascii="Arial Narrow" w:hAnsi="Arial Narrow"/>
                <w:sz w:val="20"/>
              </w:rPr>
            </w:pPr>
            <w:r w:rsidRPr="00024895">
              <w:rPr>
                <w:rFonts w:ascii="Arial Narrow" w:hAnsi="Arial Narrow"/>
                <w:sz w:val="20"/>
              </w:rPr>
              <w:t xml:space="preserve">Unpublished </w:t>
            </w:r>
          </w:p>
        </w:tc>
      </w:tr>
    </w:tbl>
    <w:p w:rsidR="0076420C" w:rsidRPr="00024895" w:rsidRDefault="0076420C" w:rsidP="004A71D1">
      <w:pPr>
        <w:pStyle w:val="tablenotes"/>
        <w:spacing w:after="120"/>
        <w:rPr>
          <w:rFonts w:ascii="Arial Narrow" w:hAnsi="Arial Narrow"/>
          <w:sz w:val="18"/>
          <w:szCs w:val="18"/>
        </w:rPr>
      </w:pPr>
      <w:r w:rsidRPr="00024895">
        <w:rPr>
          <w:rFonts w:ascii="Arial Narrow" w:hAnsi="Arial Narrow"/>
          <w:sz w:val="18"/>
          <w:szCs w:val="18"/>
        </w:rPr>
        <w:t xml:space="preserve">Source: </w:t>
      </w:r>
      <w:r w:rsidR="00157A33" w:rsidRPr="00024895">
        <w:rPr>
          <w:rFonts w:ascii="Arial Narrow" w:hAnsi="Arial Narrow"/>
          <w:sz w:val="18"/>
          <w:szCs w:val="18"/>
        </w:rPr>
        <w:t xml:space="preserve"> Attachment 3 to the submission.</w:t>
      </w:r>
    </w:p>
    <w:p w:rsidR="00024895" w:rsidRPr="00182295" w:rsidRDefault="00157A33" w:rsidP="000E5444">
      <w:pPr>
        <w:pStyle w:val="ListParagraph"/>
        <w:widowControl/>
        <w:numPr>
          <w:ilvl w:val="1"/>
          <w:numId w:val="5"/>
        </w:numPr>
        <w:spacing w:before="120" w:after="120"/>
        <w:contextualSpacing w:val="0"/>
        <w:rPr>
          <w:rFonts w:asciiTheme="minorHAnsi" w:eastAsiaTheme="minorHAnsi" w:hAnsiTheme="minorHAnsi" w:cstheme="minorBidi"/>
          <w:snapToGrid/>
          <w:sz w:val="24"/>
          <w:szCs w:val="24"/>
        </w:rPr>
      </w:pPr>
      <w:r w:rsidRPr="00024895">
        <w:rPr>
          <w:rFonts w:asciiTheme="minorHAnsi" w:eastAsiaTheme="minorHAnsi" w:hAnsiTheme="minorHAnsi" w:cstheme="minorBidi"/>
          <w:snapToGrid/>
          <w:sz w:val="24"/>
          <w:szCs w:val="22"/>
        </w:rPr>
        <w:lastRenderedPageBreak/>
        <w:t xml:space="preserve">Additionally, the submission also referenced results </w:t>
      </w:r>
      <w:r w:rsidR="00C34322" w:rsidRPr="00024895">
        <w:rPr>
          <w:rFonts w:asciiTheme="minorHAnsi" w:eastAsiaTheme="minorHAnsi" w:hAnsiTheme="minorHAnsi" w:cstheme="minorBidi"/>
          <w:snapToGrid/>
          <w:sz w:val="24"/>
          <w:szCs w:val="22"/>
        </w:rPr>
        <w:t>presented in the Australian Public Assessment R</w:t>
      </w:r>
      <w:r w:rsidR="00E4433F" w:rsidRPr="00024895">
        <w:rPr>
          <w:rFonts w:asciiTheme="minorHAnsi" w:eastAsiaTheme="minorHAnsi" w:hAnsiTheme="minorHAnsi" w:cstheme="minorBidi"/>
          <w:snapToGrid/>
          <w:sz w:val="24"/>
          <w:szCs w:val="22"/>
        </w:rPr>
        <w:t xml:space="preserve">ecord </w:t>
      </w:r>
      <w:r w:rsidR="00277735" w:rsidRPr="00024895">
        <w:rPr>
          <w:rFonts w:asciiTheme="minorHAnsi" w:eastAsiaTheme="minorHAnsi" w:hAnsiTheme="minorHAnsi" w:cstheme="minorBidi"/>
          <w:snapToGrid/>
          <w:sz w:val="24"/>
          <w:szCs w:val="22"/>
        </w:rPr>
        <w:t>(</w:t>
      </w:r>
      <w:proofErr w:type="spellStart"/>
      <w:r w:rsidR="00277735" w:rsidRPr="00024895">
        <w:rPr>
          <w:rFonts w:asciiTheme="minorHAnsi" w:eastAsiaTheme="minorHAnsi" w:hAnsiTheme="minorHAnsi" w:cstheme="minorBidi"/>
          <w:snapToGrid/>
          <w:sz w:val="24"/>
          <w:szCs w:val="22"/>
        </w:rPr>
        <w:t>AusPAR</w:t>
      </w:r>
      <w:proofErr w:type="spellEnd"/>
      <w:r w:rsidR="00277735" w:rsidRPr="00024895">
        <w:rPr>
          <w:rFonts w:asciiTheme="minorHAnsi" w:eastAsiaTheme="minorHAnsi" w:hAnsiTheme="minorHAnsi" w:cstheme="minorBidi"/>
          <w:snapToGrid/>
          <w:sz w:val="24"/>
          <w:szCs w:val="22"/>
        </w:rPr>
        <w:t xml:space="preserve">) </w:t>
      </w:r>
      <w:r w:rsidR="00C34322" w:rsidRPr="00024895">
        <w:rPr>
          <w:rFonts w:asciiTheme="minorHAnsi" w:eastAsiaTheme="minorHAnsi" w:hAnsiTheme="minorHAnsi" w:cstheme="minorBidi"/>
          <w:snapToGrid/>
          <w:sz w:val="24"/>
          <w:szCs w:val="22"/>
        </w:rPr>
        <w:t xml:space="preserve">for </w:t>
      </w:r>
      <w:proofErr w:type="spellStart"/>
      <w:r w:rsidR="00C34322" w:rsidRPr="00024895">
        <w:rPr>
          <w:rFonts w:asciiTheme="minorHAnsi" w:eastAsiaTheme="minorHAnsi" w:hAnsiTheme="minorHAnsi" w:cstheme="minorBidi"/>
          <w:snapToGrid/>
          <w:sz w:val="24"/>
          <w:szCs w:val="22"/>
        </w:rPr>
        <w:t>sevelamer</w:t>
      </w:r>
      <w:proofErr w:type="spellEnd"/>
      <w:r w:rsidR="00C34322" w:rsidRPr="00024895">
        <w:rPr>
          <w:rFonts w:asciiTheme="minorHAnsi" w:eastAsiaTheme="minorHAnsi" w:hAnsiTheme="minorHAnsi" w:cstheme="minorBidi"/>
          <w:snapToGrid/>
          <w:sz w:val="24"/>
          <w:szCs w:val="22"/>
        </w:rPr>
        <w:t xml:space="preserve"> carbonate (2015) for</w:t>
      </w:r>
      <w:r w:rsidRPr="00024895">
        <w:rPr>
          <w:rFonts w:asciiTheme="minorHAnsi" w:eastAsiaTheme="minorHAnsi" w:hAnsiTheme="minorHAnsi" w:cstheme="minorBidi"/>
          <w:snapToGrid/>
          <w:sz w:val="24"/>
          <w:szCs w:val="22"/>
        </w:rPr>
        <w:t xml:space="preserve"> </w:t>
      </w:r>
      <w:r w:rsidR="00C34322" w:rsidRPr="00024895">
        <w:rPr>
          <w:rFonts w:asciiTheme="minorHAnsi" w:eastAsiaTheme="minorHAnsi" w:hAnsiTheme="minorHAnsi" w:cstheme="minorBidi"/>
          <w:snapToGrid/>
          <w:sz w:val="24"/>
          <w:szCs w:val="22"/>
        </w:rPr>
        <w:t>two other studies:</w:t>
      </w:r>
    </w:p>
    <w:p w:rsidR="00024895" w:rsidRPr="00024895" w:rsidRDefault="00C34322" w:rsidP="000E5444">
      <w:pPr>
        <w:pStyle w:val="ListParagraph"/>
        <w:widowControl/>
        <w:numPr>
          <w:ilvl w:val="2"/>
          <w:numId w:val="5"/>
        </w:numPr>
        <w:spacing w:before="120" w:after="120"/>
        <w:contextualSpacing w:val="0"/>
        <w:rPr>
          <w:rFonts w:asciiTheme="minorHAnsi" w:eastAsiaTheme="minorHAnsi" w:hAnsiTheme="minorHAnsi" w:cstheme="minorBidi"/>
          <w:snapToGrid/>
          <w:sz w:val="24"/>
          <w:szCs w:val="22"/>
        </w:rPr>
      </w:pPr>
      <w:r w:rsidRPr="00024895">
        <w:rPr>
          <w:rFonts w:asciiTheme="minorHAnsi" w:eastAsiaTheme="minorHAnsi" w:hAnsiTheme="minorHAnsi" w:cstheme="minorBidi"/>
          <w:snapToGrid/>
          <w:sz w:val="24"/>
          <w:szCs w:val="22"/>
        </w:rPr>
        <w:t xml:space="preserve">an </w:t>
      </w:r>
      <w:r w:rsidR="00157A33" w:rsidRPr="00024895">
        <w:rPr>
          <w:rFonts w:asciiTheme="minorHAnsi" w:eastAsiaTheme="minorHAnsi" w:hAnsiTheme="minorHAnsi" w:cstheme="minorBidi"/>
          <w:snapToGrid/>
          <w:sz w:val="24"/>
          <w:szCs w:val="22"/>
        </w:rPr>
        <w:t xml:space="preserve">in vitro </w:t>
      </w:r>
      <w:r w:rsidRPr="00024895">
        <w:rPr>
          <w:rFonts w:asciiTheme="minorHAnsi" w:eastAsiaTheme="minorHAnsi" w:hAnsiTheme="minorHAnsi" w:cstheme="minorBidi"/>
          <w:snapToGrid/>
          <w:sz w:val="24"/>
          <w:szCs w:val="22"/>
        </w:rPr>
        <w:t>equilibrium binding and kin</w:t>
      </w:r>
      <w:r w:rsidR="00157A33" w:rsidRPr="00024895">
        <w:rPr>
          <w:rFonts w:asciiTheme="minorHAnsi" w:eastAsiaTheme="minorHAnsi" w:hAnsiTheme="minorHAnsi" w:cstheme="minorBidi"/>
          <w:snapToGrid/>
          <w:sz w:val="24"/>
          <w:szCs w:val="22"/>
        </w:rPr>
        <w:t>etic study</w:t>
      </w:r>
      <w:r w:rsidRPr="00024895">
        <w:rPr>
          <w:rFonts w:asciiTheme="minorHAnsi" w:eastAsiaTheme="minorHAnsi" w:hAnsiTheme="minorHAnsi" w:cstheme="minorBidi"/>
          <w:snapToGrid/>
          <w:sz w:val="24"/>
          <w:szCs w:val="22"/>
        </w:rPr>
        <w:t xml:space="preserve"> </w:t>
      </w:r>
      <w:r w:rsidR="00157A33" w:rsidRPr="00024895">
        <w:rPr>
          <w:rFonts w:asciiTheme="minorHAnsi" w:eastAsiaTheme="minorHAnsi" w:hAnsiTheme="minorHAnsi" w:cstheme="minorBidi"/>
          <w:snapToGrid/>
          <w:sz w:val="24"/>
          <w:szCs w:val="22"/>
        </w:rPr>
        <w:t xml:space="preserve">(TR-2527-07-SC) to demonstrate bioequivalence </w:t>
      </w:r>
      <w:r w:rsidRPr="00024895">
        <w:rPr>
          <w:rFonts w:asciiTheme="minorHAnsi" w:eastAsiaTheme="minorHAnsi" w:hAnsiTheme="minorHAnsi" w:cstheme="minorBidi"/>
          <w:snapToGrid/>
          <w:sz w:val="24"/>
          <w:szCs w:val="22"/>
        </w:rPr>
        <w:t xml:space="preserve">between </w:t>
      </w:r>
      <w:proofErr w:type="spellStart"/>
      <w:r w:rsidRPr="00024895">
        <w:rPr>
          <w:rFonts w:asciiTheme="minorHAnsi" w:eastAsiaTheme="minorHAnsi" w:hAnsiTheme="minorHAnsi" w:cstheme="minorBidi"/>
          <w:snapToGrid/>
          <w:sz w:val="24"/>
          <w:szCs w:val="22"/>
        </w:rPr>
        <w:t>Renagel</w:t>
      </w:r>
      <w:proofErr w:type="spellEnd"/>
      <w:r w:rsidRPr="00024895">
        <w:rPr>
          <w:rFonts w:asciiTheme="minorHAnsi" w:eastAsiaTheme="minorHAnsi" w:hAnsiTheme="minorHAnsi" w:cstheme="minorBidi"/>
          <w:snapToGrid/>
          <w:sz w:val="24"/>
          <w:szCs w:val="22"/>
        </w:rPr>
        <w:t xml:space="preserve"> 800 mg tablets and </w:t>
      </w:r>
      <w:proofErr w:type="spellStart"/>
      <w:r w:rsidRPr="00024895">
        <w:rPr>
          <w:rFonts w:asciiTheme="minorHAnsi" w:eastAsiaTheme="minorHAnsi" w:hAnsiTheme="minorHAnsi" w:cstheme="minorBidi"/>
          <w:snapToGrid/>
          <w:sz w:val="24"/>
          <w:szCs w:val="22"/>
        </w:rPr>
        <w:t>Renvela</w:t>
      </w:r>
      <w:proofErr w:type="spellEnd"/>
      <w:r w:rsidRPr="00024895">
        <w:rPr>
          <w:rFonts w:asciiTheme="minorHAnsi" w:eastAsiaTheme="minorHAnsi" w:hAnsiTheme="minorHAnsi" w:cstheme="minorBidi"/>
          <w:snapToGrid/>
          <w:sz w:val="24"/>
          <w:szCs w:val="22"/>
        </w:rPr>
        <w:t xml:space="preserve"> 800 mg tablets; and</w:t>
      </w:r>
    </w:p>
    <w:p w:rsidR="00D70B01" w:rsidRPr="00024895" w:rsidRDefault="00606174" w:rsidP="000E5444">
      <w:pPr>
        <w:pStyle w:val="ListParagraph"/>
        <w:widowControl/>
        <w:numPr>
          <w:ilvl w:val="2"/>
          <w:numId w:val="5"/>
        </w:numPr>
        <w:spacing w:before="120" w:after="120"/>
        <w:contextualSpacing w:val="0"/>
        <w:rPr>
          <w:rFonts w:asciiTheme="minorHAnsi" w:eastAsiaTheme="minorHAnsi" w:hAnsiTheme="minorHAnsi" w:cstheme="minorBidi"/>
          <w:snapToGrid/>
          <w:sz w:val="24"/>
          <w:szCs w:val="24"/>
        </w:rPr>
      </w:pPr>
      <w:proofErr w:type="gramStart"/>
      <w:r w:rsidRPr="00024895">
        <w:rPr>
          <w:rFonts w:asciiTheme="minorHAnsi" w:eastAsiaTheme="minorHAnsi" w:hAnsiTheme="minorHAnsi" w:cstheme="minorBidi"/>
          <w:snapToGrid/>
          <w:sz w:val="24"/>
          <w:szCs w:val="22"/>
        </w:rPr>
        <w:t>a</w:t>
      </w:r>
      <w:proofErr w:type="gramEnd"/>
      <w:r w:rsidRPr="00024895">
        <w:rPr>
          <w:rFonts w:asciiTheme="minorHAnsi" w:eastAsiaTheme="minorHAnsi" w:hAnsiTheme="minorHAnsi" w:cstheme="minorBidi"/>
          <w:snapToGrid/>
          <w:sz w:val="24"/>
          <w:szCs w:val="22"/>
        </w:rPr>
        <w:t xml:space="preserve"> phase II, randomised, double-blind cross-over </w:t>
      </w:r>
      <w:r w:rsidR="00C34322" w:rsidRPr="00024895">
        <w:rPr>
          <w:rFonts w:asciiTheme="minorHAnsi" w:eastAsiaTheme="minorHAnsi" w:hAnsiTheme="minorHAnsi" w:cstheme="minorBidi"/>
          <w:snapToGrid/>
          <w:sz w:val="24"/>
          <w:szCs w:val="22"/>
        </w:rPr>
        <w:t>therapeutic equivalence study</w:t>
      </w:r>
      <w:r w:rsidRPr="00024895">
        <w:rPr>
          <w:rFonts w:asciiTheme="minorHAnsi" w:eastAsiaTheme="minorHAnsi" w:hAnsiTheme="minorHAnsi" w:cstheme="minorBidi"/>
          <w:snapToGrid/>
          <w:sz w:val="24"/>
          <w:szCs w:val="22"/>
        </w:rPr>
        <w:t xml:space="preserve"> (n=78)</w:t>
      </w:r>
      <w:r w:rsidR="00C34322" w:rsidRPr="00024895">
        <w:rPr>
          <w:rFonts w:asciiTheme="minorHAnsi" w:eastAsiaTheme="minorHAnsi" w:hAnsiTheme="minorHAnsi" w:cstheme="minorBidi"/>
          <w:snapToGrid/>
          <w:sz w:val="24"/>
          <w:szCs w:val="22"/>
        </w:rPr>
        <w:t xml:space="preserve"> comparing </w:t>
      </w:r>
      <w:proofErr w:type="spellStart"/>
      <w:r w:rsidR="00C34322" w:rsidRPr="00024895">
        <w:rPr>
          <w:rFonts w:asciiTheme="minorHAnsi" w:eastAsiaTheme="minorHAnsi" w:hAnsiTheme="minorHAnsi" w:cstheme="minorBidi"/>
          <w:snapToGrid/>
          <w:sz w:val="24"/>
          <w:szCs w:val="22"/>
        </w:rPr>
        <w:t>Rena</w:t>
      </w:r>
      <w:r w:rsidR="00277735" w:rsidRPr="00024895">
        <w:rPr>
          <w:rFonts w:asciiTheme="minorHAnsi" w:eastAsiaTheme="minorHAnsi" w:hAnsiTheme="minorHAnsi" w:cstheme="minorBidi"/>
          <w:snapToGrid/>
          <w:sz w:val="24"/>
          <w:szCs w:val="22"/>
        </w:rPr>
        <w:t>gel</w:t>
      </w:r>
      <w:proofErr w:type="spellEnd"/>
      <w:r w:rsidR="00277735" w:rsidRPr="00024895">
        <w:rPr>
          <w:rFonts w:asciiTheme="minorHAnsi" w:eastAsiaTheme="minorHAnsi" w:hAnsiTheme="minorHAnsi" w:cstheme="minorBidi"/>
          <w:snapToGrid/>
          <w:sz w:val="24"/>
          <w:szCs w:val="22"/>
        </w:rPr>
        <w:t xml:space="preserve"> with </w:t>
      </w:r>
      <w:proofErr w:type="spellStart"/>
      <w:r w:rsidR="00277735" w:rsidRPr="00024895">
        <w:rPr>
          <w:rFonts w:asciiTheme="minorHAnsi" w:eastAsiaTheme="minorHAnsi" w:hAnsiTheme="minorHAnsi" w:cstheme="minorBidi"/>
          <w:snapToGrid/>
          <w:sz w:val="24"/>
          <w:szCs w:val="22"/>
        </w:rPr>
        <w:t>Renvela</w:t>
      </w:r>
      <w:proofErr w:type="spellEnd"/>
      <w:r w:rsidR="00CB1C8F" w:rsidRPr="00024895">
        <w:rPr>
          <w:rFonts w:asciiTheme="minorHAnsi" w:eastAsiaTheme="minorHAnsi" w:hAnsiTheme="minorHAnsi" w:cstheme="minorBidi"/>
          <w:snapToGrid/>
          <w:sz w:val="24"/>
          <w:szCs w:val="22"/>
        </w:rPr>
        <w:t xml:space="preserve"> </w:t>
      </w:r>
      <w:r w:rsidR="00277735" w:rsidRPr="00024895">
        <w:rPr>
          <w:rFonts w:asciiTheme="minorHAnsi" w:eastAsiaTheme="minorHAnsi" w:hAnsiTheme="minorHAnsi" w:cstheme="minorBidi"/>
          <w:snapToGrid/>
          <w:sz w:val="24"/>
          <w:szCs w:val="22"/>
        </w:rPr>
        <w:t>(GD3-163-201)</w:t>
      </w:r>
      <w:r w:rsidR="00C34322" w:rsidRPr="00024895">
        <w:rPr>
          <w:rFonts w:asciiTheme="minorHAnsi" w:eastAsiaTheme="minorHAnsi" w:hAnsiTheme="minorHAnsi" w:cstheme="minorBidi"/>
          <w:snapToGrid/>
          <w:sz w:val="24"/>
          <w:szCs w:val="22"/>
        </w:rPr>
        <w:t>.</w:t>
      </w:r>
    </w:p>
    <w:p w:rsidR="00192B80" w:rsidRPr="007A40B9" w:rsidRDefault="004575C1" w:rsidP="000E5444">
      <w:pPr>
        <w:pStyle w:val="ListParagraph"/>
        <w:widowControl/>
        <w:numPr>
          <w:ilvl w:val="1"/>
          <w:numId w:val="5"/>
        </w:numPr>
        <w:spacing w:before="120" w:after="120"/>
        <w:contextualSpacing w:val="0"/>
        <w:rPr>
          <w:rFonts w:asciiTheme="minorHAnsi" w:eastAsiaTheme="minorHAnsi" w:hAnsiTheme="minorHAnsi" w:cstheme="minorBidi"/>
          <w:snapToGrid/>
          <w:sz w:val="24"/>
          <w:szCs w:val="24"/>
        </w:rPr>
      </w:pPr>
      <w:r w:rsidRPr="00024895">
        <w:rPr>
          <w:rFonts w:asciiTheme="minorHAnsi" w:eastAsiaTheme="minorHAnsi" w:hAnsiTheme="minorHAnsi" w:cstheme="minorBidi"/>
          <w:sz w:val="24"/>
          <w:szCs w:val="22"/>
        </w:rPr>
        <w:t>The submission</w:t>
      </w:r>
      <w:r w:rsidR="00E62B12">
        <w:rPr>
          <w:rFonts w:asciiTheme="minorHAnsi" w:eastAsiaTheme="minorHAnsi" w:hAnsiTheme="minorHAnsi" w:cstheme="minorBidi"/>
          <w:sz w:val="24"/>
          <w:szCs w:val="22"/>
        </w:rPr>
        <w:t xml:space="preserve"> claims that</w:t>
      </w:r>
      <w:r w:rsidR="007A40B9">
        <w:rPr>
          <w:rFonts w:asciiTheme="minorHAnsi" w:eastAsiaTheme="minorHAnsi" w:hAnsiTheme="minorHAnsi" w:cstheme="minorBidi"/>
          <w:sz w:val="24"/>
          <w:szCs w:val="22"/>
        </w:rPr>
        <w:t xml:space="preserve"> </w:t>
      </w:r>
      <w:proofErr w:type="spellStart"/>
      <w:r w:rsidR="007A40B9">
        <w:rPr>
          <w:rFonts w:asciiTheme="minorHAnsi" w:eastAsiaTheme="minorHAnsi" w:hAnsiTheme="minorHAnsi" w:cstheme="minorBidi"/>
          <w:sz w:val="24"/>
          <w:szCs w:val="22"/>
        </w:rPr>
        <w:t>Sevelamer</w:t>
      </w:r>
      <w:proofErr w:type="spellEnd"/>
      <w:r w:rsidR="00E62B12">
        <w:rPr>
          <w:rFonts w:asciiTheme="minorHAnsi" w:eastAsiaTheme="minorHAnsi" w:hAnsiTheme="minorHAnsi" w:cstheme="minorBidi"/>
          <w:sz w:val="24"/>
          <w:szCs w:val="22"/>
        </w:rPr>
        <w:t xml:space="preserve"> Dr Reddy’s and </w:t>
      </w:r>
      <w:proofErr w:type="spellStart"/>
      <w:r w:rsidR="00E62B12">
        <w:rPr>
          <w:rFonts w:asciiTheme="minorHAnsi" w:eastAsiaTheme="minorHAnsi" w:hAnsiTheme="minorHAnsi" w:cstheme="minorBidi"/>
          <w:sz w:val="24"/>
          <w:szCs w:val="22"/>
        </w:rPr>
        <w:t>Renegel</w:t>
      </w:r>
      <w:proofErr w:type="spellEnd"/>
      <w:r w:rsidR="00E62B12">
        <w:rPr>
          <w:rFonts w:asciiTheme="minorHAnsi" w:eastAsiaTheme="minorHAnsi" w:hAnsiTheme="minorHAnsi" w:cstheme="minorBidi"/>
          <w:sz w:val="24"/>
          <w:szCs w:val="22"/>
        </w:rPr>
        <w:t xml:space="preserve"> are bioequivalent</w:t>
      </w:r>
      <w:r w:rsidRPr="00024895">
        <w:rPr>
          <w:rFonts w:asciiTheme="minorHAnsi" w:eastAsiaTheme="minorHAnsi" w:hAnsiTheme="minorHAnsi" w:cstheme="minorBidi"/>
          <w:sz w:val="24"/>
          <w:szCs w:val="22"/>
        </w:rPr>
        <w:t xml:space="preserve"> refer</w:t>
      </w:r>
      <w:r w:rsidR="00E62B12">
        <w:rPr>
          <w:rFonts w:asciiTheme="minorHAnsi" w:eastAsiaTheme="minorHAnsi" w:hAnsiTheme="minorHAnsi" w:cstheme="minorBidi"/>
          <w:sz w:val="24"/>
          <w:szCs w:val="22"/>
        </w:rPr>
        <w:t>ring</w:t>
      </w:r>
      <w:r w:rsidRPr="00024895">
        <w:rPr>
          <w:rFonts w:asciiTheme="minorHAnsi" w:eastAsiaTheme="minorHAnsi" w:hAnsiTheme="minorHAnsi" w:cstheme="minorBidi"/>
          <w:sz w:val="24"/>
          <w:szCs w:val="22"/>
        </w:rPr>
        <w:t xml:space="preserve"> to </w:t>
      </w:r>
      <w:r w:rsidR="00192B80">
        <w:rPr>
          <w:rFonts w:asciiTheme="minorHAnsi" w:eastAsiaTheme="minorHAnsi" w:hAnsiTheme="minorHAnsi" w:cstheme="minorBidi"/>
          <w:sz w:val="24"/>
          <w:szCs w:val="22"/>
        </w:rPr>
        <w:t xml:space="preserve">the studies cited at 4.2 and 4.3 and </w:t>
      </w:r>
      <w:r w:rsidR="001B1DA2" w:rsidRPr="00024895">
        <w:rPr>
          <w:rFonts w:asciiTheme="minorHAnsi" w:eastAsiaTheme="minorHAnsi" w:hAnsiTheme="minorHAnsi" w:cstheme="minorBidi"/>
          <w:sz w:val="24"/>
          <w:szCs w:val="22"/>
        </w:rPr>
        <w:t xml:space="preserve">TGA </w:t>
      </w:r>
      <w:r w:rsidR="00192B80">
        <w:rPr>
          <w:rFonts w:asciiTheme="minorHAnsi" w:eastAsiaTheme="minorHAnsi" w:hAnsiTheme="minorHAnsi" w:cstheme="minorBidi"/>
          <w:sz w:val="24"/>
          <w:szCs w:val="22"/>
        </w:rPr>
        <w:t xml:space="preserve">advice that </w:t>
      </w:r>
      <w:proofErr w:type="spellStart"/>
      <w:r w:rsidR="00192B80">
        <w:rPr>
          <w:rFonts w:asciiTheme="minorHAnsi" w:eastAsiaTheme="minorHAnsi" w:hAnsiTheme="minorHAnsi" w:cstheme="minorBidi"/>
          <w:sz w:val="24"/>
          <w:szCs w:val="22"/>
        </w:rPr>
        <w:t>Sevelamer</w:t>
      </w:r>
      <w:proofErr w:type="spellEnd"/>
      <w:r w:rsidR="00192B80">
        <w:rPr>
          <w:rFonts w:asciiTheme="minorHAnsi" w:eastAsiaTheme="minorHAnsi" w:hAnsiTheme="minorHAnsi" w:cstheme="minorBidi"/>
          <w:sz w:val="24"/>
          <w:szCs w:val="22"/>
        </w:rPr>
        <w:t xml:space="preserve"> Dr Reddy’s</w:t>
      </w:r>
      <w:r w:rsidR="007A40B9">
        <w:rPr>
          <w:rFonts w:asciiTheme="minorHAnsi" w:eastAsiaTheme="minorHAnsi" w:hAnsiTheme="minorHAnsi" w:cstheme="minorBidi"/>
          <w:sz w:val="24"/>
          <w:szCs w:val="22"/>
        </w:rPr>
        <w:t xml:space="preserve"> and </w:t>
      </w:r>
      <w:proofErr w:type="spellStart"/>
      <w:r w:rsidR="007A40B9">
        <w:rPr>
          <w:rFonts w:asciiTheme="minorHAnsi" w:eastAsiaTheme="minorHAnsi" w:hAnsiTheme="minorHAnsi" w:cstheme="minorBidi"/>
          <w:sz w:val="24"/>
          <w:szCs w:val="22"/>
        </w:rPr>
        <w:t>Renvela</w:t>
      </w:r>
      <w:proofErr w:type="spellEnd"/>
      <w:r w:rsidR="007A40B9">
        <w:rPr>
          <w:rFonts w:asciiTheme="minorHAnsi" w:eastAsiaTheme="minorHAnsi" w:hAnsiTheme="minorHAnsi" w:cstheme="minorBidi"/>
          <w:sz w:val="24"/>
          <w:szCs w:val="22"/>
        </w:rPr>
        <w:t xml:space="preserve"> were ther</w:t>
      </w:r>
      <w:r w:rsidR="00192B80">
        <w:rPr>
          <w:rFonts w:asciiTheme="minorHAnsi" w:eastAsiaTheme="minorHAnsi" w:hAnsiTheme="minorHAnsi" w:cstheme="minorBidi"/>
          <w:sz w:val="24"/>
          <w:szCs w:val="22"/>
        </w:rPr>
        <w:t xml:space="preserve">apeutically equivalent (and bioequivalent).  </w:t>
      </w:r>
    </w:p>
    <w:p w:rsidR="00AD4E15" w:rsidRDefault="00F01062" w:rsidP="000E5444">
      <w:pPr>
        <w:pStyle w:val="ListParagraph"/>
        <w:widowControl/>
        <w:numPr>
          <w:ilvl w:val="1"/>
          <w:numId w:val="5"/>
        </w:numPr>
        <w:spacing w:before="120" w:after="120"/>
        <w:contextualSpacing w:val="0"/>
        <w:rPr>
          <w:rFonts w:asciiTheme="minorHAnsi" w:eastAsiaTheme="minorHAnsi" w:hAnsiTheme="minorHAnsi" w:cstheme="minorBidi"/>
          <w:snapToGrid/>
          <w:sz w:val="24"/>
          <w:szCs w:val="24"/>
        </w:rPr>
      </w:pPr>
      <w:r w:rsidRPr="00024895">
        <w:rPr>
          <w:rFonts w:asciiTheme="minorHAnsi" w:eastAsiaTheme="minorHAnsi" w:hAnsiTheme="minorHAnsi" w:cstheme="minorBidi"/>
          <w:snapToGrid/>
          <w:sz w:val="24"/>
          <w:szCs w:val="22"/>
        </w:rPr>
        <w:t>The TGA ha</w:t>
      </w:r>
      <w:r w:rsidR="00F32066" w:rsidRPr="00024895">
        <w:rPr>
          <w:rFonts w:asciiTheme="minorHAnsi" w:eastAsiaTheme="minorHAnsi" w:hAnsiTheme="minorHAnsi" w:cstheme="minorBidi"/>
          <w:snapToGrid/>
          <w:sz w:val="24"/>
          <w:szCs w:val="22"/>
        </w:rPr>
        <w:t>s</w:t>
      </w:r>
      <w:r w:rsidRPr="00024895">
        <w:rPr>
          <w:rFonts w:asciiTheme="minorHAnsi" w:eastAsiaTheme="minorHAnsi" w:hAnsiTheme="minorHAnsi" w:cstheme="minorBidi"/>
          <w:snapToGrid/>
          <w:sz w:val="24"/>
          <w:szCs w:val="22"/>
        </w:rPr>
        <w:t xml:space="preserve"> also noted that </w:t>
      </w:r>
      <w:proofErr w:type="spellStart"/>
      <w:r w:rsidRPr="00024895">
        <w:rPr>
          <w:rFonts w:asciiTheme="minorHAnsi" w:eastAsiaTheme="minorHAnsi" w:hAnsiTheme="minorHAnsi" w:cstheme="minorBidi"/>
          <w:snapToGrid/>
          <w:sz w:val="24"/>
          <w:szCs w:val="22"/>
        </w:rPr>
        <w:t>Renvela</w:t>
      </w:r>
      <w:proofErr w:type="spellEnd"/>
      <w:r w:rsidRPr="00024895">
        <w:rPr>
          <w:rFonts w:asciiTheme="minorHAnsi" w:eastAsiaTheme="minorHAnsi" w:hAnsiTheme="minorHAnsi" w:cstheme="minorBidi"/>
          <w:snapToGrid/>
          <w:sz w:val="24"/>
          <w:szCs w:val="22"/>
        </w:rPr>
        <w:t xml:space="preserve"> and </w:t>
      </w:r>
      <w:proofErr w:type="spellStart"/>
      <w:r w:rsidRPr="00024895">
        <w:rPr>
          <w:rFonts w:asciiTheme="minorHAnsi" w:eastAsiaTheme="minorHAnsi" w:hAnsiTheme="minorHAnsi" w:cstheme="minorBidi"/>
          <w:snapToGrid/>
          <w:sz w:val="24"/>
          <w:szCs w:val="22"/>
        </w:rPr>
        <w:t>Renagel</w:t>
      </w:r>
      <w:proofErr w:type="spellEnd"/>
      <w:r w:rsidRPr="00024895">
        <w:rPr>
          <w:rFonts w:asciiTheme="minorHAnsi" w:eastAsiaTheme="minorHAnsi" w:hAnsiTheme="minorHAnsi" w:cstheme="minorBidi"/>
          <w:snapToGrid/>
          <w:sz w:val="24"/>
          <w:szCs w:val="22"/>
        </w:rPr>
        <w:t xml:space="preserve"> </w:t>
      </w:r>
      <w:proofErr w:type="gramStart"/>
      <w:r w:rsidRPr="00024895">
        <w:rPr>
          <w:rFonts w:asciiTheme="minorHAnsi" w:eastAsiaTheme="minorHAnsi" w:hAnsiTheme="minorHAnsi" w:cstheme="minorBidi"/>
          <w:snapToGrid/>
          <w:sz w:val="24"/>
          <w:szCs w:val="22"/>
        </w:rPr>
        <w:t>are known</w:t>
      </w:r>
      <w:proofErr w:type="gramEnd"/>
      <w:r w:rsidRPr="00024895">
        <w:rPr>
          <w:rFonts w:asciiTheme="minorHAnsi" w:eastAsiaTheme="minorHAnsi" w:hAnsiTheme="minorHAnsi" w:cstheme="minorBidi"/>
          <w:snapToGrid/>
          <w:sz w:val="24"/>
          <w:szCs w:val="22"/>
        </w:rPr>
        <w:t xml:space="preserve"> to have different safety profiles</w:t>
      </w:r>
      <w:r w:rsidR="00F32066" w:rsidRPr="00024895">
        <w:rPr>
          <w:rFonts w:asciiTheme="minorHAnsi" w:eastAsiaTheme="minorHAnsi" w:hAnsiTheme="minorHAnsi" w:cstheme="minorBidi"/>
          <w:snapToGrid/>
          <w:sz w:val="24"/>
          <w:szCs w:val="22"/>
        </w:rPr>
        <w:t>. The current submission to PBAC</w:t>
      </w:r>
      <w:r w:rsidR="006F599B" w:rsidRPr="00024895">
        <w:rPr>
          <w:rFonts w:asciiTheme="minorHAnsi" w:eastAsiaTheme="minorHAnsi" w:hAnsiTheme="minorHAnsi" w:cstheme="minorBidi"/>
          <w:snapToGrid/>
          <w:sz w:val="24"/>
          <w:szCs w:val="22"/>
        </w:rPr>
        <w:t xml:space="preserve"> conclude</w:t>
      </w:r>
      <w:r w:rsidR="007A40B9">
        <w:rPr>
          <w:rFonts w:asciiTheme="minorHAnsi" w:eastAsiaTheme="minorHAnsi" w:hAnsiTheme="minorHAnsi" w:cstheme="minorBidi"/>
          <w:snapToGrid/>
          <w:sz w:val="24"/>
          <w:szCs w:val="22"/>
        </w:rPr>
        <w:t>d</w:t>
      </w:r>
      <w:r w:rsidR="0093202C" w:rsidRPr="00024895">
        <w:rPr>
          <w:rFonts w:asciiTheme="minorHAnsi" w:eastAsiaTheme="minorHAnsi" w:hAnsiTheme="minorHAnsi" w:cstheme="minorBidi"/>
          <w:snapToGrid/>
          <w:sz w:val="24"/>
          <w:szCs w:val="22"/>
        </w:rPr>
        <w:t xml:space="preserve"> </w:t>
      </w:r>
      <w:r w:rsidR="006F599B" w:rsidRPr="00024895">
        <w:rPr>
          <w:rFonts w:asciiTheme="minorHAnsi" w:eastAsiaTheme="minorHAnsi" w:hAnsiTheme="minorHAnsi" w:cstheme="minorBidi"/>
          <w:snapToGrid/>
          <w:sz w:val="24"/>
          <w:szCs w:val="22"/>
        </w:rPr>
        <w:t xml:space="preserve">that there were no marked differences in the treatment related adverse event profiles of </w:t>
      </w:r>
      <w:proofErr w:type="spellStart"/>
      <w:r w:rsidR="006F599B" w:rsidRPr="00024895">
        <w:rPr>
          <w:rFonts w:asciiTheme="minorHAnsi" w:eastAsiaTheme="minorHAnsi" w:hAnsiTheme="minorHAnsi" w:cstheme="minorBidi"/>
          <w:snapToGrid/>
          <w:sz w:val="24"/>
          <w:szCs w:val="22"/>
        </w:rPr>
        <w:t>Renvela</w:t>
      </w:r>
      <w:proofErr w:type="spellEnd"/>
      <w:r w:rsidR="006F599B" w:rsidRPr="00024895">
        <w:rPr>
          <w:rFonts w:asciiTheme="minorHAnsi" w:eastAsiaTheme="minorHAnsi" w:hAnsiTheme="minorHAnsi" w:cstheme="minorBidi"/>
          <w:snapToGrid/>
          <w:sz w:val="24"/>
          <w:szCs w:val="22"/>
        </w:rPr>
        <w:t xml:space="preserve"> and </w:t>
      </w:r>
      <w:proofErr w:type="spellStart"/>
      <w:r w:rsidR="006F599B" w:rsidRPr="00024895">
        <w:rPr>
          <w:rFonts w:asciiTheme="minorHAnsi" w:eastAsiaTheme="minorHAnsi" w:hAnsiTheme="minorHAnsi" w:cstheme="minorBidi"/>
          <w:snapToGrid/>
          <w:sz w:val="24"/>
          <w:szCs w:val="22"/>
        </w:rPr>
        <w:t>Renagel</w:t>
      </w:r>
      <w:proofErr w:type="spellEnd"/>
      <w:r w:rsidR="006F599B" w:rsidRPr="00024895">
        <w:rPr>
          <w:rFonts w:asciiTheme="minorHAnsi" w:eastAsiaTheme="minorHAnsi" w:hAnsiTheme="minorHAnsi" w:cstheme="minorBidi"/>
          <w:snapToGrid/>
          <w:sz w:val="24"/>
          <w:szCs w:val="22"/>
        </w:rPr>
        <w:t xml:space="preserve"> based on results from GD3-163-201</w:t>
      </w:r>
      <w:r w:rsidR="00024895">
        <w:rPr>
          <w:rFonts w:asciiTheme="minorHAnsi" w:eastAsiaTheme="minorHAnsi" w:hAnsiTheme="minorHAnsi" w:cstheme="minorBidi"/>
          <w:snapToGrid/>
          <w:sz w:val="24"/>
          <w:szCs w:val="22"/>
        </w:rPr>
        <w:t xml:space="preserve">. </w:t>
      </w:r>
      <w:r w:rsidR="004146E1" w:rsidRPr="00024895">
        <w:rPr>
          <w:rFonts w:asciiTheme="minorHAnsi" w:eastAsiaTheme="minorHAnsi" w:hAnsiTheme="minorHAnsi" w:cstheme="minorBidi"/>
          <w:snapToGrid/>
          <w:sz w:val="24"/>
          <w:szCs w:val="24"/>
        </w:rPr>
        <w:t>The pre</w:t>
      </w:r>
      <w:r w:rsidR="004146E1" w:rsidRPr="00024895">
        <w:rPr>
          <w:rFonts w:asciiTheme="minorHAnsi" w:eastAsiaTheme="minorHAnsi" w:hAnsiTheme="minorHAnsi" w:cstheme="minorBidi"/>
          <w:i/>
          <w:snapToGrid/>
          <w:sz w:val="24"/>
          <w:szCs w:val="24"/>
        </w:rPr>
        <w:t>-</w:t>
      </w:r>
      <w:r w:rsidR="005D6CB9">
        <w:rPr>
          <w:rFonts w:asciiTheme="minorHAnsi" w:eastAsiaTheme="minorHAnsi" w:hAnsiTheme="minorHAnsi" w:cstheme="minorBidi"/>
          <w:snapToGrid/>
          <w:sz w:val="24"/>
          <w:szCs w:val="24"/>
        </w:rPr>
        <w:t xml:space="preserve">PBAC response </w:t>
      </w:r>
      <w:r w:rsidR="004146E1" w:rsidRPr="00024895">
        <w:rPr>
          <w:rFonts w:asciiTheme="minorHAnsi" w:eastAsiaTheme="minorHAnsi" w:hAnsiTheme="minorHAnsi" w:cstheme="minorBidi"/>
          <w:snapToGrid/>
          <w:sz w:val="24"/>
          <w:szCs w:val="24"/>
        </w:rPr>
        <w:t xml:space="preserve">commented on the safety profiles of </w:t>
      </w:r>
      <w:proofErr w:type="spellStart"/>
      <w:r w:rsidR="004146E1" w:rsidRPr="00024895">
        <w:rPr>
          <w:rFonts w:asciiTheme="minorHAnsi" w:eastAsiaTheme="minorHAnsi" w:hAnsiTheme="minorHAnsi" w:cstheme="minorBidi"/>
          <w:snapToGrid/>
          <w:sz w:val="24"/>
          <w:szCs w:val="24"/>
        </w:rPr>
        <w:t>sevelamer</w:t>
      </w:r>
      <w:proofErr w:type="spellEnd"/>
      <w:r w:rsidR="004146E1" w:rsidRPr="00024895">
        <w:rPr>
          <w:rFonts w:asciiTheme="minorHAnsi" w:eastAsiaTheme="minorHAnsi" w:hAnsiTheme="minorHAnsi" w:cstheme="minorBidi"/>
          <w:snapToGrid/>
          <w:sz w:val="24"/>
          <w:szCs w:val="24"/>
        </w:rPr>
        <w:t xml:space="preserve"> hydrochloride and </w:t>
      </w:r>
      <w:proofErr w:type="spellStart"/>
      <w:r w:rsidR="004146E1" w:rsidRPr="00024895">
        <w:rPr>
          <w:rFonts w:asciiTheme="minorHAnsi" w:eastAsiaTheme="minorHAnsi" w:hAnsiTheme="minorHAnsi" w:cstheme="minorBidi"/>
          <w:snapToGrid/>
          <w:sz w:val="24"/>
          <w:szCs w:val="24"/>
        </w:rPr>
        <w:t>sevelamer</w:t>
      </w:r>
      <w:proofErr w:type="spellEnd"/>
      <w:r w:rsidR="004146E1" w:rsidRPr="00024895">
        <w:rPr>
          <w:rFonts w:asciiTheme="minorHAnsi" w:eastAsiaTheme="minorHAnsi" w:hAnsiTheme="minorHAnsi" w:cstheme="minorBidi"/>
          <w:snapToGrid/>
          <w:sz w:val="24"/>
          <w:szCs w:val="24"/>
        </w:rPr>
        <w:t xml:space="preserve"> carbonate, noting that the main risks of treatment is the onset of gastrointestinal adverse events including nausea and vomiting. The pre-PBAC response noted that the two salts in tablet form to have similar safety profiles at the proposed dosage regimen </w:t>
      </w:r>
      <w:r w:rsidR="003F0629" w:rsidRPr="00024895">
        <w:rPr>
          <w:rFonts w:asciiTheme="minorHAnsi" w:eastAsiaTheme="minorHAnsi" w:hAnsiTheme="minorHAnsi" w:cstheme="minorBidi"/>
          <w:snapToGrid/>
          <w:sz w:val="24"/>
          <w:szCs w:val="24"/>
        </w:rPr>
        <w:t xml:space="preserve">of </w:t>
      </w:r>
      <w:r w:rsidR="004146E1" w:rsidRPr="00024895">
        <w:rPr>
          <w:rFonts w:asciiTheme="minorHAnsi" w:eastAsiaTheme="minorHAnsi" w:hAnsiTheme="minorHAnsi" w:cstheme="minorBidi"/>
          <w:snapToGrid/>
          <w:sz w:val="24"/>
          <w:szCs w:val="24"/>
        </w:rPr>
        <w:t>two tablets three times daily (TDS).</w:t>
      </w:r>
    </w:p>
    <w:p w:rsidR="00192B80" w:rsidRPr="00AD4E15" w:rsidRDefault="00192B80" w:rsidP="000E5444">
      <w:pPr>
        <w:pStyle w:val="ListParagraph"/>
        <w:widowControl/>
        <w:spacing w:before="120" w:after="120"/>
        <w:contextualSpacing w:val="0"/>
        <w:rPr>
          <w:rFonts w:asciiTheme="minorHAnsi" w:eastAsiaTheme="minorHAnsi" w:hAnsiTheme="minorHAnsi" w:cstheme="minorBidi"/>
          <w:snapToGrid/>
          <w:sz w:val="24"/>
          <w:szCs w:val="24"/>
        </w:rPr>
      </w:pPr>
      <w:r w:rsidRPr="00AD4E15">
        <w:rPr>
          <w:rFonts w:asciiTheme="minorHAnsi" w:hAnsiTheme="minorHAnsi" w:cstheme="minorHAnsi"/>
          <w:i/>
          <w:sz w:val="24"/>
        </w:rPr>
        <w:t>For more detail on PBAC’s view, see section 6 PBAC outcome.</w:t>
      </w:r>
    </w:p>
    <w:p w:rsidR="005A3173" w:rsidRPr="00024895" w:rsidRDefault="005A3173" w:rsidP="000E5444">
      <w:pPr>
        <w:pStyle w:val="Heading1"/>
        <w:keepNext/>
        <w:keepLines/>
        <w:widowControl/>
        <w:numPr>
          <w:ilvl w:val="0"/>
          <w:numId w:val="14"/>
        </w:numPr>
        <w:spacing w:before="120" w:after="120"/>
        <w:ind w:left="709" w:hanging="709"/>
        <w:contextualSpacing w:val="0"/>
        <w:jc w:val="left"/>
        <w:rPr>
          <w:rFonts w:asciiTheme="minorHAnsi" w:hAnsiTheme="minorHAnsi"/>
          <w:sz w:val="32"/>
          <w:szCs w:val="32"/>
        </w:rPr>
      </w:pPr>
      <w:r w:rsidRPr="00024895">
        <w:rPr>
          <w:rFonts w:asciiTheme="minorHAnsi" w:hAnsiTheme="minorHAnsi"/>
          <w:sz w:val="32"/>
          <w:szCs w:val="32"/>
        </w:rPr>
        <w:t>Estimated PBS usage &amp; financial implications</w:t>
      </w:r>
    </w:p>
    <w:p w:rsidR="00A832DB" w:rsidRPr="007A40B9" w:rsidRDefault="00FF2801" w:rsidP="000E5444">
      <w:pPr>
        <w:pStyle w:val="ListParagraph"/>
        <w:numPr>
          <w:ilvl w:val="1"/>
          <w:numId w:val="5"/>
        </w:numPr>
        <w:spacing w:before="120" w:after="120"/>
        <w:rPr>
          <w:rFonts w:asciiTheme="minorHAnsi" w:hAnsiTheme="minorHAnsi"/>
          <w:b/>
          <w:sz w:val="24"/>
          <w:szCs w:val="24"/>
        </w:rPr>
      </w:pPr>
      <w:r w:rsidRPr="00024895">
        <w:rPr>
          <w:rFonts w:asciiTheme="minorHAnsi" w:hAnsiTheme="minorHAnsi"/>
          <w:sz w:val="24"/>
          <w:szCs w:val="24"/>
        </w:rPr>
        <w:t>The minor submission estimated</w:t>
      </w:r>
      <w:r w:rsidR="00C00DA7" w:rsidRPr="00024895">
        <w:rPr>
          <w:rFonts w:asciiTheme="minorHAnsi" w:hAnsiTheme="minorHAnsi"/>
          <w:sz w:val="24"/>
          <w:szCs w:val="24"/>
        </w:rPr>
        <w:t xml:space="preserve"> there to be no financial implications to t</w:t>
      </w:r>
      <w:r w:rsidR="007A40B9">
        <w:rPr>
          <w:rFonts w:asciiTheme="minorHAnsi" w:hAnsiTheme="minorHAnsi"/>
          <w:sz w:val="24"/>
          <w:szCs w:val="24"/>
        </w:rPr>
        <w:t>he PBS as the submission expected</w:t>
      </w:r>
      <w:r w:rsidR="00C00DA7" w:rsidRPr="00024895">
        <w:rPr>
          <w:rFonts w:asciiTheme="minorHAnsi" w:hAnsiTheme="minorHAnsi"/>
          <w:sz w:val="24"/>
          <w:szCs w:val="24"/>
        </w:rPr>
        <w:t xml:space="preserve"> </w:t>
      </w:r>
      <w:proofErr w:type="spellStart"/>
      <w:r w:rsidR="00C53ED3" w:rsidRPr="00024895">
        <w:rPr>
          <w:rFonts w:asciiTheme="minorHAnsi" w:hAnsiTheme="minorHAnsi"/>
          <w:sz w:val="24"/>
          <w:szCs w:val="24"/>
        </w:rPr>
        <w:t>sevelamer</w:t>
      </w:r>
      <w:proofErr w:type="spellEnd"/>
      <w:r w:rsidR="00C53ED3" w:rsidRPr="00024895">
        <w:rPr>
          <w:rFonts w:asciiTheme="minorHAnsi" w:hAnsiTheme="minorHAnsi"/>
          <w:sz w:val="24"/>
          <w:szCs w:val="24"/>
        </w:rPr>
        <w:t xml:space="preserve"> carbonate </w:t>
      </w:r>
      <w:proofErr w:type="gramStart"/>
      <w:r w:rsidR="00C53ED3" w:rsidRPr="00024895">
        <w:rPr>
          <w:rFonts w:asciiTheme="minorHAnsi" w:hAnsiTheme="minorHAnsi"/>
          <w:sz w:val="24"/>
          <w:szCs w:val="24"/>
        </w:rPr>
        <w:t>to only substitute</w:t>
      </w:r>
      <w:proofErr w:type="gramEnd"/>
      <w:r w:rsidR="00C53ED3" w:rsidRPr="00024895">
        <w:rPr>
          <w:rFonts w:asciiTheme="minorHAnsi" w:hAnsiTheme="minorHAnsi"/>
          <w:sz w:val="24"/>
          <w:szCs w:val="24"/>
        </w:rPr>
        <w:t xml:space="preserve"> for </w:t>
      </w:r>
      <w:proofErr w:type="spellStart"/>
      <w:r w:rsidR="00C53ED3" w:rsidRPr="00024895">
        <w:rPr>
          <w:rFonts w:asciiTheme="minorHAnsi" w:hAnsiTheme="minorHAnsi"/>
          <w:sz w:val="24"/>
          <w:szCs w:val="24"/>
        </w:rPr>
        <w:t>sevelamer</w:t>
      </w:r>
      <w:proofErr w:type="spellEnd"/>
      <w:r w:rsidR="00C53ED3" w:rsidRPr="00024895">
        <w:rPr>
          <w:rFonts w:asciiTheme="minorHAnsi" w:hAnsiTheme="minorHAnsi"/>
          <w:sz w:val="24"/>
          <w:szCs w:val="24"/>
        </w:rPr>
        <w:t xml:space="preserve"> hydrochloride</w:t>
      </w:r>
      <w:r w:rsidR="006D2BBD" w:rsidRPr="00024895">
        <w:rPr>
          <w:rFonts w:asciiTheme="minorHAnsi" w:hAnsiTheme="minorHAnsi"/>
          <w:sz w:val="24"/>
          <w:szCs w:val="24"/>
        </w:rPr>
        <w:t xml:space="preserve"> (</w:t>
      </w:r>
      <w:proofErr w:type="spellStart"/>
      <w:r w:rsidR="00D45F41" w:rsidRPr="00024895">
        <w:rPr>
          <w:rFonts w:asciiTheme="minorHAnsi" w:hAnsiTheme="minorHAnsi"/>
          <w:sz w:val="24"/>
          <w:szCs w:val="24"/>
        </w:rPr>
        <w:t>Renagel</w:t>
      </w:r>
      <w:proofErr w:type="spellEnd"/>
      <w:r w:rsidR="006D2BBD" w:rsidRPr="00024895">
        <w:rPr>
          <w:rFonts w:asciiTheme="minorHAnsi" w:hAnsiTheme="minorHAnsi"/>
          <w:sz w:val="24"/>
          <w:szCs w:val="24"/>
        </w:rPr>
        <w:t>)</w:t>
      </w:r>
      <w:r w:rsidR="007A40B9">
        <w:rPr>
          <w:rFonts w:asciiTheme="minorHAnsi" w:hAnsiTheme="minorHAnsi"/>
          <w:sz w:val="24"/>
          <w:szCs w:val="24"/>
        </w:rPr>
        <w:t>,</w:t>
      </w:r>
      <w:r w:rsidR="00C00DA7" w:rsidRPr="00024895">
        <w:rPr>
          <w:rFonts w:asciiTheme="minorHAnsi" w:hAnsiTheme="minorHAnsi"/>
          <w:sz w:val="24"/>
          <w:szCs w:val="24"/>
        </w:rPr>
        <w:t xml:space="preserve"> and both </w:t>
      </w:r>
      <w:r w:rsidR="007A40B9">
        <w:rPr>
          <w:rFonts w:asciiTheme="minorHAnsi" w:hAnsiTheme="minorHAnsi"/>
          <w:sz w:val="24"/>
          <w:szCs w:val="24"/>
        </w:rPr>
        <w:t>products would</w:t>
      </w:r>
      <w:r w:rsidR="00C00DA7" w:rsidRPr="00024895">
        <w:rPr>
          <w:rFonts w:asciiTheme="minorHAnsi" w:hAnsiTheme="minorHAnsi"/>
          <w:sz w:val="24"/>
          <w:szCs w:val="24"/>
        </w:rPr>
        <w:t xml:space="preserve"> have the same price. </w:t>
      </w:r>
    </w:p>
    <w:p w:rsidR="00BD5A62" w:rsidRPr="00024895" w:rsidRDefault="00BD5A62" w:rsidP="000E5444">
      <w:pPr>
        <w:pStyle w:val="ListParagraph"/>
        <w:numPr>
          <w:ilvl w:val="1"/>
          <w:numId w:val="5"/>
        </w:numPr>
        <w:spacing w:before="120" w:after="120"/>
        <w:rPr>
          <w:rFonts w:asciiTheme="minorHAnsi" w:eastAsiaTheme="minorHAnsi" w:hAnsiTheme="minorHAnsi" w:cstheme="minorBidi"/>
          <w:snapToGrid/>
          <w:sz w:val="24"/>
          <w:szCs w:val="22"/>
        </w:rPr>
      </w:pPr>
      <w:r w:rsidRPr="00024895">
        <w:rPr>
          <w:rFonts w:asciiTheme="minorHAnsi" w:eastAsiaTheme="minorHAnsi" w:hAnsiTheme="minorHAnsi" w:cstheme="minorBidi"/>
          <w:snapToGrid/>
          <w:sz w:val="24"/>
          <w:szCs w:val="22"/>
        </w:rPr>
        <w:t xml:space="preserve">Whilst not a matter for PBAC, </w:t>
      </w:r>
      <w:r w:rsidR="004B5F33" w:rsidRPr="00024895">
        <w:rPr>
          <w:rFonts w:asciiTheme="minorHAnsi" w:eastAsiaTheme="minorHAnsi" w:hAnsiTheme="minorHAnsi" w:cstheme="minorBidi"/>
          <w:snapToGrid/>
          <w:sz w:val="24"/>
          <w:szCs w:val="22"/>
        </w:rPr>
        <w:t xml:space="preserve">the proposed listing would trigger a statutory price reduction </w:t>
      </w:r>
      <w:r w:rsidR="00505790">
        <w:rPr>
          <w:rFonts w:asciiTheme="minorHAnsi" w:eastAsiaTheme="minorHAnsi" w:hAnsiTheme="minorHAnsi" w:cstheme="minorBidi"/>
          <w:snapToGrid/>
          <w:sz w:val="24"/>
          <w:szCs w:val="22"/>
        </w:rPr>
        <w:t>under</w:t>
      </w:r>
      <w:r w:rsidR="004B5F33" w:rsidRPr="00024895">
        <w:rPr>
          <w:rFonts w:asciiTheme="minorHAnsi" w:eastAsiaTheme="minorHAnsi" w:hAnsiTheme="minorHAnsi" w:cstheme="minorBidi"/>
          <w:snapToGrid/>
          <w:sz w:val="24"/>
          <w:szCs w:val="22"/>
        </w:rPr>
        <w:t xml:space="preserve"> Section 99ACB of the Act. </w:t>
      </w:r>
    </w:p>
    <w:p w:rsidR="0075361C" w:rsidRPr="007A40B9" w:rsidRDefault="0075361C" w:rsidP="000E5444">
      <w:pPr>
        <w:pStyle w:val="ListParagraph"/>
        <w:spacing w:before="120" w:after="120"/>
        <w:ind w:left="709"/>
        <w:rPr>
          <w:rFonts w:asciiTheme="minorHAnsi" w:hAnsiTheme="minorHAnsi"/>
          <w:i/>
          <w:sz w:val="24"/>
          <w:szCs w:val="24"/>
        </w:rPr>
      </w:pPr>
      <w:r w:rsidRPr="00024895">
        <w:rPr>
          <w:rFonts w:asciiTheme="minorHAnsi" w:hAnsiTheme="minorHAnsi"/>
          <w:i/>
          <w:sz w:val="24"/>
          <w:szCs w:val="24"/>
        </w:rPr>
        <w:t>For more detail on PBAC’s view, see section 6 PBAC outcome.</w:t>
      </w:r>
    </w:p>
    <w:p w:rsidR="006E1D7F" w:rsidRPr="004704D3" w:rsidRDefault="006E1D7F" w:rsidP="000E5444">
      <w:pPr>
        <w:pStyle w:val="Heading1"/>
        <w:keepNext/>
        <w:keepLines/>
        <w:widowControl/>
        <w:numPr>
          <w:ilvl w:val="0"/>
          <w:numId w:val="14"/>
        </w:numPr>
        <w:spacing w:before="120" w:after="120"/>
        <w:ind w:left="709" w:hanging="709"/>
        <w:contextualSpacing w:val="0"/>
        <w:jc w:val="left"/>
        <w:rPr>
          <w:rFonts w:asciiTheme="minorHAnsi" w:hAnsiTheme="minorHAnsi"/>
          <w:sz w:val="32"/>
          <w:szCs w:val="32"/>
        </w:rPr>
      </w:pPr>
      <w:r w:rsidRPr="004704D3">
        <w:rPr>
          <w:rFonts w:asciiTheme="minorHAnsi" w:hAnsiTheme="minorHAnsi"/>
          <w:sz w:val="32"/>
          <w:szCs w:val="32"/>
        </w:rPr>
        <w:t>PBAC Outcome</w:t>
      </w:r>
    </w:p>
    <w:p w:rsidR="0084198B" w:rsidRDefault="0084198B" w:rsidP="000E5444">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sidRPr="00024895">
        <w:rPr>
          <w:rFonts w:asciiTheme="minorHAnsi" w:eastAsiaTheme="minorHAnsi" w:hAnsiTheme="minorHAnsi" w:cstheme="minorBidi"/>
          <w:snapToGrid/>
          <w:sz w:val="24"/>
          <w:szCs w:val="22"/>
        </w:rPr>
        <w:t xml:space="preserve">The PBAC recommended the listing of a new form of </w:t>
      </w:r>
      <w:proofErr w:type="spellStart"/>
      <w:r w:rsidRPr="00024895">
        <w:rPr>
          <w:rFonts w:asciiTheme="minorHAnsi" w:eastAsiaTheme="minorHAnsi" w:hAnsiTheme="minorHAnsi" w:cstheme="minorBidi"/>
          <w:snapToGrid/>
          <w:sz w:val="24"/>
          <w:szCs w:val="22"/>
        </w:rPr>
        <w:t>sevelamer</w:t>
      </w:r>
      <w:proofErr w:type="spellEnd"/>
      <w:r w:rsidRPr="00024895">
        <w:rPr>
          <w:rFonts w:asciiTheme="minorHAnsi" w:eastAsiaTheme="minorHAnsi" w:hAnsiTheme="minorHAnsi" w:cstheme="minorBidi"/>
          <w:snapToGrid/>
          <w:sz w:val="24"/>
          <w:szCs w:val="22"/>
        </w:rPr>
        <w:t xml:space="preserve"> (</w:t>
      </w:r>
      <w:proofErr w:type="spellStart"/>
      <w:r w:rsidRPr="00024895">
        <w:rPr>
          <w:rFonts w:asciiTheme="minorHAnsi" w:eastAsiaTheme="minorHAnsi" w:hAnsiTheme="minorHAnsi" w:cstheme="minorBidi"/>
          <w:snapToGrid/>
          <w:sz w:val="24"/>
          <w:szCs w:val="22"/>
        </w:rPr>
        <w:t>Sevelamer</w:t>
      </w:r>
      <w:proofErr w:type="spellEnd"/>
      <w:r w:rsidRPr="00024895">
        <w:rPr>
          <w:rFonts w:asciiTheme="minorHAnsi" w:eastAsiaTheme="minorHAnsi" w:hAnsiTheme="minorHAnsi" w:cstheme="minorBidi"/>
          <w:snapToGrid/>
          <w:sz w:val="24"/>
          <w:szCs w:val="22"/>
        </w:rPr>
        <w:t xml:space="preserve"> Dr Reddy’s) for the treatment of </w:t>
      </w:r>
      <w:proofErr w:type="spellStart"/>
      <w:r w:rsidR="00182295">
        <w:rPr>
          <w:rFonts w:asciiTheme="minorHAnsi" w:eastAsiaTheme="minorHAnsi" w:hAnsiTheme="minorHAnsi" w:cstheme="minorBidi"/>
          <w:snapToGrid/>
          <w:sz w:val="24"/>
          <w:szCs w:val="22"/>
        </w:rPr>
        <w:t>h</w:t>
      </w:r>
      <w:r w:rsidR="000F76C3" w:rsidRPr="00024895">
        <w:rPr>
          <w:rFonts w:asciiTheme="minorHAnsi" w:eastAsiaTheme="minorHAnsi" w:hAnsiTheme="minorHAnsi" w:cstheme="minorBidi"/>
          <w:snapToGrid/>
          <w:sz w:val="24"/>
          <w:szCs w:val="22"/>
        </w:rPr>
        <w:t>yperphosphataemia</w:t>
      </w:r>
      <w:proofErr w:type="spellEnd"/>
      <w:r w:rsidRPr="00024895">
        <w:rPr>
          <w:rFonts w:asciiTheme="minorHAnsi" w:eastAsiaTheme="minorHAnsi" w:hAnsiTheme="minorHAnsi" w:cstheme="minorBidi"/>
          <w:snapToGrid/>
          <w:sz w:val="24"/>
          <w:szCs w:val="22"/>
        </w:rPr>
        <w:t xml:space="preserve">. The PBAC’s recommendation for listing </w:t>
      </w:r>
      <w:proofErr w:type="gramStart"/>
      <w:r w:rsidRPr="00024895">
        <w:rPr>
          <w:rFonts w:asciiTheme="minorHAnsi" w:eastAsiaTheme="minorHAnsi" w:hAnsiTheme="minorHAnsi" w:cstheme="minorBidi"/>
          <w:snapToGrid/>
          <w:sz w:val="24"/>
          <w:szCs w:val="22"/>
        </w:rPr>
        <w:t>was based</w:t>
      </w:r>
      <w:proofErr w:type="gramEnd"/>
      <w:r w:rsidRPr="00024895">
        <w:rPr>
          <w:rFonts w:asciiTheme="minorHAnsi" w:eastAsiaTheme="minorHAnsi" w:hAnsiTheme="minorHAnsi" w:cstheme="minorBidi"/>
          <w:snapToGrid/>
          <w:sz w:val="24"/>
          <w:szCs w:val="22"/>
        </w:rPr>
        <w:t xml:space="preserve">, among other matters, on its assessment that </w:t>
      </w:r>
      <w:r w:rsidR="005349F3" w:rsidRPr="00024895">
        <w:rPr>
          <w:rFonts w:asciiTheme="minorHAnsi" w:eastAsiaTheme="minorHAnsi" w:hAnsiTheme="minorHAnsi" w:cstheme="minorBidi"/>
          <w:snapToGrid/>
          <w:sz w:val="24"/>
          <w:szCs w:val="22"/>
        </w:rPr>
        <w:t xml:space="preserve">on a per gram basis </w:t>
      </w:r>
      <w:proofErr w:type="spellStart"/>
      <w:r w:rsidR="003F0629" w:rsidRPr="00024895">
        <w:rPr>
          <w:rFonts w:asciiTheme="minorHAnsi" w:eastAsiaTheme="minorHAnsi" w:hAnsiTheme="minorHAnsi" w:cstheme="minorBidi"/>
          <w:snapToGrid/>
          <w:sz w:val="24"/>
          <w:szCs w:val="22"/>
        </w:rPr>
        <w:t>Sevelamer</w:t>
      </w:r>
      <w:proofErr w:type="spellEnd"/>
      <w:r w:rsidR="003F0629" w:rsidRPr="00024895">
        <w:rPr>
          <w:rFonts w:asciiTheme="minorHAnsi" w:eastAsiaTheme="minorHAnsi" w:hAnsiTheme="minorHAnsi" w:cstheme="minorBidi"/>
          <w:snapToGrid/>
          <w:sz w:val="24"/>
          <w:szCs w:val="22"/>
        </w:rPr>
        <w:t xml:space="preserve"> Dr Reddy’s is </w:t>
      </w:r>
      <w:proofErr w:type="spellStart"/>
      <w:r w:rsidR="00DC4379" w:rsidRPr="00024895">
        <w:rPr>
          <w:rFonts w:asciiTheme="minorHAnsi" w:eastAsiaTheme="minorHAnsi" w:hAnsiTheme="minorHAnsi" w:cstheme="minorBidi"/>
          <w:snapToGrid/>
          <w:sz w:val="24"/>
          <w:szCs w:val="22"/>
        </w:rPr>
        <w:t>equi</w:t>
      </w:r>
      <w:proofErr w:type="spellEnd"/>
      <w:r w:rsidR="00182295">
        <w:rPr>
          <w:rFonts w:asciiTheme="minorHAnsi" w:eastAsiaTheme="minorHAnsi" w:hAnsiTheme="minorHAnsi" w:cstheme="minorBidi"/>
          <w:snapToGrid/>
          <w:sz w:val="24"/>
          <w:szCs w:val="22"/>
        </w:rPr>
        <w:t>-</w:t>
      </w:r>
      <w:r w:rsidR="00DC4379" w:rsidRPr="00024895">
        <w:rPr>
          <w:rFonts w:asciiTheme="minorHAnsi" w:eastAsiaTheme="minorHAnsi" w:hAnsiTheme="minorHAnsi" w:cstheme="minorBidi"/>
          <w:snapToGrid/>
          <w:sz w:val="24"/>
          <w:szCs w:val="22"/>
        </w:rPr>
        <w:t xml:space="preserve">effective </w:t>
      </w:r>
      <w:r w:rsidR="003F0629" w:rsidRPr="00024895">
        <w:rPr>
          <w:rFonts w:asciiTheme="minorHAnsi" w:eastAsiaTheme="minorHAnsi" w:hAnsiTheme="minorHAnsi" w:cstheme="minorBidi"/>
          <w:snapToGrid/>
          <w:sz w:val="24"/>
          <w:szCs w:val="22"/>
        </w:rPr>
        <w:t xml:space="preserve">to </w:t>
      </w:r>
      <w:proofErr w:type="spellStart"/>
      <w:r w:rsidR="003F0629" w:rsidRPr="00024895">
        <w:rPr>
          <w:rFonts w:asciiTheme="minorHAnsi" w:eastAsiaTheme="minorHAnsi" w:hAnsiTheme="minorHAnsi" w:cstheme="minorBidi"/>
          <w:snapToGrid/>
          <w:sz w:val="24"/>
          <w:szCs w:val="22"/>
        </w:rPr>
        <w:t>Ren</w:t>
      </w:r>
      <w:r w:rsidR="00D45F41" w:rsidRPr="00024895">
        <w:rPr>
          <w:rFonts w:asciiTheme="minorHAnsi" w:eastAsiaTheme="minorHAnsi" w:hAnsiTheme="minorHAnsi" w:cstheme="minorBidi"/>
          <w:snapToGrid/>
          <w:sz w:val="24"/>
          <w:szCs w:val="22"/>
        </w:rPr>
        <w:t>a</w:t>
      </w:r>
      <w:r w:rsidR="003F0629" w:rsidRPr="00024895">
        <w:rPr>
          <w:rFonts w:asciiTheme="minorHAnsi" w:eastAsiaTheme="minorHAnsi" w:hAnsiTheme="minorHAnsi" w:cstheme="minorBidi"/>
          <w:snapToGrid/>
          <w:sz w:val="24"/>
          <w:szCs w:val="22"/>
        </w:rPr>
        <w:t>g</w:t>
      </w:r>
      <w:r w:rsidR="00D45F41" w:rsidRPr="00024895">
        <w:rPr>
          <w:rFonts w:asciiTheme="minorHAnsi" w:eastAsiaTheme="minorHAnsi" w:hAnsiTheme="minorHAnsi" w:cstheme="minorBidi"/>
          <w:snapToGrid/>
          <w:sz w:val="24"/>
          <w:szCs w:val="22"/>
        </w:rPr>
        <w:t>e</w:t>
      </w:r>
      <w:r w:rsidR="003F0629" w:rsidRPr="00024895">
        <w:rPr>
          <w:rFonts w:asciiTheme="minorHAnsi" w:eastAsiaTheme="minorHAnsi" w:hAnsiTheme="minorHAnsi" w:cstheme="minorBidi"/>
          <w:snapToGrid/>
          <w:sz w:val="24"/>
          <w:szCs w:val="22"/>
        </w:rPr>
        <w:t>l</w:t>
      </w:r>
      <w:proofErr w:type="spellEnd"/>
      <w:r w:rsidR="00024895">
        <w:rPr>
          <w:rFonts w:asciiTheme="minorHAnsi" w:eastAsiaTheme="minorHAnsi" w:hAnsiTheme="minorHAnsi" w:cstheme="minorBidi"/>
          <w:snapToGrid/>
          <w:sz w:val="24"/>
          <w:szCs w:val="22"/>
        </w:rPr>
        <w:t xml:space="preserve">. </w:t>
      </w:r>
    </w:p>
    <w:p w:rsidR="000B1A00" w:rsidRPr="00024895" w:rsidRDefault="000B1A00" w:rsidP="000E5444">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Pr>
          <w:rFonts w:asciiTheme="minorHAnsi" w:eastAsiaTheme="minorHAnsi" w:hAnsiTheme="minorHAnsi" w:cstheme="minorBidi"/>
          <w:snapToGrid/>
          <w:sz w:val="24"/>
          <w:szCs w:val="22"/>
        </w:rPr>
        <w:t xml:space="preserve">The PBAC </w:t>
      </w:r>
      <w:r w:rsidR="005005E6">
        <w:rPr>
          <w:rFonts w:asciiTheme="minorHAnsi" w:eastAsiaTheme="minorHAnsi" w:hAnsiTheme="minorHAnsi" w:cstheme="minorBidi"/>
          <w:snapToGrid/>
          <w:sz w:val="24"/>
          <w:szCs w:val="22"/>
        </w:rPr>
        <w:t>considered the</w:t>
      </w:r>
      <w:r>
        <w:rPr>
          <w:rFonts w:asciiTheme="minorHAnsi" w:eastAsiaTheme="minorHAnsi" w:hAnsiTheme="minorHAnsi" w:cstheme="minorBidi"/>
          <w:snapToGrid/>
          <w:sz w:val="24"/>
          <w:szCs w:val="22"/>
        </w:rPr>
        <w:t xml:space="preserve"> claim that </w:t>
      </w:r>
      <w:proofErr w:type="spellStart"/>
      <w:r>
        <w:rPr>
          <w:rFonts w:asciiTheme="minorHAnsi" w:eastAsiaTheme="minorHAnsi" w:hAnsiTheme="minorHAnsi" w:cstheme="minorBidi"/>
          <w:snapToGrid/>
          <w:sz w:val="24"/>
          <w:szCs w:val="22"/>
        </w:rPr>
        <w:t>Sevelamer</w:t>
      </w:r>
      <w:proofErr w:type="spellEnd"/>
      <w:r>
        <w:rPr>
          <w:rFonts w:asciiTheme="minorHAnsi" w:eastAsiaTheme="minorHAnsi" w:hAnsiTheme="minorHAnsi" w:cstheme="minorBidi"/>
          <w:snapToGrid/>
          <w:sz w:val="24"/>
          <w:szCs w:val="22"/>
        </w:rPr>
        <w:t xml:space="preserve"> Dr Reddy’s is </w:t>
      </w:r>
      <w:r w:rsidR="005005E6">
        <w:rPr>
          <w:rFonts w:asciiTheme="minorHAnsi" w:eastAsiaTheme="minorHAnsi" w:hAnsiTheme="minorHAnsi" w:cstheme="minorBidi"/>
          <w:snapToGrid/>
          <w:sz w:val="24"/>
          <w:szCs w:val="22"/>
        </w:rPr>
        <w:t xml:space="preserve">therapeutically equivalent (and </w:t>
      </w:r>
      <w:r>
        <w:rPr>
          <w:rFonts w:asciiTheme="minorHAnsi" w:eastAsiaTheme="minorHAnsi" w:hAnsiTheme="minorHAnsi" w:cstheme="minorBidi"/>
          <w:snapToGrid/>
          <w:sz w:val="24"/>
          <w:szCs w:val="22"/>
        </w:rPr>
        <w:t>bioequivalent</w:t>
      </w:r>
      <w:r w:rsidR="005005E6">
        <w:rPr>
          <w:rFonts w:asciiTheme="minorHAnsi" w:eastAsiaTheme="minorHAnsi" w:hAnsiTheme="minorHAnsi" w:cstheme="minorBidi"/>
          <w:snapToGrid/>
          <w:sz w:val="24"/>
          <w:szCs w:val="22"/>
        </w:rPr>
        <w:t>)</w:t>
      </w:r>
      <w:r>
        <w:rPr>
          <w:rFonts w:asciiTheme="minorHAnsi" w:eastAsiaTheme="minorHAnsi" w:hAnsiTheme="minorHAnsi" w:cstheme="minorBidi"/>
          <w:snapToGrid/>
          <w:sz w:val="24"/>
          <w:szCs w:val="22"/>
        </w:rPr>
        <w:t xml:space="preserve"> to </w:t>
      </w:r>
      <w:proofErr w:type="spellStart"/>
      <w:r>
        <w:rPr>
          <w:rFonts w:asciiTheme="minorHAnsi" w:eastAsiaTheme="minorHAnsi" w:hAnsiTheme="minorHAnsi" w:cstheme="minorBidi"/>
          <w:snapToGrid/>
          <w:sz w:val="24"/>
          <w:szCs w:val="22"/>
        </w:rPr>
        <w:t>Renagel</w:t>
      </w:r>
      <w:proofErr w:type="spellEnd"/>
      <w:r w:rsidR="005005E6">
        <w:rPr>
          <w:rFonts w:asciiTheme="minorHAnsi" w:eastAsiaTheme="minorHAnsi" w:hAnsiTheme="minorHAnsi" w:cstheme="minorBidi"/>
          <w:snapToGrid/>
          <w:sz w:val="24"/>
          <w:szCs w:val="22"/>
        </w:rPr>
        <w:t xml:space="preserve"> was reasonable based on the studies presented in the submission</w:t>
      </w:r>
      <w:r>
        <w:rPr>
          <w:rFonts w:asciiTheme="minorHAnsi" w:eastAsiaTheme="minorHAnsi" w:hAnsiTheme="minorHAnsi" w:cstheme="minorBidi"/>
          <w:snapToGrid/>
          <w:sz w:val="24"/>
          <w:szCs w:val="22"/>
        </w:rPr>
        <w:t>.</w:t>
      </w:r>
    </w:p>
    <w:p w:rsidR="004146E1" w:rsidRPr="00024895" w:rsidRDefault="004146E1" w:rsidP="000E5444">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sidRPr="00024895">
        <w:rPr>
          <w:rFonts w:asciiTheme="minorHAnsi" w:eastAsiaTheme="minorHAnsi" w:hAnsiTheme="minorHAnsi" w:cstheme="minorBidi"/>
          <w:snapToGrid/>
          <w:sz w:val="24"/>
          <w:szCs w:val="22"/>
        </w:rPr>
        <w:t xml:space="preserve">The PBAC advised that </w:t>
      </w:r>
      <w:proofErr w:type="spellStart"/>
      <w:r w:rsidRPr="00024895">
        <w:rPr>
          <w:rFonts w:asciiTheme="minorHAnsi" w:eastAsiaTheme="minorHAnsi" w:hAnsiTheme="minorHAnsi" w:cstheme="minorBidi"/>
          <w:snapToGrid/>
          <w:sz w:val="24"/>
          <w:szCs w:val="22"/>
        </w:rPr>
        <w:t>sevelamer</w:t>
      </w:r>
      <w:proofErr w:type="spellEnd"/>
      <w:r w:rsidRPr="00024895">
        <w:rPr>
          <w:rFonts w:asciiTheme="minorHAnsi" w:eastAsiaTheme="minorHAnsi" w:hAnsiTheme="minorHAnsi" w:cstheme="minorBidi"/>
          <w:snapToGrid/>
          <w:sz w:val="24"/>
          <w:szCs w:val="22"/>
        </w:rPr>
        <w:t xml:space="preserve"> carbonate should not be exempt from the Early Supply Rule, as it applies to the current PBS listing for </w:t>
      </w:r>
      <w:proofErr w:type="spellStart"/>
      <w:r w:rsidRPr="00024895">
        <w:rPr>
          <w:rFonts w:asciiTheme="minorHAnsi" w:eastAsiaTheme="minorHAnsi" w:hAnsiTheme="minorHAnsi" w:cstheme="minorBidi"/>
          <w:snapToGrid/>
          <w:sz w:val="24"/>
          <w:szCs w:val="22"/>
        </w:rPr>
        <w:t>sevelamer</w:t>
      </w:r>
      <w:proofErr w:type="spellEnd"/>
      <w:r w:rsidRPr="00024895">
        <w:rPr>
          <w:rFonts w:asciiTheme="minorHAnsi" w:eastAsiaTheme="minorHAnsi" w:hAnsiTheme="minorHAnsi" w:cstheme="minorBidi"/>
          <w:snapToGrid/>
          <w:sz w:val="24"/>
          <w:szCs w:val="22"/>
        </w:rPr>
        <w:t xml:space="preserve"> hydrochloride. </w:t>
      </w:r>
    </w:p>
    <w:p w:rsidR="003F0629" w:rsidRPr="00024895" w:rsidRDefault="003F0629" w:rsidP="000E5444">
      <w:pPr>
        <w:pStyle w:val="ListParagraph"/>
        <w:numPr>
          <w:ilvl w:val="1"/>
          <w:numId w:val="5"/>
        </w:numPr>
        <w:spacing w:before="120" w:after="120"/>
        <w:rPr>
          <w:rFonts w:asciiTheme="minorHAnsi" w:eastAsiaTheme="minorHAnsi" w:hAnsiTheme="minorHAnsi" w:cstheme="minorBidi"/>
          <w:snapToGrid/>
          <w:sz w:val="24"/>
          <w:szCs w:val="22"/>
        </w:rPr>
      </w:pPr>
      <w:r w:rsidRPr="00024895">
        <w:rPr>
          <w:rFonts w:asciiTheme="minorHAnsi" w:eastAsiaTheme="minorHAnsi" w:hAnsiTheme="minorHAnsi" w:cstheme="minorBidi"/>
          <w:snapToGrid/>
          <w:sz w:val="24"/>
          <w:szCs w:val="22"/>
        </w:rPr>
        <w:t xml:space="preserve">The PBAC advised that </w:t>
      </w:r>
      <w:proofErr w:type="spellStart"/>
      <w:r w:rsidRPr="00024895">
        <w:rPr>
          <w:rFonts w:asciiTheme="minorHAnsi" w:hAnsiTheme="minorHAnsi"/>
          <w:bCs/>
          <w:sz w:val="24"/>
          <w:szCs w:val="24"/>
        </w:rPr>
        <w:t>sevelamer</w:t>
      </w:r>
      <w:proofErr w:type="spellEnd"/>
      <w:r w:rsidRPr="00024895">
        <w:rPr>
          <w:rFonts w:asciiTheme="minorHAnsi" w:hAnsiTheme="minorHAnsi"/>
          <w:bCs/>
          <w:sz w:val="24"/>
          <w:szCs w:val="24"/>
        </w:rPr>
        <w:t xml:space="preserve"> carbonate </w:t>
      </w:r>
      <w:r w:rsidRPr="00024895">
        <w:rPr>
          <w:rFonts w:asciiTheme="minorHAnsi" w:eastAsiaTheme="minorHAnsi" w:hAnsiTheme="minorHAnsi" w:cstheme="minorBidi"/>
          <w:snapToGrid/>
          <w:sz w:val="24"/>
          <w:szCs w:val="22"/>
        </w:rPr>
        <w:t>is suitable for prescribing by nurse practitioners</w:t>
      </w:r>
      <w:r w:rsidR="00270219">
        <w:rPr>
          <w:rFonts w:asciiTheme="minorHAnsi" w:eastAsiaTheme="minorHAnsi" w:hAnsiTheme="minorHAnsi" w:cstheme="minorBidi"/>
          <w:snapToGrid/>
          <w:sz w:val="24"/>
          <w:szCs w:val="22"/>
        </w:rPr>
        <w:t xml:space="preserve"> under a shared care arrangement</w:t>
      </w:r>
      <w:r w:rsidRPr="00024895">
        <w:rPr>
          <w:rFonts w:asciiTheme="minorHAnsi" w:eastAsiaTheme="minorHAnsi" w:hAnsiTheme="minorHAnsi" w:cstheme="minorBidi"/>
          <w:snapToGrid/>
          <w:sz w:val="24"/>
          <w:szCs w:val="22"/>
        </w:rPr>
        <w:t>, in the maintenance phase, following stabilisation.</w:t>
      </w:r>
    </w:p>
    <w:p w:rsidR="000D4FA2" w:rsidRPr="00024895" w:rsidRDefault="000D4FA2" w:rsidP="000E5444">
      <w:pPr>
        <w:pStyle w:val="ListParagraph"/>
        <w:widowControl/>
        <w:numPr>
          <w:ilvl w:val="1"/>
          <w:numId w:val="5"/>
        </w:numPr>
        <w:spacing w:before="120" w:after="120"/>
        <w:contextualSpacing w:val="0"/>
        <w:rPr>
          <w:rFonts w:asciiTheme="minorHAnsi" w:eastAsiaTheme="minorHAnsi" w:hAnsiTheme="minorHAnsi" w:cstheme="minorBidi"/>
          <w:snapToGrid/>
          <w:sz w:val="24"/>
          <w:szCs w:val="22"/>
        </w:rPr>
      </w:pPr>
      <w:r w:rsidRPr="00024895">
        <w:rPr>
          <w:rFonts w:asciiTheme="minorHAnsi" w:eastAsiaTheme="minorHAnsi" w:hAnsiTheme="minorHAnsi" w:cstheme="minorBidi"/>
          <w:snapToGrid/>
          <w:sz w:val="24"/>
          <w:szCs w:val="22"/>
        </w:rPr>
        <w:lastRenderedPageBreak/>
        <w:t xml:space="preserve">The PBAC advised, under Section 101 (4AACD) of the </w:t>
      </w:r>
      <w:r w:rsidRPr="00024895">
        <w:rPr>
          <w:rFonts w:asciiTheme="minorHAnsi" w:eastAsiaTheme="minorHAnsi" w:hAnsiTheme="minorHAnsi" w:cstheme="minorBidi"/>
          <w:i/>
          <w:snapToGrid/>
          <w:sz w:val="24"/>
          <w:szCs w:val="22"/>
        </w:rPr>
        <w:t>National Health Act</w:t>
      </w:r>
      <w:r w:rsidR="00950A56">
        <w:rPr>
          <w:rFonts w:asciiTheme="minorHAnsi" w:eastAsiaTheme="minorHAnsi" w:hAnsiTheme="minorHAnsi" w:cstheme="minorBidi"/>
          <w:i/>
          <w:snapToGrid/>
          <w:sz w:val="24"/>
          <w:szCs w:val="22"/>
        </w:rPr>
        <w:t xml:space="preserve"> 1953</w:t>
      </w:r>
      <w:r w:rsidRPr="00024895">
        <w:rPr>
          <w:rFonts w:asciiTheme="minorHAnsi" w:eastAsiaTheme="minorHAnsi" w:hAnsiTheme="minorHAnsi" w:cstheme="minorBidi"/>
          <w:snapToGrid/>
          <w:sz w:val="24"/>
          <w:szCs w:val="22"/>
        </w:rPr>
        <w:t xml:space="preserve">, that the </w:t>
      </w:r>
      <w:proofErr w:type="spellStart"/>
      <w:r w:rsidRPr="00024895">
        <w:rPr>
          <w:rFonts w:asciiTheme="minorHAnsi" w:eastAsiaTheme="minorHAnsi" w:hAnsiTheme="minorHAnsi" w:cstheme="minorBidi"/>
          <w:snapToGrid/>
          <w:sz w:val="24"/>
          <w:szCs w:val="22"/>
        </w:rPr>
        <w:t>Sevelamer</w:t>
      </w:r>
      <w:proofErr w:type="spellEnd"/>
      <w:r w:rsidRPr="00024895">
        <w:rPr>
          <w:rFonts w:asciiTheme="minorHAnsi" w:eastAsiaTheme="minorHAnsi" w:hAnsiTheme="minorHAnsi" w:cstheme="minorBidi"/>
          <w:snapToGrid/>
          <w:sz w:val="24"/>
          <w:szCs w:val="22"/>
        </w:rPr>
        <w:t xml:space="preserve"> Dr Reddy’s and </w:t>
      </w:r>
      <w:proofErr w:type="spellStart"/>
      <w:r w:rsidR="00D45F41" w:rsidRPr="00024895">
        <w:rPr>
          <w:rFonts w:asciiTheme="minorHAnsi" w:eastAsiaTheme="minorHAnsi" w:hAnsiTheme="minorHAnsi" w:cstheme="minorBidi"/>
          <w:snapToGrid/>
          <w:sz w:val="24"/>
          <w:szCs w:val="22"/>
        </w:rPr>
        <w:t>Renagel</w:t>
      </w:r>
      <w:proofErr w:type="spellEnd"/>
      <w:r w:rsidR="00D45F41" w:rsidRPr="00024895">
        <w:rPr>
          <w:rFonts w:asciiTheme="minorHAnsi" w:eastAsiaTheme="minorHAnsi" w:hAnsiTheme="minorHAnsi" w:cstheme="minorBidi"/>
          <w:snapToGrid/>
          <w:sz w:val="24"/>
          <w:szCs w:val="22"/>
        </w:rPr>
        <w:t xml:space="preserve"> </w:t>
      </w:r>
      <w:r w:rsidRPr="00024895">
        <w:rPr>
          <w:rFonts w:asciiTheme="minorHAnsi" w:eastAsiaTheme="minorHAnsi" w:hAnsiTheme="minorHAnsi" w:cstheme="minorBidi"/>
          <w:snapToGrid/>
          <w:sz w:val="24"/>
          <w:szCs w:val="22"/>
        </w:rPr>
        <w:t xml:space="preserve">should be considered equivalent for the purposes of substitution (i.e., ‘a’ flagged in the Schedule with a NOTE stating PBS of one form and PBS of another form are equivalent for the purposes of substitution). </w:t>
      </w:r>
    </w:p>
    <w:p w:rsidR="000D4FA2" w:rsidRPr="00024895" w:rsidRDefault="000D4FA2" w:rsidP="000E5444">
      <w:pPr>
        <w:pStyle w:val="ListParagraph"/>
        <w:widowControl/>
        <w:numPr>
          <w:ilvl w:val="1"/>
          <w:numId w:val="5"/>
        </w:numPr>
        <w:spacing w:before="120" w:after="120"/>
        <w:rPr>
          <w:rFonts w:asciiTheme="minorHAnsi" w:eastAsiaTheme="minorHAnsi" w:hAnsiTheme="minorHAnsi" w:cstheme="minorBidi"/>
          <w:snapToGrid/>
          <w:sz w:val="24"/>
          <w:szCs w:val="22"/>
        </w:rPr>
      </w:pPr>
      <w:r w:rsidRPr="00024895">
        <w:rPr>
          <w:rFonts w:asciiTheme="minorHAnsi" w:eastAsiaTheme="minorHAnsi" w:hAnsiTheme="minorHAnsi" w:cstheme="minorBidi"/>
          <w:snapToGrid/>
          <w:sz w:val="24"/>
          <w:szCs w:val="22"/>
        </w:rPr>
        <w:t xml:space="preserve">The PBAC noted this submission was not eligible for an Independent Review, as it received a positive recommendation. </w:t>
      </w:r>
    </w:p>
    <w:p w:rsidR="006E1D7F" w:rsidRPr="0089214F" w:rsidRDefault="006E1D7F" w:rsidP="000E5444">
      <w:pPr>
        <w:spacing w:before="120" w:after="120"/>
        <w:jc w:val="both"/>
        <w:rPr>
          <w:rFonts w:asciiTheme="minorHAnsi" w:hAnsiTheme="minorHAnsi" w:cs="Arial"/>
          <w:b/>
          <w:bCs/>
          <w:snapToGrid w:val="0"/>
        </w:rPr>
      </w:pPr>
      <w:r w:rsidRPr="0089214F">
        <w:rPr>
          <w:rFonts w:asciiTheme="minorHAnsi" w:hAnsiTheme="minorHAnsi" w:cs="Arial"/>
          <w:b/>
          <w:bCs/>
          <w:snapToGrid w:val="0"/>
        </w:rPr>
        <w:t>Outcome:</w:t>
      </w:r>
    </w:p>
    <w:p w:rsidR="006E1D7F" w:rsidRPr="0089214F" w:rsidRDefault="00E00114" w:rsidP="000E5444">
      <w:pPr>
        <w:spacing w:before="120" w:after="120"/>
        <w:jc w:val="both"/>
        <w:rPr>
          <w:rFonts w:asciiTheme="minorHAnsi" w:hAnsiTheme="minorHAnsi" w:cs="Arial"/>
          <w:bCs/>
          <w:snapToGrid w:val="0"/>
        </w:rPr>
      </w:pPr>
      <w:r w:rsidRPr="0089214F">
        <w:rPr>
          <w:rFonts w:asciiTheme="minorHAnsi" w:hAnsiTheme="minorHAnsi" w:cs="Arial"/>
          <w:bCs/>
          <w:snapToGrid w:val="0"/>
        </w:rPr>
        <w:t xml:space="preserve">Recommended </w:t>
      </w:r>
    </w:p>
    <w:p w:rsidR="006E1D7F" w:rsidRPr="004704D3" w:rsidRDefault="006E1D7F" w:rsidP="000E5444">
      <w:pPr>
        <w:pStyle w:val="Heading1"/>
        <w:keepNext/>
        <w:keepLines/>
        <w:widowControl/>
        <w:numPr>
          <w:ilvl w:val="0"/>
          <w:numId w:val="14"/>
        </w:numPr>
        <w:spacing w:before="120" w:after="120"/>
        <w:ind w:left="709" w:hanging="709"/>
        <w:contextualSpacing w:val="0"/>
        <w:jc w:val="left"/>
        <w:rPr>
          <w:rFonts w:asciiTheme="minorHAnsi" w:hAnsiTheme="minorHAnsi"/>
          <w:sz w:val="32"/>
          <w:szCs w:val="32"/>
        </w:rPr>
      </w:pPr>
      <w:r w:rsidRPr="004704D3">
        <w:rPr>
          <w:rFonts w:asciiTheme="minorHAnsi" w:hAnsiTheme="minorHAnsi"/>
          <w:sz w:val="32"/>
          <w:szCs w:val="32"/>
        </w:rPr>
        <w:t>Recommended listing</w:t>
      </w:r>
    </w:p>
    <w:p w:rsidR="006E1D7F" w:rsidRPr="00024895" w:rsidRDefault="006E1D7F" w:rsidP="000E5444">
      <w:pPr>
        <w:widowControl w:val="0"/>
        <w:spacing w:before="120" w:after="120"/>
        <w:ind w:firstLine="720"/>
        <w:jc w:val="both"/>
        <w:rPr>
          <w:rFonts w:asciiTheme="minorHAnsi" w:hAnsiTheme="minorHAnsi" w:cs="Arial"/>
          <w:bCs/>
          <w:snapToGrid w:val="0"/>
        </w:rPr>
      </w:pPr>
      <w:r w:rsidRPr="00024895">
        <w:rPr>
          <w:rFonts w:asciiTheme="minorHAnsi" w:hAnsiTheme="minorHAnsi" w:cs="Arial"/>
          <w:bCs/>
          <w:snapToGrid w:val="0"/>
        </w:rPr>
        <w:t>Add new item:</w:t>
      </w:r>
    </w:p>
    <w:tbl>
      <w:tblPr>
        <w:tblW w:w="4910" w:type="pct"/>
        <w:tblLook w:val="0000" w:firstRow="0" w:lastRow="0" w:firstColumn="0" w:lastColumn="0" w:noHBand="0" w:noVBand="0"/>
      </w:tblPr>
      <w:tblGrid>
        <w:gridCol w:w="1895"/>
        <w:gridCol w:w="1331"/>
        <w:gridCol w:w="713"/>
        <w:gridCol w:w="860"/>
        <w:gridCol w:w="3991"/>
        <w:gridCol w:w="74"/>
      </w:tblGrid>
      <w:tr w:rsidR="00560208" w:rsidRPr="00024895" w:rsidTr="00115B0F">
        <w:trPr>
          <w:gridAfter w:val="1"/>
          <w:wAfter w:w="42" w:type="pct"/>
          <w:cantSplit/>
          <w:trHeight w:val="465"/>
        </w:trPr>
        <w:tc>
          <w:tcPr>
            <w:tcW w:w="1820" w:type="pct"/>
            <w:gridSpan w:val="2"/>
            <w:tcBorders>
              <w:bottom w:val="single" w:sz="4" w:space="0" w:color="auto"/>
            </w:tcBorders>
          </w:tcPr>
          <w:p w:rsidR="00560208" w:rsidRPr="00024895" w:rsidRDefault="00560208" w:rsidP="00085ABB">
            <w:pPr>
              <w:keepNext/>
              <w:spacing w:before="40" w:after="40"/>
              <w:jc w:val="both"/>
              <w:rPr>
                <w:rFonts w:ascii="Arial Narrow" w:hAnsi="Arial Narrow" w:cs="Arial"/>
                <w:b/>
                <w:sz w:val="20"/>
                <w:szCs w:val="20"/>
              </w:rPr>
            </w:pPr>
            <w:r w:rsidRPr="00024895">
              <w:rPr>
                <w:rFonts w:ascii="Arial Narrow" w:hAnsi="Arial Narrow" w:cs="Arial"/>
                <w:b/>
                <w:sz w:val="20"/>
                <w:szCs w:val="20"/>
              </w:rPr>
              <w:t>Name, Restriction,</w:t>
            </w:r>
          </w:p>
          <w:p w:rsidR="00560208" w:rsidRPr="00024895" w:rsidRDefault="00560208" w:rsidP="00085ABB">
            <w:pPr>
              <w:keepNext/>
              <w:spacing w:before="40" w:after="40"/>
              <w:jc w:val="both"/>
              <w:rPr>
                <w:rFonts w:ascii="Arial Narrow" w:hAnsi="Arial Narrow" w:cs="Arial"/>
                <w:b/>
                <w:sz w:val="20"/>
                <w:szCs w:val="20"/>
              </w:rPr>
            </w:pPr>
            <w:r w:rsidRPr="00024895">
              <w:rPr>
                <w:rFonts w:ascii="Arial Narrow" w:hAnsi="Arial Narrow" w:cs="Arial"/>
                <w:b/>
                <w:sz w:val="20"/>
                <w:szCs w:val="20"/>
              </w:rPr>
              <w:t>Manner of administration and form</w:t>
            </w:r>
          </w:p>
        </w:tc>
        <w:tc>
          <w:tcPr>
            <w:tcW w:w="402" w:type="pct"/>
            <w:tcBorders>
              <w:bottom w:val="single" w:sz="4" w:space="0" w:color="auto"/>
            </w:tcBorders>
          </w:tcPr>
          <w:p w:rsidR="00560208" w:rsidRPr="00024895" w:rsidRDefault="00560208" w:rsidP="00085ABB">
            <w:pPr>
              <w:keepNext/>
              <w:spacing w:before="40" w:after="40"/>
              <w:jc w:val="both"/>
              <w:rPr>
                <w:rFonts w:ascii="Arial Narrow" w:hAnsi="Arial Narrow" w:cs="Arial"/>
                <w:b/>
                <w:sz w:val="20"/>
                <w:szCs w:val="20"/>
              </w:rPr>
            </w:pPr>
            <w:r w:rsidRPr="00024895">
              <w:rPr>
                <w:rFonts w:ascii="Arial Narrow" w:hAnsi="Arial Narrow" w:cs="Arial"/>
                <w:b/>
                <w:sz w:val="20"/>
                <w:szCs w:val="20"/>
              </w:rPr>
              <w:t>Max.</w:t>
            </w:r>
          </w:p>
          <w:p w:rsidR="00560208" w:rsidRPr="00024895" w:rsidRDefault="00560208" w:rsidP="00085ABB">
            <w:pPr>
              <w:keepNext/>
              <w:spacing w:before="40" w:after="40"/>
              <w:jc w:val="both"/>
              <w:rPr>
                <w:rFonts w:ascii="Arial Narrow" w:hAnsi="Arial Narrow" w:cs="Arial"/>
                <w:b/>
                <w:sz w:val="20"/>
                <w:szCs w:val="20"/>
              </w:rPr>
            </w:pPr>
            <w:proofErr w:type="spellStart"/>
            <w:r w:rsidRPr="00024895">
              <w:rPr>
                <w:rFonts w:ascii="Arial Narrow" w:hAnsi="Arial Narrow" w:cs="Arial"/>
                <w:b/>
                <w:sz w:val="20"/>
                <w:szCs w:val="20"/>
              </w:rPr>
              <w:t>Qty</w:t>
            </w:r>
            <w:proofErr w:type="spellEnd"/>
          </w:p>
        </w:tc>
        <w:tc>
          <w:tcPr>
            <w:tcW w:w="485" w:type="pct"/>
            <w:tcBorders>
              <w:bottom w:val="single" w:sz="4" w:space="0" w:color="auto"/>
            </w:tcBorders>
          </w:tcPr>
          <w:p w:rsidR="00560208" w:rsidRPr="00024895" w:rsidRDefault="00560208" w:rsidP="00085ABB">
            <w:pPr>
              <w:keepNext/>
              <w:spacing w:before="40" w:after="40"/>
              <w:jc w:val="both"/>
              <w:rPr>
                <w:rFonts w:ascii="Arial Narrow" w:hAnsi="Arial Narrow" w:cs="Arial"/>
                <w:b/>
                <w:sz w:val="20"/>
                <w:szCs w:val="20"/>
              </w:rPr>
            </w:pPr>
            <w:r w:rsidRPr="00024895">
              <w:rPr>
                <w:rFonts w:ascii="Arial Narrow" w:hAnsi="Arial Narrow" w:cs="Arial"/>
                <w:b/>
                <w:sz w:val="20"/>
                <w:szCs w:val="20"/>
              </w:rPr>
              <w:t>№.of</w:t>
            </w:r>
          </w:p>
          <w:p w:rsidR="00560208" w:rsidRPr="00024895" w:rsidRDefault="00560208" w:rsidP="00085ABB">
            <w:pPr>
              <w:keepNext/>
              <w:spacing w:before="40" w:after="40"/>
              <w:jc w:val="both"/>
              <w:rPr>
                <w:rFonts w:ascii="Arial Narrow" w:hAnsi="Arial Narrow" w:cs="Arial"/>
                <w:b/>
                <w:sz w:val="20"/>
                <w:szCs w:val="20"/>
              </w:rPr>
            </w:pPr>
            <w:proofErr w:type="spellStart"/>
            <w:r w:rsidRPr="00024895">
              <w:rPr>
                <w:rFonts w:ascii="Arial Narrow" w:hAnsi="Arial Narrow" w:cs="Arial"/>
                <w:b/>
                <w:sz w:val="20"/>
                <w:szCs w:val="20"/>
              </w:rPr>
              <w:t>Rpts</w:t>
            </w:r>
            <w:proofErr w:type="spellEnd"/>
          </w:p>
        </w:tc>
        <w:tc>
          <w:tcPr>
            <w:tcW w:w="2251" w:type="pct"/>
            <w:tcBorders>
              <w:bottom w:val="single" w:sz="4" w:space="0" w:color="auto"/>
            </w:tcBorders>
          </w:tcPr>
          <w:p w:rsidR="00560208" w:rsidRPr="0089214F" w:rsidRDefault="00560208" w:rsidP="00085ABB">
            <w:pPr>
              <w:keepNext/>
              <w:spacing w:before="40" w:after="40"/>
              <w:jc w:val="both"/>
              <w:rPr>
                <w:rFonts w:ascii="Arial Narrow" w:hAnsi="Arial Narrow" w:cs="Arial"/>
                <w:b/>
                <w:sz w:val="20"/>
                <w:szCs w:val="20"/>
              </w:rPr>
            </w:pPr>
            <w:r w:rsidRPr="00024895">
              <w:rPr>
                <w:rFonts w:ascii="Arial Narrow" w:hAnsi="Arial Narrow" w:cs="Arial"/>
                <w:b/>
                <w:sz w:val="20"/>
                <w:szCs w:val="20"/>
              </w:rPr>
              <w:t>Proprietary Name and Manufacturer</w:t>
            </w:r>
          </w:p>
        </w:tc>
      </w:tr>
      <w:tr w:rsidR="00560208" w:rsidRPr="00024895" w:rsidTr="00115B0F">
        <w:trPr>
          <w:gridAfter w:val="1"/>
          <w:wAfter w:w="42" w:type="pct"/>
          <w:cantSplit/>
          <w:trHeight w:val="567"/>
        </w:trPr>
        <w:tc>
          <w:tcPr>
            <w:tcW w:w="1820" w:type="pct"/>
            <w:gridSpan w:val="2"/>
          </w:tcPr>
          <w:p w:rsidR="00560208" w:rsidRPr="00024895" w:rsidRDefault="00560208" w:rsidP="00085ABB">
            <w:pPr>
              <w:keepNext/>
              <w:spacing w:before="40" w:after="40"/>
              <w:jc w:val="both"/>
              <w:rPr>
                <w:rFonts w:ascii="Arial Narrow" w:hAnsi="Arial Narrow" w:cs="Arial"/>
                <w:sz w:val="20"/>
                <w:szCs w:val="20"/>
              </w:rPr>
            </w:pPr>
            <w:r w:rsidRPr="00024895">
              <w:rPr>
                <w:rFonts w:ascii="Arial Narrow" w:hAnsi="Arial Narrow" w:cs="Arial"/>
                <w:smallCaps/>
                <w:sz w:val="20"/>
                <w:szCs w:val="20"/>
              </w:rPr>
              <w:t>SEVELAMER</w:t>
            </w:r>
          </w:p>
          <w:p w:rsidR="00560208" w:rsidRPr="00024895" w:rsidRDefault="00560208" w:rsidP="00085ABB">
            <w:pPr>
              <w:keepNext/>
              <w:spacing w:before="40" w:after="40"/>
              <w:jc w:val="both"/>
              <w:rPr>
                <w:rFonts w:ascii="Arial Narrow" w:hAnsi="Arial Narrow" w:cs="Arial"/>
                <w:sz w:val="20"/>
                <w:szCs w:val="20"/>
              </w:rPr>
            </w:pPr>
            <w:proofErr w:type="spellStart"/>
            <w:r w:rsidRPr="00024895">
              <w:rPr>
                <w:rFonts w:ascii="Arial Narrow" w:hAnsi="Arial Narrow" w:cs="Arial"/>
                <w:sz w:val="20"/>
                <w:szCs w:val="20"/>
              </w:rPr>
              <w:t>Sevelamer</w:t>
            </w:r>
            <w:proofErr w:type="spellEnd"/>
            <w:r w:rsidRPr="00024895">
              <w:rPr>
                <w:rFonts w:ascii="Arial Narrow" w:hAnsi="Arial Narrow" w:cs="Arial"/>
                <w:sz w:val="20"/>
                <w:szCs w:val="20"/>
              </w:rPr>
              <w:t xml:space="preserve"> carbonate, tablet 800, mg, 180  </w:t>
            </w:r>
          </w:p>
        </w:tc>
        <w:tc>
          <w:tcPr>
            <w:tcW w:w="402" w:type="pct"/>
          </w:tcPr>
          <w:p w:rsidR="00560208" w:rsidRPr="00024895" w:rsidRDefault="00560208" w:rsidP="00085ABB">
            <w:pPr>
              <w:keepNext/>
              <w:spacing w:before="40" w:after="40"/>
              <w:jc w:val="both"/>
              <w:rPr>
                <w:rFonts w:ascii="Arial Narrow" w:hAnsi="Arial Narrow" w:cs="Arial"/>
                <w:sz w:val="20"/>
                <w:szCs w:val="20"/>
              </w:rPr>
            </w:pPr>
          </w:p>
          <w:p w:rsidR="00560208" w:rsidRPr="00024895" w:rsidRDefault="00560208" w:rsidP="00085ABB">
            <w:pPr>
              <w:keepNext/>
              <w:spacing w:before="40" w:after="40"/>
              <w:jc w:val="both"/>
              <w:rPr>
                <w:rFonts w:ascii="Arial Narrow" w:hAnsi="Arial Narrow" w:cs="Arial"/>
                <w:sz w:val="20"/>
                <w:szCs w:val="20"/>
              </w:rPr>
            </w:pPr>
            <w:r w:rsidRPr="00024895">
              <w:rPr>
                <w:rFonts w:ascii="Arial Narrow" w:hAnsi="Arial Narrow" w:cs="Arial"/>
                <w:sz w:val="20"/>
                <w:szCs w:val="20"/>
              </w:rPr>
              <w:t>1</w:t>
            </w:r>
          </w:p>
        </w:tc>
        <w:tc>
          <w:tcPr>
            <w:tcW w:w="485" w:type="pct"/>
          </w:tcPr>
          <w:p w:rsidR="00560208" w:rsidRPr="00024895" w:rsidRDefault="00560208" w:rsidP="00085ABB">
            <w:pPr>
              <w:keepNext/>
              <w:spacing w:before="40" w:after="40"/>
              <w:jc w:val="both"/>
              <w:rPr>
                <w:rFonts w:ascii="Arial Narrow" w:hAnsi="Arial Narrow" w:cs="Arial"/>
                <w:sz w:val="20"/>
                <w:szCs w:val="20"/>
              </w:rPr>
            </w:pPr>
          </w:p>
          <w:p w:rsidR="00560208" w:rsidRPr="00024895" w:rsidRDefault="00560208" w:rsidP="00085ABB">
            <w:pPr>
              <w:keepNext/>
              <w:spacing w:before="40" w:after="40"/>
              <w:jc w:val="both"/>
              <w:rPr>
                <w:rFonts w:ascii="Arial Narrow" w:hAnsi="Arial Narrow" w:cs="Arial"/>
                <w:sz w:val="20"/>
                <w:szCs w:val="20"/>
              </w:rPr>
            </w:pPr>
            <w:r w:rsidRPr="00024895">
              <w:rPr>
                <w:rFonts w:ascii="Arial Narrow" w:hAnsi="Arial Narrow" w:cs="Arial"/>
                <w:sz w:val="20"/>
                <w:szCs w:val="20"/>
              </w:rPr>
              <w:t>5</w:t>
            </w:r>
          </w:p>
        </w:tc>
        <w:tc>
          <w:tcPr>
            <w:tcW w:w="2251" w:type="pct"/>
          </w:tcPr>
          <w:p w:rsidR="00560208" w:rsidRPr="00024895" w:rsidRDefault="00560208" w:rsidP="00085ABB">
            <w:pPr>
              <w:keepNext/>
              <w:spacing w:before="40" w:after="40"/>
              <w:jc w:val="both"/>
              <w:rPr>
                <w:rFonts w:ascii="Arial Narrow" w:hAnsi="Arial Narrow" w:cs="Arial"/>
                <w:sz w:val="20"/>
                <w:szCs w:val="20"/>
              </w:rPr>
            </w:pPr>
            <w:proofErr w:type="spellStart"/>
            <w:r w:rsidRPr="00024895">
              <w:rPr>
                <w:rFonts w:ascii="Arial Narrow" w:hAnsi="Arial Narrow" w:cs="Arial"/>
                <w:sz w:val="20"/>
                <w:szCs w:val="20"/>
              </w:rPr>
              <w:t>Sevelamer</w:t>
            </w:r>
            <w:proofErr w:type="spellEnd"/>
            <w:r w:rsidRPr="00024895">
              <w:rPr>
                <w:rFonts w:ascii="Arial Narrow" w:hAnsi="Arial Narrow" w:cs="Arial"/>
                <w:sz w:val="20"/>
                <w:szCs w:val="20"/>
              </w:rPr>
              <w:t xml:space="preserve"> Dr Reddy’s</w:t>
            </w:r>
          </w:p>
          <w:p w:rsidR="00560208" w:rsidRPr="00024895" w:rsidRDefault="00560208" w:rsidP="00085ABB">
            <w:pPr>
              <w:keepNext/>
              <w:spacing w:before="40" w:after="40"/>
              <w:jc w:val="both"/>
              <w:rPr>
                <w:rFonts w:ascii="Arial Narrow" w:hAnsi="Arial Narrow" w:cs="Arial"/>
                <w:sz w:val="20"/>
                <w:szCs w:val="20"/>
              </w:rPr>
            </w:pPr>
          </w:p>
          <w:p w:rsidR="00560208" w:rsidRPr="00024895" w:rsidRDefault="00560208" w:rsidP="00085ABB">
            <w:pPr>
              <w:keepNext/>
              <w:spacing w:before="40" w:after="40"/>
              <w:jc w:val="both"/>
              <w:rPr>
                <w:rFonts w:ascii="Arial Narrow" w:hAnsi="Arial Narrow" w:cs="Arial"/>
                <w:sz w:val="20"/>
                <w:szCs w:val="20"/>
              </w:rPr>
            </w:pPr>
            <w:r w:rsidRPr="00024895">
              <w:rPr>
                <w:rFonts w:ascii="Arial Narrow" w:hAnsi="Arial Narrow" w:cs="Arial"/>
                <w:sz w:val="20"/>
                <w:szCs w:val="20"/>
              </w:rPr>
              <w:t>Dr Reddy’s Laboratories Australia Pty Ltd</w:t>
            </w:r>
          </w:p>
        </w:tc>
      </w:tr>
      <w:tr w:rsidR="00560208" w:rsidRPr="00024895" w:rsidTr="00115B0F">
        <w:trPr>
          <w:gridAfter w:val="1"/>
          <w:wAfter w:w="42" w:type="pct"/>
          <w:cantSplit/>
          <w:trHeight w:val="360"/>
        </w:trPr>
        <w:tc>
          <w:tcPr>
            <w:tcW w:w="4958" w:type="pct"/>
            <w:gridSpan w:val="5"/>
            <w:tcBorders>
              <w:bottom w:val="single" w:sz="4" w:space="0" w:color="auto"/>
            </w:tcBorders>
          </w:tcPr>
          <w:p w:rsidR="00560208" w:rsidRPr="00024895" w:rsidRDefault="00560208" w:rsidP="00085ABB">
            <w:pPr>
              <w:spacing w:before="40" w:after="40"/>
              <w:jc w:val="both"/>
              <w:rPr>
                <w:rFonts w:ascii="Arial Narrow" w:hAnsi="Arial Narrow" w:cs="Arial"/>
                <w:sz w:val="20"/>
                <w:szCs w:val="20"/>
              </w:rPr>
            </w:pPr>
          </w:p>
        </w:tc>
      </w:tr>
      <w:tr w:rsidR="00560208" w:rsidRPr="00024895" w:rsidTr="00560208">
        <w:trPr>
          <w:cantSplit/>
          <w:trHeight w:val="360"/>
        </w:trPr>
        <w:tc>
          <w:tcPr>
            <w:tcW w:w="1069" w:type="pct"/>
            <w:tcBorders>
              <w:top w:val="single" w:sz="4" w:space="0" w:color="auto"/>
              <w:left w:val="single" w:sz="4" w:space="0" w:color="auto"/>
              <w:bottom w:val="single" w:sz="4" w:space="0" w:color="auto"/>
              <w:right w:val="single" w:sz="4" w:space="0" w:color="auto"/>
            </w:tcBorders>
          </w:tcPr>
          <w:p w:rsidR="00560208" w:rsidRPr="00024895" w:rsidRDefault="00560208" w:rsidP="00085ABB">
            <w:pPr>
              <w:spacing w:before="40" w:after="40"/>
              <w:jc w:val="both"/>
              <w:rPr>
                <w:rFonts w:ascii="Arial Narrow" w:hAnsi="Arial Narrow" w:cs="Arial"/>
                <w:b/>
                <w:sz w:val="20"/>
                <w:szCs w:val="20"/>
              </w:rPr>
            </w:pPr>
            <w:r w:rsidRPr="00024895">
              <w:rPr>
                <w:rFonts w:ascii="Arial Narrow" w:hAnsi="Arial Narrow" w:cs="Arial"/>
                <w:b/>
                <w:sz w:val="20"/>
                <w:szCs w:val="20"/>
              </w:rPr>
              <w:t xml:space="preserve">Category / </w:t>
            </w:r>
          </w:p>
          <w:p w:rsidR="00560208" w:rsidRPr="00024895" w:rsidRDefault="00560208" w:rsidP="00085ABB">
            <w:pPr>
              <w:spacing w:before="40" w:after="40"/>
              <w:jc w:val="both"/>
              <w:rPr>
                <w:rFonts w:ascii="Arial Narrow" w:hAnsi="Arial Narrow" w:cs="Arial"/>
                <w:b/>
                <w:sz w:val="20"/>
                <w:szCs w:val="20"/>
              </w:rPr>
            </w:pPr>
            <w:r w:rsidRPr="00024895">
              <w:rPr>
                <w:rFonts w:ascii="Arial Narrow" w:hAnsi="Arial Narrow" w:cs="Arial"/>
                <w:b/>
                <w:sz w:val="20"/>
                <w:szCs w:val="20"/>
              </w:rPr>
              <w:t>Program</w:t>
            </w:r>
          </w:p>
        </w:tc>
        <w:tc>
          <w:tcPr>
            <w:tcW w:w="3931" w:type="pct"/>
            <w:gridSpan w:val="5"/>
            <w:tcBorders>
              <w:top w:val="single" w:sz="4" w:space="0" w:color="auto"/>
              <w:left w:val="single" w:sz="4" w:space="0" w:color="auto"/>
              <w:bottom w:val="single" w:sz="4" w:space="0" w:color="auto"/>
              <w:right w:val="single" w:sz="4" w:space="0" w:color="auto"/>
            </w:tcBorders>
          </w:tcPr>
          <w:p w:rsidR="00560208" w:rsidRPr="00024895" w:rsidRDefault="00560208" w:rsidP="00085ABB">
            <w:pPr>
              <w:spacing w:before="40" w:after="40"/>
              <w:rPr>
                <w:rFonts w:ascii="Arial Narrow" w:hAnsi="Arial Narrow" w:cs="Arial"/>
                <w:sz w:val="20"/>
                <w:szCs w:val="20"/>
              </w:rPr>
            </w:pPr>
            <w:r w:rsidRPr="00024895">
              <w:rPr>
                <w:rFonts w:ascii="Arial Narrow" w:hAnsi="Arial Narrow" w:cs="Arial"/>
                <w:sz w:val="20"/>
                <w:szCs w:val="20"/>
              </w:rPr>
              <w:t>GENERAL – General Schedule (Code GE)</w:t>
            </w:r>
          </w:p>
        </w:tc>
      </w:tr>
      <w:tr w:rsidR="00560208" w:rsidRPr="00024895" w:rsidTr="00560208">
        <w:trPr>
          <w:cantSplit/>
          <w:trHeight w:val="492"/>
        </w:trPr>
        <w:tc>
          <w:tcPr>
            <w:tcW w:w="1069" w:type="pct"/>
            <w:tcBorders>
              <w:top w:val="single" w:sz="4" w:space="0" w:color="auto"/>
              <w:left w:val="single" w:sz="4" w:space="0" w:color="auto"/>
              <w:bottom w:val="single" w:sz="4" w:space="0" w:color="auto"/>
              <w:right w:val="single" w:sz="4" w:space="0" w:color="auto"/>
            </w:tcBorders>
          </w:tcPr>
          <w:p w:rsidR="00560208" w:rsidRPr="00024895" w:rsidRDefault="00560208" w:rsidP="00085ABB">
            <w:pPr>
              <w:spacing w:before="40" w:after="40"/>
              <w:jc w:val="both"/>
              <w:rPr>
                <w:rFonts w:ascii="Arial Narrow" w:hAnsi="Arial Narrow" w:cs="Arial"/>
                <w:b/>
                <w:sz w:val="20"/>
                <w:szCs w:val="20"/>
              </w:rPr>
            </w:pPr>
            <w:r w:rsidRPr="00024895">
              <w:rPr>
                <w:rFonts w:ascii="Arial Narrow" w:hAnsi="Arial Narrow" w:cs="Arial"/>
                <w:b/>
                <w:sz w:val="20"/>
                <w:szCs w:val="20"/>
              </w:rPr>
              <w:t>Prescriber type:</w:t>
            </w:r>
          </w:p>
        </w:tc>
        <w:tc>
          <w:tcPr>
            <w:tcW w:w="3931" w:type="pct"/>
            <w:gridSpan w:val="5"/>
            <w:tcBorders>
              <w:top w:val="single" w:sz="4" w:space="0" w:color="auto"/>
              <w:left w:val="single" w:sz="4" w:space="0" w:color="auto"/>
              <w:bottom w:val="single" w:sz="4" w:space="0" w:color="auto"/>
              <w:right w:val="single" w:sz="4" w:space="0" w:color="auto"/>
            </w:tcBorders>
          </w:tcPr>
          <w:p w:rsidR="00560208" w:rsidRPr="00024895" w:rsidRDefault="00560208" w:rsidP="00085ABB">
            <w:pPr>
              <w:spacing w:before="40" w:after="40"/>
              <w:rPr>
                <w:rFonts w:ascii="Arial Narrow" w:hAnsi="Arial Narrow" w:cs="Arial"/>
                <w:sz w:val="20"/>
                <w:szCs w:val="20"/>
              </w:rPr>
            </w:pPr>
            <w:r w:rsidRPr="0089214F">
              <w:rPr>
                <w:rFonts w:ascii="Arial Narrow" w:hAnsi="Arial Narrow" w:cs="Arial"/>
                <w:sz w:val="20"/>
                <w:szCs w:val="20"/>
              </w:rPr>
              <w:fldChar w:fldCharType="begin">
                <w:ffData>
                  <w:name w:val=""/>
                  <w:enabled/>
                  <w:calcOnExit w:val="0"/>
                  <w:checkBox>
                    <w:sizeAuto/>
                    <w:default w:val="1"/>
                  </w:checkBox>
                </w:ffData>
              </w:fldChar>
            </w:r>
            <w:r w:rsidRPr="00024895">
              <w:rPr>
                <w:rFonts w:ascii="Arial Narrow" w:hAnsi="Arial Narrow" w:cs="Arial"/>
                <w:sz w:val="20"/>
                <w:szCs w:val="20"/>
              </w:rPr>
              <w:instrText xml:space="preserve"> FORMCHECKBOX </w:instrText>
            </w:r>
            <w:r w:rsidR="003C3CE5">
              <w:rPr>
                <w:rFonts w:ascii="Arial Narrow" w:hAnsi="Arial Narrow" w:cs="Arial"/>
                <w:sz w:val="20"/>
                <w:szCs w:val="20"/>
              </w:rPr>
            </w:r>
            <w:r w:rsidR="003C3CE5">
              <w:rPr>
                <w:rFonts w:ascii="Arial Narrow" w:hAnsi="Arial Narrow" w:cs="Arial"/>
                <w:sz w:val="20"/>
                <w:szCs w:val="20"/>
              </w:rPr>
              <w:fldChar w:fldCharType="separate"/>
            </w:r>
            <w:r w:rsidRPr="0089214F">
              <w:rPr>
                <w:rFonts w:ascii="Arial Narrow" w:hAnsi="Arial Narrow" w:cs="Arial"/>
                <w:sz w:val="20"/>
                <w:szCs w:val="20"/>
              </w:rPr>
              <w:fldChar w:fldCharType="end"/>
            </w:r>
            <w:r w:rsidRPr="00024895">
              <w:rPr>
                <w:rFonts w:ascii="Arial Narrow" w:hAnsi="Arial Narrow" w:cs="Arial"/>
                <w:sz w:val="20"/>
                <w:szCs w:val="20"/>
              </w:rPr>
              <w:t xml:space="preserve">Medical Practitioners  </w:t>
            </w:r>
            <w:r w:rsidRPr="0089214F">
              <w:rPr>
                <w:rFonts w:ascii="Arial Narrow" w:hAnsi="Arial Narrow" w:cs="Arial"/>
                <w:sz w:val="20"/>
                <w:szCs w:val="20"/>
              </w:rPr>
              <w:fldChar w:fldCharType="begin">
                <w:ffData>
                  <w:name w:val="Check3"/>
                  <w:enabled/>
                  <w:calcOnExit w:val="0"/>
                  <w:checkBox>
                    <w:sizeAuto/>
                    <w:default w:val="1"/>
                  </w:checkBox>
                </w:ffData>
              </w:fldChar>
            </w:r>
            <w:r w:rsidRPr="00024895">
              <w:rPr>
                <w:rFonts w:ascii="Arial Narrow" w:hAnsi="Arial Narrow" w:cs="Arial"/>
                <w:sz w:val="20"/>
                <w:szCs w:val="20"/>
              </w:rPr>
              <w:instrText xml:space="preserve"> FORMCHECKBOX </w:instrText>
            </w:r>
            <w:r w:rsidR="003C3CE5">
              <w:rPr>
                <w:rFonts w:ascii="Arial Narrow" w:hAnsi="Arial Narrow" w:cs="Arial"/>
                <w:sz w:val="20"/>
                <w:szCs w:val="20"/>
              </w:rPr>
            </w:r>
            <w:r w:rsidR="003C3CE5">
              <w:rPr>
                <w:rFonts w:ascii="Arial Narrow" w:hAnsi="Arial Narrow" w:cs="Arial"/>
                <w:sz w:val="20"/>
                <w:szCs w:val="20"/>
              </w:rPr>
              <w:fldChar w:fldCharType="separate"/>
            </w:r>
            <w:r w:rsidRPr="0089214F">
              <w:rPr>
                <w:rFonts w:ascii="Arial Narrow" w:hAnsi="Arial Narrow" w:cs="Arial"/>
                <w:sz w:val="20"/>
                <w:szCs w:val="20"/>
              </w:rPr>
              <w:fldChar w:fldCharType="end"/>
            </w:r>
            <w:r w:rsidRPr="00024895">
              <w:rPr>
                <w:rFonts w:ascii="Arial Narrow" w:hAnsi="Arial Narrow" w:cs="Arial"/>
                <w:sz w:val="20"/>
                <w:szCs w:val="20"/>
              </w:rPr>
              <w:t xml:space="preserve">Nurse practitioners  </w:t>
            </w:r>
          </w:p>
        </w:tc>
      </w:tr>
      <w:tr w:rsidR="00560208" w:rsidRPr="00024895" w:rsidTr="00560208">
        <w:trPr>
          <w:cantSplit/>
          <w:trHeight w:val="360"/>
        </w:trPr>
        <w:tc>
          <w:tcPr>
            <w:tcW w:w="1069" w:type="pct"/>
            <w:tcBorders>
              <w:top w:val="single" w:sz="4" w:space="0" w:color="auto"/>
              <w:left w:val="single" w:sz="4" w:space="0" w:color="auto"/>
              <w:bottom w:val="single" w:sz="4" w:space="0" w:color="auto"/>
              <w:right w:val="single" w:sz="4" w:space="0" w:color="auto"/>
            </w:tcBorders>
          </w:tcPr>
          <w:p w:rsidR="00560208" w:rsidRPr="00024895" w:rsidRDefault="00560208" w:rsidP="00085ABB">
            <w:pPr>
              <w:spacing w:before="40" w:after="40"/>
              <w:jc w:val="both"/>
              <w:rPr>
                <w:rFonts w:ascii="Arial Narrow" w:hAnsi="Arial Narrow" w:cs="Arial"/>
                <w:b/>
                <w:sz w:val="20"/>
                <w:szCs w:val="20"/>
              </w:rPr>
            </w:pPr>
            <w:r w:rsidRPr="00024895">
              <w:rPr>
                <w:rFonts w:ascii="Arial Narrow" w:hAnsi="Arial Narrow" w:cs="Arial"/>
                <w:b/>
                <w:sz w:val="20"/>
                <w:szCs w:val="20"/>
              </w:rPr>
              <w:t>PBS Indication:</w:t>
            </w:r>
          </w:p>
        </w:tc>
        <w:tc>
          <w:tcPr>
            <w:tcW w:w="3931" w:type="pct"/>
            <w:gridSpan w:val="5"/>
            <w:tcBorders>
              <w:top w:val="single" w:sz="4" w:space="0" w:color="auto"/>
              <w:left w:val="single" w:sz="4" w:space="0" w:color="auto"/>
              <w:bottom w:val="single" w:sz="4" w:space="0" w:color="auto"/>
              <w:right w:val="single" w:sz="4" w:space="0" w:color="auto"/>
            </w:tcBorders>
          </w:tcPr>
          <w:p w:rsidR="00560208" w:rsidRPr="00024895" w:rsidRDefault="00560208" w:rsidP="00085ABB">
            <w:pPr>
              <w:spacing w:before="40" w:after="40"/>
              <w:rPr>
                <w:rFonts w:ascii="Arial Narrow" w:hAnsi="Arial Narrow" w:cs="Arial"/>
                <w:sz w:val="20"/>
                <w:szCs w:val="20"/>
              </w:rPr>
            </w:pPr>
            <w:proofErr w:type="spellStart"/>
            <w:r w:rsidRPr="00024895">
              <w:rPr>
                <w:rFonts w:ascii="Arial Narrow" w:hAnsi="Arial Narrow" w:cs="Arial"/>
                <w:sz w:val="20"/>
                <w:szCs w:val="20"/>
              </w:rPr>
              <w:t>Hyperphosphataemia</w:t>
            </w:r>
            <w:proofErr w:type="spellEnd"/>
          </w:p>
        </w:tc>
      </w:tr>
      <w:tr w:rsidR="00560208" w:rsidRPr="00024895" w:rsidTr="00560208">
        <w:trPr>
          <w:cantSplit/>
          <w:trHeight w:val="360"/>
        </w:trPr>
        <w:tc>
          <w:tcPr>
            <w:tcW w:w="1069" w:type="pct"/>
            <w:tcBorders>
              <w:top w:val="single" w:sz="4" w:space="0" w:color="auto"/>
              <w:left w:val="single" w:sz="4" w:space="0" w:color="auto"/>
              <w:bottom w:val="single" w:sz="4" w:space="0" w:color="auto"/>
              <w:right w:val="single" w:sz="4" w:space="0" w:color="auto"/>
            </w:tcBorders>
          </w:tcPr>
          <w:p w:rsidR="00560208" w:rsidRPr="00024895" w:rsidRDefault="00560208" w:rsidP="00085ABB">
            <w:pPr>
              <w:spacing w:before="40" w:after="40"/>
              <w:jc w:val="both"/>
              <w:rPr>
                <w:rFonts w:ascii="Arial Narrow" w:hAnsi="Arial Narrow" w:cs="Arial"/>
                <w:b/>
                <w:sz w:val="20"/>
                <w:szCs w:val="20"/>
              </w:rPr>
            </w:pPr>
            <w:r w:rsidRPr="00024895">
              <w:rPr>
                <w:rFonts w:ascii="Arial Narrow" w:hAnsi="Arial Narrow" w:cs="Arial"/>
                <w:b/>
                <w:sz w:val="20"/>
                <w:szCs w:val="20"/>
              </w:rPr>
              <w:t>Treatment phase:</w:t>
            </w:r>
          </w:p>
        </w:tc>
        <w:tc>
          <w:tcPr>
            <w:tcW w:w="3931" w:type="pct"/>
            <w:gridSpan w:val="5"/>
            <w:tcBorders>
              <w:top w:val="single" w:sz="4" w:space="0" w:color="auto"/>
              <w:left w:val="single" w:sz="4" w:space="0" w:color="auto"/>
              <w:bottom w:val="single" w:sz="4" w:space="0" w:color="auto"/>
              <w:right w:val="single" w:sz="4" w:space="0" w:color="auto"/>
            </w:tcBorders>
          </w:tcPr>
          <w:p w:rsidR="00560208" w:rsidRPr="00024895" w:rsidRDefault="00560208" w:rsidP="00085ABB">
            <w:pPr>
              <w:spacing w:before="40" w:after="40"/>
              <w:rPr>
                <w:rFonts w:ascii="Arial Narrow" w:hAnsi="Arial Narrow" w:cs="Arial"/>
                <w:sz w:val="20"/>
                <w:szCs w:val="20"/>
              </w:rPr>
            </w:pPr>
            <w:r w:rsidRPr="00024895">
              <w:rPr>
                <w:rFonts w:ascii="Arial Narrow" w:hAnsi="Arial Narrow" w:cs="Arial"/>
                <w:sz w:val="20"/>
                <w:szCs w:val="20"/>
              </w:rPr>
              <w:t>Maintenance following initiation and stabilisation</w:t>
            </w:r>
          </w:p>
        </w:tc>
      </w:tr>
      <w:tr w:rsidR="00560208" w:rsidRPr="00024895" w:rsidTr="00560208">
        <w:trPr>
          <w:cantSplit/>
          <w:trHeight w:val="360"/>
        </w:trPr>
        <w:tc>
          <w:tcPr>
            <w:tcW w:w="1069" w:type="pct"/>
            <w:tcBorders>
              <w:top w:val="single" w:sz="4" w:space="0" w:color="auto"/>
              <w:left w:val="single" w:sz="4" w:space="0" w:color="auto"/>
              <w:bottom w:val="single" w:sz="4" w:space="0" w:color="auto"/>
              <w:right w:val="single" w:sz="4" w:space="0" w:color="auto"/>
            </w:tcBorders>
          </w:tcPr>
          <w:p w:rsidR="00560208" w:rsidRPr="00024895" w:rsidRDefault="00560208" w:rsidP="00085ABB">
            <w:pPr>
              <w:spacing w:before="40" w:after="40"/>
              <w:jc w:val="both"/>
              <w:rPr>
                <w:rFonts w:ascii="Arial Narrow" w:hAnsi="Arial Narrow" w:cs="Arial"/>
                <w:b/>
                <w:sz w:val="20"/>
                <w:szCs w:val="20"/>
              </w:rPr>
            </w:pPr>
            <w:r w:rsidRPr="00024895">
              <w:rPr>
                <w:rFonts w:ascii="Arial Narrow" w:hAnsi="Arial Narrow" w:cs="Arial"/>
                <w:b/>
                <w:sz w:val="20"/>
                <w:szCs w:val="20"/>
              </w:rPr>
              <w:t>Restriction Level / Method:</w:t>
            </w:r>
          </w:p>
          <w:p w:rsidR="00560208" w:rsidRPr="00024895" w:rsidRDefault="00560208" w:rsidP="00085ABB">
            <w:pPr>
              <w:spacing w:before="40" w:after="40"/>
              <w:rPr>
                <w:rFonts w:ascii="Arial Narrow" w:hAnsi="Arial Narrow" w:cs="Arial"/>
                <w:sz w:val="20"/>
                <w:szCs w:val="20"/>
              </w:rPr>
            </w:pPr>
          </w:p>
        </w:tc>
        <w:tc>
          <w:tcPr>
            <w:tcW w:w="3931" w:type="pct"/>
            <w:gridSpan w:val="5"/>
            <w:tcBorders>
              <w:top w:val="single" w:sz="4" w:space="0" w:color="auto"/>
              <w:left w:val="single" w:sz="4" w:space="0" w:color="auto"/>
              <w:bottom w:val="single" w:sz="4" w:space="0" w:color="auto"/>
              <w:right w:val="single" w:sz="4" w:space="0" w:color="auto"/>
            </w:tcBorders>
          </w:tcPr>
          <w:p w:rsidR="00560208" w:rsidRPr="00024895" w:rsidRDefault="00560208" w:rsidP="00085ABB">
            <w:pPr>
              <w:spacing w:before="40" w:after="40"/>
              <w:rPr>
                <w:rFonts w:ascii="Arial Narrow" w:hAnsi="Arial Narrow" w:cs="Arial"/>
                <w:sz w:val="20"/>
                <w:szCs w:val="20"/>
              </w:rPr>
            </w:pPr>
            <w:r w:rsidRPr="0089214F">
              <w:rPr>
                <w:rFonts w:ascii="Arial Narrow" w:hAnsi="Arial Narrow" w:cs="Arial"/>
                <w:sz w:val="20"/>
                <w:szCs w:val="20"/>
              </w:rPr>
              <w:fldChar w:fldCharType="begin">
                <w:ffData>
                  <w:name w:val=""/>
                  <w:enabled/>
                  <w:calcOnExit w:val="0"/>
                  <w:checkBox>
                    <w:sizeAuto/>
                    <w:default w:val="0"/>
                  </w:checkBox>
                </w:ffData>
              </w:fldChar>
            </w:r>
            <w:r w:rsidRPr="00024895">
              <w:rPr>
                <w:rFonts w:ascii="Arial Narrow" w:hAnsi="Arial Narrow" w:cs="Arial"/>
                <w:sz w:val="20"/>
                <w:szCs w:val="20"/>
              </w:rPr>
              <w:instrText xml:space="preserve"> FORMCHECKBOX </w:instrText>
            </w:r>
            <w:r w:rsidR="003C3CE5">
              <w:rPr>
                <w:rFonts w:ascii="Arial Narrow" w:hAnsi="Arial Narrow" w:cs="Arial"/>
                <w:sz w:val="20"/>
                <w:szCs w:val="20"/>
              </w:rPr>
            </w:r>
            <w:r w:rsidR="003C3CE5">
              <w:rPr>
                <w:rFonts w:ascii="Arial Narrow" w:hAnsi="Arial Narrow" w:cs="Arial"/>
                <w:sz w:val="20"/>
                <w:szCs w:val="20"/>
              </w:rPr>
              <w:fldChar w:fldCharType="separate"/>
            </w:r>
            <w:r w:rsidRPr="0089214F">
              <w:rPr>
                <w:rFonts w:ascii="Arial Narrow" w:hAnsi="Arial Narrow" w:cs="Arial"/>
                <w:sz w:val="20"/>
                <w:szCs w:val="20"/>
              </w:rPr>
              <w:fldChar w:fldCharType="end"/>
            </w:r>
            <w:r w:rsidRPr="00024895">
              <w:rPr>
                <w:rFonts w:ascii="Arial Narrow" w:hAnsi="Arial Narrow" w:cs="Arial"/>
                <w:sz w:val="20"/>
                <w:szCs w:val="20"/>
              </w:rPr>
              <w:t>Authority Required - In Writing</w:t>
            </w:r>
          </w:p>
          <w:p w:rsidR="00560208" w:rsidRPr="00024895" w:rsidRDefault="00560208" w:rsidP="00085ABB">
            <w:pPr>
              <w:spacing w:before="40" w:after="40"/>
              <w:rPr>
                <w:rFonts w:ascii="Arial Narrow" w:hAnsi="Arial Narrow" w:cs="Arial"/>
                <w:sz w:val="20"/>
                <w:szCs w:val="20"/>
              </w:rPr>
            </w:pPr>
            <w:r w:rsidRPr="0089214F">
              <w:rPr>
                <w:rFonts w:ascii="Arial Narrow" w:hAnsi="Arial Narrow" w:cs="Arial"/>
                <w:sz w:val="20"/>
                <w:szCs w:val="20"/>
              </w:rPr>
              <w:fldChar w:fldCharType="begin">
                <w:ffData>
                  <w:name w:val="Check3"/>
                  <w:enabled/>
                  <w:calcOnExit w:val="0"/>
                  <w:checkBox>
                    <w:sizeAuto/>
                    <w:default w:val="0"/>
                  </w:checkBox>
                </w:ffData>
              </w:fldChar>
            </w:r>
            <w:r w:rsidRPr="00024895">
              <w:rPr>
                <w:rFonts w:ascii="Arial Narrow" w:hAnsi="Arial Narrow" w:cs="Arial"/>
                <w:sz w:val="20"/>
                <w:szCs w:val="20"/>
              </w:rPr>
              <w:instrText xml:space="preserve"> FORMCHECKBOX </w:instrText>
            </w:r>
            <w:r w:rsidR="003C3CE5">
              <w:rPr>
                <w:rFonts w:ascii="Arial Narrow" w:hAnsi="Arial Narrow" w:cs="Arial"/>
                <w:sz w:val="20"/>
                <w:szCs w:val="20"/>
              </w:rPr>
            </w:r>
            <w:r w:rsidR="003C3CE5">
              <w:rPr>
                <w:rFonts w:ascii="Arial Narrow" w:hAnsi="Arial Narrow" w:cs="Arial"/>
                <w:sz w:val="20"/>
                <w:szCs w:val="20"/>
              </w:rPr>
              <w:fldChar w:fldCharType="separate"/>
            </w:r>
            <w:r w:rsidRPr="0089214F">
              <w:rPr>
                <w:rFonts w:ascii="Arial Narrow" w:hAnsi="Arial Narrow" w:cs="Arial"/>
                <w:sz w:val="20"/>
                <w:szCs w:val="20"/>
              </w:rPr>
              <w:fldChar w:fldCharType="end"/>
            </w:r>
            <w:r w:rsidRPr="00024895">
              <w:rPr>
                <w:rFonts w:ascii="Arial Narrow" w:hAnsi="Arial Narrow" w:cs="Arial"/>
                <w:sz w:val="20"/>
                <w:szCs w:val="20"/>
              </w:rPr>
              <w:t>Authority Required - Telephone</w:t>
            </w:r>
          </w:p>
          <w:p w:rsidR="00560208" w:rsidRPr="00024895" w:rsidRDefault="00560208" w:rsidP="00085ABB">
            <w:pPr>
              <w:spacing w:before="40" w:after="40"/>
              <w:rPr>
                <w:rFonts w:ascii="Arial Narrow" w:hAnsi="Arial Narrow" w:cs="Arial"/>
                <w:sz w:val="20"/>
                <w:szCs w:val="20"/>
              </w:rPr>
            </w:pPr>
            <w:r w:rsidRPr="0089214F">
              <w:rPr>
                <w:rFonts w:ascii="Arial Narrow" w:hAnsi="Arial Narrow" w:cs="Arial"/>
                <w:sz w:val="20"/>
                <w:szCs w:val="20"/>
              </w:rPr>
              <w:fldChar w:fldCharType="begin">
                <w:ffData>
                  <w:name w:val="Check5"/>
                  <w:enabled/>
                  <w:calcOnExit w:val="0"/>
                  <w:checkBox>
                    <w:sizeAuto/>
                    <w:default w:val="1"/>
                  </w:checkBox>
                </w:ffData>
              </w:fldChar>
            </w:r>
            <w:r w:rsidRPr="00024895">
              <w:rPr>
                <w:rFonts w:ascii="Arial Narrow" w:hAnsi="Arial Narrow" w:cs="Arial"/>
                <w:sz w:val="20"/>
                <w:szCs w:val="20"/>
              </w:rPr>
              <w:instrText xml:space="preserve"> FORMCHECKBOX </w:instrText>
            </w:r>
            <w:r w:rsidR="003C3CE5">
              <w:rPr>
                <w:rFonts w:ascii="Arial Narrow" w:hAnsi="Arial Narrow" w:cs="Arial"/>
                <w:sz w:val="20"/>
                <w:szCs w:val="20"/>
              </w:rPr>
            </w:r>
            <w:r w:rsidR="003C3CE5">
              <w:rPr>
                <w:rFonts w:ascii="Arial Narrow" w:hAnsi="Arial Narrow" w:cs="Arial"/>
                <w:sz w:val="20"/>
                <w:szCs w:val="20"/>
              </w:rPr>
              <w:fldChar w:fldCharType="separate"/>
            </w:r>
            <w:r w:rsidRPr="0089214F">
              <w:rPr>
                <w:rFonts w:ascii="Arial Narrow" w:hAnsi="Arial Narrow" w:cs="Arial"/>
                <w:sz w:val="20"/>
                <w:szCs w:val="20"/>
              </w:rPr>
              <w:fldChar w:fldCharType="end"/>
            </w:r>
            <w:r w:rsidRPr="00024895">
              <w:rPr>
                <w:rFonts w:ascii="Arial Narrow" w:hAnsi="Arial Narrow" w:cs="Arial"/>
                <w:sz w:val="20"/>
                <w:szCs w:val="20"/>
              </w:rPr>
              <w:t>Streamlined</w:t>
            </w:r>
          </w:p>
        </w:tc>
      </w:tr>
      <w:tr w:rsidR="00560208" w:rsidRPr="00024895" w:rsidTr="00560208">
        <w:trPr>
          <w:cantSplit/>
          <w:trHeight w:val="360"/>
        </w:trPr>
        <w:tc>
          <w:tcPr>
            <w:tcW w:w="1069" w:type="pct"/>
            <w:tcBorders>
              <w:top w:val="single" w:sz="4" w:space="0" w:color="auto"/>
              <w:left w:val="single" w:sz="4" w:space="0" w:color="auto"/>
              <w:bottom w:val="single" w:sz="4" w:space="0" w:color="auto"/>
              <w:right w:val="single" w:sz="4" w:space="0" w:color="auto"/>
            </w:tcBorders>
          </w:tcPr>
          <w:p w:rsidR="00560208" w:rsidRPr="00024895" w:rsidRDefault="00560208" w:rsidP="00085ABB">
            <w:pPr>
              <w:spacing w:before="40" w:after="40"/>
              <w:rPr>
                <w:rFonts w:ascii="Arial Narrow" w:hAnsi="Arial Narrow" w:cs="Arial"/>
                <w:b/>
                <w:sz w:val="20"/>
                <w:szCs w:val="20"/>
              </w:rPr>
            </w:pPr>
            <w:r w:rsidRPr="00024895">
              <w:rPr>
                <w:rFonts w:ascii="Arial Narrow" w:hAnsi="Arial Narrow" w:cs="Arial"/>
                <w:b/>
                <w:sz w:val="20"/>
                <w:szCs w:val="20"/>
              </w:rPr>
              <w:t>Treatment criteria:</w:t>
            </w:r>
          </w:p>
          <w:p w:rsidR="00560208" w:rsidRPr="00024895" w:rsidRDefault="00560208" w:rsidP="00085ABB">
            <w:pPr>
              <w:spacing w:before="40" w:after="40"/>
              <w:rPr>
                <w:rFonts w:ascii="Arial Narrow" w:hAnsi="Arial Narrow" w:cs="Arial"/>
                <w:sz w:val="20"/>
                <w:szCs w:val="20"/>
              </w:rPr>
            </w:pPr>
          </w:p>
        </w:tc>
        <w:tc>
          <w:tcPr>
            <w:tcW w:w="3931" w:type="pct"/>
            <w:gridSpan w:val="5"/>
            <w:tcBorders>
              <w:top w:val="single" w:sz="4" w:space="0" w:color="auto"/>
              <w:left w:val="single" w:sz="4" w:space="0" w:color="auto"/>
              <w:bottom w:val="single" w:sz="4" w:space="0" w:color="auto"/>
              <w:right w:val="single" w:sz="4" w:space="0" w:color="auto"/>
            </w:tcBorders>
          </w:tcPr>
          <w:p w:rsidR="00560208" w:rsidRPr="00024895" w:rsidRDefault="00560208" w:rsidP="00085ABB">
            <w:pPr>
              <w:spacing w:before="40" w:after="40"/>
              <w:rPr>
                <w:rFonts w:ascii="Arial Narrow" w:hAnsi="Arial Narrow" w:cs="Arial"/>
                <w:sz w:val="20"/>
                <w:szCs w:val="20"/>
              </w:rPr>
            </w:pPr>
            <w:r w:rsidRPr="00024895">
              <w:rPr>
                <w:rFonts w:ascii="Arial Narrow" w:hAnsi="Arial Narrow" w:cs="Arial"/>
                <w:sz w:val="20"/>
                <w:szCs w:val="20"/>
              </w:rPr>
              <w:t>Patient must be undergoing dialysis for chronic kidney disease.</w:t>
            </w:r>
          </w:p>
        </w:tc>
      </w:tr>
      <w:tr w:rsidR="00560208" w:rsidRPr="00024895" w:rsidTr="00560208">
        <w:trPr>
          <w:cantSplit/>
          <w:trHeight w:val="360"/>
        </w:trPr>
        <w:tc>
          <w:tcPr>
            <w:tcW w:w="1069" w:type="pct"/>
            <w:tcBorders>
              <w:top w:val="single" w:sz="4" w:space="0" w:color="auto"/>
              <w:left w:val="single" w:sz="4" w:space="0" w:color="auto"/>
              <w:bottom w:val="single" w:sz="4" w:space="0" w:color="auto"/>
              <w:right w:val="single" w:sz="4" w:space="0" w:color="auto"/>
            </w:tcBorders>
          </w:tcPr>
          <w:p w:rsidR="00560208" w:rsidRPr="00024895" w:rsidRDefault="00560208" w:rsidP="00085ABB">
            <w:pPr>
              <w:spacing w:before="40" w:after="40"/>
              <w:jc w:val="both"/>
              <w:rPr>
                <w:rFonts w:ascii="Arial Narrow" w:hAnsi="Arial Narrow" w:cs="Arial"/>
                <w:b/>
                <w:sz w:val="20"/>
                <w:szCs w:val="20"/>
              </w:rPr>
            </w:pPr>
            <w:r w:rsidRPr="00024895">
              <w:rPr>
                <w:rFonts w:ascii="Arial Narrow" w:hAnsi="Arial Narrow" w:cs="Arial"/>
                <w:b/>
                <w:sz w:val="20"/>
                <w:szCs w:val="20"/>
              </w:rPr>
              <w:t>Clinical criteria:</w:t>
            </w:r>
          </w:p>
          <w:p w:rsidR="00560208" w:rsidRPr="00024895" w:rsidRDefault="00560208" w:rsidP="00085ABB">
            <w:pPr>
              <w:spacing w:before="40" w:after="40"/>
              <w:jc w:val="both"/>
              <w:rPr>
                <w:rFonts w:ascii="Arial Narrow" w:hAnsi="Arial Narrow" w:cs="Arial"/>
                <w:i/>
                <w:sz w:val="20"/>
                <w:szCs w:val="20"/>
              </w:rPr>
            </w:pPr>
          </w:p>
          <w:p w:rsidR="00560208" w:rsidRPr="00024895" w:rsidRDefault="00560208" w:rsidP="00085ABB">
            <w:pPr>
              <w:spacing w:before="40" w:after="40"/>
              <w:jc w:val="both"/>
              <w:rPr>
                <w:rFonts w:ascii="Arial Narrow" w:hAnsi="Arial Narrow" w:cs="Arial"/>
                <w:sz w:val="20"/>
                <w:szCs w:val="20"/>
              </w:rPr>
            </w:pPr>
          </w:p>
        </w:tc>
        <w:tc>
          <w:tcPr>
            <w:tcW w:w="3931" w:type="pct"/>
            <w:gridSpan w:val="5"/>
            <w:tcBorders>
              <w:top w:val="single" w:sz="4" w:space="0" w:color="auto"/>
              <w:left w:val="single" w:sz="4" w:space="0" w:color="auto"/>
              <w:bottom w:val="single" w:sz="4" w:space="0" w:color="auto"/>
              <w:right w:val="single" w:sz="4" w:space="0" w:color="auto"/>
            </w:tcBorders>
          </w:tcPr>
          <w:p w:rsidR="00560208" w:rsidRPr="00024895" w:rsidRDefault="00560208" w:rsidP="00085ABB">
            <w:pPr>
              <w:spacing w:before="40" w:after="40"/>
              <w:rPr>
                <w:rFonts w:ascii="Arial Narrow" w:hAnsi="Arial Narrow" w:cs="Arial"/>
                <w:sz w:val="20"/>
                <w:szCs w:val="20"/>
              </w:rPr>
            </w:pPr>
            <w:r w:rsidRPr="00024895">
              <w:rPr>
                <w:rFonts w:ascii="Arial Narrow" w:hAnsi="Arial Narrow" w:cs="Arial"/>
                <w:sz w:val="20"/>
                <w:szCs w:val="20"/>
              </w:rPr>
              <w:t>The condition must not be adequately controlled by calcium</w:t>
            </w:r>
          </w:p>
          <w:p w:rsidR="00560208" w:rsidRPr="00024895" w:rsidRDefault="00560208" w:rsidP="00085ABB">
            <w:pPr>
              <w:spacing w:before="40" w:after="40"/>
              <w:rPr>
                <w:rFonts w:ascii="Arial Narrow" w:hAnsi="Arial Narrow" w:cs="Arial"/>
                <w:sz w:val="20"/>
                <w:szCs w:val="20"/>
              </w:rPr>
            </w:pPr>
            <w:r w:rsidRPr="00024895">
              <w:rPr>
                <w:rFonts w:ascii="Arial Narrow" w:hAnsi="Arial Narrow" w:cs="Arial"/>
                <w:sz w:val="20"/>
                <w:szCs w:val="20"/>
              </w:rPr>
              <w:t>AND</w:t>
            </w:r>
          </w:p>
          <w:p w:rsidR="00560208" w:rsidRPr="00024895" w:rsidRDefault="00560208" w:rsidP="00085ABB">
            <w:pPr>
              <w:spacing w:before="40" w:after="40"/>
              <w:rPr>
                <w:rFonts w:ascii="Arial Narrow" w:hAnsi="Arial Narrow" w:cs="Arial"/>
                <w:sz w:val="20"/>
                <w:szCs w:val="20"/>
              </w:rPr>
            </w:pPr>
            <w:r w:rsidRPr="00024895">
              <w:rPr>
                <w:rFonts w:ascii="Arial Narrow" w:hAnsi="Arial Narrow" w:cs="Arial"/>
                <w:sz w:val="20"/>
                <w:szCs w:val="20"/>
              </w:rPr>
              <w:t xml:space="preserve">Patient must have a serum phosphate of greater than 1.6 </w:t>
            </w:r>
            <w:proofErr w:type="spellStart"/>
            <w:r w:rsidRPr="00024895">
              <w:rPr>
                <w:rFonts w:ascii="Arial Narrow" w:hAnsi="Arial Narrow" w:cs="Arial"/>
                <w:sz w:val="20"/>
                <w:szCs w:val="20"/>
              </w:rPr>
              <w:t>mmol</w:t>
            </w:r>
            <w:proofErr w:type="spellEnd"/>
            <w:r w:rsidRPr="00024895">
              <w:rPr>
                <w:rFonts w:ascii="Arial Narrow" w:hAnsi="Arial Narrow" w:cs="Arial"/>
                <w:sz w:val="20"/>
                <w:szCs w:val="20"/>
              </w:rPr>
              <w:t xml:space="preserve"> per L at the commencement of therapy; OR</w:t>
            </w:r>
          </w:p>
          <w:p w:rsidR="00560208" w:rsidRPr="00024895" w:rsidRDefault="00560208" w:rsidP="00085ABB">
            <w:pPr>
              <w:spacing w:before="40" w:after="40"/>
              <w:rPr>
                <w:rFonts w:ascii="Arial Narrow" w:hAnsi="Arial Narrow" w:cs="Arial"/>
                <w:sz w:val="20"/>
                <w:szCs w:val="20"/>
              </w:rPr>
            </w:pPr>
            <w:r w:rsidRPr="00024895">
              <w:rPr>
                <w:rFonts w:ascii="Arial Narrow" w:hAnsi="Arial Narrow" w:cs="Arial"/>
                <w:sz w:val="20"/>
                <w:szCs w:val="20"/>
              </w:rPr>
              <w:t>The condition must be where a serum calcium times phosphate product is greater than 4 at the commencement of therapy,</w:t>
            </w:r>
          </w:p>
          <w:p w:rsidR="00560208" w:rsidRPr="00024895" w:rsidRDefault="00560208" w:rsidP="00085ABB">
            <w:pPr>
              <w:spacing w:before="40" w:after="40"/>
              <w:rPr>
                <w:rFonts w:ascii="Arial Narrow" w:hAnsi="Arial Narrow" w:cs="Arial"/>
                <w:sz w:val="20"/>
                <w:szCs w:val="20"/>
              </w:rPr>
            </w:pPr>
            <w:r w:rsidRPr="00024895">
              <w:rPr>
                <w:rFonts w:ascii="Arial Narrow" w:hAnsi="Arial Narrow" w:cs="Arial"/>
                <w:sz w:val="20"/>
                <w:szCs w:val="20"/>
              </w:rPr>
              <w:t>AND</w:t>
            </w:r>
          </w:p>
          <w:p w:rsidR="00560208" w:rsidRPr="00024895" w:rsidRDefault="00560208" w:rsidP="00085ABB">
            <w:pPr>
              <w:spacing w:before="40" w:after="40"/>
              <w:rPr>
                <w:rFonts w:ascii="Arial Narrow" w:hAnsi="Arial Narrow" w:cs="Arial"/>
                <w:sz w:val="20"/>
                <w:szCs w:val="20"/>
              </w:rPr>
            </w:pPr>
            <w:r w:rsidRPr="00024895">
              <w:rPr>
                <w:rFonts w:ascii="Arial Narrow" w:hAnsi="Arial Narrow" w:cs="Arial"/>
                <w:sz w:val="20"/>
                <w:szCs w:val="20"/>
              </w:rPr>
              <w:t xml:space="preserve">The treatment must not be used in combination with any other non-calcium </w:t>
            </w:r>
            <w:proofErr w:type="gramStart"/>
            <w:r w:rsidRPr="00024895">
              <w:rPr>
                <w:rFonts w:ascii="Arial Narrow" w:hAnsi="Arial Narrow" w:cs="Arial"/>
                <w:sz w:val="20"/>
                <w:szCs w:val="20"/>
              </w:rPr>
              <w:t>phosphate binding</w:t>
            </w:r>
            <w:proofErr w:type="gramEnd"/>
            <w:r w:rsidRPr="00024895">
              <w:rPr>
                <w:rFonts w:ascii="Arial Narrow" w:hAnsi="Arial Narrow" w:cs="Arial"/>
                <w:sz w:val="20"/>
                <w:szCs w:val="20"/>
              </w:rPr>
              <w:t xml:space="preserve"> agents.</w:t>
            </w:r>
          </w:p>
        </w:tc>
      </w:tr>
      <w:tr w:rsidR="00560208" w:rsidRPr="00024895" w:rsidTr="00560208">
        <w:trPr>
          <w:cantSplit/>
          <w:trHeight w:val="360"/>
        </w:trPr>
        <w:tc>
          <w:tcPr>
            <w:tcW w:w="1069" w:type="pct"/>
            <w:tcBorders>
              <w:top w:val="single" w:sz="4" w:space="0" w:color="auto"/>
              <w:left w:val="single" w:sz="4" w:space="0" w:color="auto"/>
              <w:bottom w:val="single" w:sz="4" w:space="0" w:color="auto"/>
              <w:right w:val="single" w:sz="4" w:space="0" w:color="auto"/>
            </w:tcBorders>
          </w:tcPr>
          <w:p w:rsidR="00560208" w:rsidRPr="00024895" w:rsidRDefault="00560208" w:rsidP="00085ABB">
            <w:pPr>
              <w:spacing w:before="40" w:after="40"/>
              <w:jc w:val="both"/>
              <w:rPr>
                <w:rFonts w:ascii="Arial Narrow" w:hAnsi="Arial Narrow" w:cs="Arial"/>
                <w:b/>
                <w:sz w:val="20"/>
                <w:szCs w:val="20"/>
              </w:rPr>
            </w:pPr>
            <w:r w:rsidRPr="00024895">
              <w:rPr>
                <w:rFonts w:ascii="Arial Narrow" w:hAnsi="Arial Narrow" w:cs="Arial"/>
                <w:b/>
                <w:sz w:val="20"/>
                <w:szCs w:val="20"/>
              </w:rPr>
              <w:lastRenderedPageBreak/>
              <w:t>Administrative Advice</w:t>
            </w:r>
          </w:p>
          <w:p w:rsidR="00560208" w:rsidRPr="00024895" w:rsidRDefault="00560208" w:rsidP="00085ABB">
            <w:pPr>
              <w:spacing w:before="40" w:after="40"/>
              <w:jc w:val="both"/>
              <w:rPr>
                <w:rFonts w:ascii="Arial Narrow" w:hAnsi="Arial Narrow" w:cs="Arial"/>
                <w:i/>
                <w:sz w:val="20"/>
                <w:szCs w:val="20"/>
              </w:rPr>
            </w:pPr>
          </w:p>
          <w:p w:rsidR="00560208" w:rsidRPr="00024895" w:rsidRDefault="00560208" w:rsidP="00085ABB">
            <w:pPr>
              <w:spacing w:before="40" w:after="40"/>
              <w:jc w:val="both"/>
              <w:rPr>
                <w:rFonts w:ascii="Arial Narrow" w:hAnsi="Arial Narrow" w:cs="Arial"/>
                <w:i/>
                <w:sz w:val="20"/>
                <w:szCs w:val="20"/>
              </w:rPr>
            </w:pPr>
          </w:p>
        </w:tc>
        <w:tc>
          <w:tcPr>
            <w:tcW w:w="3931" w:type="pct"/>
            <w:gridSpan w:val="5"/>
            <w:tcBorders>
              <w:top w:val="single" w:sz="4" w:space="0" w:color="auto"/>
              <w:left w:val="single" w:sz="4" w:space="0" w:color="auto"/>
              <w:bottom w:val="single" w:sz="4" w:space="0" w:color="auto"/>
              <w:right w:val="single" w:sz="4" w:space="0" w:color="auto"/>
            </w:tcBorders>
          </w:tcPr>
          <w:p w:rsidR="00560208" w:rsidRPr="00024895" w:rsidRDefault="00560208" w:rsidP="00085ABB">
            <w:pPr>
              <w:spacing w:before="40" w:after="40"/>
              <w:rPr>
                <w:rFonts w:ascii="Arial Narrow" w:hAnsi="Arial Narrow" w:cs="Arial"/>
                <w:sz w:val="20"/>
                <w:szCs w:val="20"/>
              </w:rPr>
            </w:pPr>
            <w:r w:rsidRPr="00024895">
              <w:rPr>
                <w:rFonts w:ascii="Arial Narrow" w:hAnsi="Arial Narrow" w:cs="Arial"/>
                <w:sz w:val="20"/>
                <w:szCs w:val="20"/>
              </w:rPr>
              <w:t xml:space="preserve">Shared Care Model: </w:t>
            </w:r>
          </w:p>
          <w:p w:rsidR="00560208" w:rsidRPr="00024895" w:rsidRDefault="00560208" w:rsidP="00085ABB">
            <w:pPr>
              <w:spacing w:before="40" w:after="40"/>
              <w:rPr>
                <w:rFonts w:ascii="Arial Narrow" w:hAnsi="Arial Narrow" w:cs="Arial"/>
                <w:sz w:val="20"/>
                <w:szCs w:val="20"/>
              </w:rPr>
            </w:pPr>
          </w:p>
          <w:p w:rsidR="00560208" w:rsidRPr="00024895" w:rsidRDefault="00560208" w:rsidP="00085ABB">
            <w:pPr>
              <w:spacing w:before="40" w:after="40"/>
              <w:rPr>
                <w:rFonts w:ascii="Arial Narrow" w:hAnsi="Arial Narrow" w:cs="Arial"/>
                <w:sz w:val="20"/>
                <w:szCs w:val="20"/>
              </w:rPr>
            </w:pPr>
            <w:r w:rsidRPr="00024895">
              <w:rPr>
                <w:rFonts w:ascii="Arial Narrow" w:hAnsi="Arial Narrow" w:cs="Arial"/>
                <w:sz w:val="20"/>
                <w:szCs w:val="20"/>
              </w:rPr>
              <w:t xml:space="preserve">For prescribing by nurse practitioners where care of a patient </w:t>
            </w:r>
            <w:proofErr w:type="gramStart"/>
            <w:r w:rsidRPr="00024895">
              <w:rPr>
                <w:rFonts w:ascii="Arial Narrow" w:hAnsi="Arial Narrow" w:cs="Arial"/>
                <w:sz w:val="20"/>
                <w:szCs w:val="20"/>
              </w:rPr>
              <w:t>is shared</w:t>
            </w:r>
            <w:proofErr w:type="gramEnd"/>
            <w:r w:rsidRPr="00024895">
              <w:rPr>
                <w:rFonts w:ascii="Arial Narrow" w:hAnsi="Arial Narrow" w:cs="Arial"/>
                <w:sz w:val="20"/>
                <w:szCs w:val="20"/>
              </w:rPr>
              <w:t xml:space="preserve"> between a nurse practitioner and medical practitioner in a formalised arrangement with an agreed management plan. Further information </w:t>
            </w:r>
            <w:proofErr w:type="gramStart"/>
            <w:r w:rsidRPr="00024895">
              <w:rPr>
                <w:rFonts w:ascii="Arial Narrow" w:hAnsi="Arial Narrow" w:cs="Arial"/>
                <w:sz w:val="20"/>
                <w:szCs w:val="20"/>
              </w:rPr>
              <w:t>can be found</w:t>
            </w:r>
            <w:proofErr w:type="gramEnd"/>
            <w:r w:rsidRPr="00024895">
              <w:rPr>
                <w:rFonts w:ascii="Arial Narrow" w:hAnsi="Arial Narrow" w:cs="Arial"/>
                <w:sz w:val="20"/>
                <w:szCs w:val="20"/>
              </w:rPr>
              <w:t xml:space="preserve"> in the Explanatory Notes for Nurse Practitioners.</w:t>
            </w:r>
          </w:p>
          <w:p w:rsidR="009F70FB" w:rsidRPr="00024895" w:rsidRDefault="009F70FB" w:rsidP="00085ABB">
            <w:pPr>
              <w:spacing w:before="40" w:after="40"/>
              <w:rPr>
                <w:rFonts w:ascii="Arial Narrow" w:hAnsi="Arial Narrow" w:cs="Arial"/>
                <w:sz w:val="20"/>
                <w:szCs w:val="20"/>
              </w:rPr>
            </w:pPr>
          </w:p>
          <w:p w:rsidR="009F70FB" w:rsidRPr="0089214F" w:rsidRDefault="009F70FB" w:rsidP="00085ABB">
            <w:pPr>
              <w:spacing w:before="40" w:after="40"/>
              <w:rPr>
                <w:rFonts w:ascii="Arial Narrow" w:hAnsi="Arial Narrow" w:cs="Arial"/>
                <w:sz w:val="20"/>
                <w:szCs w:val="20"/>
              </w:rPr>
            </w:pPr>
            <w:r w:rsidRPr="0089214F">
              <w:rPr>
                <w:rFonts w:ascii="Arial Narrow" w:hAnsi="Arial Narrow" w:cs="Arial"/>
                <w:sz w:val="20"/>
                <w:szCs w:val="20"/>
              </w:rPr>
              <w:t xml:space="preserve">Pharmaceutical benefits that have the forms </w:t>
            </w:r>
            <w:proofErr w:type="spellStart"/>
            <w:r w:rsidRPr="0089214F">
              <w:rPr>
                <w:rFonts w:ascii="Arial Narrow" w:hAnsi="Arial Narrow" w:cs="Arial"/>
                <w:sz w:val="20"/>
                <w:szCs w:val="20"/>
              </w:rPr>
              <w:t>sevelamer</w:t>
            </w:r>
            <w:proofErr w:type="spellEnd"/>
            <w:r w:rsidRPr="0089214F">
              <w:rPr>
                <w:rFonts w:ascii="Arial Narrow" w:hAnsi="Arial Narrow" w:cs="Arial"/>
                <w:sz w:val="20"/>
                <w:szCs w:val="20"/>
              </w:rPr>
              <w:t xml:space="preserve"> hydrochloride 800 mg  and </w:t>
            </w:r>
            <w:proofErr w:type="spellStart"/>
            <w:r w:rsidRPr="0089214F">
              <w:rPr>
                <w:rFonts w:ascii="Arial Narrow" w:hAnsi="Arial Narrow" w:cs="Arial"/>
                <w:sz w:val="20"/>
                <w:szCs w:val="20"/>
              </w:rPr>
              <w:t>sevelamer</w:t>
            </w:r>
            <w:proofErr w:type="spellEnd"/>
            <w:r w:rsidRPr="0089214F">
              <w:rPr>
                <w:rFonts w:ascii="Arial Narrow" w:hAnsi="Arial Narrow" w:cs="Arial"/>
                <w:sz w:val="20"/>
                <w:szCs w:val="20"/>
              </w:rPr>
              <w:t xml:space="preserve"> carbonate 800 mg tablet are equivalent for the purposes of substitution</w:t>
            </w:r>
          </w:p>
        </w:tc>
      </w:tr>
    </w:tbl>
    <w:p w:rsidR="00560208" w:rsidRPr="00024895" w:rsidRDefault="00560208" w:rsidP="00560208">
      <w:pPr>
        <w:rPr>
          <w:szCs w:val="22"/>
        </w:rPr>
      </w:pPr>
    </w:p>
    <w:p w:rsidR="00560208" w:rsidRPr="00024895" w:rsidRDefault="00560208" w:rsidP="00560208">
      <w:pPr>
        <w:rPr>
          <w:szCs w:val="22"/>
        </w:rPr>
      </w:pPr>
    </w:p>
    <w:tbl>
      <w:tblPr>
        <w:tblW w:w="4869" w:type="pct"/>
        <w:tblLook w:val="0000" w:firstRow="0" w:lastRow="0" w:firstColumn="0" w:lastColumn="0" w:noHBand="0" w:noVBand="0"/>
      </w:tblPr>
      <w:tblGrid>
        <w:gridCol w:w="3227"/>
        <w:gridCol w:w="714"/>
        <w:gridCol w:w="860"/>
        <w:gridCol w:w="3989"/>
      </w:tblGrid>
      <w:tr w:rsidR="00560208" w:rsidRPr="00024895" w:rsidTr="00115B0F">
        <w:trPr>
          <w:cantSplit/>
          <w:trHeight w:val="465"/>
        </w:trPr>
        <w:tc>
          <w:tcPr>
            <w:tcW w:w="1836" w:type="pct"/>
            <w:tcBorders>
              <w:bottom w:val="single" w:sz="4" w:space="0" w:color="auto"/>
            </w:tcBorders>
          </w:tcPr>
          <w:p w:rsidR="00560208" w:rsidRPr="00024895" w:rsidRDefault="00560208" w:rsidP="00085ABB">
            <w:pPr>
              <w:keepNext/>
              <w:spacing w:before="40" w:after="40"/>
              <w:jc w:val="both"/>
              <w:rPr>
                <w:rFonts w:ascii="Arial Narrow" w:hAnsi="Arial Narrow" w:cs="Arial"/>
                <w:b/>
                <w:sz w:val="20"/>
                <w:szCs w:val="20"/>
              </w:rPr>
            </w:pPr>
            <w:r w:rsidRPr="00024895">
              <w:rPr>
                <w:rFonts w:ascii="Arial Narrow" w:hAnsi="Arial Narrow" w:cs="Arial"/>
                <w:b/>
                <w:sz w:val="20"/>
                <w:szCs w:val="20"/>
              </w:rPr>
              <w:t>Name, Restriction,</w:t>
            </w:r>
          </w:p>
          <w:p w:rsidR="00560208" w:rsidRPr="00024895" w:rsidRDefault="00560208" w:rsidP="00085ABB">
            <w:pPr>
              <w:keepNext/>
              <w:spacing w:before="40" w:after="40"/>
              <w:jc w:val="both"/>
              <w:rPr>
                <w:rFonts w:ascii="Arial Narrow" w:hAnsi="Arial Narrow" w:cs="Arial"/>
                <w:b/>
                <w:sz w:val="20"/>
                <w:szCs w:val="20"/>
              </w:rPr>
            </w:pPr>
            <w:r w:rsidRPr="00024895">
              <w:rPr>
                <w:rFonts w:ascii="Arial Narrow" w:hAnsi="Arial Narrow" w:cs="Arial"/>
                <w:b/>
                <w:sz w:val="20"/>
                <w:szCs w:val="20"/>
              </w:rPr>
              <w:t>Manner of administration and form</w:t>
            </w:r>
          </w:p>
        </w:tc>
        <w:tc>
          <w:tcPr>
            <w:tcW w:w="406" w:type="pct"/>
            <w:tcBorders>
              <w:bottom w:val="single" w:sz="4" w:space="0" w:color="auto"/>
            </w:tcBorders>
          </w:tcPr>
          <w:p w:rsidR="00560208" w:rsidRPr="00024895" w:rsidRDefault="00560208" w:rsidP="00085ABB">
            <w:pPr>
              <w:keepNext/>
              <w:spacing w:before="40" w:after="40"/>
              <w:jc w:val="both"/>
              <w:rPr>
                <w:rFonts w:ascii="Arial Narrow" w:hAnsi="Arial Narrow" w:cs="Arial"/>
                <w:b/>
                <w:sz w:val="20"/>
                <w:szCs w:val="20"/>
              </w:rPr>
            </w:pPr>
            <w:r w:rsidRPr="00024895">
              <w:rPr>
                <w:rFonts w:ascii="Arial Narrow" w:hAnsi="Arial Narrow" w:cs="Arial"/>
                <w:b/>
                <w:sz w:val="20"/>
                <w:szCs w:val="20"/>
              </w:rPr>
              <w:t>Max.</w:t>
            </w:r>
          </w:p>
          <w:p w:rsidR="00560208" w:rsidRPr="00024895" w:rsidRDefault="00560208" w:rsidP="00085ABB">
            <w:pPr>
              <w:keepNext/>
              <w:spacing w:before="40" w:after="40"/>
              <w:jc w:val="both"/>
              <w:rPr>
                <w:rFonts w:ascii="Arial Narrow" w:hAnsi="Arial Narrow" w:cs="Arial"/>
                <w:b/>
                <w:sz w:val="20"/>
                <w:szCs w:val="20"/>
              </w:rPr>
            </w:pPr>
            <w:proofErr w:type="spellStart"/>
            <w:r w:rsidRPr="00024895">
              <w:rPr>
                <w:rFonts w:ascii="Arial Narrow" w:hAnsi="Arial Narrow" w:cs="Arial"/>
                <w:b/>
                <w:sz w:val="20"/>
                <w:szCs w:val="20"/>
              </w:rPr>
              <w:t>Qty</w:t>
            </w:r>
            <w:proofErr w:type="spellEnd"/>
          </w:p>
        </w:tc>
        <w:tc>
          <w:tcPr>
            <w:tcW w:w="489" w:type="pct"/>
            <w:tcBorders>
              <w:bottom w:val="single" w:sz="4" w:space="0" w:color="auto"/>
            </w:tcBorders>
          </w:tcPr>
          <w:p w:rsidR="00560208" w:rsidRPr="00024895" w:rsidRDefault="00560208" w:rsidP="00085ABB">
            <w:pPr>
              <w:keepNext/>
              <w:spacing w:before="40" w:after="40"/>
              <w:jc w:val="both"/>
              <w:rPr>
                <w:rFonts w:ascii="Arial Narrow" w:hAnsi="Arial Narrow" w:cs="Arial"/>
                <w:b/>
                <w:sz w:val="20"/>
                <w:szCs w:val="20"/>
              </w:rPr>
            </w:pPr>
            <w:r w:rsidRPr="00024895">
              <w:rPr>
                <w:rFonts w:ascii="Arial Narrow" w:hAnsi="Arial Narrow" w:cs="Arial"/>
                <w:b/>
                <w:sz w:val="20"/>
                <w:szCs w:val="20"/>
              </w:rPr>
              <w:t>№.of</w:t>
            </w:r>
          </w:p>
          <w:p w:rsidR="00560208" w:rsidRPr="00024895" w:rsidRDefault="00560208" w:rsidP="00085ABB">
            <w:pPr>
              <w:keepNext/>
              <w:spacing w:before="40" w:after="40"/>
              <w:jc w:val="both"/>
              <w:rPr>
                <w:rFonts w:ascii="Arial Narrow" w:hAnsi="Arial Narrow" w:cs="Arial"/>
                <w:b/>
                <w:sz w:val="20"/>
                <w:szCs w:val="20"/>
              </w:rPr>
            </w:pPr>
            <w:proofErr w:type="spellStart"/>
            <w:r w:rsidRPr="00024895">
              <w:rPr>
                <w:rFonts w:ascii="Arial Narrow" w:hAnsi="Arial Narrow" w:cs="Arial"/>
                <w:b/>
                <w:sz w:val="20"/>
                <w:szCs w:val="20"/>
              </w:rPr>
              <w:t>Rpts</w:t>
            </w:r>
            <w:proofErr w:type="spellEnd"/>
          </w:p>
        </w:tc>
        <w:tc>
          <w:tcPr>
            <w:tcW w:w="2269" w:type="pct"/>
            <w:tcBorders>
              <w:bottom w:val="single" w:sz="4" w:space="0" w:color="auto"/>
            </w:tcBorders>
          </w:tcPr>
          <w:p w:rsidR="00560208" w:rsidRPr="0089214F" w:rsidRDefault="00560208" w:rsidP="00085ABB">
            <w:pPr>
              <w:keepNext/>
              <w:spacing w:before="40" w:after="40"/>
              <w:jc w:val="both"/>
              <w:rPr>
                <w:rFonts w:ascii="Arial Narrow" w:hAnsi="Arial Narrow" w:cs="Arial"/>
                <w:b/>
                <w:sz w:val="20"/>
                <w:szCs w:val="20"/>
              </w:rPr>
            </w:pPr>
            <w:r w:rsidRPr="00024895">
              <w:rPr>
                <w:rFonts w:ascii="Arial Narrow" w:hAnsi="Arial Narrow" w:cs="Arial"/>
                <w:b/>
                <w:sz w:val="20"/>
                <w:szCs w:val="20"/>
              </w:rPr>
              <w:t>Proprietary Name and Manufacturer</w:t>
            </w:r>
          </w:p>
        </w:tc>
      </w:tr>
      <w:tr w:rsidR="00560208" w:rsidRPr="00024895" w:rsidTr="00115B0F">
        <w:trPr>
          <w:cantSplit/>
          <w:trHeight w:val="567"/>
        </w:trPr>
        <w:tc>
          <w:tcPr>
            <w:tcW w:w="1836" w:type="pct"/>
            <w:vMerge w:val="restart"/>
          </w:tcPr>
          <w:p w:rsidR="00560208" w:rsidRPr="00024895" w:rsidRDefault="00560208" w:rsidP="00085ABB">
            <w:pPr>
              <w:keepNext/>
              <w:spacing w:before="40" w:after="40"/>
              <w:jc w:val="both"/>
              <w:rPr>
                <w:rFonts w:ascii="Arial Narrow" w:hAnsi="Arial Narrow" w:cs="Arial"/>
                <w:sz w:val="20"/>
                <w:szCs w:val="20"/>
              </w:rPr>
            </w:pPr>
            <w:r w:rsidRPr="00024895">
              <w:rPr>
                <w:rFonts w:ascii="Arial Narrow" w:hAnsi="Arial Narrow" w:cs="Arial"/>
                <w:smallCaps/>
                <w:sz w:val="20"/>
                <w:szCs w:val="20"/>
              </w:rPr>
              <w:t>SEVELAMER</w:t>
            </w:r>
          </w:p>
          <w:p w:rsidR="00560208" w:rsidRPr="00024895" w:rsidRDefault="00560208" w:rsidP="00085ABB">
            <w:pPr>
              <w:keepNext/>
              <w:spacing w:before="40" w:after="40"/>
              <w:jc w:val="both"/>
              <w:rPr>
                <w:rFonts w:ascii="Arial Narrow" w:hAnsi="Arial Narrow" w:cs="Arial"/>
                <w:sz w:val="20"/>
                <w:szCs w:val="20"/>
              </w:rPr>
            </w:pPr>
            <w:proofErr w:type="spellStart"/>
            <w:r w:rsidRPr="00024895">
              <w:rPr>
                <w:rFonts w:ascii="Arial Narrow" w:hAnsi="Arial Narrow" w:cs="Arial"/>
                <w:sz w:val="20"/>
                <w:szCs w:val="20"/>
              </w:rPr>
              <w:t>Sevelamer</w:t>
            </w:r>
            <w:proofErr w:type="spellEnd"/>
            <w:r w:rsidRPr="00024895">
              <w:rPr>
                <w:rFonts w:ascii="Arial Narrow" w:hAnsi="Arial Narrow" w:cs="Arial"/>
                <w:sz w:val="20"/>
                <w:szCs w:val="20"/>
              </w:rPr>
              <w:t xml:space="preserve"> carbonate, tablet 800, mg, 180  </w:t>
            </w:r>
          </w:p>
        </w:tc>
        <w:tc>
          <w:tcPr>
            <w:tcW w:w="406" w:type="pct"/>
          </w:tcPr>
          <w:p w:rsidR="00560208" w:rsidRPr="00024895" w:rsidRDefault="00560208" w:rsidP="00085ABB">
            <w:pPr>
              <w:keepNext/>
              <w:spacing w:before="40" w:after="40"/>
              <w:jc w:val="both"/>
              <w:rPr>
                <w:rFonts w:ascii="Arial Narrow" w:hAnsi="Arial Narrow" w:cs="Arial"/>
                <w:sz w:val="20"/>
                <w:szCs w:val="20"/>
              </w:rPr>
            </w:pPr>
          </w:p>
          <w:p w:rsidR="00560208" w:rsidRPr="00024895" w:rsidRDefault="00560208" w:rsidP="00085ABB">
            <w:pPr>
              <w:keepNext/>
              <w:spacing w:before="40" w:after="40"/>
              <w:jc w:val="both"/>
              <w:rPr>
                <w:rFonts w:ascii="Arial Narrow" w:hAnsi="Arial Narrow" w:cs="Arial"/>
                <w:sz w:val="20"/>
                <w:szCs w:val="20"/>
              </w:rPr>
            </w:pPr>
            <w:r w:rsidRPr="00024895">
              <w:rPr>
                <w:rFonts w:ascii="Arial Narrow" w:hAnsi="Arial Narrow" w:cs="Arial"/>
                <w:sz w:val="20"/>
                <w:szCs w:val="20"/>
              </w:rPr>
              <w:t>2</w:t>
            </w:r>
          </w:p>
        </w:tc>
        <w:tc>
          <w:tcPr>
            <w:tcW w:w="489" w:type="pct"/>
          </w:tcPr>
          <w:p w:rsidR="00560208" w:rsidRPr="00024895" w:rsidRDefault="00560208" w:rsidP="00085ABB">
            <w:pPr>
              <w:keepNext/>
              <w:spacing w:before="40" w:after="40"/>
              <w:jc w:val="both"/>
              <w:rPr>
                <w:rFonts w:ascii="Arial Narrow" w:hAnsi="Arial Narrow" w:cs="Arial"/>
                <w:sz w:val="20"/>
                <w:szCs w:val="20"/>
              </w:rPr>
            </w:pPr>
          </w:p>
          <w:p w:rsidR="00560208" w:rsidRPr="00024895" w:rsidRDefault="00560208" w:rsidP="00085ABB">
            <w:pPr>
              <w:keepNext/>
              <w:spacing w:before="40" w:after="40"/>
              <w:jc w:val="both"/>
              <w:rPr>
                <w:rFonts w:ascii="Arial Narrow" w:hAnsi="Arial Narrow" w:cs="Arial"/>
                <w:sz w:val="20"/>
                <w:szCs w:val="20"/>
              </w:rPr>
            </w:pPr>
            <w:r w:rsidRPr="00024895">
              <w:rPr>
                <w:rFonts w:ascii="Arial Narrow" w:hAnsi="Arial Narrow" w:cs="Arial"/>
                <w:sz w:val="20"/>
                <w:szCs w:val="20"/>
              </w:rPr>
              <w:t>5</w:t>
            </w:r>
          </w:p>
        </w:tc>
        <w:tc>
          <w:tcPr>
            <w:tcW w:w="2269" w:type="pct"/>
            <w:vMerge w:val="restart"/>
          </w:tcPr>
          <w:p w:rsidR="00560208" w:rsidRPr="00024895" w:rsidRDefault="00560208" w:rsidP="00085ABB">
            <w:pPr>
              <w:keepNext/>
              <w:spacing w:before="40" w:after="40"/>
              <w:jc w:val="both"/>
              <w:rPr>
                <w:rFonts w:ascii="Arial Narrow" w:hAnsi="Arial Narrow" w:cs="Arial"/>
                <w:sz w:val="20"/>
                <w:szCs w:val="20"/>
              </w:rPr>
            </w:pPr>
            <w:proofErr w:type="spellStart"/>
            <w:r w:rsidRPr="00024895">
              <w:rPr>
                <w:rFonts w:ascii="Arial Narrow" w:hAnsi="Arial Narrow" w:cs="Arial"/>
                <w:sz w:val="20"/>
                <w:szCs w:val="20"/>
              </w:rPr>
              <w:t>Sevelamer</w:t>
            </w:r>
            <w:proofErr w:type="spellEnd"/>
            <w:r w:rsidRPr="00024895">
              <w:rPr>
                <w:rFonts w:ascii="Arial Narrow" w:hAnsi="Arial Narrow" w:cs="Arial"/>
                <w:sz w:val="20"/>
                <w:szCs w:val="20"/>
              </w:rPr>
              <w:t xml:space="preserve"> Dr Reddy’s</w:t>
            </w:r>
          </w:p>
          <w:p w:rsidR="00560208" w:rsidRPr="00024895" w:rsidRDefault="00560208" w:rsidP="00085ABB">
            <w:pPr>
              <w:keepNext/>
              <w:spacing w:before="40" w:after="40"/>
              <w:jc w:val="both"/>
              <w:rPr>
                <w:rFonts w:ascii="Arial Narrow" w:hAnsi="Arial Narrow" w:cs="Arial"/>
                <w:sz w:val="20"/>
                <w:szCs w:val="20"/>
              </w:rPr>
            </w:pPr>
          </w:p>
          <w:p w:rsidR="00560208" w:rsidRPr="00024895" w:rsidRDefault="00560208" w:rsidP="00085ABB">
            <w:pPr>
              <w:keepNext/>
              <w:spacing w:before="40" w:after="40"/>
              <w:jc w:val="both"/>
              <w:rPr>
                <w:rFonts w:ascii="Arial Narrow" w:hAnsi="Arial Narrow" w:cs="Arial"/>
                <w:sz w:val="20"/>
                <w:szCs w:val="20"/>
              </w:rPr>
            </w:pPr>
            <w:r w:rsidRPr="00024895">
              <w:rPr>
                <w:rFonts w:ascii="Arial Narrow" w:hAnsi="Arial Narrow" w:cs="Arial"/>
                <w:sz w:val="20"/>
                <w:szCs w:val="20"/>
              </w:rPr>
              <w:t>Dr Reddy’s Laboratories Australia Pty Ltd</w:t>
            </w:r>
          </w:p>
        </w:tc>
      </w:tr>
      <w:tr w:rsidR="00560208" w:rsidRPr="00024895" w:rsidTr="00115B0F">
        <w:trPr>
          <w:cantSplit/>
          <w:trHeight w:val="567"/>
        </w:trPr>
        <w:tc>
          <w:tcPr>
            <w:tcW w:w="1836" w:type="pct"/>
            <w:vMerge/>
          </w:tcPr>
          <w:p w:rsidR="00560208" w:rsidRPr="00024895" w:rsidRDefault="00560208" w:rsidP="00085ABB">
            <w:pPr>
              <w:keepNext/>
              <w:spacing w:before="40" w:after="40"/>
              <w:jc w:val="both"/>
              <w:rPr>
                <w:rFonts w:ascii="Arial Narrow" w:hAnsi="Arial Narrow" w:cs="Arial"/>
                <w:smallCaps/>
                <w:sz w:val="20"/>
                <w:szCs w:val="20"/>
              </w:rPr>
            </w:pPr>
          </w:p>
        </w:tc>
        <w:tc>
          <w:tcPr>
            <w:tcW w:w="406" w:type="pct"/>
          </w:tcPr>
          <w:p w:rsidR="00560208" w:rsidRPr="00024895" w:rsidRDefault="00560208" w:rsidP="00085ABB">
            <w:pPr>
              <w:keepNext/>
              <w:spacing w:before="40" w:after="40"/>
              <w:jc w:val="both"/>
              <w:rPr>
                <w:rFonts w:ascii="Arial Narrow" w:hAnsi="Arial Narrow" w:cs="Arial"/>
                <w:sz w:val="20"/>
                <w:szCs w:val="20"/>
              </w:rPr>
            </w:pPr>
          </w:p>
        </w:tc>
        <w:tc>
          <w:tcPr>
            <w:tcW w:w="489" w:type="pct"/>
          </w:tcPr>
          <w:p w:rsidR="00560208" w:rsidRPr="00024895" w:rsidRDefault="00560208" w:rsidP="00085ABB">
            <w:pPr>
              <w:keepNext/>
              <w:spacing w:before="40" w:after="40"/>
              <w:jc w:val="both"/>
              <w:rPr>
                <w:rFonts w:ascii="Arial Narrow" w:hAnsi="Arial Narrow" w:cs="Arial"/>
                <w:sz w:val="20"/>
                <w:szCs w:val="20"/>
              </w:rPr>
            </w:pPr>
          </w:p>
        </w:tc>
        <w:tc>
          <w:tcPr>
            <w:tcW w:w="2269" w:type="pct"/>
            <w:vMerge/>
          </w:tcPr>
          <w:p w:rsidR="00560208" w:rsidRPr="00024895" w:rsidRDefault="00560208" w:rsidP="00085ABB">
            <w:pPr>
              <w:keepNext/>
              <w:spacing w:before="40" w:after="40"/>
              <w:jc w:val="both"/>
              <w:rPr>
                <w:rFonts w:ascii="Arial Narrow" w:hAnsi="Arial Narrow" w:cs="Arial"/>
                <w:sz w:val="20"/>
                <w:szCs w:val="20"/>
              </w:rPr>
            </w:pPr>
          </w:p>
        </w:tc>
      </w:tr>
    </w:tbl>
    <w:p w:rsidR="00560208" w:rsidRPr="00024895" w:rsidRDefault="00560208" w:rsidP="00560208">
      <w:pPr>
        <w:rPr>
          <w:szCs w:val="22"/>
        </w:rPr>
      </w:pPr>
    </w:p>
    <w:tbl>
      <w:tblPr>
        <w:tblW w:w="4915" w:type="pct"/>
        <w:tblLook w:val="0000" w:firstRow="0" w:lastRow="0" w:firstColumn="0" w:lastColumn="0" w:noHBand="0" w:noVBand="0"/>
      </w:tblPr>
      <w:tblGrid>
        <w:gridCol w:w="1895"/>
        <w:gridCol w:w="6968"/>
      </w:tblGrid>
      <w:tr w:rsidR="00560208" w:rsidRPr="00024895" w:rsidTr="00085ABB">
        <w:trPr>
          <w:cantSplit/>
          <w:trHeight w:val="360"/>
        </w:trPr>
        <w:tc>
          <w:tcPr>
            <w:tcW w:w="1069" w:type="pct"/>
            <w:tcBorders>
              <w:top w:val="single" w:sz="4" w:space="0" w:color="auto"/>
              <w:left w:val="single" w:sz="4" w:space="0" w:color="auto"/>
              <w:bottom w:val="single" w:sz="4" w:space="0" w:color="auto"/>
              <w:right w:val="single" w:sz="4" w:space="0" w:color="auto"/>
            </w:tcBorders>
          </w:tcPr>
          <w:p w:rsidR="00560208" w:rsidRPr="00024895" w:rsidRDefault="00560208" w:rsidP="00085ABB">
            <w:pPr>
              <w:spacing w:before="40" w:after="40"/>
              <w:jc w:val="both"/>
              <w:rPr>
                <w:rFonts w:ascii="Arial Narrow" w:hAnsi="Arial Narrow" w:cs="Arial"/>
                <w:b/>
                <w:sz w:val="20"/>
                <w:szCs w:val="20"/>
              </w:rPr>
            </w:pPr>
            <w:r w:rsidRPr="00024895">
              <w:rPr>
                <w:rFonts w:ascii="Arial Narrow" w:hAnsi="Arial Narrow" w:cs="Arial"/>
                <w:b/>
                <w:sz w:val="20"/>
                <w:szCs w:val="20"/>
              </w:rPr>
              <w:t xml:space="preserve">Category / </w:t>
            </w:r>
          </w:p>
          <w:p w:rsidR="00560208" w:rsidRPr="00024895" w:rsidRDefault="00560208" w:rsidP="00085ABB">
            <w:pPr>
              <w:spacing w:before="40" w:after="40"/>
              <w:jc w:val="both"/>
              <w:rPr>
                <w:rFonts w:ascii="Arial Narrow" w:hAnsi="Arial Narrow" w:cs="Arial"/>
                <w:b/>
                <w:sz w:val="20"/>
                <w:szCs w:val="20"/>
              </w:rPr>
            </w:pPr>
            <w:r w:rsidRPr="00024895">
              <w:rPr>
                <w:rFonts w:ascii="Arial Narrow" w:hAnsi="Arial Narrow" w:cs="Arial"/>
                <w:b/>
                <w:sz w:val="20"/>
                <w:szCs w:val="20"/>
              </w:rPr>
              <w:t>Program</w:t>
            </w:r>
          </w:p>
        </w:tc>
        <w:tc>
          <w:tcPr>
            <w:tcW w:w="3931" w:type="pct"/>
            <w:tcBorders>
              <w:top w:val="single" w:sz="4" w:space="0" w:color="auto"/>
              <w:left w:val="single" w:sz="4" w:space="0" w:color="auto"/>
              <w:bottom w:val="single" w:sz="4" w:space="0" w:color="auto"/>
              <w:right w:val="single" w:sz="4" w:space="0" w:color="auto"/>
            </w:tcBorders>
          </w:tcPr>
          <w:p w:rsidR="00560208" w:rsidRPr="00024895" w:rsidRDefault="00560208" w:rsidP="00085ABB">
            <w:pPr>
              <w:spacing w:before="40" w:after="40"/>
              <w:rPr>
                <w:rFonts w:ascii="Arial Narrow" w:hAnsi="Arial Narrow" w:cs="Arial"/>
                <w:sz w:val="20"/>
                <w:szCs w:val="20"/>
              </w:rPr>
            </w:pPr>
            <w:r w:rsidRPr="00024895">
              <w:rPr>
                <w:rFonts w:ascii="Arial Narrow" w:hAnsi="Arial Narrow" w:cs="Arial"/>
                <w:sz w:val="20"/>
                <w:szCs w:val="20"/>
              </w:rPr>
              <w:t>Section 100 – Highly Specialised Drugs Program</w:t>
            </w:r>
          </w:p>
          <w:p w:rsidR="00560208" w:rsidRPr="00024895" w:rsidRDefault="00560208" w:rsidP="00085ABB">
            <w:pPr>
              <w:spacing w:before="40" w:after="40"/>
              <w:rPr>
                <w:rFonts w:ascii="Arial Narrow" w:hAnsi="Arial Narrow" w:cs="Arial"/>
                <w:sz w:val="20"/>
                <w:szCs w:val="20"/>
              </w:rPr>
            </w:pPr>
            <w:r w:rsidRPr="00024895">
              <w:rPr>
                <w:rFonts w:ascii="Arial Narrow" w:hAnsi="Arial Narrow" w:cs="Arial"/>
                <w:sz w:val="20"/>
                <w:szCs w:val="20"/>
              </w:rPr>
              <w:t>(Public and Private Hospitals)</w:t>
            </w:r>
          </w:p>
        </w:tc>
      </w:tr>
      <w:tr w:rsidR="00560208" w:rsidRPr="00024895" w:rsidTr="00085ABB">
        <w:trPr>
          <w:cantSplit/>
          <w:trHeight w:val="492"/>
        </w:trPr>
        <w:tc>
          <w:tcPr>
            <w:tcW w:w="1069" w:type="pct"/>
            <w:tcBorders>
              <w:top w:val="single" w:sz="4" w:space="0" w:color="auto"/>
              <w:left w:val="single" w:sz="4" w:space="0" w:color="auto"/>
              <w:bottom w:val="single" w:sz="4" w:space="0" w:color="auto"/>
              <w:right w:val="single" w:sz="4" w:space="0" w:color="auto"/>
            </w:tcBorders>
          </w:tcPr>
          <w:p w:rsidR="00560208" w:rsidRPr="00024895" w:rsidRDefault="00560208" w:rsidP="00085ABB">
            <w:pPr>
              <w:spacing w:before="40" w:after="40"/>
              <w:jc w:val="both"/>
              <w:rPr>
                <w:rFonts w:ascii="Arial Narrow" w:hAnsi="Arial Narrow" w:cs="Arial"/>
                <w:b/>
                <w:sz w:val="20"/>
                <w:szCs w:val="20"/>
              </w:rPr>
            </w:pPr>
            <w:r w:rsidRPr="00024895">
              <w:rPr>
                <w:rFonts w:ascii="Arial Narrow" w:hAnsi="Arial Narrow" w:cs="Arial"/>
                <w:b/>
                <w:sz w:val="20"/>
                <w:szCs w:val="20"/>
              </w:rPr>
              <w:t>Prescriber type:</w:t>
            </w:r>
          </w:p>
        </w:tc>
        <w:tc>
          <w:tcPr>
            <w:tcW w:w="3931" w:type="pct"/>
            <w:tcBorders>
              <w:top w:val="single" w:sz="4" w:space="0" w:color="auto"/>
              <w:left w:val="single" w:sz="4" w:space="0" w:color="auto"/>
              <w:bottom w:val="single" w:sz="4" w:space="0" w:color="auto"/>
              <w:right w:val="single" w:sz="4" w:space="0" w:color="auto"/>
            </w:tcBorders>
          </w:tcPr>
          <w:p w:rsidR="00560208" w:rsidRPr="00024895" w:rsidRDefault="00560208" w:rsidP="00DC4379">
            <w:pPr>
              <w:spacing w:before="40" w:after="40"/>
              <w:rPr>
                <w:rFonts w:ascii="Arial Narrow" w:hAnsi="Arial Narrow" w:cs="Arial"/>
                <w:sz w:val="20"/>
                <w:szCs w:val="20"/>
              </w:rPr>
            </w:pPr>
            <w:r w:rsidRPr="0089214F">
              <w:rPr>
                <w:rFonts w:ascii="Arial Narrow" w:hAnsi="Arial Narrow" w:cs="Arial"/>
                <w:sz w:val="20"/>
                <w:szCs w:val="20"/>
              </w:rPr>
              <w:fldChar w:fldCharType="begin">
                <w:ffData>
                  <w:name w:val=""/>
                  <w:enabled/>
                  <w:calcOnExit w:val="0"/>
                  <w:checkBox>
                    <w:sizeAuto/>
                    <w:default w:val="1"/>
                  </w:checkBox>
                </w:ffData>
              </w:fldChar>
            </w:r>
            <w:r w:rsidRPr="00024895">
              <w:rPr>
                <w:rFonts w:ascii="Arial Narrow" w:hAnsi="Arial Narrow" w:cs="Arial"/>
                <w:sz w:val="20"/>
                <w:szCs w:val="20"/>
              </w:rPr>
              <w:instrText xml:space="preserve"> FORMCHECKBOX </w:instrText>
            </w:r>
            <w:r w:rsidR="003C3CE5">
              <w:rPr>
                <w:rFonts w:ascii="Arial Narrow" w:hAnsi="Arial Narrow" w:cs="Arial"/>
                <w:sz w:val="20"/>
                <w:szCs w:val="20"/>
              </w:rPr>
            </w:r>
            <w:r w:rsidR="003C3CE5">
              <w:rPr>
                <w:rFonts w:ascii="Arial Narrow" w:hAnsi="Arial Narrow" w:cs="Arial"/>
                <w:sz w:val="20"/>
                <w:szCs w:val="20"/>
              </w:rPr>
              <w:fldChar w:fldCharType="separate"/>
            </w:r>
            <w:r w:rsidRPr="0089214F">
              <w:rPr>
                <w:rFonts w:ascii="Arial Narrow" w:hAnsi="Arial Narrow" w:cs="Arial"/>
                <w:sz w:val="20"/>
                <w:szCs w:val="20"/>
              </w:rPr>
              <w:fldChar w:fldCharType="end"/>
            </w:r>
            <w:r w:rsidRPr="00024895">
              <w:rPr>
                <w:rFonts w:ascii="Arial Narrow" w:hAnsi="Arial Narrow" w:cs="Arial"/>
                <w:sz w:val="20"/>
                <w:szCs w:val="20"/>
              </w:rPr>
              <w:t xml:space="preserve">Medical Practitioners  </w:t>
            </w:r>
            <w:r w:rsidR="00DC4379" w:rsidRPr="0089214F">
              <w:rPr>
                <w:rFonts w:ascii="Arial Narrow" w:hAnsi="Arial Narrow" w:cs="Arial"/>
                <w:sz w:val="20"/>
                <w:szCs w:val="20"/>
              </w:rPr>
              <w:fldChar w:fldCharType="begin">
                <w:ffData>
                  <w:name w:val=""/>
                  <w:enabled/>
                  <w:calcOnExit w:val="0"/>
                  <w:checkBox>
                    <w:sizeAuto/>
                    <w:default w:val="0"/>
                  </w:checkBox>
                </w:ffData>
              </w:fldChar>
            </w:r>
            <w:r w:rsidR="00DC4379" w:rsidRPr="00024895">
              <w:rPr>
                <w:rFonts w:ascii="Arial Narrow" w:hAnsi="Arial Narrow" w:cs="Arial"/>
                <w:sz w:val="20"/>
                <w:szCs w:val="20"/>
              </w:rPr>
              <w:instrText xml:space="preserve"> FORMCHECKBOX </w:instrText>
            </w:r>
            <w:r w:rsidR="003C3CE5">
              <w:rPr>
                <w:rFonts w:ascii="Arial Narrow" w:hAnsi="Arial Narrow" w:cs="Arial"/>
                <w:sz w:val="20"/>
                <w:szCs w:val="20"/>
              </w:rPr>
            </w:r>
            <w:r w:rsidR="003C3CE5">
              <w:rPr>
                <w:rFonts w:ascii="Arial Narrow" w:hAnsi="Arial Narrow" w:cs="Arial"/>
                <w:sz w:val="20"/>
                <w:szCs w:val="20"/>
              </w:rPr>
              <w:fldChar w:fldCharType="separate"/>
            </w:r>
            <w:r w:rsidR="00DC4379" w:rsidRPr="0089214F">
              <w:rPr>
                <w:rFonts w:ascii="Arial Narrow" w:hAnsi="Arial Narrow" w:cs="Arial"/>
                <w:sz w:val="20"/>
                <w:szCs w:val="20"/>
              </w:rPr>
              <w:fldChar w:fldCharType="end"/>
            </w:r>
            <w:r w:rsidRPr="00024895">
              <w:rPr>
                <w:rFonts w:ascii="Arial Narrow" w:hAnsi="Arial Narrow" w:cs="Arial"/>
                <w:sz w:val="20"/>
                <w:szCs w:val="20"/>
              </w:rPr>
              <w:t xml:space="preserve">Nurse practitioners  </w:t>
            </w:r>
          </w:p>
        </w:tc>
      </w:tr>
      <w:tr w:rsidR="00560208" w:rsidRPr="00024895" w:rsidTr="00085ABB">
        <w:trPr>
          <w:cantSplit/>
          <w:trHeight w:val="360"/>
        </w:trPr>
        <w:tc>
          <w:tcPr>
            <w:tcW w:w="1069" w:type="pct"/>
            <w:tcBorders>
              <w:top w:val="single" w:sz="4" w:space="0" w:color="auto"/>
              <w:left w:val="single" w:sz="4" w:space="0" w:color="auto"/>
              <w:bottom w:val="single" w:sz="4" w:space="0" w:color="auto"/>
              <w:right w:val="single" w:sz="4" w:space="0" w:color="auto"/>
            </w:tcBorders>
          </w:tcPr>
          <w:p w:rsidR="00560208" w:rsidRPr="00024895" w:rsidRDefault="00560208" w:rsidP="00085ABB">
            <w:pPr>
              <w:spacing w:before="40" w:after="40"/>
              <w:jc w:val="both"/>
              <w:rPr>
                <w:rFonts w:ascii="Arial Narrow" w:hAnsi="Arial Narrow" w:cs="Arial"/>
                <w:b/>
                <w:sz w:val="20"/>
                <w:szCs w:val="20"/>
              </w:rPr>
            </w:pPr>
            <w:r w:rsidRPr="00024895">
              <w:rPr>
                <w:rFonts w:ascii="Arial Narrow" w:hAnsi="Arial Narrow" w:cs="Arial"/>
                <w:b/>
                <w:sz w:val="20"/>
                <w:szCs w:val="20"/>
              </w:rPr>
              <w:t>PBS Indication:</w:t>
            </w:r>
          </w:p>
        </w:tc>
        <w:tc>
          <w:tcPr>
            <w:tcW w:w="3931" w:type="pct"/>
            <w:tcBorders>
              <w:top w:val="single" w:sz="4" w:space="0" w:color="auto"/>
              <w:left w:val="single" w:sz="4" w:space="0" w:color="auto"/>
              <w:bottom w:val="single" w:sz="4" w:space="0" w:color="auto"/>
              <w:right w:val="single" w:sz="4" w:space="0" w:color="auto"/>
            </w:tcBorders>
          </w:tcPr>
          <w:p w:rsidR="00560208" w:rsidRPr="00024895" w:rsidRDefault="00560208" w:rsidP="00085ABB">
            <w:pPr>
              <w:spacing w:before="40" w:after="40"/>
              <w:rPr>
                <w:rFonts w:ascii="Arial Narrow" w:hAnsi="Arial Narrow" w:cs="Arial"/>
                <w:sz w:val="20"/>
                <w:szCs w:val="20"/>
              </w:rPr>
            </w:pPr>
            <w:proofErr w:type="spellStart"/>
            <w:r w:rsidRPr="00024895">
              <w:rPr>
                <w:rFonts w:ascii="Arial Narrow" w:hAnsi="Arial Narrow" w:cs="Arial"/>
                <w:sz w:val="20"/>
                <w:szCs w:val="20"/>
              </w:rPr>
              <w:t>Hyperphosphataemia</w:t>
            </w:r>
            <w:proofErr w:type="spellEnd"/>
          </w:p>
        </w:tc>
      </w:tr>
      <w:tr w:rsidR="00560208" w:rsidRPr="00024895" w:rsidTr="00085ABB">
        <w:trPr>
          <w:cantSplit/>
          <w:trHeight w:val="360"/>
        </w:trPr>
        <w:tc>
          <w:tcPr>
            <w:tcW w:w="1069" w:type="pct"/>
            <w:tcBorders>
              <w:top w:val="single" w:sz="4" w:space="0" w:color="auto"/>
              <w:left w:val="single" w:sz="4" w:space="0" w:color="auto"/>
              <w:bottom w:val="single" w:sz="4" w:space="0" w:color="auto"/>
              <w:right w:val="single" w:sz="4" w:space="0" w:color="auto"/>
            </w:tcBorders>
          </w:tcPr>
          <w:p w:rsidR="00560208" w:rsidRPr="00024895" w:rsidRDefault="00560208" w:rsidP="00085ABB">
            <w:pPr>
              <w:spacing w:before="40" w:after="40"/>
              <w:jc w:val="both"/>
              <w:rPr>
                <w:rFonts w:ascii="Arial Narrow" w:hAnsi="Arial Narrow" w:cs="Arial"/>
                <w:b/>
                <w:sz w:val="20"/>
                <w:szCs w:val="20"/>
              </w:rPr>
            </w:pPr>
            <w:r w:rsidRPr="00024895">
              <w:rPr>
                <w:rFonts w:ascii="Arial Narrow" w:hAnsi="Arial Narrow" w:cs="Arial"/>
                <w:b/>
                <w:sz w:val="20"/>
                <w:szCs w:val="20"/>
              </w:rPr>
              <w:t>Treatment phase:</w:t>
            </w:r>
          </w:p>
        </w:tc>
        <w:tc>
          <w:tcPr>
            <w:tcW w:w="3931" w:type="pct"/>
            <w:tcBorders>
              <w:top w:val="single" w:sz="4" w:space="0" w:color="auto"/>
              <w:left w:val="single" w:sz="4" w:space="0" w:color="auto"/>
              <w:bottom w:val="single" w:sz="4" w:space="0" w:color="auto"/>
              <w:right w:val="single" w:sz="4" w:space="0" w:color="auto"/>
            </w:tcBorders>
          </w:tcPr>
          <w:p w:rsidR="00560208" w:rsidRPr="00024895" w:rsidRDefault="00560208" w:rsidP="00085ABB">
            <w:pPr>
              <w:spacing w:before="40" w:after="40"/>
              <w:rPr>
                <w:rFonts w:ascii="Arial Narrow" w:hAnsi="Arial Narrow" w:cs="Arial"/>
                <w:sz w:val="20"/>
                <w:szCs w:val="20"/>
              </w:rPr>
            </w:pPr>
            <w:r w:rsidRPr="00024895">
              <w:rPr>
                <w:rFonts w:ascii="Arial Narrow" w:hAnsi="Arial Narrow" w:cs="Arial"/>
                <w:sz w:val="20"/>
                <w:szCs w:val="20"/>
              </w:rPr>
              <w:t>Initiation and stabilisation</w:t>
            </w:r>
          </w:p>
        </w:tc>
      </w:tr>
      <w:tr w:rsidR="00560208" w:rsidRPr="00024895" w:rsidTr="00085ABB">
        <w:trPr>
          <w:cantSplit/>
          <w:trHeight w:val="360"/>
        </w:trPr>
        <w:tc>
          <w:tcPr>
            <w:tcW w:w="1069" w:type="pct"/>
            <w:tcBorders>
              <w:top w:val="single" w:sz="4" w:space="0" w:color="auto"/>
              <w:left w:val="single" w:sz="4" w:space="0" w:color="auto"/>
              <w:bottom w:val="single" w:sz="4" w:space="0" w:color="auto"/>
              <w:right w:val="single" w:sz="4" w:space="0" w:color="auto"/>
            </w:tcBorders>
          </w:tcPr>
          <w:p w:rsidR="00560208" w:rsidRPr="00024895" w:rsidRDefault="00560208" w:rsidP="00085ABB">
            <w:pPr>
              <w:spacing w:before="40" w:after="40"/>
              <w:jc w:val="both"/>
              <w:rPr>
                <w:rFonts w:ascii="Arial Narrow" w:hAnsi="Arial Narrow" w:cs="Arial"/>
                <w:b/>
                <w:sz w:val="20"/>
                <w:szCs w:val="20"/>
              </w:rPr>
            </w:pPr>
            <w:r w:rsidRPr="00024895">
              <w:rPr>
                <w:rFonts w:ascii="Arial Narrow" w:hAnsi="Arial Narrow" w:cs="Arial"/>
                <w:b/>
                <w:sz w:val="20"/>
                <w:szCs w:val="20"/>
              </w:rPr>
              <w:t>Restriction Level / Method:</w:t>
            </w:r>
          </w:p>
          <w:p w:rsidR="00560208" w:rsidRPr="00024895" w:rsidRDefault="00560208" w:rsidP="00085ABB">
            <w:pPr>
              <w:spacing w:before="40" w:after="40"/>
              <w:rPr>
                <w:rFonts w:ascii="Arial Narrow" w:hAnsi="Arial Narrow" w:cs="Arial"/>
                <w:sz w:val="20"/>
                <w:szCs w:val="20"/>
              </w:rPr>
            </w:pPr>
          </w:p>
        </w:tc>
        <w:tc>
          <w:tcPr>
            <w:tcW w:w="3931" w:type="pct"/>
            <w:tcBorders>
              <w:top w:val="single" w:sz="4" w:space="0" w:color="auto"/>
              <w:left w:val="single" w:sz="4" w:space="0" w:color="auto"/>
              <w:bottom w:val="single" w:sz="4" w:space="0" w:color="auto"/>
              <w:right w:val="single" w:sz="4" w:space="0" w:color="auto"/>
            </w:tcBorders>
          </w:tcPr>
          <w:p w:rsidR="00560208" w:rsidRPr="00024895" w:rsidRDefault="00560208" w:rsidP="00085ABB">
            <w:pPr>
              <w:spacing w:before="40" w:after="40"/>
              <w:rPr>
                <w:rFonts w:ascii="Arial Narrow" w:hAnsi="Arial Narrow" w:cs="Arial"/>
                <w:sz w:val="20"/>
                <w:szCs w:val="20"/>
              </w:rPr>
            </w:pPr>
            <w:r w:rsidRPr="0089214F">
              <w:rPr>
                <w:rFonts w:ascii="Arial Narrow" w:hAnsi="Arial Narrow" w:cs="Arial"/>
                <w:sz w:val="20"/>
                <w:szCs w:val="20"/>
              </w:rPr>
              <w:fldChar w:fldCharType="begin">
                <w:ffData>
                  <w:name w:val=""/>
                  <w:enabled/>
                  <w:calcOnExit w:val="0"/>
                  <w:checkBox>
                    <w:sizeAuto/>
                    <w:default w:val="1"/>
                  </w:checkBox>
                </w:ffData>
              </w:fldChar>
            </w:r>
            <w:r w:rsidRPr="00024895">
              <w:rPr>
                <w:rFonts w:ascii="Arial Narrow" w:hAnsi="Arial Narrow" w:cs="Arial"/>
                <w:sz w:val="20"/>
                <w:szCs w:val="20"/>
              </w:rPr>
              <w:instrText xml:space="preserve"> FORMCHECKBOX </w:instrText>
            </w:r>
            <w:r w:rsidR="003C3CE5">
              <w:rPr>
                <w:rFonts w:ascii="Arial Narrow" w:hAnsi="Arial Narrow" w:cs="Arial"/>
                <w:sz w:val="20"/>
                <w:szCs w:val="20"/>
              </w:rPr>
            </w:r>
            <w:r w:rsidR="003C3CE5">
              <w:rPr>
                <w:rFonts w:ascii="Arial Narrow" w:hAnsi="Arial Narrow" w:cs="Arial"/>
                <w:sz w:val="20"/>
                <w:szCs w:val="20"/>
              </w:rPr>
              <w:fldChar w:fldCharType="separate"/>
            </w:r>
            <w:r w:rsidRPr="0089214F">
              <w:rPr>
                <w:rFonts w:ascii="Arial Narrow" w:hAnsi="Arial Narrow" w:cs="Arial"/>
                <w:sz w:val="20"/>
                <w:szCs w:val="20"/>
              </w:rPr>
              <w:fldChar w:fldCharType="end"/>
            </w:r>
            <w:r w:rsidRPr="00024895">
              <w:rPr>
                <w:rFonts w:ascii="Arial Narrow" w:hAnsi="Arial Narrow" w:cs="Arial"/>
                <w:sz w:val="20"/>
                <w:szCs w:val="20"/>
              </w:rPr>
              <w:t>Authority Required – Telephone (Private Hospitals)</w:t>
            </w:r>
          </w:p>
          <w:p w:rsidR="00560208" w:rsidRPr="00024895" w:rsidRDefault="00560208" w:rsidP="00085ABB">
            <w:pPr>
              <w:spacing w:before="40" w:after="40"/>
              <w:rPr>
                <w:rFonts w:ascii="Arial Narrow" w:hAnsi="Arial Narrow" w:cs="Arial"/>
                <w:sz w:val="20"/>
                <w:szCs w:val="20"/>
              </w:rPr>
            </w:pPr>
            <w:r w:rsidRPr="0089214F">
              <w:rPr>
                <w:rFonts w:ascii="Arial Narrow" w:hAnsi="Arial Narrow" w:cs="Arial"/>
                <w:sz w:val="20"/>
                <w:szCs w:val="20"/>
              </w:rPr>
              <w:fldChar w:fldCharType="begin">
                <w:ffData>
                  <w:name w:val="Check5"/>
                  <w:enabled/>
                  <w:calcOnExit w:val="0"/>
                  <w:checkBox>
                    <w:sizeAuto/>
                    <w:default w:val="1"/>
                  </w:checkBox>
                </w:ffData>
              </w:fldChar>
            </w:r>
            <w:r w:rsidRPr="00024895">
              <w:rPr>
                <w:rFonts w:ascii="Arial Narrow" w:hAnsi="Arial Narrow" w:cs="Arial"/>
                <w:sz w:val="20"/>
                <w:szCs w:val="20"/>
              </w:rPr>
              <w:instrText xml:space="preserve"> FORMCHECKBOX </w:instrText>
            </w:r>
            <w:r w:rsidR="003C3CE5">
              <w:rPr>
                <w:rFonts w:ascii="Arial Narrow" w:hAnsi="Arial Narrow" w:cs="Arial"/>
                <w:sz w:val="20"/>
                <w:szCs w:val="20"/>
              </w:rPr>
            </w:r>
            <w:r w:rsidR="003C3CE5">
              <w:rPr>
                <w:rFonts w:ascii="Arial Narrow" w:hAnsi="Arial Narrow" w:cs="Arial"/>
                <w:sz w:val="20"/>
                <w:szCs w:val="20"/>
              </w:rPr>
              <w:fldChar w:fldCharType="separate"/>
            </w:r>
            <w:r w:rsidRPr="0089214F">
              <w:rPr>
                <w:rFonts w:ascii="Arial Narrow" w:hAnsi="Arial Narrow" w:cs="Arial"/>
                <w:sz w:val="20"/>
                <w:szCs w:val="20"/>
              </w:rPr>
              <w:fldChar w:fldCharType="end"/>
            </w:r>
            <w:r w:rsidRPr="00024895">
              <w:rPr>
                <w:rFonts w:ascii="Arial Narrow" w:hAnsi="Arial Narrow" w:cs="Arial"/>
                <w:sz w:val="20"/>
                <w:szCs w:val="20"/>
              </w:rPr>
              <w:t>Streamlined (Public Hospitals)</w:t>
            </w:r>
          </w:p>
        </w:tc>
      </w:tr>
      <w:tr w:rsidR="00560208" w:rsidRPr="00024895" w:rsidTr="00085ABB">
        <w:trPr>
          <w:cantSplit/>
          <w:trHeight w:val="360"/>
        </w:trPr>
        <w:tc>
          <w:tcPr>
            <w:tcW w:w="1069" w:type="pct"/>
            <w:tcBorders>
              <w:top w:val="single" w:sz="4" w:space="0" w:color="auto"/>
              <w:left w:val="single" w:sz="4" w:space="0" w:color="auto"/>
              <w:bottom w:val="single" w:sz="4" w:space="0" w:color="auto"/>
              <w:right w:val="single" w:sz="4" w:space="0" w:color="auto"/>
            </w:tcBorders>
          </w:tcPr>
          <w:p w:rsidR="00560208" w:rsidRPr="00024895" w:rsidRDefault="00560208" w:rsidP="00085ABB">
            <w:pPr>
              <w:spacing w:before="40" w:after="40"/>
              <w:rPr>
                <w:rFonts w:ascii="Arial Narrow" w:hAnsi="Arial Narrow" w:cs="Arial"/>
                <w:b/>
                <w:sz w:val="20"/>
                <w:szCs w:val="20"/>
              </w:rPr>
            </w:pPr>
            <w:r w:rsidRPr="00024895">
              <w:rPr>
                <w:rFonts w:ascii="Arial Narrow" w:hAnsi="Arial Narrow" w:cs="Arial"/>
                <w:b/>
                <w:sz w:val="20"/>
                <w:szCs w:val="20"/>
              </w:rPr>
              <w:t>Treatment criteria:</w:t>
            </w:r>
          </w:p>
          <w:p w:rsidR="00560208" w:rsidRPr="00024895" w:rsidRDefault="00560208" w:rsidP="00085ABB">
            <w:pPr>
              <w:spacing w:before="40" w:after="40"/>
              <w:rPr>
                <w:rFonts w:ascii="Arial Narrow" w:hAnsi="Arial Narrow" w:cs="Arial"/>
                <w:sz w:val="20"/>
                <w:szCs w:val="20"/>
              </w:rPr>
            </w:pPr>
          </w:p>
        </w:tc>
        <w:tc>
          <w:tcPr>
            <w:tcW w:w="3931" w:type="pct"/>
            <w:tcBorders>
              <w:top w:val="single" w:sz="4" w:space="0" w:color="auto"/>
              <w:left w:val="single" w:sz="4" w:space="0" w:color="auto"/>
              <w:bottom w:val="single" w:sz="4" w:space="0" w:color="auto"/>
              <w:right w:val="single" w:sz="4" w:space="0" w:color="auto"/>
            </w:tcBorders>
          </w:tcPr>
          <w:p w:rsidR="00560208" w:rsidRPr="00024895" w:rsidRDefault="00560208" w:rsidP="00085ABB">
            <w:pPr>
              <w:spacing w:before="40" w:after="40"/>
              <w:rPr>
                <w:rFonts w:ascii="Arial Narrow" w:hAnsi="Arial Narrow" w:cs="Arial"/>
                <w:sz w:val="20"/>
                <w:szCs w:val="20"/>
              </w:rPr>
            </w:pPr>
            <w:r w:rsidRPr="00024895">
              <w:rPr>
                <w:rFonts w:ascii="Arial Narrow" w:hAnsi="Arial Narrow" w:cs="Arial"/>
                <w:sz w:val="20"/>
                <w:szCs w:val="20"/>
              </w:rPr>
              <w:t>Patient must be undergoing dialysis for chronic kidney disease.</w:t>
            </w:r>
          </w:p>
        </w:tc>
      </w:tr>
      <w:tr w:rsidR="00560208" w:rsidRPr="00024895" w:rsidTr="00085ABB">
        <w:trPr>
          <w:cantSplit/>
          <w:trHeight w:val="360"/>
        </w:trPr>
        <w:tc>
          <w:tcPr>
            <w:tcW w:w="1069" w:type="pct"/>
            <w:tcBorders>
              <w:top w:val="single" w:sz="4" w:space="0" w:color="auto"/>
              <w:left w:val="single" w:sz="4" w:space="0" w:color="auto"/>
              <w:bottom w:val="single" w:sz="4" w:space="0" w:color="auto"/>
              <w:right w:val="single" w:sz="4" w:space="0" w:color="auto"/>
            </w:tcBorders>
          </w:tcPr>
          <w:p w:rsidR="00560208" w:rsidRPr="00024895" w:rsidRDefault="00560208" w:rsidP="00085ABB">
            <w:pPr>
              <w:spacing w:before="40" w:after="40"/>
              <w:jc w:val="both"/>
              <w:rPr>
                <w:rFonts w:ascii="Arial Narrow" w:hAnsi="Arial Narrow" w:cs="Arial"/>
                <w:b/>
                <w:sz w:val="20"/>
                <w:szCs w:val="20"/>
              </w:rPr>
            </w:pPr>
            <w:r w:rsidRPr="00024895">
              <w:rPr>
                <w:rFonts w:ascii="Arial Narrow" w:hAnsi="Arial Narrow" w:cs="Arial"/>
                <w:b/>
                <w:sz w:val="20"/>
                <w:szCs w:val="20"/>
              </w:rPr>
              <w:t>Clinical criteria:</w:t>
            </w:r>
          </w:p>
          <w:p w:rsidR="00560208" w:rsidRPr="00024895" w:rsidRDefault="00560208" w:rsidP="00085ABB">
            <w:pPr>
              <w:spacing w:before="40" w:after="40"/>
              <w:jc w:val="both"/>
              <w:rPr>
                <w:rFonts w:ascii="Arial Narrow" w:hAnsi="Arial Narrow" w:cs="Arial"/>
                <w:i/>
                <w:sz w:val="20"/>
                <w:szCs w:val="20"/>
              </w:rPr>
            </w:pPr>
          </w:p>
          <w:p w:rsidR="00560208" w:rsidRPr="00024895" w:rsidRDefault="00560208" w:rsidP="00085ABB">
            <w:pPr>
              <w:spacing w:before="40" w:after="40"/>
              <w:jc w:val="both"/>
              <w:rPr>
                <w:rFonts w:ascii="Arial Narrow" w:hAnsi="Arial Narrow" w:cs="Arial"/>
                <w:sz w:val="20"/>
                <w:szCs w:val="20"/>
              </w:rPr>
            </w:pPr>
          </w:p>
        </w:tc>
        <w:tc>
          <w:tcPr>
            <w:tcW w:w="3931" w:type="pct"/>
            <w:tcBorders>
              <w:top w:val="single" w:sz="4" w:space="0" w:color="auto"/>
              <w:left w:val="single" w:sz="4" w:space="0" w:color="auto"/>
              <w:bottom w:val="single" w:sz="4" w:space="0" w:color="auto"/>
              <w:right w:val="single" w:sz="4" w:space="0" w:color="auto"/>
            </w:tcBorders>
          </w:tcPr>
          <w:p w:rsidR="00560208" w:rsidRPr="00024895" w:rsidRDefault="00560208" w:rsidP="00085ABB">
            <w:pPr>
              <w:spacing w:before="40" w:after="40"/>
              <w:rPr>
                <w:rFonts w:ascii="Arial Narrow" w:hAnsi="Arial Narrow" w:cs="Arial"/>
                <w:sz w:val="20"/>
                <w:szCs w:val="20"/>
              </w:rPr>
            </w:pPr>
            <w:r w:rsidRPr="00024895">
              <w:rPr>
                <w:rFonts w:ascii="Arial Narrow" w:hAnsi="Arial Narrow" w:cs="Arial"/>
                <w:sz w:val="20"/>
                <w:szCs w:val="20"/>
              </w:rPr>
              <w:t>The condition must not be adequately controlled by calcium</w:t>
            </w:r>
          </w:p>
          <w:p w:rsidR="00560208" w:rsidRPr="00024895" w:rsidRDefault="00560208" w:rsidP="00085ABB">
            <w:pPr>
              <w:spacing w:before="40" w:after="40"/>
              <w:rPr>
                <w:rFonts w:ascii="Arial Narrow" w:hAnsi="Arial Narrow" w:cs="Arial"/>
                <w:sz w:val="20"/>
                <w:szCs w:val="20"/>
              </w:rPr>
            </w:pPr>
            <w:r w:rsidRPr="00024895">
              <w:rPr>
                <w:rFonts w:ascii="Arial Narrow" w:hAnsi="Arial Narrow" w:cs="Arial"/>
                <w:sz w:val="20"/>
                <w:szCs w:val="20"/>
              </w:rPr>
              <w:t>AND</w:t>
            </w:r>
          </w:p>
          <w:p w:rsidR="00560208" w:rsidRPr="00024895" w:rsidRDefault="00560208" w:rsidP="00085ABB">
            <w:pPr>
              <w:spacing w:before="40" w:after="40"/>
              <w:rPr>
                <w:rFonts w:ascii="Arial Narrow" w:hAnsi="Arial Narrow" w:cs="Arial"/>
                <w:sz w:val="20"/>
                <w:szCs w:val="20"/>
              </w:rPr>
            </w:pPr>
            <w:r w:rsidRPr="00024895">
              <w:rPr>
                <w:rFonts w:ascii="Arial Narrow" w:hAnsi="Arial Narrow" w:cs="Arial"/>
                <w:sz w:val="20"/>
                <w:szCs w:val="20"/>
              </w:rPr>
              <w:t xml:space="preserve">Patient must have a serum phosphate of greater than 1.6 </w:t>
            </w:r>
            <w:proofErr w:type="spellStart"/>
            <w:r w:rsidRPr="00024895">
              <w:rPr>
                <w:rFonts w:ascii="Arial Narrow" w:hAnsi="Arial Narrow" w:cs="Arial"/>
                <w:sz w:val="20"/>
                <w:szCs w:val="20"/>
              </w:rPr>
              <w:t>mmol</w:t>
            </w:r>
            <w:proofErr w:type="spellEnd"/>
            <w:r w:rsidRPr="00024895">
              <w:rPr>
                <w:rFonts w:ascii="Arial Narrow" w:hAnsi="Arial Narrow" w:cs="Arial"/>
                <w:sz w:val="20"/>
                <w:szCs w:val="20"/>
              </w:rPr>
              <w:t xml:space="preserve"> per L at the commencement of therapy; OR</w:t>
            </w:r>
          </w:p>
          <w:p w:rsidR="00560208" w:rsidRPr="00024895" w:rsidRDefault="00560208" w:rsidP="00085ABB">
            <w:pPr>
              <w:spacing w:before="40" w:after="40"/>
              <w:rPr>
                <w:rFonts w:ascii="Arial Narrow" w:hAnsi="Arial Narrow" w:cs="Arial"/>
                <w:sz w:val="20"/>
                <w:szCs w:val="20"/>
              </w:rPr>
            </w:pPr>
            <w:r w:rsidRPr="00024895">
              <w:rPr>
                <w:rFonts w:ascii="Arial Narrow" w:hAnsi="Arial Narrow" w:cs="Arial"/>
                <w:sz w:val="20"/>
                <w:szCs w:val="20"/>
              </w:rPr>
              <w:t>The condition must be where a serum calcium times phosphate product is greater than 4 at the commencement of therapy,</w:t>
            </w:r>
          </w:p>
          <w:p w:rsidR="00560208" w:rsidRPr="00024895" w:rsidRDefault="00560208" w:rsidP="00085ABB">
            <w:pPr>
              <w:spacing w:before="40" w:after="40"/>
              <w:rPr>
                <w:rFonts w:ascii="Arial Narrow" w:hAnsi="Arial Narrow" w:cs="Arial"/>
                <w:sz w:val="20"/>
                <w:szCs w:val="20"/>
              </w:rPr>
            </w:pPr>
            <w:r w:rsidRPr="00024895">
              <w:rPr>
                <w:rFonts w:ascii="Arial Narrow" w:hAnsi="Arial Narrow" w:cs="Arial"/>
                <w:sz w:val="20"/>
                <w:szCs w:val="20"/>
              </w:rPr>
              <w:t>AND</w:t>
            </w:r>
          </w:p>
          <w:p w:rsidR="00560208" w:rsidRPr="00024895" w:rsidRDefault="00560208" w:rsidP="00085ABB">
            <w:pPr>
              <w:spacing w:before="40" w:after="40"/>
              <w:rPr>
                <w:rFonts w:ascii="Arial Narrow" w:hAnsi="Arial Narrow" w:cs="Arial"/>
                <w:sz w:val="20"/>
                <w:szCs w:val="20"/>
              </w:rPr>
            </w:pPr>
            <w:r w:rsidRPr="00024895">
              <w:rPr>
                <w:rFonts w:ascii="Arial Narrow" w:hAnsi="Arial Narrow" w:cs="Arial"/>
                <w:sz w:val="20"/>
                <w:szCs w:val="20"/>
              </w:rPr>
              <w:t xml:space="preserve">The treatment must not be used in combination with any other non-calcium </w:t>
            </w:r>
            <w:proofErr w:type="gramStart"/>
            <w:r w:rsidRPr="00024895">
              <w:rPr>
                <w:rFonts w:ascii="Arial Narrow" w:hAnsi="Arial Narrow" w:cs="Arial"/>
                <w:sz w:val="20"/>
                <w:szCs w:val="20"/>
              </w:rPr>
              <w:t>phosphate binding</w:t>
            </w:r>
            <w:proofErr w:type="gramEnd"/>
            <w:r w:rsidRPr="00024895">
              <w:rPr>
                <w:rFonts w:ascii="Arial Narrow" w:hAnsi="Arial Narrow" w:cs="Arial"/>
                <w:sz w:val="20"/>
                <w:szCs w:val="20"/>
              </w:rPr>
              <w:t xml:space="preserve"> agents.</w:t>
            </w:r>
          </w:p>
        </w:tc>
      </w:tr>
      <w:tr w:rsidR="00560208" w:rsidRPr="00024895" w:rsidTr="00085ABB">
        <w:trPr>
          <w:cantSplit/>
          <w:trHeight w:val="360"/>
        </w:trPr>
        <w:tc>
          <w:tcPr>
            <w:tcW w:w="1069" w:type="pct"/>
            <w:tcBorders>
              <w:top w:val="single" w:sz="4" w:space="0" w:color="auto"/>
              <w:left w:val="single" w:sz="4" w:space="0" w:color="auto"/>
              <w:bottom w:val="single" w:sz="4" w:space="0" w:color="auto"/>
              <w:right w:val="single" w:sz="4" w:space="0" w:color="auto"/>
            </w:tcBorders>
          </w:tcPr>
          <w:p w:rsidR="00560208" w:rsidRPr="00024895" w:rsidRDefault="00560208" w:rsidP="00085ABB">
            <w:pPr>
              <w:spacing w:before="40" w:after="40"/>
              <w:jc w:val="both"/>
              <w:rPr>
                <w:rFonts w:ascii="Arial Narrow" w:hAnsi="Arial Narrow" w:cs="Arial"/>
                <w:b/>
                <w:sz w:val="20"/>
                <w:szCs w:val="20"/>
              </w:rPr>
            </w:pPr>
            <w:r w:rsidRPr="00024895">
              <w:rPr>
                <w:rFonts w:ascii="Arial Narrow" w:hAnsi="Arial Narrow" w:cs="Arial"/>
                <w:b/>
                <w:sz w:val="20"/>
                <w:szCs w:val="20"/>
              </w:rPr>
              <w:t>Administrative Advice</w:t>
            </w:r>
          </w:p>
          <w:p w:rsidR="00560208" w:rsidRPr="00024895" w:rsidRDefault="00560208" w:rsidP="00182295">
            <w:pPr>
              <w:spacing w:before="40" w:after="40"/>
              <w:jc w:val="both"/>
              <w:rPr>
                <w:rFonts w:ascii="Arial Narrow" w:hAnsi="Arial Narrow" w:cs="Arial"/>
                <w:i/>
                <w:sz w:val="20"/>
                <w:szCs w:val="20"/>
              </w:rPr>
            </w:pPr>
          </w:p>
        </w:tc>
        <w:tc>
          <w:tcPr>
            <w:tcW w:w="3931" w:type="pct"/>
            <w:tcBorders>
              <w:top w:val="single" w:sz="4" w:space="0" w:color="auto"/>
              <w:left w:val="single" w:sz="4" w:space="0" w:color="auto"/>
              <w:bottom w:val="single" w:sz="4" w:space="0" w:color="auto"/>
              <w:right w:val="single" w:sz="4" w:space="0" w:color="auto"/>
            </w:tcBorders>
          </w:tcPr>
          <w:p w:rsidR="00560208" w:rsidRPr="00024895" w:rsidRDefault="00560208" w:rsidP="00085ABB">
            <w:pPr>
              <w:spacing w:before="40" w:after="40"/>
              <w:rPr>
                <w:rFonts w:ascii="Arial Narrow" w:hAnsi="Arial Narrow" w:cs="Arial"/>
                <w:sz w:val="20"/>
                <w:szCs w:val="20"/>
              </w:rPr>
            </w:pPr>
            <w:r w:rsidRPr="00024895">
              <w:rPr>
                <w:rFonts w:ascii="Arial Narrow" w:hAnsi="Arial Narrow" w:cs="Arial"/>
                <w:sz w:val="20"/>
                <w:szCs w:val="20"/>
              </w:rPr>
              <w:t xml:space="preserve">Shared Care Model: </w:t>
            </w:r>
          </w:p>
          <w:p w:rsidR="00560208" w:rsidRPr="00024895" w:rsidRDefault="00560208" w:rsidP="00085ABB">
            <w:pPr>
              <w:spacing w:before="40" w:after="40"/>
              <w:rPr>
                <w:rFonts w:ascii="Arial Narrow" w:hAnsi="Arial Narrow" w:cs="Arial"/>
                <w:sz w:val="20"/>
                <w:szCs w:val="20"/>
              </w:rPr>
            </w:pPr>
          </w:p>
          <w:p w:rsidR="00560208" w:rsidRPr="00024895" w:rsidRDefault="00560208" w:rsidP="00085ABB">
            <w:pPr>
              <w:spacing w:before="40" w:after="40"/>
              <w:rPr>
                <w:rFonts w:ascii="Arial Narrow" w:hAnsi="Arial Narrow" w:cs="Arial"/>
                <w:sz w:val="20"/>
                <w:szCs w:val="20"/>
              </w:rPr>
            </w:pPr>
            <w:r w:rsidRPr="00024895">
              <w:rPr>
                <w:rFonts w:ascii="Arial Narrow" w:hAnsi="Arial Narrow" w:cs="Arial"/>
                <w:sz w:val="20"/>
                <w:szCs w:val="20"/>
              </w:rPr>
              <w:t xml:space="preserve">For prescribing by nurse practitioners where care of a patient </w:t>
            </w:r>
            <w:proofErr w:type="gramStart"/>
            <w:r w:rsidRPr="00024895">
              <w:rPr>
                <w:rFonts w:ascii="Arial Narrow" w:hAnsi="Arial Narrow" w:cs="Arial"/>
                <w:sz w:val="20"/>
                <w:szCs w:val="20"/>
              </w:rPr>
              <w:t>is shared</w:t>
            </w:r>
            <w:proofErr w:type="gramEnd"/>
            <w:r w:rsidRPr="00024895">
              <w:rPr>
                <w:rFonts w:ascii="Arial Narrow" w:hAnsi="Arial Narrow" w:cs="Arial"/>
                <w:sz w:val="20"/>
                <w:szCs w:val="20"/>
              </w:rPr>
              <w:t xml:space="preserve"> between a nurse practitioner and medical practitioner in a formalised arrangement with an agreed management plan. Further information </w:t>
            </w:r>
            <w:proofErr w:type="gramStart"/>
            <w:r w:rsidRPr="00024895">
              <w:rPr>
                <w:rFonts w:ascii="Arial Narrow" w:hAnsi="Arial Narrow" w:cs="Arial"/>
                <w:sz w:val="20"/>
                <w:szCs w:val="20"/>
              </w:rPr>
              <w:t>can be found</w:t>
            </w:r>
            <w:proofErr w:type="gramEnd"/>
            <w:r w:rsidRPr="00024895">
              <w:rPr>
                <w:rFonts w:ascii="Arial Narrow" w:hAnsi="Arial Narrow" w:cs="Arial"/>
                <w:sz w:val="20"/>
                <w:szCs w:val="20"/>
              </w:rPr>
              <w:t xml:space="preserve"> in the Explanatory Notes for Nurse Practitioners.</w:t>
            </w:r>
          </w:p>
          <w:p w:rsidR="009F70FB" w:rsidRPr="00024895" w:rsidRDefault="009F70FB" w:rsidP="00085ABB">
            <w:pPr>
              <w:spacing w:before="40" w:after="40"/>
              <w:rPr>
                <w:rFonts w:ascii="Arial Narrow" w:hAnsi="Arial Narrow" w:cs="Arial"/>
                <w:sz w:val="20"/>
                <w:szCs w:val="20"/>
              </w:rPr>
            </w:pPr>
          </w:p>
          <w:p w:rsidR="009F70FB" w:rsidRPr="0089214F" w:rsidRDefault="009145E8" w:rsidP="009F70FB">
            <w:pPr>
              <w:spacing w:before="40" w:after="40"/>
              <w:rPr>
                <w:rFonts w:ascii="Arial Narrow" w:hAnsi="Arial Narrow" w:cs="Arial"/>
                <w:sz w:val="20"/>
                <w:szCs w:val="20"/>
              </w:rPr>
            </w:pPr>
            <w:r w:rsidRPr="0089214F">
              <w:rPr>
                <w:rFonts w:ascii="Arial Narrow" w:hAnsi="Arial Narrow" w:cs="Arial"/>
                <w:sz w:val="20"/>
                <w:szCs w:val="20"/>
              </w:rPr>
              <w:t xml:space="preserve">Pharmaceutical benefits that have the forms </w:t>
            </w:r>
            <w:proofErr w:type="spellStart"/>
            <w:r w:rsidRPr="0089214F">
              <w:rPr>
                <w:rFonts w:ascii="Arial Narrow" w:hAnsi="Arial Narrow" w:cs="Arial"/>
                <w:sz w:val="20"/>
                <w:szCs w:val="20"/>
              </w:rPr>
              <w:t>sevelamer</w:t>
            </w:r>
            <w:proofErr w:type="spellEnd"/>
            <w:r w:rsidRPr="0089214F">
              <w:rPr>
                <w:rFonts w:ascii="Arial Narrow" w:hAnsi="Arial Narrow" w:cs="Arial"/>
                <w:sz w:val="20"/>
                <w:szCs w:val="20"/>
              </w:rPr>
              <w:t xml:space="preserve"> hydrochloride 800 mg  and </w:t>
            </w:r>
            <w:proofErr w:type="spellStart"/>
            <w:r w:rsidRPr="0089214F">
              <w:rPr>
                <w:rFonts w:ascii="Arial Narrow" w:hAnsi="Arial Narrow" w:cs="Arial"/>
                <w:sz w:val="20"/>
                <w:szCs w:val="20"/>
              </w:rPr>
              <w:t>sevelamer</w:t>
            </w:r>
            <w:proofErr w:type="spellEnd"/>
            <w:r w:rsidRPr="0089214F">
              <w:rPr>
                <w:rFonts w:ascii="Arial Narrow" w:hAnsi="Arial Narrow" w:cs="Arial"/>
                <w:sz w:val="20"/>
                <w:szCs w:val="20"/>
              </w:rPr>
              <w:t xml:space="preserve"> carbonate 800 mg tablet are equivalent for the purposes of substitution</w:t>
            </w:r>
          </w:p>
        </w:tc>
      </w:tr>
    </w:tbl>
    <w:p w:rsidR="00560208" w:rsidRPr="00024895" w:rsidRDefault="00560208" w:rsidP="00F64CC1">
      <w:pPr>
        <w:jc w:val="both"/>
        <w:rPr>
          <w:rFonts w:asciiTheme="minorHAnsi" w:hAnsiTheme="minorHAnsi"/>
          <w:sz w:val="22"/>
          <w:szCs w:val="22"/>
        </w:rPr>
      </w:pPr>
    </w:p>
    <w:p w:rsidR="008E6432" w:rsidRPr="008E6432" w:rsidRDefault="008E6432" w:rsidP="000E5444">
      <w:pPr>
        <w:pStyle w:val="Heading1"/>
        <w:keepNext/>
        <w:keepLines/>
        <w:widowControl/>
        <w:numPr>
          <w:ilvl w:val="0"/>
          <w:numId w:val="14"/>
        </w:numPr>
        <w:spacing w:before="120" w:after="120"/>
        <w:ind w:left="709" w:hanging="709"/>
        <w:contextualSpacing w:val="0"/>
        <w:jc w:val="left"/>
        <w:rPr>
          <w:rFonts w:asciiTheme="minorHAnsi" w:hAnsiTheme="minorHAnsi"/>
          <w:sz w:val="32"/>
          <w:szCs w:val="32"/>
        </w:rPr>
      </w:pPr>
      <w:r w:rsidRPr="008E6432">
        <w:rPr>
          <w:rFonts w:asciiTheme="minorHAnsi" w:hAnsiTheme="minorHAnsi"/>
          <w:sz w:val="32"/>
          <w:szCs w:val="32"/>
        </w:rPr>
        <w:lastRenderedPageBreak/>
        <w:t>Context for Decision</w:t>
      </w:r>
    </w:p>
    <w:p w:rsidR="008E6432" w:rsidRPr="008E6432" w:rsidRDefault="008E6432" w:rsidP="000E5444">
      <w:pPr>
        <w:spacing w:before="120" w:after="120"/>
        <w:ind w:left="709"/>
        <w:jc w:val="both"/>
        <w:rPr>
          <w:rFonts w:asciiTheme="minorHAnsi" w:eastAsiaTheme="minorHAnsi" w:hAnsiTheme="minorHAnsi" w:cs="Arial"/>
          <w:szCs w:val="22"/>
          <w:lang w:eastAsia="en-US"/>
        </w:rPr>
      </w:pPr>
      <w:r w:rsidRPr="008E6432">
        <w:rPr>
          <w:rFonts w:asciiTheme="minorHAnsi" w:eastAsiaTheme="minorHAnsi" w:hAnsiTheme="minorHAnsi" w:cs="Arial"/>
          <w:szCs w:val="22"/>
          <w:lang w:eastAsia="en-US"/>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CD6C25" w:rsidRPr="00CD6C25" w:rsidRDefault="008E6432" w:rsidP="000E5444">
      <w:pPr>
        <w:pStyle w:val="Heading1"/>
        <w:keepNext/>
        <w:keepLines/>
        <w:widowControl/>
        <w:numPr>
          <w:ilvl w:val="0"/>
          <w:numId w:val="14"/>
        </w:numPr>
        <w:spacing w:before="120" w:after="120"/>
        <w:ind w:left="709" w:hanging="709"/>
        <w:contextualSpacing w:val="0"/>
        <w:jc w:val="left"/>
        <w:rPr>
          <w:rFonts w:asciiTheme="minorHAnsi" w:hAnsiTheme="minorHAnsi"/>
          <w:sz w:val="32"/>
          <w:szCs w:val="32"/>
        </w:rPr>
      </w:pPr>
      <w:r w:rsidRPr="008E6432">
        <w:rPr>
          <w:rFonts w:asciiTheme="minorHAnsi" w:hAnsiTheme="minorHAnsi"/>
          <w:sz w:val="32"/>
          <w:szCs w:val="32"/>
        </w:rPr>
        <w:t>Spons</w:t>
      </w:r>
      <w:bookmarkStart w:id="2" w:name="_GoBack"/>
      <w:bookmarkEnd w:id="2"/>
      <w:r w:rsidRPr="008E6432">
        <w:rPr>
          <w:rFonts w:asciiTheme="minorHAnsi" w:hAnsiTheme="minorHAnsi"/>
          <w:sz w:val="32"/>
          <w:szCs w:val="32"/>
        </w:rPr>
        <w:t>or’s Comment</w:t>
      </w:r>
    </w:p>
    <w:p w:rsidR="008E6432" w:rsidRPr="008E6432" w:rsidRDefault="008E6432" w:rsidP="000E5444">
      <w:pPr>
        <w:spacing w:before="120" w:after="120"/>
        <w:ind w:left="709"/>
        <w:jc w:val="both"/>
        <w:rPr>
          <w:rFonts w:asciiTheme="minorHAnsi" w:eastAsiaTheme="minorHAnsi" w:hAnsiTheme="minorHAnsi" w:cs="Arial"/>
          <w:bCs/>
          <w:szCs w:val="22"/>
          <w:lang w:eastAsia="en-US"/>
        </w:rPr>
      </w:pPr>
      <w:r w:rsidRPr="008E6432">
        <w:rPr>
          <w:rFonts w:asciiTheme="minorHAnsi" w:eastAsiaTheme="minorHAnsi" w:hAnsiTheme="minorHAnsi" w:cs="Arial"/>
          <w:bCs/>
          <w:szCs w:val="22"/>
          <w:lang w:eastAsia="en-US"/>
        </w:rPr>
        <w:t>The sponsor had no comment.</w:t>
      </w:r>
    </w:p>
    <w:p w:rsidR="006E1D7F" w:rsidRPr="0089214F" w:rsidRDefault="006E1D7F" w:rsidP="006E1D7F">
      <w:pPr>
        <w:pStyle w:val="NoSpacing"/>
      </w:pPr>
    </w:p>
    <w:p w:rsidR="006E1D7F" w:rsidRPr="00024895" w:rsidRDefault="006E1D7F" w:rsidP="00F64CC1">
      <w:pPr>
        <w:jc w:val="both"/>
        <w:rPr>
          <w:rFonts w:asciiTheme="minorHAnsi" w:hAnsiTheme="minorHAnsi"/>
          <w:sz w:val="22"/>
          <w:szCs w:val="22"/>
        </w:rPr>
      </w:pPr>
    </w:p>
    <w:sectPr w:rsidR="006E1D7F" w:rsidRPr="00024895" w:rsidSect="00A832DB">
      <w:headerReference w:type="even" r:id="rId8"/>
      <w:headerReference w:type="default" r:id="rId9"/>
      <w:footerReference w:type="even" r:id="rId10"/>
      <w:footerReference w:type="default" r:id="rId11"/>
      <w:headerReference w:type="first" r:id="rId12"/>
      <w:footerReference w:type="first" r:id="rId13"/>
      <w:pgSz w:w="11906" w:h="16838" w:code="9"/>
      <w:pgMar w:top="1440" w:right="1440" w:bottom="1440" w:left="1440" w:header="1440" w:footer="144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55948" w:rsidRDefault="00755948">
      <w:r>
        <w:separator/>
      </w:r>
    </w:p>
    <w:p w:rsidR="00755948" w:rsidRDefault="00755948"/>
  </w:endnote>
  <w:endnote w:type="continuationSeparator" w:id="0">
    <w:p w:rsidR="00755948" w:rsidRDefault="00755948">
      <w:r>
        <w:continuationSeparator/>
      </w:r>
    </w:p>
    <w:p w:rsidR="00755948" w:rsidRDefault="0075594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Microsoft JhengHei"/>
    <w:panose1 w:val="02010601000101010101"/>
    <w:charset w:val="88"/>
    <w:family w:val="roman"/>
    <w:pitch w:val="variable"/>
    <w:sig w:usb0="00000000" w:usb1="28CFFCFA" w:usb2="00000016" w:usb3="00000000" w:csb0="00100001" w:csb1="00000000"/>
  </w:font>
  <w:font w:name="Arial Bold">
    <w:altName w:val="Arial"/>
    <w:panose1 w:val="020B0704020202020204"/>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Default="00F80475"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80475" w:rsidRDefault="00F80475">
    <w:pPr>
      <w:pStyle w:val="Footer"/>
    </w:pPr>
  </w:p>
  <w:p w:rsidR="00F80475" w:rsidRDefault="00F8047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40416362"/>
      <w:docPartObj>
        <w:docPartGallery w:val="Page Numbers (Bottom of Page)"/>
        <w:docPartUnique/>
      </w:docPartObj>
    </w:sdtPr>
    <w:sdtEndPr>
      <w:rPr>
        <w:rFonts w:asciiTheme="minorHAnsi" w:hAnsiTheme="minorHAnsi" w:cstheme="minorHAnsi"/>
        <w:b/>
        <w:noProof/>
      </w:rPr>
    </w:sdtEndPr>
    <w:sdtContent>
      <w:p w:rsidR="00F80475" w:rsidRPr="0076076D" w:rsidRDefault="0075361C" w:rsidP="0076076D">
        <w:pPr>
          <w:pStyle w:val="Footer"/>
          <w:jc w:val="center"/>
          <w:rPr>
            <w:rFonts w:asciiTheme="minorHAnsi" w:hAnsiTheme="minorHAnsi" w:cstheme="minorHAnsi"/>
            <w:b/>
          </w:rPr>
        </w:pPr>
        <w:r w:rsidRPr="0076076D">
          <w:rPr>
            <w:rFonts w:asciiTheme="minorHAnsi" w:hAnsiTheme="minorHAnsi" w:cstheme="minorHAnsi"/>
            <w:b/>
          </w:rPr>
          <w:fldChar w:fldCharType="begin"/>
        </w:r>
        <w:r w:rsidRPr="0076076D">
          <w:rPr>
            <w:rFonts w:asciiTheme="minorHAnsi" w:hAnsiTheme="minorHAnsi" w:cstheme="minorHAnsi"/>
            <w:b/>
          </w:rPr>
          <w:instrText xml:space="preserve"> PAGE   \* MERGEFORMAT </w:instrText>
        </w:r>
        <w:r w:rsidRPr="0076076D">
          <w:rPr>
            <w:rFonts w:asciiTheme="minorHAnsi" w:hAnsiTheme="minorHAnsi" w:cstheme="minorHAnsi"/>
            <w:b/>
          </w:rPr>
          <w:fldChar w:fldCharType="separate"/>
        </w:r>
        <w:r w:rsidR="003C3CE5">
          <w:rPr>
            <w:rFonts w:asciiTheme="minorHAnsi" w:hAnsiTheme="minorHAnsi" w:cstheme="minorHAnsi"/>
            <w:b/>
            <w:noProof/>
          </w:rPr>
          <w:t>6</w:t>
        </w:r>
        <w:r w:rsidRPr="0076076D">
          <w:rPr>
            <w:rFonts w:asciiTheme="minorHAnsi" w:hAnsiTheme="minorHAnsi" w:cstheme="minorHAnsi"/>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80475" w:rsidTr="005A3173">
      <w:trPr>
        <w:trHeight w:val="151"/>
      </w:trPr>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80475" w:rsidRPr="005A3173" w:rsidRDefault="00F80475"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80475" w:rsidRPr="005A3173" w:rsidRDefault="00F80475" w:rsidP="005A3173">
          <w:pPr>
            <w:pStyle w:val="Header"/>
            <w:spacing w:line="276" w:lineRule="auto"/>
            <w:rPr>
              <w:rFonts w:ascii="Calibri" w:eastAsia="MS Gothic" w:hAnsi="Calibri"/>
              <w:b/>
              <w:bCs/>
              <w:color w:val="4F81BD"/>
            </w:rPr>
          </w:pPr>
        </w:p>
      </w:tc>
    </w:tr>
    <w:tr w:rsidR="00F80475" w:rsidTr="005A3173">
      <w:trPr>
        <w:trHeight w:val="150"/>
      </w:trPr>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c>
        <w:tcPr>
          <w:tcW w:w="0" w:type="auto"/>
          <w:vMerge/>
          <w:vAlign w:val="center"/>
          <w:hideMark/>
        </w:tcPr>
        <w:p w:rsidR="00F80475" w:rsidRPr="005A3173" w:rsidRDefault="00F80475" w:rsidP="005A3173">
          <w:pPr>
            <w:rPr>
              <w:rFonts w:ascii="Calibri" w:hAnsi="Calibri"/>
              <w:color w:val="365F91"/>
              <w:sz w:val="22"/>
              <w:szCs w:val="22"/>
            </w:rPr>
          </w:pPr>
        </w:p>
      </w:tc>
      <w:tc>
        <w:tcPr>
          <w:tcW w:w="2250" w:type="pct"/>
          <w:tcBorders>
            <w:top w:val="single" w:sz="4" w:space="0" w:color="4F81BD"/>
            <w:left w:val="nil"/>
            <w:bottom w:val="nil"/>
            <w:right w:val="nil"/>
          </w:tcBorders>
        </w:tcPr>
        <w:p w:rsidR="00F80475" w:rsidRPr="005A3173" w:rsidRDefault="00F80475" w:rsidP="005A3173">
          <w:pPr>
            <w:pStyle w:val="Header"/>
            <w:spacing w:line="276" w:lineRule="auto"/>
            <w:rPr>
              <w:rFonts w:ascii="Calibri" w:eastAsia="MS Gothic" w:hAnsi="Calibri"/>
              <w:b/>
              <w:bCs/>
              <w:color w:val="4F81BD"/>
            </w:rPr>
          </w:pPr>
        </w:p>
      </w:tc>
    </w:tr>
  </w:tbl>
  <w:p w:rsidR="00F80475" w:rsidRPr="007C0F57" w:rsidRDefault="00F80475"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80475" w:rsidRPr="007C0F57" w:rsidRDefault="00F80475" w:rsidP="007C0F57">
    <w:pPr>
      <w:pStyle w:val="Footer"/>
      <w:jc w:val="center"/>
      <w:rPr>
        <w:b/>
        <w:i/>
        <w:sz w:val="20"/>
        <w:szCs w:val="20"/>
      </w:rPr>
    </w:pPr>
    <w:r w:rsidRPr="007C0F57">
      <w:rPr>
        <w:b/>
        <w:i/>
        <w:sz w:val="20"/>
        <w:szCs w:val="20"/>
      </w:rPr>
      <w:t>Commercial-in-Confidence</w:t>
    </w:r>
  </w:p>
  <w:p w:rsidR="00F80475" w:rsidRDefault="00F80475"/>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55948" w:rsidRDefault="00755948">
      <w:r>
        <w:separator/>
      </w:r>
    </w:p>
    <w:p w:rsidR="00755948" w:rsidRDefault="00755948"/>
  </w:footnote>
  <w:footnote w:type="continuationSeparator" w:id="0">
    <w:p w:rsidR="00755948" w:rsidRDefault="00755948">
      <w:r>
        <w:continuationSeparator/>
      </w:r>
    </w:p>
    <w:p w:rsidR="00755948" w:rsidRDefault="00755948"/>
  </w:footnote>
  <w:footnote w:id="1">
    <w:p w:rsidR="00277735" w:rsidRPr="00ED4F10" w:rsidRDefault="00277735" w:rsidP="00277735">
      <w:pPr>
        <w:pStyle w:val="FootnoteText"/>
        <w:rPr>
          <w:rFonts w:asciiTheme="minorHAnsi" w:hAnsiTheme="minorHAnsi" w:cstheme="minorHAnsi"/>
        </w:rPr>
      </w:pPr>
      <w:r w:rsidRPr="00ED4F10">
        <w:rPr>
          <w:rStyle w:val="FootnoteReference"/>
          <w:rFonts w:asciiTheme="minorHAnsi" w:hAnsiTheme="minorHAnsi" w:cstheme="minorHAnsi"/>
        </w:rPr>
        <w:footnoteRef/>
      </w:r>
      <w:r w:rsidRPr="00ED4F10">
        <w:rPr>
          <w:rFonts w:asciiTheme="minorHAnsi" w:hAnsiTheme="minorHAnsi" w:cstheme="minorHAnsi"/>
        </w:rPr>
        <w:t xml:space="preserve"> Therapeutic Goods Administration, </w:t>
      </w:r>
      <w:proofErr w:type="spellStart"/>
      <w:r w:rsidRPr="00ED4F10">
        <w:rPr>
          <w:rFonts w:asciiTheme="minorHAnsi" w:hAnsiTheme="minorHAnsi" w:cstheme="minorHAnsi"/>
        </w:rPr>
        <w:t>AusPAR</w:t>
      </w:r>
      <w:proofErr w:type="spellEnd"/>
      <w:r w:rsidRPr="00ED4F10">
        <w:rPr>
          <w:rFonts w:asciiTheme="minorHAnsi" w:hAnsiTheme="minorHAnsi" w:cstheme="minorHAnsi"/>
        </w:rPr>
        <w:t xml:space="preserve"> </w:t>
      </w:r>
      <w:proofErr w:type="spellStart"/>
      <w:r w:rsidRPr="00ED4F10">
        <w:rPr>
          <w:rFonts w:asciiTheme="minorHAnsi" w:hAnsiTheme="minorHAnsi" w:cstheme="minorHAnsi"/>
        </w:rPr>
        <w:t>Renvela</w:t>
      </w:r>
      <w:proofErr w:type="spellEnd"/>
      <w:r w:rsidRPr="00ED4F10">
        <w:rPr>
          <w:rFonts w:asciiTheme="minorHAnsi" w:hAnsiTheme="minorHAnsi" w:cstheme="minorHAnsi"/>
        </w:rPr>
        <w:t xml:space="preserve"> / </w:t>
      </w:r>
      <w:proofErr w:type="spellStart"/>
      <w:r w:rsidRPr="00ED4F10">
        <w:rPr>
          <w:rFonts w:asciiTheme="minorHAnsi" w:hAnsiTheme="minorHAnsi" w:cstheme="minorHAnsi"/>
        </w:rPr>
        <w:t>Sevelamer</w:t>
      </w:r>
      <w:proofErr w:type="spellEnd"/>
      <w:r w:rsidRPr="00ED4F10">
        <w:rPr>
          <w:rFonts w:asciiTheme="minorHAnsi" w:hAnsiTheme="minorHAnsi" w:cstheme="minorHAnsi"/>
        </w:rPr>
        <w:t xml:space="preserve"> Carbonate Winthrop/ </w:t>
      </w:r>
      <w:proofErr w:type="spellStart"/>
      <w:r w:rsidRPr="00ED4F10">
        <w:rPr>
          <w:rFonts w:asciiTheme="minorHAnsi" w:hAnsiTheme="minorHAnsi" w:cstheme="minorHAnsi"/>
        </w:rPr>
        <w:t>Sevelamer</w:t>
      </w:r>
      <w:proofErr w:type="spellEnd"/>
      <w:r w:rsidRPr="00ED4F10">
        <w:rPr>
          <w:rFonts w:asciiTheme="minorHAnsi" w:hAnsiTheme="minorHAnsi" w:cstheme="minorHAnsi"/>
        </w:rPr>
        <w:t xml:space="preserve"> carbonate Sanofi, Sanofi Aventis Australia Pty Ltd 2015</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80475" w:rsidRPr="008E0D90" w:rsidTr="00A06225">
      <w:trPr>
        <w:trHeight w:val="151"/>
      </w:trPr>
      <w:tc>
        <w:tcPr>
          <w:tcW w:w="2389"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c>
        <w:tcPr>
          <w:tcW w:w="333" w:type="pct"/>
          <w:vMerge w:val="restart"/>
          <w:noWrap/>
          <w:vAlign w:val="center"/>
          <w:hideMark/>
        </w:tcPr>
        <w:p w:rsidR="00F80475" w:rsidRPr="00A06225" w:rsidRDefault="00F80475"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80475" w:rsidRPr="00A06225" w:rsidRDefault="00F80475">
          <w:pPr>
            <w:pStyle w:val="Header"/>
            <w:spacing w:line="276" w:lineRule="auto"/>
            <w:rPr>
              <w:rFonts w:ascii="Cambria" w:eastAsia="MS Gothic" w:hAnsi="Cambria"/>
              <w:b/>
              <w:bCs/>
              <w:color w:val="4F81BD"/>
            </w:rPr>
          </w:pPr>
        </w:p>
      </w:tc>
    </w:tr>
    <w:tr w:rsidR="00F80475" w:rsidRPr="008E0D90" w:rsidTr="00A06225">
      <w:trPr>
        <w:trHeight w:val="150"/>
      </w:trPr>
      <w:tc>
        <w:tcPr>
          <w:tcW w:w="2389"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c>
        <w:tcPr>
          <w:tcW w:w="0" w:type="auto"/>
          <w:vMerge/>
          <w:vAlign w:val="center"/>
          <w:hideMark/>
        </w:tcPr>
        <w:p w:rsidR="00F80475" w:rsidRPr="00A06225" w:rsidRDefault="00F80475">
          <w:pPr>
            <w:rPr>
              <w:rFonts w:ascii="Cambria" w:hAnsi="Cambria"/>
              <w:color w:val="4F81BD"/>
              <w:sz w:val="22"/>
              <w:szCs w:val="22"/>
            </w:rPr>
          </w:pPr>
        </w:p>
      </w:tc>
      <w:tc>
        <w:tcPr>
          <w:tcW w:w="2278" w:type="pct"/>
          <w:tcBorders>
            <w:top w:val="single" w:sz="4" w:space="0" w:color="4F81BD"/>
            <w:left w:val="nil"/>
            <w:bottom w:val="nil"/>
            <w:right w:val="nil"/>
          </w:tcBorders>
        </w:tcPr>
        <w:p w:rsidR="00F80475" w:rsidRPr="00A06225" w:rsidRDefault="00F80475">
          <w:pPr>
            <w:pStyle w:val="Header"/>
            <w:spacing w:line="276" w:lineRule="auto"/>
            <w:rPr>
              <w:rFonts w:ascii="Cambria" w:eastAsia="MS Gothic" w:hAnsi="Cambria"/>
              <w:b/>
              <w:bCs/>
              <w:color w:val="4F81BD"/>
            </w:rPr>
          </w:pPr>
        </w:p>
      </w:tc>
    </w:tr>
  </w:tbl>
  <w:p w:rsidR="00F80475" w:rsidRDefault="00F80475">
    <w:pPr>
      <w:pStyle w:val="Header"/>
    </w:pPr>
  </w:p>
  <w:p w:rsidR="00F80475" w:rsidRDefault="00F8047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6432" w:rsidRPr="008E6432" w:rsidRDefault="008E6432" w:rsidP="008E6432">
    <w:pPr>
      <w:tabs>
        <w:tab w:val="center" w:pos="4513"/>
        <w:tab w:val="right" w:pos="9026"/>
      </w:tabs>
      <w:jc w:val="center"/>
      <w:rPr>
        <w:rFonts w:asciiTheme="minorHAnsi" w:eastAsiaTheme="minorHAnsi" w:hAnsiTheme="minorHAnsi" w:cstheme="minorHAnsi"/>
        <w:i/>
        <w:color w:val="808080"/>
        <w:szCs w:val="22"/>
        <w:lang w:eastAsia="en-US"/>
      </w:rPr>
    </w:pPr>
    <w:r w:rsidRPr="008E6432">
      <w:rPr>
        <w:rFonts w:asciiTheme="minorHAnsi" w:eastAsiaTheme="minorHAnsi" w:hAnsiTheme="minorHAnsi" w:cstheme="minorHAnsi"/>
        <w:i/>
        <w:color w:val="808080"/>
        <w:szCs w:val="22"/>
        <w:lang w:eastAsia="en-US"/>
      </w:rPr>
      <w:t>Publ</w:t>
    </w:r>
    <w:r>
      <w:rPr>
        <w:rFonts w:asciiTheme="minorHAnsi" w:eastAsiaTheme="minorHAnsi" w:hAnsiTheme="minorHAnsi" w:cstheme="minorHAnsi"/>
        <w:i/>
        <w:color w:val="808080"/>
        <w:szCs w:val="22"/>
        <w:lang w:eastAsia="en-US"/>
      </w:rPr>
      <w:t>ic Summary Document – March 2019</w:t>
    </w:r>
    <w:r w:rsidRPr="008E6432">
      <w:rPr>
        <w:rFonts w:asciiTheme="minorHAnsi" w:eastAsiaTheme="minorHAnsi" w:hAnsiTheme="minorHAnsi" w:cstheme="minorHAnsi"/>
        <w:i/>
        <w:color w:val="808080"/>
        <w:szCs w:val="22"/>
        <w:lang w:eastAsia="en-US"/>
      </w:rPr>
      <w:t xml:space="preserve"> PBAC Meeting</w:t>
    </w:r>
  </w:p>
  <w:p w:rsidR="00F80475" w:rsidRDefault="00F80475" w:rsidP="00A128E6">
    <w:pPr>
      <w:pStyle w:val="NoSpacing"/>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5948" w:rsidRDefault="0075594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0B200EBA"/>
    <w:lvl w:ilvl="0">
      <w:start w:val="1"/>
      <w:numFmt w:val="decimal"/>
      <w:lvlText w:val="%1"/>
      <w:lvlJc w:val="left"/>
      <w:pPr>
        <w:tabs>
          <w:tab w:val="num" w:pos="643"/>
        </w:tabs>
        <w:ind w:left="643" w:hanging="360"/>
      </w:pPr>
      <w:rPr>
        <w:rFonts w:hint="default"/>
      </w:rPr>
    </w:lvl>
  </w:abstractNum>
  <w:abstractNum w:abstractNumId="1" w15:restartNumberingAfterBreak="0">
    <w:nsid w:val="FFFFFF88"/>
    <w:multiLevelType w:val="singleLevel"/>
    <w:tmpl w:val="EE52495A"/>
    <w:lvl w:ilvl="0">
      <w:start w:val="1"/>
      <w:numFmt w:val="decimal"/>
      <w:pStyle w:val="ListNumber"/>
      <w:lvlText w:val="%1."/>
      <w:lvlJc w:val="left"/>
      <w:pPr>
        <w:tabs>
          <w:tab w:val="num" w:pos="360"/>
        </w:tabs>
        <w:ind w:left="360" w:hanging="360"/>
      </w:pPr>
    </w:lvl>
  </w:abstractNum>
  <w:abstractNum w:abstractNumId="2" w15:restartNumberingAfterBreak="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start w:val="1"/>
      <w:numFmt w:val="bullet"/>
      <w:lvlText w:val="o"/>
      <w:lvlJc w:val="left"/>
      <w:pPr>
        <w:tabs>
          <w:tab w:val="num" w:pos="1440"/>
        </w:tabs>
        <w:ind w:left="1440" w:hanging="360"/>
      </w:pPr>
      <w:rPr>
        <w:rFonts w:ascii="Courier New" w:hAnsi="Courier New" w:cs="Courier New" w:hint="default"/>
      </w:rPr>
    </w:lvl>
    <w:lvl w:ilvl="2" w:tplc="8E7CC4D4">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9011D"/>
    <w:multiLevelType w:val="hybridMultilevel"/>
    <w:tmpl w:val="54025948"/>
    <w:lvl w:ilvl="0" w:tplc="48F662A2">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7F422C"/>
    <w:multiLevelType w:val="hybridMultilevel"/>
    <w:tmpl w:val="BCDA96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C0459B2"/>
    <w:multiLevelType w:val="hybridMultilevel"/>
    <w:tmpl w:val="75D4E640"/>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8" w15:restartNumberingAfterBreak="0">
    <w:nsid w:val="317E6951"/>
    <w:multiLevelType w:val="hybridMultilevel"/>
    <w:tmpl w:val="103893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4E904E0"/>
    <w:multiLevelType w:val="hybridMultilevel"/>
    <w:tmpl w:val="B4FCD872"/>
    <w:lvl w:ilvl="0" w:tplc="21D66824">
      <w:start w:val="1"/>
      <w:numFmt w:val="lowerLetter"/>
      <w:lvlText w:val="(%1)"/>
      <w:lvlJc w:val="left"/>
      <w:pPr>
        <w:ind w:left="720" w:hanging="360"/>
      </w:pPr>
      <w:rPr>
        <w:rFonts w:hint="default"/>
        <w:i/>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D703EF"/>
    <w:multiLevelType w:val="hybridMultilevel"/>
    <w:tmpl w:val="52B2F7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4C430CE"/>
    <w:multiLevelType w:val="hybridMultilevel"/>
    <w:tmpl w:val="FC862758"/>
    <w:lvl w:ilvl="0" w:tplc="0C09000F">
      <w:start w:val="1"/>
      <w:numFmt w:val="decimal"/>
      <w:lvlText w:val="%1."/>
      <w:lvlJc w:val="left"/>
      <w:pPr>
        <w:tabs>
          <w:tab w:val="num" w:pos="360"/>
        </w:tabs>
        <w:ind w:left="360" w:hanging="360"/>
      </w:pPr>
      <w:rPr>
        <w:rFonts w:cs="Times New Roman"/>
      </w:rPr>
    </w:lvl>
    <w:lvl w:ilvl="1" w:tplc="0C090019">
      <w:start w:val="1"/>
      <w:numFmt w:val="lowerLetter"/>
      <w:lvlText w:val="%2."/>
      <w:lvlJc w:val="left"/>
      <w:pPr>
        <w:tabs>
          <w:tab w:val="num" w:pos="1080"/>
        </w:tabs>
        <w:ind w:left="1080" w:hanging="360"/>
      </w:pPr>
      <w:rPr>
        <w:rFonts w:cs="Times New Roman"/>
      </w:rPr>
    </w:lvl>
    <w:lvl w:ilvl="2" w:tplc="0C09001B">
      <w:start w:val="1"/>
      <w:numFmt w:val="lowerRoman"/>
      <w:lvlText w:val="%3."/>
      <w:lvlJc w:val="right"/>
      <w:pPr>
        <w:tabs>
          <w:tab w:val="num" w:pos="1800"/>
        </w:tabs>
        <w:ind w:left="1800" w:hanging="180"/>
      </w:pPr>
      <w:rPr>
        <w:rFonts w:cs="Times New Roman"/>
      </w:rPr>
    </w:lvl>
    <w:lvl w:ilvl="3" w:tplc="0C09000F">
      <w:start w:val="1"/>
      <w:numFmt w:val="decimal"/>
      <w:lvlText w:val="%4."/>
      <w:lvlJc w:val="left"/>
      <w:pPr>
        <w:tabs>
          <w:tab w:val="num" w:pos="2520"/>
        </w:tabs>
        <w:ind w:left="2520" w:hanging="360"/>
      </w:pPr>
      <w:rPr>
        <w:rFonts w:cs="Times New Roman"/>
      </w:rPr>
    </w:lvl>
    <w:lvl w:ilvl="4" w:tplc="0C090019">
      <w:start w:val="1"/>
      <w:numFmt w:val="lowerLetter"/>
      <w:lvlText w:val="%5."/>
      <w:lvlJc w:val="left"/>
      <w:pPr>
        <w:tabs>
          <w:tab w:val="num" w:pos="3240"/>
        </w:tabs>
        <w:ind w:left="3240" w:hanging="360"/>
      </w:pPr>
      <w:rPr>
        <w:rFonts w:cs="Times New Roman"/>
      </w:rPr>
    </w:lvl>
    <w:lvl w:ilvl="5" w:tplc="0C09001B">
      <w:start w:val="1"/>
      <w:numFmt w:val="lowerRoman"/>
      <w:lvlText w:val="%6."/>
      <w:lvlJc w:val="right"/>
      <w:pPr>
        <w:tabs>
          <w:tab w:val="num" w:pos="3960"/>
        </w:tabs>
        <w:ind w:left="3960" w:hanging="180"/>
      </w:pPr>
      <w:rPr>
        <w:rFonts w:cs="Times New Roman"/>
      </w:rPr>
    </w:lvl>
    <w:lvl w:ilvl="6" w:tplc="0C09000F">
      <w:start w:val="1"/>
      <w:numFmt w:val="decimal"/>
      <w:lvlText w:val="%7."/>
      <w:lvlJc w:val="left"/>
      <w:pPr>
        <w:tabs>
          <w:tab w:val="num" w:pos="4680"/>
        </w:tabs>
        <w:ind w:left="4680" w:hanging="360"/>
      </w:pPr>
      <w:rPr>
        <w:rFonts w:cs="Times New Roman"/>
      </w:rPr>
    </w:lvl>
    <w:lvl w:ilvl="7" w:tplc="0C090019">
      <w:start w:val="1"/>
      <w:numFmt w:val="lowerLetter"/>
      <w:lvlText w:val="%8."/>
      <w:lvlJc w:val="left"/>
      <w:pPr>
        <w:tabs>
          <w:tab w:val="num" w:pos="5400"/>
        </w:tabs>
        <w:ind w:left="5400" w:hanging="360"/>
      </w:pPr>
      <w:rPr>
        <w:rFonts w:cs="Times New Roman"/>
      </w:rPr>
    </w:lvl>
    <w:lvl w:ilvl="8" w:tplc="0C09001B">
      <w:start w:val="1"/>
      <w:numFmt w:val="lowerRoman"/>
      <w:lvlText w:val="%9."/>
      <w:lvlJc w:val="right"/>
      <w:pPr>
        <w:tabs>
          <w:tab w:val="num" w:pos="6120"/>
        </w:tabs>
        <w:ind w:left="6120" w:hanging="180"/>
      </w:pPr>
      <w:rPr>
        <w:rFonts w:cs="Times New Roman"/>
      </w:rPr>
    </w:lvl>
  </w:abstractNum>
  <w:abstractNum w:abstractNumId="13" w15:restartNumberingAfterBreak="0">
    <w:nsid w:val="784D033C"/>
    <w:multiLevelType w:val="multilevel"/>
    <w:tmpl w:val="9FB67516"/>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2"/>
  </w:num>
  <w:num w:numId="3">
    <w:abstractNumId w:val="4"/>
  </w:num>
  <w:num w:numId="4">
    <w:abstractNumId w:val="11"/>
  </w:num>
  <w:num w:numId="5">
    <w:abstractNumId w:val="13"/>
  </w:num>
  <w:num w:numId="6">
    <w:abstractNumId w:val="5"/>
  </w:num>
  <w:num w:numId="7">
    <w:abstractNumId w:val="10"/>
  </w:num>
  <w:num w:numId="8">
    <w:abstractNumId w:val="3"/>
  </w:num>
  <w:num w:numId="9">
    <w:abstractNumId w:val="9"/>
  </w:num>
  <w:num w:numId="10">
    <w:abstractNumId w:val="8"/>
  </w:num>
  <w:num w:numId="11">
    <w:abstractNumId w:val="7"/>
  </w:num>
  <w:num w:numId="12">
    <w:abstractNumId w:val="1"/>
  </w:num>
  <w:num w:numId="13">
    <w:abstractNumId w:val="0"/>
  </w:num>
  <w:num w:numId="14">
    <w:abstractNumId w:val="13"/>
  </w:num>
  <w:num w:numId="15">
    <w:abstractNumId w:val="12"/>
  </w:num>
  <w:num w:numId="1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240E"/>
    <w:rsid w:val="000016CA"/>
    <w:rsid w:val="000025AD"/>
    <w:rsid w:val="0000335D"/>
    <w:rsid w:val="00007F5D"/>
    <w:rsid w:val="000175C7"/>
    <w:rsid w:val="0002464A"/>
    <w:rsid w:val="00024895"/>
    <w:rsid w:val="0003106B"/>
    <w:rsid w:val="000421A1"/>
    <w:rsid w:val="00042254"/>
    <w:rsid w:val="0004240E"/>
    <w:rsid w:val="00045E26"/>
    <w:rsid w:val="0004675C"/>
    <w:rsid w:val="000514B5"/>
    <w:rsid w:val="000576AB"/>
    <w:rsid w:val="00060E64"/>
    <w:rsid w:val="00066755"/>
    <w:rsid w:val="00070CB2"/>
    <w:rsid w:val="00077143"/>
    <w:rsid w:val="00081869"/>
    <w:rsid w:val="00082169"/>
    <w:rsid w:val="000969AD"/>
    <w:rsid w:val="000B1A00"/>
    <w:rsid w:val="000B558D"/>
    <w:rsid w:val="000C6996"/>
    <w:rsid w:val="000C760B"/>
    <w:rsid w:val="000D23BA"/>
    <w:rsid w:val="000D4FA2"/>
    <w:rsid w:val="000E5444"/>
    <w:rsid w:val="000E681E"/>
    <w:rsid w:val="000F0003"/>
    <w:rsid w:val="000F4E6A"/>
    <w:rsid w:val="000F76C3"/>
    <w:rsid w:val="00104227"/>
    <w:rsid w:val="001107BF"/>
    <w:rsid w:val="00111C81"/>
    <w:rsid w:val="00115B0F"/>
    <w:rsid w:val="0012417C"/>
    <w:rsid w:val="00142395"/>
    <w:rsid w:val="00142714"/>
    <w:rsid w:val="001452ED"/>
    <w:rsid w:val="00145A57"/>
    <w:rsid w:val="00153773"/>
    <w:rsid w:val="00157A33"/>
    <w:rsid w:val="00163329"/>
    <w:rsid w:val="00164623"/>
    <w:rsid w:val="00165B64"/>
    <w:rsid w:val="00167602"/>
    <w:rsid w:val="0017568F"/>
    <w:rsid w:val="00180713"/>
    <w:rsid w:val="00182295"/>
    <w:rsid w:val="001830CE"/>
    <w:rsid w:val="0018643B"/>
    <w:rsid w:val="00192B80"/>
    <w:rsid w:val="00196307"/>
    <w:rsid w:val="001A33D8"/>
    <w:rsid w:val="001A33EA"/>
    <w:rsid w:val="001A6681"/>
    <w:rsid w:val="001B017F"/>
    <w:rsid w:val="001B1DA2"/>
    <w:rsid w:val="001B2BBC"/>
    <w:rsid w:val="001B5129"/>
    <w:rsid w:val="001C1195"/>
    <w:rsid w:val="001D56BE"/>
    <w:rsid w:val="001F1850"/>
    <w:rsid w:val="001F1C18"/>
    <w:rsid w:val="00203FAC"/>
    <w:rsid w:val="00213CFB"/>
    <w:rsid w:val="00217A8A"/>
    <w:rsid w:val="00217BE1"/>
    <w:rsid w:val="00234612"/>
    <w:rsid w:val="002350E1"/>
    <w:rsid w:val="00270219"/>
    <w:rsid w:val="00271BA1"/>
    <w:rsid w:val="002762FA"/>
    <w:rsid w:val="00277505"/>
    <w:rsid w:val="00277735"/>
    <w:rsid w:val="00283D38"/>
    <w:rsid w:val="0029458F"/>
    <w:rsid w:val="002A104C"/>
    <w:rsid w:val="002A4960"/>
    <w:rsid w:val="002B18FA"/>
    <w:rsid w:val="002B1AE6"/>
    <w:rsid w:val="002B2DE8"/>
    <w:rsid w:val="002B30F8"/>
    <w:rsid w:val="002B5596"/>
    <w:rsid w:val="002C212F"/>
    <w:rsid w:val="002D4543"/>
    <w:rsid w:val="002E3153"/>
    <w:rsid w:val="002E72CA"/>
    <w:rsid w:val="002E78DB"/>
    <w:rsid w:val="002F1727"/>
    <w:rsid w:val="002F600D"/>
    <w:rsid w:val="00300AD6"/>
    <w:rsid w:val="0031477E"/>
    <w:rsid w:val="00317C6C"/>
    <w:rsid w:val="00322572"/>
    <w:rsid w:val="00326E79"/>
    <w:rsid w:val="0033518A"/>
    <w:rsid w:val="003367EF"/>
    <w:rsid w:val="00341AE4"/>
    <w:rsid w:val="00366F4A"/>
    <w:rsid w:val="003711D7"/>
    <w:rsid w:val="003872CF"/>
    <w:rsid w:val="0039782C"/>
    <w:rsid w:val="003A2BA4"/>
    <w:rsid w:val="003A5B4A"/>
    <w:rsid w:val="003B23C5"/>
    <w:rsid w:val="003B2A75"/>
    <w:rsid w:val="003B6124"/>
    <w:rsid w:val="003C2FB5"/>
    <w:rsid w:val="003C3CE5"/>
    <w:rsid w:val="003D4AC4"/>
    <w:rsid w:val="003D63B7"/>
    <w:rsid w:val="003E468B"/>
    <w:rsid w:val="003F0629"/>
    <w:rsid w:val="003F2FB3"/>
    <w:rsid w:val="003F3228"/>
    <w:rsid w:val="003F54FB"/>
    <w:rsid w:val="003F5C8C"/>
    <w:rsid w:val="003F733F"/>
    <w:rsid w:val="00401C02"/>
    <w:rsid w:val="004146E1"/>
    <w:rsid w:val="004252EC"/>
    <w:rsid w:val="00425A88"/>
    <w:rsid w:val="00433875"/>
    <w:rsid w:val="0043416F"/>
    <w:rsid w:val="004445DA"/>
    <w:rsid w:val="004465BD"/>
    <w:rsid w:val="004502DD"/>
    <w:rsid w:val="004575C1"/>
    <w:rsid w:val="00466ADA"/>
    <w:rsid w:val="00470130"/>
    <w:rsid w:val="004704D3"/>
    <w:rsid w:val="00476245"/>
    <w:rsid w:val="00482E8A"/>
    <w:rsid w:val="00483035"/>
    <w:rsid w:val="00485940"/>
    <w:rsid w:val="004A1DC5"/>
    <w:rsid w:val="004A1EB7"/>
    <w:rsid w:val="004A2484"/>
    <w:rsid w:val="004A3E48"/>
    <w:rsid w:val="004A5A85"/>
    <w:rsid w:val="004A71D1"/>
    <w:rsid w:val="004B5640"/>
    <w:rsid w:val="004B5F33"/>
    <w:rsid w:val="004C1BD7"/>
    <w:rsid w:val="004C31FE"/>
    <w:rsid w:val="004C691D"/>
    <w:rsid w:val="004C6C07"/>
    <w:rsid w:val="004D5D26"/>
    <w:rsid w:val="004E6688"/>
    <w:rsid w:val="004E692D"/>
    <w:rsid w:val="0050011A"/>
    <w:rsid w:val="005005E6"/>
    <w:rsid w:val="00501554"/>
    <w:rsid w:val="00505790"/>
    <w:rsid w:val="0050706D"/>
    <w:rsid w:val="00510254"/>
    <w:rsid w:val="005148D0"/>
    <w:rsid w:val="00514CD7"/>
    <w:rsid w:val="005267EA"/>
    <w:rsid w:val="005319B2"/>
    <w:rsid w:val="00532402"/>
    <w:rsid w:val="00532C74"/>
    <w:rsid w:val="005349F3"/>
    <w:rsid w:val="00534E2E"/>
    <w:rsid w:val="00544552"/>
    <w:rsid w:val="00550480"/>
    <w:rsid w:val="00560208"/>
    <w:rsid w:val="00562532"/>
    <w:rsid w:val="005678B0"/>
    <w:rsid w:val="00576151"/>
    <w:rsid w:val="00577C4D"/>
    <w:rsid w:val="00581932"/>
    <w:rsid w:val="00581BE4"/>
    <w:rsid w:val="005963BB"/>
    <w:rsid w:val="005A3173"/>
    <w:rsid w:val="005A3223"/>
    <w:rsid w:val="005A3308"/>
    <w:rsid w:val="005A3DA3"/>
    <w:rsid w:val="005A52C4"/>
    <w:rsid w:val="005B61E7"/>
    <w:rsid w:val="005D03AB"/>
    <w:rsid w:val="005D2B51"/>
    <w:rsid w:val="005D5017"/>
    <w:rsid w:val="005D6CB9"/>
    <w:rsid w:val="005E1333"/>
    <w:rsid w:val="00601A91"/>
    <w:rsid w:val="00602BA3"/>
    <w:rsid w:val="00606174"/>
    <w:rsid w:val="00606EED"/>
    <w:rsid w:val="00612E34"/>
    <w:rsid w:val="00614159"/>
    <w:rsid w:val="00617C00"/>
    <w:rsid w:val="006263BF"/>
    <w:rsid w:val="0062748A"/>
    <w:rsid w:val="006309F9"/>
    <w:rsid w:val="00630A2C"/>
    <w:rsid w:val="0063682E"/>
    <w:rsid w:val="006436CD"/>
    <w:rsid w:val="0064663B"/>
    <w:rsid w:val="00646E6B"/>
    <w:rsid w:val="006507AD"/>
    <w:rsid w:val="00650AF3"/>
    <w:rsid w:val="00651169"/>
    <w:rsid w:val="0065199D"/>
    <w:rsid w:val="00653D69"/>
    <w:rsid w:val="00653EAC"/>
    <w:rsid w:val="006670BE"/>
    <w:rsid w:val="00670A76"/>
    <w:rsid w:val="006711AA"/>
    <w:rsid w:val="00672B57"/>
    <w:rsid w:val="006747F7"/>
    <w:rsid w:val="00675622"/>
    <w:rsid w:val="0067747D"/>
    <w:rsid w:val="006906DB"/>
    <w:rsid w:val="00691E6C"/>
    <w:rsid w:val="00696129"/>
    <w:rsid w:val="00697CF2"/>
    <w:rsid w:val="006A12A5"/>
    <w:rsid w:val="006B0D94"/>
    <w:rsid w:val="006B485D"/>
    <w:rsid w:val="006B6CFA"/>
    <w:rsid w:val="006C0191"/>
    <w:rsid w:val="006C708E"/>
    <w:rsid w:val="006D14E7"/>
    <w:rsid w:val="006D2BBD"/>
    <w:rsid w:val="006D6227"/>
    <w:rsid w:val="006D6493"/>
    <w:rsid w:val="006D6EC7"/>
    <w:rsid w:val="006E1D7F"/>
    <w:rsid w:val="006F5125"/>
    <w:rsid w:val="006F599B"/>
    <w:rsid w:val="00702B6F"/>
    <w:rsid w:val="0071340B"/>
    <w:rsid w:val="007174BB"/>
    <w:rsid w:val="0072025D"/>
    <w:rsid w:val="007342E4"/>
    <w:rsid w:val="007353D3"/>
    <w:rsid w:val="0075361C"/>
    <w:rsid w:val="00755948"/>
    <w:rsid w:val="0076076D"/>
    <w:rsid w:val="0076420C"/>
    <w:rsid w:val="00765AAB"/>
    <w:rsid w:val="007753C2"/>
    <w:rsid w:val="007838B8"/>
    <w:rsid w:val="007A0CD6"/>
    <w:rsid w:val="007A40B9"/>
    <w:rsid w:val="007C0F57"/>
    <w:rsid w:val="007C40B6"/>
    <w:rsid w:val="007C729F"/>
    <w:rsid w:val="007D2A59"/>
    <w:rsid w:val="007E1D28"/>
    <w:rsid w:val="007F2641"/>
    <w:rsid w:val="007F3347"/>
    <w:rsid w:val="007F7C36"/>
    <w:rsid w:val="00800BC3"/>
    <w:rsid w:val="00801C93"/>
    <w:rsid w:val="00806796"/>
    <w:rsid w:val="0081518D"/>
    <w:rsid w:val="008151D6"/>
    <w:rsid w:val="00820DED"/>
    <w:rsid w:val="00826F6D"/>
    <w:rsid w:val="008306F3"/>
    <w:rsid w:val="0084198B"/>
    <w:rsid w:val="00852584"/>
    <w:rsid w:val="00856DDD"/>
    <w:rsid w:val="00863E68"/>
    <w:rsid w:val="00882085"/>
    <w:rsid w:val="00883188"/>
    <w:rsid w:val="0089214F"/>
    <w:rsid w:val="00897D58"/>
    <w:rsid w:val="00897F22"/>
    <w:rsid w:val="008A1956"/>
    <w:rsid w:val="008A4937"/>
    <w:rsid w:val="008A5058"/>
    <w:rsid w:val="008A50F1"/>
    <w:rsid w:val="008A5DF6"/>
    <w:rsid w:val="008D1B5C"/>
    <w:rsid w:val="008D3C82"/>
    <w:rsid w:val="008D426F"/>
    <w:rsid w:val="008D447E"/>
    <w:rsid w:val="008D7A41"/>
    <w:rsid w:val="008E3680"/>
    <w:rsid w:val="008E5870"/>
    <w:rsid w:val="008E5A02"/>
    <w:rsid w:val="008E6432"/>
    <w:rsid w:val="008F1434"/>
    <w:rsid w:val="008F7355"/>
    <w:rsid w:val="009004F2"/>
    <w:rsid w:val="009067B7"/>
    <w:rsid w:val="009145E8"/>
    <w:rsid w:val="00930937"/>
    <w:rsid w:val="009314CD"/>
    <w:rsid w:val="0093202C"/>
    <w:rsid w:val="00933E6C"/>
    <w:rsid w:val="00937958"/>
    <w:rsid w:val="00942160"/>
    <w:rsid w:val="00950A56"/>
    <w:rsid w:val="0095146F"/>
    <w:rsid w:val="009602C5"/>
    <w:rsid w:val="00962223"/>
    <w:rsid w:val="00966D0D"/>
    <w:rsid w:val="00974C21"/>
    <w:rsid w:val="009A1D63"/>
    <w:rsid w:val="009A3805"/>
    <w:rsid w:val="009A6E98"/>
    <w:rsid w:val="009B0F67"/>
    <w:rsid w:val="009C703C"/>
    <w:rsid w:val="009D3CAA"/>
    <w:rsid w:val="009D3D52"/>
    <w:rsid w:val="009E0B24"/>
    <w:rsid w:val="009E40E1"/>
    <w:rsid w:val="009E70C8"/>
    <w:rsid w:val="009F4E46"/>
    <w:rsid w:val="009F5B65"/>
    <w:rsid w:val="009F5F2E"/>
    <w:rsid w:val="009F70FB"/>
    <w:rsid w:val="00A00728"/>
    <w:rsid w:val="00A06225"/>
    <w:rsid w:val="00A063EE"/>
    <w:rsid w:val="00A128E6"/>
    <w:rsid w:val="00A34E6C"/>
    <w:rsid w:val="00A37C8D"/>
    <w:rsid w:val="00A46750"/>
    <w:rsid w:val="00A5273B"/>
    <w:rsid w:val="00A53A9D"/>
    <w:rsid w:val="00A55FEE"/>
    <w:rsid w:val="00A62C1A"/>
    <w:rsid w:val="00A6426D"/>
    <w:rsid w:val="00A665C1"/>
    <w:rsid w:val="00A70622"/>
    <w:rsid w:val="00A70977"/>
    <w:rsid w:val="00A77613"/>
    <w:rsid w:val="00A832DB"/>
    <w:rsid w:val="00A8390C"/>
    <w:rsid w:val="00A928BD"/>
    <w:rsid w:val="00AA4D1C"/>
    <w:rsid w:val="00AC138E"/>
    <w:rsid w:val="00AC193C"/>
    <w:rsid w:val="00AC5206"/>
    <w:rsid w:val="00AD4E15"/>
    <w:rsid w:val="00AE11A5"/>
    <w:rsid w:val="00AE13E2"/>
    <w:rsid w:val="00AE22D3"/>
    <w:rsid w:val="00AF0B74"/>
    <w:rsid w:val="00AF4B16"/>
    <w:rsid w:val="00AF62DF"/>
    <w:rsid w:val="00AF68CC"/>
    <w:rsid w:val="00B1059E"/>
    <w:rsid w:val="00B176C8"/>
    <w:rsid w:val="00B205AA"/>
    <w:rsid w:val="00B22E84"/>
    <w:rsid w:val="00B25F75"/>
    <w:rsid w:val="00B26B3F"/>
    <w:rsid w:val="00B31B72"/>
    <w:rsid w:val="00B43E90"/>
    <w:rsid w:val="00B467DC"/>
    <w:rsid w:val="00B50F84"/>
    <w:rsid w:val="00B56118"/>
    <w:rsid w:val="00B571F1"/>
    <w:rsid w:val="00B62AC3"/>
    <w:rsid w:val="00B6773F"/>
    <w:rsid w:val="00B801BA"/>
    <w:rsid w:val="00B84D5C"/>
    <w:rsid w:val="00BA13F1"/>
    <w:rsid w:val="00BB69F5"/>
    <w:rsid w:val="00BB7EC3"/>
    <w:rsid w:val="00BC4B9A"/>
    <w:rsid w:val="00BD1FB9"/>
    <w:rsid w:val="00BD2995"/>
    <w:rsid w:val="00BD5A62"/>
    <w:rsid w:val="00BD784C"/>
    <w:rsid w:val="00BF0508"/>
    <w:rsid w:val="00BF2CDD"/>
    <w:rsid w:val="00BF4CB6"/>
    <w:rsid w:val="00C00DA7"/>
    <w:rsid w:val="00C1096D"/>
    <w:rsid w:val="00C12768"/>
    <w:rsid w:val="00C15A36"/>
    <w:rsid w:val="00C26CE2"/>
    <w:rsid w:val="00C2741B"/>
    <w:rsid w:val="00C27B58"/>
    <w:rsid w:val="00C34322"/>
    <w:rsid w:val="00C35996"/>
    <w:rsid w:val="00C4632D"/>
    <w:rsid w:val="00C4747E"/>
    <w:rsid w:val="00C5342C"/>
    <w:rsid w:val="00C53ED3"/>
    <w:rsid w:val="00C603D4"/>
    <w:rsid w:val="00C6256A"/>
    <w:rsid w:val="00C646D7"/>
    <w:rsid w:val="00C7247F"/>
    <w:rsid w:val="00C77891"/>
    <w:rsid w:val="00C91449"/>
    <w:rsid w:val="00C92D10"/>
    <w:rsid w:val="00CB1C8F"/>
    <w:rsid w:val="00CB244A"/>
    <w:rsid w:val="00CD6C25"/>
    <w:rsid w:val="00CE10C4"/>
    <w:rsid w:val="00CE27B5"/>
    <w:rsid w:val="00CE6EB4"/>
    <w:rsid w:val="00CF3222"/>
    <w:rsid w:val="00D0321E"/>
    <w:rsid w:val="00D05609"/>
    <w:rsid w:val="00D0639F"/>
    <w:rsid w:val="00D1455A"/>
    <w:rsid w:val="00D31150"/>
    <w:rsid w:val="00D3138B"/>
    <w:rsid w:val="00D3280C"/>
    <w:rsid w:val="00D3406A"/>
    <w:rsid w:val="00D37C88"/>
    <w:rsid w:val="00D4572C"/>
    <w:rsid w:val="00D45F41"/>
    <w:rsid w:val="00D469B2"/>
    <w:rsid w:val="00D574C2"/>
    <w:rsid w:val="00D70B01"/>
    <w:rsid w:val="00D741EB"/>
    <w:rsid w:val="00D80260"/>
    <w:rsid w:val="00D83605"/>
    <w:rsid w:val="00D84934"/>
    <w:rsid w:val="00D91271"/>
    <w:rsid w:val="00D919F5"/>
    <w:rsid w:val="00D94F03"/>
    <w:rsid w:val="00DA2CB5"/>
    <w:rsid w:val="00DA4BAC"/>
    <w:rsid w:val="00DC4379"/>
    <w:rsid w:val="00DD668A"/>
    <w:rsid w:val="00DE65F3"/>
    <w:rsid w:val="00DE6D27"/>
    <w:rsid w:val="00DF217D"/>
    <w:rsid w:val="00DF26A7"/>
    <w:rsid w:val="00DF4E5D"/>
    <w:rsid w:val="00E00114"/>
    <w:rsid w:val="00E04362"/>
    <w:rsid w:val="00E13008"/>
    <w:rsid w:val="00E15627"/>
    <w:rsid w:val="00E164B3"/>
    <w:rsid w:val="00E16910"/>
    <w:rsid w:val="00E24CC1"/>
    <w:rsid w:val="00E37F8F"/>
    <w:rsid w:val="00E4204B"/>
    <w:rsid w:val="00E42BDB"/>
    <w:rsid w:val="00E4433F"/>
    <w:rsid w:val="00E45400"/>
    <w:rsid w:val="00E57EEB"/>
    <w:rsid w:val="00E60EB7"/>
    <w:rsid w:val="00E62B12"/>
    <w:rsid w:val="00E62D94"/>
    <w:rsid w:val="00E65E54"/>
    <w:rsid w:val="00E73A46"/>
    <w:rsid w:val="00E743DA"/>
    <w:rsid w:val="00E76ECA"/>
    <w:rsid w:val="00E80155"/>
    <w:rsid w:val="00E81F28"/>
    <w:rsid w:val="00E848C0"/>
    <w:rsid w:val="00E91B96"/>
    <w:rsid w:val="00E941A1"/>
    <w:rsid w:val="00E95CE3"/>
    <w:rsid w:val="00EA2825"/>
    <w:rsid w:val="00EB0B20"/>
    <w:rsid w:val="00EB0B63"/>
    <w:rsid w:val="00EB1936"/>
    <w:rsid w:val="00EB2C9B"/>
    <w:rsid w:val="00EB5088"/>
    <w:rsid w:val="00EC3196"/>
    <w:rsid w:val="00ED0D97"/>
    <w:rsid w:val="00ED1644"/>
    <w:rsid w:val="00ED2593"/>
    <w:rsid w:val="00ED4F10"/>
    <w:rsid w:val="00ED7D9C"/>
    <w:rsid w:val="00EE094A"/>
    <w:rsid w:val="00EE0B8A"/>
    <w:rsid w:val="00EE19CA"/>
    <w:rsid w:val="00EE7AFD"/>
    <w:rsid w:val="00EF44A0"/>
    <w:rsid w:val="00EF4FED"/>
    <w:rsid w:val="00F01062"/>
    <w:rsid w:val="00F050BD"/>
    <w:rsid w:val="00F05657"/>
    <w:rsid w:val="00F12E6A"/>
    <w:rsid w:val="00F20747"/>
    <w:rsid w:val="00F25578"/>
    <w:rsid w:val="00F258E5"/>
    <w:rsid w:val="00F300BC"/>
    <w:rsid w:val="00F32066"/>
    <w:rsid w:val="00F3334E"/>
    <w:rsid w:val="00F36CCB"/>
    <w:rsid w:val="00F374E5"/>
    <w:rsid w:val="00F43AF2"/>
    <w:rsid w:val="00F5007E"/>
    <w:rsid w:val="00F50EC4"/>
    <w:rsid w:val="00F5400A"/>
    <w:rsid w:val="00F550CF"/>
    <w:rsid w:val="00F57A6D"/>
    <w:rsid w:val="00F638CC"/>
    <w:rsid w:val="00F64CC1"/>
    <w:rsid w:val="00F65971"/>
    <w:rsid w:val="00F6716D"/>
    <w:rsid w:val="00F72317"/>
    <w:rsid w:val="00F75DC4"/>
    <w:rsid w:val="00F80475"/>
    <w:rsid w:val="00F80A8F"/>
    <w:rsid w:val="00F8247A"/>
    <w:rsid w:val="00F9629A"/>
    <w:rsid w:val="00F97EFC"/>
    <w:rsid w:val="00FA5883"/>
    <w:rsid w:val="00FA6055"/>
    <w:rsid w:val="00FB0BE5"/>
    <w:rsid w:val="00FB322F"/>
    <w:rsid w:val="00FB442F"/>
    <w:rsid w:val="00FC1929"/>
    <w:rsid w:val="00FC5B46"/>
    <w:rsid w:val="00FC66CB"/>
    <w:rsid w:val="00FD5C86"/>
    <w:rsid w:val="00FD6D8E"/>
    <w:rsid w:val="00FE0E94"/>
    <w:rsid w:val="00FF00BD"/>
    <w:rsid w:val="00FF1ED4"/>
    <w:rsid w:val="00FF280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ListParagraph"/>
    <w:next w:val="Normal"/>
    <w:link w:val="Heading1Char"/>
    <w:uiPriority w:val="1"/>
    <w:qFormat/>
    <w:rsid w:val="00C603D4"/>
    <w:pPr>
      <w:ind w:left="0"/>
      <w:outlineLvl w:val="0"/>
    </w:pPr>
    <w:rPr>
      <w:b/>
      <w:szCs w:val="22"/>
    </w:rPr>
  </w:style>
  <w:style w:type="paragraph" w:styleId="Heading2">
    <w:name w:val="heading 2"/>
    <w:basedOn w:val="Normal"/>
    <w:next w:val="Normal"/>
    <w:link w:val="Heading2Char"/>
    <w:uiPriority w:val="1"/>
    <w:qFormat/>
    <w:rsid w:val="00B1059E"/>
    <w:pPr>
      <w:keepNext/>
      <w:outlineLvl w:val="1"/>
    </w:pPr>
    <w:rPr>
      <w:rFonts w:ascii="Arial" w:hAnsi="Arial"/>
      <w:b/>
      <w:i/>
      <w:sz w:val="22"/>
    </w:r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aliases w:val="BulletPoints"/>
    <w:basedOn w:val="Normal"/>
    <w:link w:val="ListParagraphChar"/>
    <w:uiPriority w:val="34"/>
    <w:qFormat/>
    <w:rsid w:val="00300AD6"/>
    <w:pPr>
      <w:widowControl w:val="0"/>
      <w:ind w:left="720"/>
      <w:contextualSpacing/>
      <w:jc w:val="both"/>
    </w:pPr>
    <w:rPr>
      <w:rFonts w:ascii="Arial" w:hAnsi="Arial" w:cs="Arial"/>
      <w:snapToGrid w:val="0"/>
      <w:sz w:val="22"/>
      <w:szCs w:val="20"/>
      <w:lang w:eastAsia="en-US"/>
    </w:rPr>
  </w:style>
  <w:style w:type="character" w:styleId="CommentReference">
    <w:name w:val="annotation reference"/>
    <w:aliases w:val="Table Title"/>
    <w:basedOn w:val="DefaultParagraphFont"/>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styleId="NoSpacing">
    <w:name w:val="No Spacing"/>
    <w:basedOn w:val="Normal"/>
    <w:uiPriority w:val="1"/>
    <w:qFormat/>
    <w:rsid w:val="00C27B58"/>
    <w:pPr>
      <w:jc w:val="both"/>
    </w:pPr>
    <w:rPr>
      <w:rFonts w:ascii="Arial" w:hAnsi="Arial"/>
      <w:sz w:val="22"/>
      <w:szCs w:val="22"/>
    </w:rPr>
  </w:style>
  <w:style w:type="character" w:styleId="Hyperlink">
    <w:name w:val="Hyperlink"/>
    <w:uiPriority w:val="99"/>
    <w:rsid w:val="00AC193C"/>
    <w:rPr>
      <w:color w:val="0000FF"/>
      <w:u w:val="single"/>
    </w:rPr>
  </w:style>
  <w:style w:type="paragraph" w:styleId="Title">
    <w:name w:val="Title"/>
    <w:basedOn w:val="Normal"/>
    <w:next w:val="Normal"/>
    <w:link w:val="TitleChar"/>
    <w:qFormat/>
    <w:rsid w:val="00FE0E94"/>
    <w:pPr>
      <w:spacing w:after="300"/>
      <w:contextualSpacing/>
      <w:outlineLvl w:val="0"/>
    </w:pPr>
    <w:rPr>
      <w:rFonts w:ascii="Arial Bold" w:eastAsiaTheme="majorEastAsia" w:hAnsi="Arial Bold" w:cstheme="majorBidi"/>
      <w:b/>
      <w:spacing w:val="5"/>
      <w:kern w:val="28"/>
      <w:sz w:val="28"/>
      <w:szCs w:val="52"/>
    </w:rPr>
  </w:style>
  <w:style w:type="paragraph" w:styleId="ListNumber">
    <w:name w:val="List Number"/>
    <w:basedOn w:val="Normal"/>
    <w:rsid w:val="004A2484"/>
    <w:pPr>
      <w:numPr>
        <w:numId w:val="12"/>
      </w:numPr>
      <w:contextualSpacing/>
    </w:pPr>
  </w:style>
  <w:style w:type="paragraph" w:styleId="ListContinue2">
    <w:name w:val="List Continue 2"/>
    <w:basedOn w:val="Normal"/>
    <w:rsid w:val="004A2484"/>
    <w:pPr>
      <w:spacing w:after="120"/>
      <w:ind w:left="566"/>
      <w:contextualSpacing/>
    </w:pPr>
  </w:style>
  <w:style w:type="paragraph" w:styleId="ListNumber2">
    <w:name w:val="List Number 2"/>
    <w:basedOn w:val="Normal"/>
    <w:rsid w:val="004A2484"/>
    <w:pPr>
      <w:tabs>
        <w:tab w:val="num" w:pos="643"/>
      </w:tabs>
      <w:ind w:left="643" w:hanging="360"/>
      <w:contextualSpacing/>
    </w:pPr>
  </w:style>
  <w:style w:type="character" w:customStyle="1" w:styleId="TitleChar">
    <w:name w:val="Title Char"/>
    <w:basedOn w:val="DefaultParagraphFont"/>
    <w:link w:val="Title"/>
    <w:rsid w:val="00FE0E94"/>
    <w:rPr>
      <w:rFonts w:ascii="Arial Bold" w:eastAsiaTheme="majorEastAsia" w:hAnsi="Arial Bold" w:cstheme="majorBidi"/>
      <w:b/>
      <w:spacing w:val="5"/>
      <w:kern w:val="28"/>
      <w:sz w:val="28"/>
      <w:szCs w:val="52"/>
    </w:rPr>
  </w:style>
  <w:style w:type="character" w:customStyle="1" w:styleId="ListParagraphChar">
    <w:name w:val="List Paragraph Char"/>
    <w:aliases w:val="BulletPoints Char"/>
    <w:basedOn w:val="DefaultParagraphFont"/>
    <w:link w:val="ListParagraph"/>
    <w:uiPriority w:val="34"/>
    <w:qFormat/>
    <w:rsid w:val="00077143"/>
    <w:rPr>
      <w:rFonts w:ascii="Arial" w:hAnsi="Arial" w:cs="Arial"/>
      <w:snapToGrid w:val="0"/>
      <w:sz w:val="22"/>
      <w:lang w:eastAsia="en-US"/>
    </w:rPr>
  </w:style>
  <w:style w:type="paragraph" w:customStyle="1" w:styleId="PBACHeading1">
    <w:name w:val="PBAC Heading 1"/>
    <w:qFormat/>
    <w:rsid w:val="00E15627"/>
    <w:pPr>
      <w:numPr>
        <w:numId w:val="14"/>
      </w:numPr>
      <w:outlineLvl w:val="0"/>
    </w:pPr>
    <w:rPr>
      <w:rFonts w:ascii="Arial" w:hAnsi="Arial" w:cs="Arial"/>
      <w:b/>
      <w:snapToGrid w:val="0"/>
      <w:sz w:val="22"/>
      <w:szCs w:val="22"/>
      <w:lang w:eastAsia="en-US"/>
    </w:rPr>
  </w:style>
  <w:style w:type="character" w:customStyle="1" w:styleId="Heading1Char">
    <w:name w:val="Heading 1 Char"/>
    <w:basedOn w:val="DefaultParagraphFont"/>
    <w:link w:val="Heading1"/>
    <w:uiPriority w:val="1"/>
    <w:rsid w:val="003C2FB5"/>
    <w:rPr>
      <w:rFonts w:ascii="Arial" w:hAnsi="Arial" w:cs="Arial"/>
      <w:b/>
      <w:snapToGrid w:val="0"/>
      <w:sz w:val="22"/>
      <w:szCs w:val="22"/>
      <w:lang w:eastAsia="en-US"/>
    </w:rPr>
  </w:style>
  <w:style w:type="character" w:customStyle="1" w:styleId="Heading2Char">
    <w:name w:val="Heading 2 Char"/>
    <w:basedOn w:val="DefaultParagraphFont"/>
    <w:link w:val="Heading2"/>
    <w:uiPriority w:val="1"/>
    <w:rsid w:val="003C2FB5"/>
    <w:rPr>
      <w:rFonts w:ascii="Arial" w:hAnsi="Arial"/>
      <w:b/>
      <w:i/>
      <w:sz w:val="22"/>
      <w:szCs w:val="24"/>
    </w:rPr>
  </w:style>
  <w:style w:type="paragraph" w:styleId="FootnoteText">
    <w:name w:val="footnote text"/>
    <w:basedOn w:val="Normal"/>
    <w:link w:val="FootnoteTextChar"/>
    <w:semiHidden/>
    <w:unhideWhenUsed/>
    <w:rsid w:val="00277735"/>
    <w:rPr>
      <w:sz w:val="20"/>
      <w:szCs w:val="20"/>
    </w:rPr>
  </w:style>
  <w:style w:type="character" w:customStyle="1" w:styleId="FootnoteTextChar">
    <w:name w:val="Footnote Text Char"/>
    <w:basedOn w:val="DefaultParagraphFont"/>
    <w:link w:val="FootnoteText"/>
    <w:semiHidden/>
    <w:rsid w:val="00277735"/>
  </w:style>
  <w:style w:type="character" w:styleId="FootnoteReference">
    <w:name w:val="footnote reference"/>
    <w:basedOn w:val="DefaultParagraphFont"/>
    <w:semiHidden/>
    <w:unhideWhenUsed/>
    <w:rsid w:val="00277735"/>
    <w:rPr>
      <w:vertAlign w:val="superscript"/>
    </w:rPr>
  </w:style>
  <w:style w:type="paragraph" w:customStyle="1" w:styleId="Default">
    <w:name w:val="Default"/>
    <w:rsid w:val="00A832DB"/>
    <w:pPr>
      <w:autoSpaceDE w:val="0"/>
      <w:autoSpaceDN w:val="0"/>
      <w:adjustRightInd w:val="0"/>
    </w:pPr>
    <w:rPr>
      <w:rFonts w:ascii="Calibri" w:hAnsi="Calibri" w:cs="Calibri"/>
      <w:color w:val="000000"/>
      <w:sz w:val="24"/>
      <w:szCs w:val="24"/>
    </w:rPr>
  </w:style>
  <w:style w:type="character" w:styleId="PlaceholderText">
    <w:name w:val="Placeholder Text"/>
    <w:basedOn w:val="DefaultParagraphFont"/>
    <w:uiPriority w:val="99"/>
    <w:unhideWhenUsed/>
    <w:rsid w:val="007A40B9"/>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947954">
      <w:bodyDiv w:val="1"/>
      <w:marLeft w:val="0"/>
      <w:marRight w:val="0"/>
      <w:marTop w:val="0"/>
      <w:marBottom w:val="0"/>
      <w:divBdr>
        <w:top w:val="none" w:sz="0" w:space="0" w:color="auto"/>
        <w:left w:val="none" w:sz="0" w:space="0" w:color="auto"/>
        <w:bottom w:val="none" w:sz="0" w:space="0" w:color="auto"/>
        <w:right w:val="none" w:sz="0" w:space="0" w:color="auto"/>
      </w:divBdr>
    </w:div>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42876061">
      <w:bodyDiv w:val="1"/>
      <w:marLeft w:val="0"/>
      <w:marRight w:val="0"/>
      <w:marTop w:val="0"/>
      <w:marBottom w:val="0"/>
      <w:divBdr>
        <w:top w:val="none" w:sz="0" w:space="0" w:color="auto"/>
        <w:left w:val="none" w:sz="0" w:space="0" w:color="auto"/>
        <w:bottom w:val="none" w:sz="0" w:space="0" w:color="auto"/>
        <w:right w:val="none" w:sz="0" w:space="0" w:color="auto"/>
      </w:divBdr>
    </w:div>
    <w:div w:id="379594744">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480339795">
      <w:bodyDiv w:val="1"/>
      <w:marLeft w:val="0"/>
      <w:marRight w:val="0"/>
      <w:marTop w:val="0"/>
      <w:marBottom w:val="0"/>
      <w:divBdr>
        <w:top w:val="none" w:sz="0" w:space="0" w:color="auto"/>
        <w:left w:val="none" w:sz="0" w:space="0" w:color="auto"/>
        <w:bottom w:val="none" w:sz="0" w:space="0" w:color="auto"/>
        <w:right w:val="none" w:sz="0" w:space="0" w:color="auto"/>
      </w:divBdr>
    </w:div>
    <w:div w:id="1632244620">
      <w:bodyDiv w:val="1"/>
      <w:marLeft w:val="0"/>
      <w:marRight w:val="0"/>
      <w:marTop w:val="0"/>
      <w:marBottom w:val="0"/>
      <w:divBdr>
        <w:top w:val="none" w:sz="0" w:space="0" w:color="auto"/>
        <w:left w:val="none" w:sz="0" w:space="0" w:color="auto"/>
        <w:bottom w:val="none" w:sz="0" w:space="0" w:color="auto"/>
        <w:right w:val="none" w:sz="0" w:space="0" w:color="auto"/>
      </w:divBdr>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 w:id="1971864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5CB64-F2B3-4127-82A6-5932B8139E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1773</Words>
  <Characters>10647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2019-06-26T06:20:00Z</dcterms:created>
  <dcterms:modified xsi:type="dcterms:W3CDTF">2019-07-01T04:00:00Z</dcterms:modified>
</cp:coreProperties>
</file>