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BD33A4" w:rsidRDefault="00207B39" w:rsidP="007F6CE8">
      <w:pPr>
        <w:pStyle w:val="Title"/>
        <w:spacing w:before="120" w:after="160"/>
        <w:ind w:left="720" w:hanging="720"/>
        <w:rPr>
          <w:rFonts w:asciiTheme="minorHAnsi" w:hAnsiTheme="minorHAnsi"/>
          <w:caps/>
          <w:sz w:val="36"/>
          <w:szCs w:val="36"/>
        </w:rPr>
      </w:pPr>
      <w:r w:rsidRPr="00BD33A4">
        <w:rPr>
          <w:rFonts w:asciiTheme="minorHAnsi" w:hAnsiTheme="minorHAnsi"/>
          <w:sz w:val="36"/>
          <w:szCs w:val="36"/>
        </w:rPr>
        <w:t>6.16</w:t>
      </w:r>
      <w:r w:rsidR="006D6493" w:rsidRPr="00BD33A4">
        <w:rPr>
          <w:rFonts w:asciiTheme="minorHAnsi" w:hAnsiTheme="minorHAnsi"/>
          <w:sz w:val="36"/>
          <w:szCs w:val="36"/>
        </w:rPr>
        <w:tab/>
      </w:r>
      <w:r w:rsidR="00F7777D" w:rsidRPr="00BD33A4">
        <w:rPr>
          <w:rFonts w:asciiTheme="minorHAnsi" w:hAnsiTheme="minorHAnsi"/>
          <w:sz w:val="36"/>
          <w:szCs w:val="36"/>
        </w:rPr>
        <w:t>QUADRIVALENT INFLUENZA VACCINE (SPLIT VIRION, INACTIVATED)</w:t>
      </w:r>
      <w:r w:rsidR="006D6493" w:rsidRPr="00BD33A4">
        <w:rPr>
          <w:rFonts w:asciiTheme="minorHAnsi" w:hAnsiTheme="minorHAnsi"/>
          <w:sz w:val="36"/>
          <w:szCs w:val="36"/>
        </w:rPr>
        <w:br/>
      </w:r>
      <w:r w:rsidR="00692A7F" w:rsidRPr="00BD33A4">
        <w:rPr>
          <w:rFonts w:asciiTheme="minorHAnsi" w:hAnsiTheme="minorHAnsi"/>
          <w:sz w:val="36"/>
          <w:szCs w:val="36"/>
        </w:rPr>
        <w:t>P</w:t>
      </w:r>
      <w:r w:rsidR="00F95A78" w:rsidRPr="00BD33A4">
        <w:rPr>
          <w:rFonts w:asciiTheme="minorHAnsi" w:hAnsiTheme="minorHAnsi"/>
          <w:sz w:val="36"/>
          <w:szCs w:val="36"/>
        </w:rPr>
        <w:t>refilled syringe</w:t>
      </w:r>
      <w:r w:rsidR="00F7777D" w:rsidRPr="00BD33A4">
        <w:rPr>
          <w:rFonts w:asciiTheme="minorHAnsi" w:hAnsiTheme="minorHAnsi"/>
          <w:sz w:val="36"/>
          <w:szCs w:val="36"/>
        </w:rPr>
        <w:t>,</w:t>
      </w:r>
      <w:r w:rsidR="00692A7F" w:rsidRPr="00BD33A4">
        <w:rPr>
          <w:rFonts w:asciiTheme="minorHAnsi" w:hAnsiTheme="minorHAnsi"/>
          <w:sz w:val="36"/>
          <w:szCs w:val="36"/>
        </w:rPr>
        <w:t xml:space="preserve"> 0.5</w:t>
      </w:r>
      <w:r w:rsidR="007F6CE8" w:rsidRPr="00BD33A4">
        <w:rPr>
          <w:rFonts w:asciiTheme="minorHAnsi" w:hAnsiTheme="minorHAnsi"/>
          <w:sz w:val="36"/>
          <w:szCs w:val="36"/>
        </w:rPr>
        <w:t xml:space="preserve"> </w:t>
      </w:r>
      <w:r w:rsidR="00692A7F" w:rsidRPr="00BD33A4">
        <w:rPr>
          <w:rFonts w:asciiTheme="minorHAnsi" w:hAnsiTheme="minorHAnsi"/>
          <w:sz w:val="36"/>
          <w:szCs w:val="36"/>
        </w:rPr>
        <w:t>mL,</w:t>
      </w:r>
      <w:r w:rsidR="006D6493" w:rsidRPr="00BD33A4">
        <w:rPr>
          <w:rFonts w:asciiTheme="minorHAnsi" w:hAnsiTheme="minorHAnsi"/>
          <w:sz w:val="36"/>
          <w:szCs w:val="36"/>
        </w:rPr>
        <w:br/>
      </w:r>
      <w:proofErr w:type="spellStart"/>
      <w:r w:rsidR="00F95A78" w:rsidRPr="00BD33A4">
        <w:rPr>
          <w:rFonts w:asciiTheme="minorHAnsi" w:hAnsiTheme="minorHAnsi"/>
          <w:sz w:val="36"/>
          <w:szCs w:val="36"/>
        </w:rPr>
        <w:t>Fluarix</w:t>
      </w:r>
      <w:proofErr w:type="spellEnd"/>
      <w:r w:rsidR="00F95A78" w:rsidRPr="00BD33A4">
        <w:rPr>
          <w:rFonts w:asciiTheme="minorHAnsi" w:hAnsiTheme="minorHAnsi"/>
          <w:sz w:val="36"/>
          <w:szCs w:val="36"/>
        </w:rPr>
        <w:t xml:space="preserve"> Tetra</w:t>
      </w:r>
      <w:r w:rsidR="006D6493" w:rsidRPr="00BD33A4">
        <w:rPr>
          <w:rFonts w:asciiTheme="minorHAnsi" w:hAnsiTheme="minorHAnsi"/>
          <w:sz w:val="36"/>
          <w:szCs w:val="36"/>
          <w:vertAlign w:val="superscript"/>
        </w:rPr>
        <w:t>®</w:t>
      </w:r>
      <w:r w:rsidR="00F7777D" w:rsidRPr="00BD33A4">
        <w:rPr>
          <w:rFonts w:asciiTheme="minorHAnsi" w:hAnsiTheme="minorHAnsi"/>
          <w:sz w:val="36"/>
          <w:szCs w:val="36"/>
        </w:rPr>
        <w:t>,</w:t>
      </w:r>
      <w:r w:rsidR="00F7777D" w:rsidRPr="00BD33A4">
        <w:rPr>
          <w:rFonts w:asciiTheme="minorHAnsi" w:hAnsiTheme="minorHAnsi"/>
          <w:sz w:val="36"/>
          <w:szCs w:val="36"/>
        </w:rPr>
        <w:br/>
      </w:r>
      <w:r w:rsidR="00F95A78" w:rsidRPr="00BD33A4">
        <w:rPr>
          <w:rFonts w:asciiTheme="minorHAnsi" w:hAnsiTheme="minorHAnsi"/>
          <w:sz w:val="36"/>
          <w:szCs w:val="36"/>
        </w:rPr>
        <w:t>GlaxoSmithKline</w:t>
      </w:r>
      <w:r w:rsidR="000B5B38" w:rsidRPr="00BD33A4">
        <w:rPr>
          <w:rFonts w:asciiTheme="minorHAnsi" w:hAnsiTheme="minorHAnsi"/>
          <w:sz w:val="36"/>
          <w:szCs w:val="36"/>
        </w:rPr>
        <w:t xml:space="preserve"> Australia Pty Ltd</w:t>
      </w:r>
      <w:r w:rsidR="00F95A78" w:rsidRPr="00BD33A4">
        <w:rPr>
          <w:rFonts w:asciiTheme="minorHAnsi" w:hAnsiTheme="minorHAnsi"/>
          <w:sz w:val="36"/>
          <w:szCs w:val="36"/>
        </w:rPr>
        <w:t xml:space="preserve"> </w:t>
      </w:r>
    </w:p>
    <w:p w:rsidR="008A50F1" w:rsidRPr="00BD33A4" w:rsidRDefault="00CE10C4" w:rsidP="005F3B0E">
      <w:pPr>
        <w:pStyle w:val="PBACHeading1"/>
        <w:spacing w:before="120" w:after="120"/>
        <w:ind w:left="709" w:hanging="709"/>
        <w:rPr>
          <w:rFonts w:asciiTheme="minorHAnsi" w:hAnsiTheme="minorHAnsi"/>
          <w:sz w:val="32"/>
          <w:szCs w:val="32"/>
        </w:rPr>
      </w:pPr>
      <w:r w:rsidRPr="00BD33A4">
        <w:rPr>
          <w:rFonts w:asciiTheme="minorHAnsi" w:hAnsiTheme="minorHAnsi"/>
          <w:sz w:val="32"/>
          <w:szCs w:val="32"/>
        </w:rPr>
        <w:t xml:space="preserve">Purpose of </w:t>
      </w:r>
      <w:r w:rsidR="0004240E" w:rsidRPr="00BD33A4">
        <w:rPr>
          <w:rFonts w:asciiTheme="minorHAnsi" w:hAnsiTheme="minorHAnsi"/>
          <w:sz w:val="32"/>
          <w:szCs w:val="32"/>
        </w:rPr>
        <w:t>Application</w:t>
      </w:r>
    </w:p>
    <w:p w:rsidR="006A12A5" w:rsidRPr="00BD33A4" w:rsidRDefault="00EF44A0" w:rsidP="005F3B0E">
      <w:pPr>
        <w:pStyle w:val="ListParagraph"/>
        <w:widowControl/>
        <w:numPr>
          <w:ilvl w:val="1"/>
          <w:numId w:val="5"/>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The mi</w:t>
      </w:r>
      <w:r w:rsidR="00FF2801" w:rsidRPr="00BD33A4">
        <w:rPr>
          <w:rFonts w:asciiTheme="minorHAnsi" w:eastAsiaTheme="minorHAnsi" w:hAnsiTheme="minorHAnsi" w:cstheme="minorBidi"/>
          <w:snapToGrid/>
          <w:sz w:val="24"/>
          <w:szCs w:val="22"/>
        </w:rPr>
        <w:t xml:space="preserve">nor submission </w:t>
      </w:r>
      <w:r w:rsidR="002015E2" w:rsidRPr="00BD33A4">
        <w:rPr>
          <w:rFonts w:asciiTheme="minorHAnsi" w:eastAsiaTheme="minorHAnsi" w:hAnsiTheme="minorHAnsi" w:cstheme="minorBidi"/>
          <w:snapToGrid/>
          <w:sz w:val="24"/>
          <w:szCs w:val="22"/>
        </w:rPr>
        <w:t>request</w:t>
      </w:r>
      <w:r w:rsidR="0053647C" w:rsidRPr="00BD33A4">
        <w:rPr>
          <w:rFonts w:asciiTheme="minorHAnsi" w:eastAsiaTheme="minorHAnsi" w:hAnsiTheme="minorHAnsi" w:cstheme="minorBidi"/>
          <w:snapToGrid/>
          <w:sz w:val="24"/>
          <w:szCs w:val="22"/>
        </w:rPr>
        <w:t>ed</w:t>
      </w:r>
      <w:r w:rsidR="002015E2" w:rsidRPr="00BD33A4">
        <w:rPr>
          <w:rFonts w:asciiTheme="minorHAnsi" w:eastAsiaTheme="minorHAnsi" w:hAnsiTheme="minorHAnsi" w:cstheme="minorBidi"/>
          <w:snapToGrid/>
          <w:sz w:val="24"/>
          <w:szCs w:val="22"/>
        </w:rPr>
        <w:t xml:space="preserve"> an extension to </w:t>
      </w:r>
      <w:r w:rsidR="002226E7" w:rsidRPr="00BD33A4">
        <w:rPr>
          <w:rFonts w:asciiTheme="minorHAnsi" w:eastAsiaTheme="minorHAnsi" w:hAnsiTheme="minorHAnsi" w:cstheme="minorBidi"/>
          <w:snapToGrid/>
          <w:sz w:val="24"/>
          <w:szCs w:val="22"/>
        </w:rPr>
        <w:t xml:space="preserve">the listing of </w:t>
      </w:r>
      <w:proofErr w:type="spellStart"/>
      <w:r w:rsidR="002226E7" w:rsidRPr="00BD33A4">
        <w:rPr>
          <w:rFonts w:asciiTheme="minorHAnsi" w:eastAsiaTheme="minorHAnsi" w:hAnsiTheme="minorHAnsi" w:cstheme="minorBidi"/>
          <w:snapToGrid/>
          <w:sz w:val="24"/>
          <w:szCs w:val="22"/>
        </w:rPr>
        <w:t>quadrivalent</w:t>
      </w:r>
      <w:proofErr w:type="spellEnd"/>
      <w:r w:rsidR="002226E7" w:rsidRPr="00BD33A4">
        <w:rPr>
          <w:rFonts w:asciiTheme="minorHAnsi" w:eastAsiaTheme="minorHAnsi" w:hAnsiTheme="minorHAnsi" w:cstheme="minorBidi"/>
          <w:snapToGrid/>
          <w:sz w:val="24"/>
          <w:szCs w:val="22"/>
        </w:rPr>
        <w:t xml:space="preserve"> influenza vaccine </w:t>
      </w:r>
      <w:r w:rsidR="0046177A" w:rsidRPr="00BD33A4">
        <w:rPr>
          <w:rFonts w:asciiTheme="minorHAnsi" w:eastAsiaTheme="minorHAnsi" w:hAnsiTheme="minorHAnsi" w:cstheme="minorBidi"/>
          <w:snapToGrid/>
          <w:sz w:val="24"/>
          <w:szCs w:val="22"/>
        </w:rPr>
        <w:t xml:space="preserve">(split </w:t>
      </w:r>
      <w:proofErr w:type="spellStart"/>
      <w:r w:rsidR="0046177A" w:rsidRPr="00BD33A4">
        <w:rPr>
          <w:rFonts w:asciiTheme="minorHAnsi" w:eastAsiaTheme="minorHAnsi" w:hAnsiTheme="minorHAnsi" w:cstheme="minorBidi"/>
          <w:snapToGrid/>
          <w:sz w:val="24"/>
          <w:szCs w:val="22"/>
        </w:rPr>
        <w:t>virion</w:t>
      </w:r>
      <w:proofErr w:type="spellEnd"/>
      <w:r w:rsidR="0046177A" w:rsidRPr="00BD33A4">
        <w:rPr>
          <w:rFonts w:asciiTheme="minorHAnsi" w:eastAsiaTheme="minorHAnsi" w:hAnsiTheme="minorHAnsi" w:cstheme="minorBidi"/>
          <w:snapToGrid/>
          <w:sz w:val="24"/>
          <w:szCs w:val="22"/>
        </w:rPr>
        <w:t xml:space="preserve">, inactivated) </w:t>
      </w:r>
      <w:r w:rsidR="006B4544" w:rsidRPr="00BD33A4">
        <w:rPr>
          <w:rFonts w:asciiTheme="minorHAnsi" w:eastAsiaTheme="minorHAnsi" w:hAnsiTheme="minorHAnsi" w:cstheme="minorBidi"/>
          <w:snapToGrid/>
          <w:sz w:val="24"/>
          <w:szCs w:val="22"/>
        </w:rPr>
        <w:t xml:space="preserve">– </w:t>
      </w:r>
      <w:proofErr w:type="spellStart"/>
      <w:r w:rsidR="006B4544" w:rsidRPr="00BD33A4">
        <w:rPr>
          <w:rFonts w:asciiTheme="minorHAnsi" w:eastAsiaTheme="minorHAnsi" w:hAnsiTheme="minorHAnsi" w:cstheme="minorBidi"/>
          <w:snapToGrid/>
          <w:sz w:val="24"/>
          <w:szCs w:val="22"/>
        </w:rPr>
        <w:t>Fluarix</w:t>
      </w:r>
      <w:proofErr w:type="spellEnd"/>
      <w:r w:rsidR="006B4544" w:rsidRPr="00BD33A4">
        <w:rPr>
          <w:rFonts w:asciiTheme="minorHAnsi" w:eastAsiaTheme="minorHAnsi" w:hAnsiTheme="minorHAnsi" w:cstheme="minorBidi"/>
          <w:snapToGrid/>
          <w:sz w:val="24"/>
          <w:szCs w:val="22"/>
        </w:rPr>
        <w:t xml:space="preserve"> Tetra </w:t>
      </w:r>
      <w:r w:rsidR="002226E7" w:rsidRPr="00BD33A4">
        <w:rPr>
          <w:rFonts w:asciiTheme="minorHAnsi" w:eastAsiaTheme="minorHAnsi" w:hAnsiTheme="minorHAnsi" w:cstheme="minorBidi"/>
          <w:snapToGrid/>
          <w:sz w:val="24"/>
          <w:szCs w:val="22"/>
        </w:rPr>
        <w:t>(</w:t>
      </w:r>
      <w:proofErr w:type="spellStart"/>
      <w:r w:rsidR="002226E7" w:rsidRPr="00BD33A4">
        <w:rPr>
          <w:rFonts w:asciiTheme="minorHAnsi" w:eastAsiaTheme="minorHAnsi" w:hAnsiTheme="minorHAnsi" w:cstheme="minorBidi"/>
          <w:snapToGrid/>
          <w:sz w:val="24"/>
          <w:szCs w:val="22"/>
        </w:rPr>
        <w:t>Fluarix</w:t>
      </w:r>
      <w:proofErr w:type="spellEnd"/>
      <w:r w:rsidR="002226E7" w:rsidRPr="00BD33A4">
        <w:rPr>
          <w:rFonts w:asciiTheme="minorHAnsi" w:eastAsiaTheme="minorHAnsi" w:hAnsiTheme="minorHAnsi" w:cstheme="minorBidi"/>
          <w:snapToGrid/>
          <w:sz w:val="24"/>
          <w:szCs w:val="22"/>
        </w:rPr>
        <w:t xml:space="preserve"> Tetra) on </w:t>
      </w:r>
      <w:r w:rsidR="001324BD" w:rsidRPr="00BD33A4">
        <w:rPr>
          <w:rFonts w:asciiTheme="minorHAnsi" w:eastAsiaTheme="minorHAnsi" w:hAnsiTheme="minorHAnsi" w:cstheme="minorBidi"/>
          <w:snapToGrid/>
          <w:sz w:val="24"/>
          <w:szCs w:val="22"/>
        </w:rPr>
        <w:t xml:space="preserve">Schedule 1 (Designated vaccines and circumstances in which vaccines may be provided) of </w:t>
      </w:r>
      <w:r w:rsidR="002226E7" w:rsidRPr="00BD33A4">
        <w:rPr>
          <w:rFonts w:asciiTheme="minorHAnsi" w:eastAsiaTheme="minorHAnsi" w:hAnsiTheme="minorHAnsi" w:cstheme="minorBidi"/>
          <w:snapToGrid/>
          <w:sz w:val="24"/>
          <w:szCs w:val="22"/>
        </w:rPr>
        <w:t xml:space="preserve">the </w:t>
      </w:r>
      <w:r w:rsidR="001324BD" w:rsidRPr="00BD33A4">
        <w:rPr>
          <w:rFonts w:asciiTheme="minorHAnsi" w:eastAsiaTheme="minorHAnsi" w:hAnsiTheme="minorHAnsi" w:cstheme="minorBidi"/>
          <w:i/>
          <w:snapToGrid/>
          <w:sz w:val="24"/>
          <w:szCs w:val="22"/>
        </w:rPr>
        <w:t>National Health (Immunisation Program – Designated Vaccines</w:t>
      </w:r>
      <w:r w:rsidR="00025530" w:rsidRPr="00BD33A4">
        <w:rPr>
          <w:rFonts w:asciiTheme="minorHAnsi" w:eastAsiaTheme="minorHAnsi" w:hAnsiTheme="minorHAnsi" w:cstheme="minorBidi"/>
          <w:i/>
          <w:snapToGrid/>
          <w:sz w:val="24"/>
          <w:szCs w:val="22"/>
        </w:rPr>
        <w:t>)</w:t>
      </w:r>
      <w:r w:rsidR="001324BD" w:rsidRPr="00BD33A4">
        <w:rPr>
          <w:rFonts w:asciiTheme="minorHAnsi" w:eastAsiaTheme="minorHAnsi" w:hAnsiTheme="minorHAnsi" w:cstheme="minorBidi"/>
          <w:i/>
          <w:snapToGrid/>
          <w:sz w:val="24"/>
          <w:szCs w:val="22"/>
        </w:rPr>
        <w:t xml:space="preserve"> Determination 2014 (No.1)</w:t>
      </w:r>
      <w:r w:rsidR="00DF6530" w:rsidRPr="00BD33A4">
        <w:rPr>
          <w:rFonts w:asciiTheme="minorHAnsi" w:eastAsiaTheme="minorHAnsi" w:hAnsiTheme="minorHAnsi" w:cstheme="minorBidi"/>
          <w:snapToGrid/>
          <w:sz w:val="24"/>
          <w:szCs w:val="22"/>
        </w:rPr>
        <w:t xml:space="preserve"> </w:t>
      </w:r>
      <w:r w:rsidR="00025530" w:rsidRPr="00BD33A4">
        <w:rPr>
          <w:rFonts w:asciiTheme="minorHAnsi" w:eastAsiaTheme="minorHAnsi" w:hAnsiTheme="minorHAnsi" w:cstheme="minorBidi"/>
          <w:snapToGrid/>
          <w:sz w:val="24"/>
          <w:szCs w:val="22"/>
        </w:rPr>
        <w:t>(</w:t>
      </w:r>
      <w:r w:rsidR="003A1F0B" w:rsidRPr="00BD33A4">
        <w:rPr>
          <w:rFonts w:asciiTheme="minorHAnsi" w:eastAsiaTheme="minorHAnsi" w:hAnsiTheme="minorHAnsi" w:cstheme="minorBidi"/>
          <w:snapToGrid/>
          <w:sz w:val="24"/>
          <w:szCs w:val="22"/>
        </w:rPr>
        <w:t>the Determination)</w:t>
      </w:r>
      <w:r w:rsidR="002015E2" w:rsidRPr="00BD33A4">
        <w:rPr>
          <w:rFonts w:asciiTheme="minorHAnsi" w:eastAsiaTheme="minorHAnsi" w:hAnsiTheme="minorHAnsi" w:cstheme="minorBidi"/>
          <w:snapToGrid/>
          <w:sz w:val="24"/>
          <w:szCs w:val="22"/>
        </w:rPr>
        <w:t>.</w:t>
      </w:r>
    </w:p>
    <w:p w:rsidR="006A12A5" w:rsidRPr="00BD33A4" w:rsidRDefault="006A12A5" w:rsidP="005F3B0E">
      <w:pPr>
        <w:pStyle w:val="PBACHeading1"/>
        <w:spacing w:before="120" w:after="120"/>
        <w:ind w:left="709" w:hanging="709"/>
        <w:rPr>
          <w:rFonts w:asciiTheme="minorHAnsi" w:hAnsiTheme="minorHAnsi"/>
          <w:sz w:val="32"/>
          <w:szCs w:val="32"/>
        </w:rPr>
      </w:pPr>
      <w:r w:rsidRPr="00BD33A4">
        <w:rPr>
          <w:rFonts w:asciiTheme="minorHAnsi" w:hAnsiTheme="minorHAnsi"/>
          <w:sz w:val="32"/>
          <w:szCs w:val="32"/>
        </w:rPr>
        <w:t>Requested listing</w:t>
      </w:r>
    </w:p>
    <w:p w:rsidR="00826F6D" w:rsidRPr="00BD33A4" w:rsidRDefault="00EF44A0"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 xml:space="preserve">The submission </w:t>
      </w:r>
      <w:r w:rsidR="00FF2801" w:rsidRPr="00BD33A4">
        <w:rPr>
          <w:rFonts w:asciiTheme="minorHAnsi" w:eastAsiaTheme="minorHAnsi" w:hAnsiTheme="minorHAnsi" w:cstheme="minorBidi"/>
          <w:snapToGrid/>
          <w:sz w:val="24"/>
          <w:szCs w:val="22"/>
        </w:rPr>
        <w:t>requested</w:t>
      </w:r>
      <w:r w:rsidR="008945EC" w:rsidRPr="00BD33A4">
        <w:rPr>
          <w:rFonts w:asciiTheme="minorHAnsi" w:eastAsiaTheme="minorHAnsi" w:hAnsiTheme="minorHAnsi" w:cstheme="minorBidi"/>
          <w:snapToGrid/>
          <w:sz w:val="24"/>
          <w:szCs w:val="22"/>
        </w:rPr>
        <w:t xml:space="preserve"> exten</w:t>
      </w:r>
      <w:r w:rsidR="00DF6530" w:rsidRPr="00BD33A4">
        <w:rPr>
          <w:rFonts w:asciiTheme="minorHAnsi" w:eastAsiaTheme="minorHAnsi" w:hAnsiTheme="minorHAnsi" w:cstheme="minorBidi"/>
          <w:snapToGrid/>
          <w:sz w:val="24"/>
          <w:szCs w:val="22"/>
        </w:rPr>
        <w:t>sion of</w:t>
      </w:r>
      <w:r w:rsidR="008945EC" w:rsidRPr="00BD33A4">
        <w:rPr>
          <w:rFonts w:asciiTheme="minorHAnsi" w:eastAsiaTheme="minorHAnsi" w:hAnsiTheme="minorHAnsi" w:cstheme="minorBidi"/>
          <w:snapToGrid/>
          <w:sz w:val="24"/>
          <w:szCs w:val="22"/>
        </w:rPr>
        <w:t xml:space="preserve"> the </w:t>
      </w:r>
      <w:r w:rsidRPr="00BD33A4">
        <w:rPr>
          <w:rFonts w:asciiTheme="minorHAnsi" w:eastAsiaTheme="minorHAnsi" w:hAnsiTheme="minorHAnsi" w:cstheme="minorBidi"/>
          <w:snapToGrid/>
          <w:sz w:val="24"/>
          <w:szCs w:val="22"/>
        </w:rPr>
        <w:t xml:space="preserve">existing </w:t>
      </w:r>
      <w:r w:rsidR="003A1F0B" w:rsidRPr="00BD33A4">
        <w:rPr>
          <w:rFonts w:asciiTheme="minorHAnsi" w:eastAsiaTheme="minorHAnsi" w:hAnsiTheme="minorHAnsi" w:cstheme="minorBidi"/>
          <w:snapToGrid/>
          <w:sz w:val="24"/>
          <w:szCs w:val="22"/>
        </w:rPr>
        <w:t xml:space="preserve">Determination </w:t>
      </w:r>
      <w:r w:rsidRPr="00BD33A4">
        <w:rPr>
          <w:rFonts w:asciiTheme="minorHAnsi" w:eastAsiaTheme="minorHAnsi" w:hAnsiTheme="minorHAnsi" w:cstheme="minorBidi"/>
          <w:snapToGrid/>
          <w:sz w:val="24"/>
          <w:szCs w:val="22"/>
        </w:rPr>
        <w:t>listing</w:t>
      </w:r>
      <w:r w:rsidR="002226E7" w:rsidRPr="00BD33A4">
        <w:rPr>
          <w:rFonts w:asciiTheme="minorHAnsi" w:eastAsiaTheme="minorHAnsi" w:hAnsiTheme="minorHAnsi" w:cstheme="minorBidi"/>
          <w:snapToGrid/>
          <w:sz w:val="24"/>
          <w:szCs w:val="22"/>
        </w:rPr>
        <w:t xml:space="preserve"> for </w:t>
      </w:r>
      <w:proofErr w:type="spellStart"/>
      <w:r w:rsidR="002226E7" w:rsidRPr="00BD33A4">
        <w:rPr>
          <w:rFonts w:asciiTheme="minorHAnsi" w:eastAsiaTheme="minorHAnsi" w:hAnsiTheme="minorHAnsi" w:cstheme="minorBidi"/>
          <w:snapToGrid/>
          <w:sz w:val="24"/>
          <w:szCs w:val="22"/>
        </w:rPr>
        <w:t>Fluarix</w:t>
      </w:r>
      <w:proofErr w:type="spellEnd"/>
      <w:r w:rsidR="002226E7" w:rsidRPr="00BD33A4">
        <w:rPr>
          <w:rFonts w:asciiTheme="minorHAnsi" w:eastAsiaTheme="minorHAnsi" w:hAnsiTheme="minorHAnsi" w:cstheme="minorBidi"/>
          <w:snapToGrid/>
          <w:sz w:val="24"/>
          <w:szCs w:val="22"/>
        </w:rPr>
        <w:t xml:space="preserve"> Tetra</w:t>
      </w:r>
      <w:r w:rsidR="008945EC" w:rsidRPr="00BD33A4">
        <w:rPr>
          <w:rFonts w:asciiTheme="minorHAnsi" w:eastAsiaTheme="minorHAnsi" w:hAnsiTheme="minorHAnsi" w:cstheme="minorBidi"/>
          <w:snapToGrid/>
          <w:sz w:val="24"/>
          <w:szCs w:val="22"/>
        </w:rPr>
        <w:t xml:space="preserve"> </w:t>
      </w:r>
      <w:r w:rsidR="00DF6530" w:rsidRPr="00BD33A4">
        <w:rPr>
          <w:rFonts w:asciiTheme="minorHAnsi" w:eastAsiaTheme="minorHAnsi" w:hAnsiTheme="minorHAnsi" w:cstheme="minorBidi"/>
          <w:snapToGrid/>
          <w:sz w:val="24"/>
          <w:szCs w:val="22"/>
        </w:rPr>
        <w:t>to include vaccination of infants and young children aged 6 - 35 months of age eligible for free vaccination under the National Immunisation Program (NIP) for the prevention of seasonal influenza</w:t>
      </w:r>
      <w:r w:rsidR="002226E7" w:rsidRPr="00BD33A4">
        <w:rPr>
          <w:rFonts w:asciiTheme="minorHAnsi" w:eastAsiaTheme="minorHAnsi" w:hAnsiTheme="minorHAnsi" w:cstheme="minorBidi"/>
          <w:snapToGrid/>
          <w:sz w:val="24"/>
          <w:szCs w:val="22"/>
        </w:rPr>
        <w:t>.</w:t>
      </w:r>
    </w:p>
    <w:p w:rsidR="001C2DF3" w:rsidRPr="00BD33A4" w:rsidRDefault="006B3B70" w:rsidP="005F3B0E">
      <w:pPr>
        <w:pStyle w:val="ListParagraph"/>
        <w:widowControl/>
        <w:numPr>
          <w:ilvl w:val="1"/>
          <w:numId w:val="14"/>
        </w:numPr>
        <w:spacing w:before="120" w:after="120"/>
        <w:rPr>
          <w:rFonts w:asciiTheme="minorHAnsi" w:eastAsiaTheme="minorHAnsi" w:hAnsiTheme="minorHAnsi" w:cstheme="minorBidi"/>
          <w:i/>
          <w:snapToGrid/>
          <w:sz w:val="24"/>
          <w:szCs w:val="22"/>
        </w:rPr>
      </w:pPr>
      <w:r w:rsidRPr="00BD33A4">
        <w:rPr>
          <w:rFonts w:asciiTheme="minorHAnsi" w:eastAsiaTheme="minorHAnsi" w:hAnsiTheme="minorHAnsi" w:cstheme="minorBidi"/>
          <w:snapToGrid/>
          <w:sz w:val="24"/>
          <w:szCs w:val="22"/>
        </w:rPr>
        <w:t>The submission did not propose the revised Determination listing</w:t>
      </w:r>
      <w:r w:rsidR="00BD33A4">
        <w:rPr>
          <w:rFonts w:asciiTheme="minorHAnsi" w:eastAsiaTheme="minorHAnsi" w:hAnsiTheme="minorHAnsi" w:cstheme="minorBidi"/>
          <w:snapToGrid/>
          <w:sz w:val="24"/>
          <w:szCs w:val="22"/>
        </w:rPr>
        <w:t xml:space="preserve">. </w:t>
      </w:r>
      <w:r w:rsidRPr="00BD33A4">
        <w:rPr>
          <w:rFonts w:asciiTheme="minorHAnsi" w:eastAsiaTheme="minorHAnsi" w:hAnsiTheme="minorHAnsi" w:cstheme="minorBidi"/>
          <w:snapToGrid/>
          <w:sz w:val="24"/>
          <w:szCs w:val="22"/>
        </w:rPr>
        <w:t xml:space="preserve">The </w:t>
      </w:r>
      <w:r w:rsidR="004B09F1" w:rsidRPr="00BD33A4">
        <w:rPr>
          <w:rFonts w:asciiTheme="minorHAnsi" w:eastAsiaTheme="minorHAnsi" w:hAnsiTheme="minorHAnsi" w:cstheme="minorBidi"/>
          <w:snapToGrid/>
          <w:sz w:val="24"/>
          <w:szCs w:val="22"/>
        </w:rPr>
        <w:t xml:space="preserve">current Determination listing for </w:t>
      </w:r>
      <w:proofErr w:type="spellStart"/>
      <w:r w:rsidR="004B09F1" w:rsidRPr="00BD33A4">
        <w:rPr>
          <w:rFonts w:asciiTheme="minorHAnsi" w:eastAsiaTheme="minorHAnsi" w:hAnsiTheme="minorHAnsi" w:cstheme="minorBidi"/>
          <w:snapToGrid/>
          <w:sz w:val="24"/>
          <w:szCs w:val="22"/>
        </w:rPr>
        <w:t>Fluarix</w:t>
      </w:r>
      <w:proofErr w:type="spellEnd"/>
      <w:r w:rsidR="004B09F1" w:rsidRPr="00BD33A4">
        <w:rPr>
          <w:rFonts w:asciiTheme="minorHAnsi" w:eastAsiaTheme="minorHAnsi" w:hAnsiTheme="minorHAnsi" w:cstheme="minorBidi"/>
          <w:snapToGrid/>
          <w:sz w:val="24"/>
          <w:szCs w:val="22"/>
        </w:rPr>
        <w:t xml:space="preserve"> Tetra with </w:t>
      </w:r>
      <w:r w:rsidRPr="00BD33A4">
        <w:rPr>
          <w:rFonts w:asciiTheme="minorHAnsi" w:eastAsiaTheme="minorHAnsi" w:hAnsiTheme="minorHAnsi" w:cstheme="minorBidi"/>
          <w:snapToGrid/>
          <w:sz w:val="24"/>
          <w:szCs w:val="22"/>
        </w:rPr>
        <w:t>changes</w:t>
      </w:r>
      <w:r w:rsidR="004B09F1" w:rsidRPr="00BD33A4">
        <w:rPr>
          <w:rFonts w:asciiTheme="minorHAnsi" w:eastAsiaTheme="minorHAnsi" w:hAnsiTheme="minorHAnsi" w:cstheme="minorBidi"/>
          <w:snapToGrid/>
          <w:sz w:val="24"/>
          <w:szCs w:val="22"/>
        </w:rPr>
        <w:t xml:space="preserve"> is </w:t>
      </w:r>
      <w:r w:rsidRPr="00BD33A4">
        <w:rPr>
          <w:rFonts w:asciiTheme="minorHAnsi" w:eastAsiaTheme="minorHAnsi" w:hAnsiTheme="minorHAnsi" w:cstheme="minorBidi"/>
          <w:snapToGrid/>
          <w:sz w:val="24"/>
          <w:szCs w:val="22"/>
        </w:rPr>
        <w:t>below.</w:t>
      </w:r>
      <w:r w:rsidRPr="00BD33A4">
        <w:rPr>
          <w:rFonts w:asciiTheme="minorHAnsi" w:eastAsiaTheme="minorHAnsi" w:hAnsiTheme="minorHAnsi" w:cstheme="minorBidi"/>
          <w:i/>
          <w:szCs w:val="22"/>
        </w:rPr>
        <w:t xml:space="preserve"> </w:t>
      </w:r>
    </w:p>
    <w:tbl>
      <w:tblPr>
        <w:tblW w:w="4915" w:type="pct"/>
        <w:tblBorders>
          <w:top w:val="single" w:sz="4" w:space="0" w:color="auto"/>
          <w:bottom w:val="single" w:sz="4" w:space="0" w:color="auto"/>
          <w:insideH w:val="single" w:sz="4" w:space="0" w:color="auto"/>
        </w:tblBorders>
        <w:tblLook w:val="0000" w:firstRow="0" w:lastRow="0" w:firstColumn="0" w:lastColumn="0" w:noHBand="0" w:noVBand="0"/>
      </w:tblPr>
      <w:tblGrid>
        <w:gridCol w:w="3293"/>
        <w:gridCol w:w="734"/>
        <w:gridCol w:w="883"/>
        <w:gridCol w:w="1687"/>
        <w:gridCol w:w="709"/>
        <w:gridCol w:w="1567"/>
      </w:tblGrid>
      <w:tr w:rsidR="00163329" w:rsidRPr="00BD33A4" w:rsidTr="00322E0F">
        <w:trPr>
          <w:cantSplit/>
          <w:trHeight w:val="465"/>
        </w:trPr>
        <w:tc>
          <w:tcPr>
            <w:tcW w:w="1865" w:type="pct"/>
            <w:tcBorders>
              <w:top w:val="single" w:sz="4" w:space="0" w:color="auto"/>
            </w:tcBorders>
          </w:tcPr>
          <w:p w:rsidR="00826F6D" w:rsidRPr="00BD33A4" w:rsidRDefault="00826F6D" w:rsidP="007F6CE8">
            <w:pPr>
              <w:keepNext/>
              <w:spacing w:before="40" w:after="40"/>
              <w:rPr>
                <w:rFonts w:ascii="Arial Narrow" w:hAnsi="Arial Narrow" w:cs="Arial"/>
                <w:b/>
                <w:sz w:val="20"/>
                <w:szCs w:val="20"/>
              </w:rPr>
            </w:pPr>
            <w:r w:rsidRPr="00BD33A4">
              <w:rPr>
                <w:rFonts w:ascii="Arial Narrow" w:hAnsi="Arial Narrow" w:cs="Arial"/>
                <w:b/>
                <w:sz w:val="20"/>
                <w:szCs w:val="20"/>
              </w:rPr>
              <w:t>Name, Restriction,</w:t>
            </w:r>
          </w:p>
          <w:p w:rsidR="00826F6D" w:rsidRPr="00BD33A4" w:rsidRDefault="00826F6D" w:rsidP="007F6CE8">
            <w:pPr>
              <w:keepNext/>
              <w:spacing w:before="40" w:after="40"/>
              <w:rPr>
                <w:rFonts w:ascii="Arial Narrow" w:hAnsi="Arial Narrow" w:cs="Arial"/>
                <w:b/>
                <w:sz w:val="20"/>
                <w:szCs w:val="20"/>
              </w:rPr>
            </w:pPr>
            <w:r w:rsidRPr="00BD33A4">
              <w:rPr>
                <w:rFonts w:ascii="Arial Narrow" w:hAnsi="Arial Narrow" w:cs="Arial"/>
                <w:b/>
                <w:sz w:val="20"/>
                <w:szCs w:val="20"/>
              </w:rPr>
              <w:t>Manner of administration and form</w:t>
            </w:r>
          </w:p>
        </w:tc>
        <w:tc>
          <w:tcPr>
            <w:tcW w:w="423" w:type="pct"/>
          </w:tcPr>
          <w:p w:rsidR="00826F6D" w:rsidRPr="00BD33A4" w:rsidRDefault="00826F6D" w:rsidP="007F6CE8">
            <w:pPr>
              <w:keepNext/>
              <w:spacing w:before="40" w:after="40"/>
              <w:rPr>
                <w:rFonts w:ascii="Arial Narrow" w:hAnsi="Arial Narrow" w:cs="Arial"/>
                <w:b/>
                <w:sz w:val="20"/>
                <w:szCs w:val="20"/>
              </w:rPr>
            </w:pPr>
            <w:r w:rsidRPr="00BD33A4">
              <w:rPr>
                <w:rFonts w:ascii="Arial Narrow" w:hAnsi="Arial Narrow" w:cs="Arial"/>
                <w:b/>
                <w:sz w:val="20"/>
                <w:szCs w:val="20"/>
              </w:rPr>
              <w:t>Max.</w:t>
            </w:r>
          </w:p>
          <w:p w:rsidR="00826F6D" w:rsidRPr="00BD33A4" w:rsidRDefault="00826F6D" w:rsidP="007F6CE8">
            <w:pPr>
              <w:keepNext/>
              <w:spacing w:before="40" w:after="40"/>
              <w:rPr>
                <w:rFonts w:ascii="Arial Narrow" w:hAnsi="Arial Narrow" w:cs="Arial"/>
                <w:b/>
                <w:sz w:val="20"/>
                <w:szCs w:val="20"/>
              </w:rPr>
            </w:pPr>
            <w:proofErr w:type="spellStart"/>
            <w:r w:rsidRPr="00BD33A4">
              <w:rPr>
                <w:rFonts w:ascii="Arial Narrow" w:hAnsi="Arial Narrow" w:cs="Arial"/>
                <w:b/>
                <w:sz w:val="20"/>
                <w:szCs w:val="20"/>
              </w:rPr>
              <w:t>Qty</w:t>
            </w:r>
            <w:proofErr w:type="spellEnd"/>
          </w:p>
        </w:tc>
        <w:tc>
          <w:tcPr>
            <w:tcW w:w="507" w:type="pct"/>
          </w:tcPr>
          <w:p w:rsidR="00826F6D" w:rsidRPr="00BD33A4" w:rsidRDefault="00826F6D" w:rsidP="007F6CE8">
            <w:pPr>
              <w:keepNext/>
              <w:spacing w:before="40" w:after="40"/>
              <w:rPr>
                <w:rFonts w:ascii="Arial Narrow" w:hAnsi="Arial Narrow" w:cs="Arial"/>
                <w:b/>
                <w:sz w:val="20"/>
                <w:szCs w:val="20"/>
              </w:rPr>
            </w:pPr>
            <w:r w:rsidRPr="00BD33A4">
              <w:rPr>
                <w:rFonts w:ascii="Arial Narrow" w:hAnsi="Arial Narrow" w:cs="Arial"/>
                <w:b/>
                <w:sz w:val="20"/>
                <w:szCs w:val="20"/>
              </w:rPr>
              <w:t>№.of</w:t>
            </w:r>
          </w:p>
          <w:p w:rsidR="00826F6D" w:rsidRPr="00BD33A4" w:rsidRDefault="00826F6D" w:rsidP="007F6CE8">
            <w:pPr>
              <w:keepNext/>
              <w:spacing w:before="40" w:after="40"/>
              <w:rPr>
                <w:rFonts w:ascii="Arial Narrow" w:hAnsi="Arial Narrow" w:cs="Arial"/>
                <w:b/>
                <w:sz w:val="20"/>
                <w:szCs w:val="20"/>
              </w:rPr>
            </w:pPr>
            <w:proofErr w:type="spellStart"/>
            <w:r w:rsidRPr="00BD33A4">
              <w:rPr>
                <w:rFonts w:ascii="Arial Narrow" w:hAnsi="Arial Narrow" w:cs="Arial"/>
                <w:b/>
                <w:sz w:val="20"/>
                <w:szCs w:val="20"/>
              </w:rPr>
              <w:t>Rpts</w:t>
            </w:r>
            <w:proofErr w:type="spellEnd"/>
          </w:p>
        </w:tc>
        <w:tc>
          <w:tcPr>
            <w:tcW w:w="960" w:type="pct"/>
          </w:tcPr>
          <w:p w:rsidR="00826F6D" w:rsidRPr="00BD33A4" w:rsidRDefault="002226E7" w:rsidP="007F6CE8">
            <w:pPr>
              <w:keepNext/>
              <w:spacing w:before="40" w:after="40"/>
              <w:rPr>
                <w:rFonts w:ascii="Arial Narrow" w:hAnsi="Arial Narrow" w:cs="Arial"/>
                <w:b/>
                <w:sz w:val="20"/>
                <w:szCs w:val="20"/>
              </w:rPr>
            </w:pPr>
            <w:r w:rsidRPr="00BD33A4">
              <w:rPr>
                <w:rFonts w:ascii="Arial Narrow" w:hAnsi="Arial Narrow" w:cs="Arial"/>
                <w:b/>
                <w:sz w:val="20"/>
                <w:szCs w:val="20"/>
              </w:rPr>
              <w:t>Nationally Negotiated Price</w:t>
            </w:r>
          </w:p>
        </w:tc>
        <w:tc>
          <w:tcPr>
            <w:tcW w:w="1245" w:type="pct"/>
            <w:gridSpan w:val="2"/>
          </w:tcPr>
          <w:p w:rsidR="00826F6D" w:rsidRPr="001B7756" w:rsidRDefault="00826F6D" w:rsidP="007F6CE8">
            <w:pPr>
              <w:keepNext/>
              <w:spacing w:before="40" w:after="40"/>
              <w:rPr>
                <w:rFonts w:ascii="Arial Narrow" w:hAnsi="Arial Narrow" w:cs="Arial"/>
                <w:b/>
                <w:sz w:val="20"/>
                <w:szCs w:val="20"/>
              </w:rPr>
            </w:pPr>
            <w:r w:rsidRPr="00BD33A4">
              <w:rPr>
                <w:rFonts w:ascii="Arial Narrow" w:hAnsi="Arial Narrow" w:cs="Arial"/>
                <w:b/>
                <w:sz w:val="20"/>
                <w:szCs w:val="20"/>
              </w:rPr>
              <w:t>Proprietary Name and Manufacturer</w:t>
            </w:r>
          </w:p>
        </w:tc>
      </w:tr>
      <w:tr w:rsidR="00163329" w:rsidRPr="00BD33A4" w:rsidTr="00E76413">
        <w:trPr>
          <w:cantSplit/>
          <w:trHeight w:val="567"/>
        </w:trPr>
        <w:tc>
          <w:tcPr>
            <w:tcW w:w="1865" w:type="pct"/>
          </w:tcPr>
          <w:p w:rsidR="00BA436C" w:rsidRPr="00BD33A4" w:rsidRDefault="00BA436C" w:rsidP="007F6CE8">
            <w:pPr>
              <w:keepNext/>
              <w:spacing w:before="40" w:after="40"/>
              <w:jc w:val="both"/>
              <w:rPr>
                <w:rFonts w:ascii="Arial Narrow" w:hAnsi="Arial Narrow" w:cs="Arial"/>
                <w:smallCaps/>
                <w:sz w:val="20"/>
                <w:szCs w:val="20"/>
              </w:rPr>
            </w:pPr>
            <w:r w:rsidRPr="00BD33A4">
              <w:rPr>
                <w:rFonts w:ascii="Arial Narrow" w:hAnsi="Arial Narrow" w:cs="Arial"/>
                <w:smallCaps/>
                <w:sz w:val="20"/>
                <w:szCs w:val="20"/>
              </w:rPr>
              <w:t>QUADRIVALENT INFLUENZA VACCINE</w:t>
            </w:r>
            <w:r w:rsidR="00FF6050" w:rsidRPr="00BD33A4">
              <w:rPr>
                <w:rFonts w:ascii="Arial Narrow" w:hAnsi="Arial Narrow" w:cs="Arial"/>
                <w:smallCaps/>
                <w:sz w:val="20"/>
                <w:szCs w:val="20"/>
              </w:rPr>
              <w:t xml:space="preserve">  </w:t>
            </w:r>
            <w:r w:rsidRPr="00BD33A4">
              <w:rPr>
                <w:rFonts w:ascii="Arial Narrow" w:hAnsi="Arial Narrow" w:cs="Arial"/>
                <w:smallCaps/>
                <w:sz w:val="20"/>
                <w:szCs w:val="20"/>
              </w:rPr>
              <w:t>(SPLIT VIRION, INACTIVATED)</w:t>
            </w:r>
          </w:p>
          <w:p w:rsidR="00826F6D" w:rsidRPr="00BD33A4" w:rsidRDefault="00BA436C" w:rsidP="007F6CE8">
            <w:pPr>
              <w:keepNext/>
              <w:spacing w:before="40" w:after="40"/>
              <w:jc w:val="both"/>
              <w:rPr>
                <w:rFonts w:ascii="Arial Narrow" w:hAnsi="Arial Narrow" w:cs="Arial"/>
                <w:sz w:val="20"/>
                <w:szCs w:val="20"/>
              </w:rPr>
            </w:pPr>
            <w:r w:rsidRPr="00BD33A4">
              <w:rPr>
                <w:rFonts w:ascii="Arial Narrow" w:hAnsi="Arial Narrow" w:cs="Arial"/>
                <w:smallCaps/>
                <w:sz w:val="20"/>
                <w:szCs w:val="20"/>
              </w:rPr>
              <w:t>Prefilled syringe, 0.5</w:t>
            </w:r>
            <w:r w:rsidR="007F6CE8" w:rsidRPr="00BD33A4">
              <w:rPr>
                <w:rFonts w:ascii="Arial Narrow" w:hAnsi="Arial Narrow" w:cs="Arial"/>
                <w:smallCaps/>
                <w:sz w:val="20"/>
                <w:szCs w:val="20"/>
              </w:rPr>
              <w:t xml:space="preserve"> </w:t>
            </w:r>
            <w:r w:rsidRPr="00BD33A4">
              <w:rPr>
                <w:rFonts w:ascii="Arial Narrow" w:hAnsi="Arial Narrow" w:cs="Arial"/>
                <w:smallCaps/>
                <w:sz w:val="20"/>
                <w:szCs w:val="20"/>
              </w:rPr>
              <w:t>mL</w:t>
            </w:r>
          </w:p>
        </w:tc>
        <w:tc>
          <w:tcPr>
            <w:tcW w:w="423" w:type="pct"/>
          </w:tcPr>
          <w:p w:rsidR="00826F6D" w:rsidRPr="00BD33A4" w:rsidRDefault="00826F6D" w:rsidP="007F6CE8">
            <w:pPr>
              <w:keepNext/>
              <w:spacing w:before="40" w:after="40"/>
              <w:jc w:val="both"/>
              <w:rPr>
                <w:rFonts w:ascii="Arial Narrow" w:hAnsi="Arial Narrow" w:cs="Arial"/>
                <w:sz w:val="20"/>
                <w:szCs w:val="20"/>
              </w:rPr>
            </w:pPr>
          </w:p>
          <w:p w:rsidR="00826F6D" w:rsidRPr="00BD33A4" w:rsidRDefault="00207B39" w:rsidP="007F6CE8">
            <w:pPr>
              <w:keepNext/>
              <w:spacing w:before="40" w:after="40"/>
              <w:jc w:val="both"/>
              <w:rPr>
                <w:rFonts w:ascii="Arial Narrow" w:hAnsi="Arial Narrow" w:cs="Arial"/>
                <w:sz w:val="20"/>
                <w:szCs w:val="20"/>
              </w:rPr>
            </w:pPr>
            <w:r w:rsidRPr="00BD33A4">
              <w:rPr>
                <w:rFonts w:ascii="Arial Narrow" w:hAnsi="Arial Narrow" w:cs="Arial"/>
                <w:sz w:val="20"/>
                <w:szCs w:val="20"/>
              </w:rPr>
              <w:t>1</w:t>
            </w:r>
          </w:p>
        </w:tc>
        <w:tc>
          <w:tcPr>
            <w:tcW w:w="507" w:type="pct"/>
          </w:tcPr>
          <w:p w:rsidR="00826F6D" w:rsidRPr="00BD33A4" w:rsidRDefault="00826F6D" w:rsidP="007F6CE8">
            <w:pPr>
              <w:keepNext/>
              <w:spacing w:before="40" w:after="40"/>
              <w:jc w:val="both"/>
              <w:rPr>
                <w:rFonts w:ascii="Arial Narrow" w:hAnsi="Arial Narrow" w:cs="Arial"/>
                <w:sz w:val="20"/>
                <w:szCs w:val="20"/>
              </w:rPr>
            </w:pPr>
          </w:p>
          <w:p w:rsidR="00826F6D" w:rsidRPr="00BD33A4" w:rsidRDefault="00207B39" w:rsidP="007F6CE8">
            <w:pPr>
              <w:keepNext/>
              <w:spacing w:before="40" w:after="40"/>
              <w:jc w:val="both"/>
              <w:rPr>
                <w:rFonts w:ascii="Arial Narrow" w:hAnsi="Arial Narrow" w:cs="Arial"/>
                <w:sz w:val="20"/>
                <w:szCs w:val="20"/>
              </w:rPr>
            </w:pPr>
            <w:r w:rsidRPr="00BD33A4">
              <w:rPr>
                <w:rFonts w:ascii="Arial Narrow" w:hAnsi="Arial Narrow" w:cs="Arial"/>
                <w:sz w:val="20"/>
                <w:szCs w:val="20"/>
              </w:rPr>
              <w:t>0</w:t>
            </w:r>
            <w:r w:rsidR="00FF6050" w:rsidRPr="00BD33A4">
              <w:rPr>
                <w:rFonts w:ascii="Arial Narrow" w:hAnsi="Arial Narrow" w:cs="Arial"/>
                <w:sz w:val="20"/>
                <w:szCs w:val="20"/>
              </w:rPr>
              <w:t>*</w:t>
            </w:r>
          </w:p>
        </w:tc>
        <w:tc>
          <w:tcPr>
            <w:tcW w:w="960" w:type="pct"/>
          </w:tcPr>
          <w:p w:rsidR="00826F6D" w:rsidRPr="00BD33A4" w:rsidRDefault="00826F6D" w:rsidP="007F6CE8">
            <w:pPr>
              <w:keepNext/>
              <w:spacing w:before="40" w:after="40"/>
              <w:jc w:val="both"/>
              <w:rPr>
                <w:rFonts w:ascii="Arial Narrow" w:hAnsi="Arial Narrow" w:cs="Arial"/>
                <w:sz w:val="20"/>
                <w:szCs w:val="20"/>
              </w:rPr>
            </w:pPr>
          </w:p>
          <w:p w:rsidR="00826F6D" w:rsidRPr="00BD33A4" w:rsidRDefault="00207B39" w:rsidP="007F6CE8">
            <w:pPr>
              <w:keepNext/>
              <w:spacing w:before="40" w:after="40"/>
              <w:jc w:val="both"/>
              <w:rPr>
                <w:rFonts w:ascii="Arial Narrow" w:hAnsi="Arial Narrow" w:cs="Arial"/>
                <w:sz w:val="20"/>
                <w:szCs w:val="20"/>
              </w:rPr>
            </w:pPr>
            <w:r w:rsidRPr="00BD33A4">
              <w:rPr>
                <w:rFonts w:ascii="Arial Narrow" w:hAnsi="Arial Narrow" w:cs="Arial"/>
                <w:sz w:val="20"/>
                <w:szCs w:val="20"/>
              </w:rPr>
              <w:t>$</w:t>
            </w:r>
            <w:r w:rsidR="00BF216E">
              <w:rPr>
                <w:rFonts w:ascii="Arial Narrow" w:hAnsi="Arial Narrow" w:cs="Arial"/>
                <w:noProof/>
                <w:color w:val="000000"/>
                <w:sz w:val="20"/>
                <w:szCs w:val="20"/>
                <w:highlight w:val="black"/>
              </w:rPr>
              <w:t>'''''''''''</w:t>
            </w:r>
          </w:p>
        </w:tc>
        <w:tc>
          <w:tcPr>
            <w:tcW w:w="353" w:type="pct"/>
          </w:tcPr>
          <w:p w:rsidR="00C27B58" w:rsidRPr="00BD33A4" w:rsidRDefault="00C27B58" w:rsidP="007F6CE8">
            <w:pPr>
              <w:keepNext/>
              <w:spacing w:before="40" w:after="40"/>
              <w:jc w:val="both"/>
              <w:rPr>
                <w:rFonts w:ascii="Arial Narrow" w:hAnsi="Arial Narrow" w:cs="Arial"/>
                <w:sz w:val="20"/>
                <w:szCs w:val="20"/>
              </w:rPr>
            </w:pPr>
          </w:p>
          <w:p w:rsidR="00826F6D" w:rsidRPr="00BD33A4" w:rsidRDefault="00207B39" w:rsidP="007F6CE8">
            <w:pPr>
              <w:keepNext/>
              <w:spacing w:before="40" w:after="40"/>
              <w:jc w:val="both"/>
              <w:rPr>
                <w:rFonts w:ascii="Arial Narrow" w:hAnsi="Arial Narrow" w:cs="Arial"/>
                <w:sz w:val="20"/>
                <w:szCs w:val="20"/>
              </w:rPr>
            </w:pPr>
            <w:proofErr w:type="spellStart"/>
            <w:r w:rsidRPr="00BD33A4">
              <w:rPr>
                <w:rFonts w:ascii="Arial Narrow" w:hAnsi="Arial Narrow" w:cs="Arial"/>
                <w:sz w:val="20"/>
                <w:szCs w:val="20"/>
              </w:rPr>
              <w:t>Fluarix</w:t>
            </w:r>
            <w:proofErr w:type="spellEnd"/>
            <w:r w:rsidRPr="00BD33A4">
              <w:rPr>
                <w:rFonts w:ascii="Arial Narrow" w:hAnsi="Arial Narrow" w:cs="Arial"/>
                <w:sz w:val="20"/>
                <w:szCs w:val="20"/>
              </w:rPr>
              <w:t xml:space="preserve"> Tetra</w:t>
            </w:r>
          </w:p>
        </w:tc>
        <w:tc>
          <w:tcPr>
            <w:tcW w:w="892" w:type="pct"/>
          </w:tcPr>
          <w:p w:rsidR="00C27B58" w:rsidRPr="00BD33A4" w:rsidRDefault="00C27B58" w:rsidP="007F6CE8">
            <w:pPr>
              <w:keepNext/>
              <w:spacing w:before="40" w:after="40"/>
              <w:jc w:val="both"/>
              <w:rPr>
                <w:rFonts w:ascii="Arial Narrow" w:hAnsi="Arial Narrow" w:cs="Arial"/>
                <w:sz w:val="20"/>
                <w:szCs w:val="20"/>
              </w:rPr>
            </w:pPr>
          </w:p>
          <w:p w:rsidR="00826F6D" w:rsidRPr="00BD33A4" w:rsidRDefault="00207B39" w:rsidP="007F6CE8">
            <w:pPr>
              <w:keepNext/>
              <w:spacing w:before="40" w:after="40"/>
              <w:jc w:val="both"/>
              <w:rPr>
                <w:rFonts w:ascii="Arial Narrow" w:hAnsi="Arial Narrow" w:cs="Arial"/>
                <w:sz w:val="20"/>
                <w:szCs w:val="20"/>
              </w:rPr>
            </w:pPr>
            <w:r w:rsidRPr="00BD33A4">
              <w:rPr>
                <w:rFonts w:ascii="Arial Narrow" w:hAnsi="Arial Narrow" w:cs="Arial"/>
                <w:sz w:val="20"/>
                <w:szCs w:val="20"/>
              </w:rPr>
              <w:t>GlaxoSmithKline Australia Pty Ltd</w:t>
            </w:r>
          </w:p>
        </w:tc>
      </w:tr>
    </w:tbl>
    <w:p w:rsidR="003A1F0B" w:rsidRPr="00BD33A4" w:rsidRDefault="00FF6050" w:rsidP="007F6CE8">
      <w:pPr>
        <w:rPr>
          <w:rFonts w:ascii="Arial Narrow" w:hAnsi="Arial Narrow" w:cs="Arial"/>
          <w:color w:val="000000"/>
          <w:sz w:val="20"/>
          <w:szCs w:val="20"/>
          <w:shd w:val="clear" w:color="auto" w:fill="FFFFFF"/>
        </w:rPr>
      </w:pPr>
      <w:r w:rsidRPr="00BD33A4">
        <w:rPr>
          <w:rFonts w:ascii="Arial Narrow" w:hAnsi="Arial Narrow"/>
          <w:sz w:val="20"/>
          <w:szCs w:val="20"/>
        </w:rPr>
        <w:t>*</w:t>
      </w:r>
      <w:r w:rsidRPr="00BD33A4">
        <w:rPr>
          <w:rFonts w:ascii="Arial Narrow" w:hAnsi="Arial Narrow" w:cs="Arial"/>
          <w:color w:val="000000"/>
          <w:sz w:val="20"/>
          <w:szCs w:val="20"/>
          <w:shd w:val="clear" w:color="auto" w:fill="FFFFFF"/>
        </w:rPr>
        <w:t xml:space="preserve"> For children </w:t>
      </w:r>
      <w:r w:rsidRPr="00BD33A4">
        <w:rPr>
          <w:rFonts w:ascii="Arial Narrow" w:hAnsi="Arial Narrow" w:cs="Arial"/>
          <w:i/>
          <w:strike/>
          <w:color w:val="000000"/>
          <w:sz w:val="20"/>
          <w:szCs w:val="20"/>
          <w:shd w:val="clear" w:color="auto" w:fill="FFFFFF"/>
        </w:rPr>
        <w:t>3</w:t>
      </w:r>
      <w:r w:rsidR="0089601B" w:rsidRPr="00BD33A4">
        <w:rPr>
          <w:rFonts w:ascii="Arial Narrow" w:hAnsi="Arial Narrow" w:cs="Arial"/>
          <w:i/>
          <w:color w:val="000000"/>
          <w:sz w:val="20"/>
          <w:szCs w:val="20"/>
          <w:shd w:val="clear" w:color="auto" w:fill="FFFFFF"/>
        </w:rPr>
        <w:t>6 months</w:t>
      </w:r>
      <w:r w:rsidR="00825D1F" w:rsidRPr="00BD33A4">
        <w:rPr>
          <w:rFonts w:ascii="Arial Narrow" w:hAnsi="Arial Narrow" w:cs="Arial"/>
          <w:i/>
          <w:color w:val="000000"/>
          <w:sz w:val="20"/>
          <w:szCs w:val="20"/>
          <w:shd w:val="clear" w:color="auto" w:fill="FFFFFF"/>
        </w:rPr>
        <w:t xml:space="preserve"> </w:t>
      </w:r>
      <w:r w:rsidRPr="00BD33A4">
        <w:rPr>
          <w:rFonts w:ascii="Arial Narrow" w:hAnsi="Arial Narrow" w:cs="Arial"/>
          <w:strike/>
          <w:color w:val="000000"/>
          <w:sz w:val="20"/>
          <w:szCs w:val="20"/>
          <w:shd w:val="clear" w:color="auto" w:fill="FFFFFF"/>
        </w:rPr>
        <w:t xml:space="preserve">years </w:t>
      </w:r>
      <w:r w:rsidRPr="00BD33A4">
        <w:rPr>
          <w:rFonts w:ascii="Arial Narrow" w:hAnsi="Arial Narrow" w:cs="Arial"/>
          <w:color w:val="000000"/>
          <w:sz w:val="20"/>
          <w:szCs w:val="20"/>
          <w:shd w:val="clear" w:color="auto" w:fill="FFFFFF"/>
        </w:rPr>
        <w:t>and older but less than 9 years, 2 doses at least 1 month apart are required for the first vaccination, as per the Determination listing and the recommendations in the Australian Immunisation Handbook.</w:t>
      </w:r>
    </w:p>
    <w:p w:rsidR="00FF6050" w:rsidRPr="00BD33A4" w:rsidRDefault="00FF6050" w:rsidP="007F6CE8">
      <w:pPr>
        <w:rPr>
          <w:rFonts w:ascii="Arial" w:hAnsi="Arial" w:cs="Arial"/>
          <w:color w:val="000000"/>
          <w:sz w:val="20"/>
          <w:szCs w:val="20"/>
          <w:shd w:val="clear" w:color="auto" w:fill="FFFFFF"/>
        </w:rPr>
      </w:pPr>
    </w:p>
    <w:p w:rsidR="003A1F0B" w:rsidRPr="00BD33A4" w:rsidRDefault="003A1F0B" w:rsidP="007F6CE8">
      <w:pPr>
        <w:pStyle w:val="Tableheading0"/>
        <w:keepNext/>
        <w:spacing w:after="0"/>
        <w:rPr>
          <w:rFonts w:ascii="Arial Narrow" w:hAnsi="Arial Narrow"/>
          <w:b/>
        </w:rPr>
      </w:pPr>
      <w:r w:rsidRPr="00BD33A4">
        <w:rPr>
          <w:rFonts w:ascii="Arial Narrow" w:hAnsi="Arial Narrow"/>
          <w:b/>
        </w:rPr>
        <w:t xml:space="preserve">Table </w:t>
      </w:r>
      <w:r w:rsidRPr="001B7756">
        <w:rPr>
          <w:rFonts w:ascii="Arial Narrow" w:hAnsi="Arial Narrow"/>
          <w:b/>
        </w:rPr>
        <w:t>1</w:t>
      </w:r>
      <w:r w:rsidR="007F6CE8" w:rsidRPr="00BD33A4">
        <w:rPr>
          <w:rFonts w:ascii="Arial Narrow" w:hAnsi="Arial Narrow"/>
          <w:b/>
        </w:rPr>
        <w:t xml:space="preserve">: </w:t>
      </w:r>
      <w:r w:rsidRPr="00BD33A4">
        <w:rPr>
          <w:rFonts w:ascii="Arial Narrow" w:hAnsi="Arial Narrow"/>
          <w:b/>
        </w:rPr>
        <w:t xml:space="preserve">Current listing for </w:t>
      </w:r>
      <w:proofErr w:type="spellStart"/>
      <w:r w:rsidRPr="00BD33A4">
        <w:rPr>
          <w:rFonts w:ascii="Arial Narrow" w:hAnsi="Arial Narrow"/>
          <w:b/>
        </w:rPr>
        <w:t>Fluarix</w:t>
      </w:r>
      <w:proofErr w:type="spellEnd"/>
      <w:r w:rsidRPr="00BD33A4">
        <w:rPr>
          <w:rFonts w:ascii="Arial Narrow" w:hAnsi="Arial Narrow"/>
          <w:b/>
        </w:rPr>
        <w:t xml:space="preserve"> Tetra on the </w:t>
      </w:r>
      <w:r w:rsidRPr="00BD33A4">
        <w:rPr>
          <w:rFonts w:ascii="Arial Narrow" w:eastAsiaTheme="minorHAnsi" w:hAnsi="Arial Narrow" w:cstheme="minorBidi"/>
          <w:b/>
        </w:rPr>
        <w:t xml:space="preserve">Determination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urrent listing for Fluarix Tetra on the Determination "/>
      </w:tblPr>
      <w:tblGrid>
        <w:gridCol w:w="3396"/>
        <w:gridCol w:w="994"/>
        <w:gridCol w:w="1277"/>
        <w:gridCol w:w="3349"/>
      </w:tblGrid>
      <w:tr w:rsidR="0069373D" w:rsidRPr="00BD33A4" w:rsidTr="007F6CE8">
        <w:trPr>
          <w:cantSplit/>
          <w:trHeight w:val="889"/>
        </w:trPr>
        <w:tc>
          <w:tcPr>
            <w:tcW w:w="1884" w:type="pct"/>
            <w:shd w:val="clear" w:color="auto" w:fill="auto"/>
            <w:vAlign w:val="center"/>
          </w:tcPr>
          <w:p w:rsidR="008E7365" w:rsidRPr="00BD33A4" w:rsidRDefault="008E7365" w:rsidP="007F6CE8">
            <w:pPr>
              <w:pStyle w:val="tablecolhead"/>
              <w:keepNext/>
              <w:rPr>
                <w:rFonts w:ascii="Arial Narrow" w:hAnsi="Arial Narrow" w:cs="Arial"/>
                <w:b/>
                <w:sz w:val="20"/>
                <w:szCs w:val="20"/>
              </w:rPr>
            </w:pPr>
            <w:r w:rsidRPr="00BD33A4">
              <w:rPr>
                <w:rFonts w:ascii="Arial Narrow" w:hAnsi="Arial Narrow" w:cs="Arial"/>
                <w:b/>
                <w:sz w:val="20"/>
                <w:szCs w:val="20"/>
              </w:rPr>
              <w:t>Vaccine and the circumstances in which vaccine may be provided</w:t>
            </w:r>
          </w:p>
        </w:tc>
        <w:tc>
          <w:tcPr>
            <w:tcW w:w="551" w:type="pct"/>
            <w:shd w:val="clear" w:color="auto" w:fill="auto"/>
            <w:vAlign w:val="center"/>
          </w:tcPr>
          <w:p w:rsidR="008E7365" w:rsidRPr="00BD33A4" w:rsidRDefault="008E7365" w:rsidP="007F6CE8">
            <w:pPr>
              <w:pStyle w:val="tablecolhead"/>
              <w:keepNext/>
              <w:rPr>
                <w:rFonts w:ascii="Arial Narrow" w:hAnsi="Arial Narrow" w:cs="Arial"/>
                <w:b/>
                <w:sz w:val="20"/>
                <w:szCs w:val="20"/>
              </w:rPr>
            </w:pPr>
            <w:r w:rsidRPr="00BD33A4">
              <w:rPr>
                <w:rFonts w:ascii="Arial Narrow" w:hAnsi="Arial Narrow" w:cs="Arial"/>
                <w:b/>
                <w:sz w:val="20"/>
                <w:szCs w:val="20"/>
              </w:rPr>
              <w:t>Brand</w:t>
            </w:r>
          </w:p>
        </w:tc>
        <w:tc>
          <w:tcPr>
            <w:tcW w:w="708" w:type="pct"/>
            <w:shd w:val="clear" w:color="auto" w:fill="auto"/>
            <w:vAlign w:val="center"/>
          </w:tcPr>
          <w:p w:rsidR="008E7365" w:rsidRPr="00BD33A4" w:rsidRDefault="008E7365" w:rsidP="007F6CE8">
            <w:pPr>
              <w:pStyle w:val="tablecolhead"/>
              <w:keepNext/>
              <w:rPr>
                <w:rFonts w:ascii="Arial Narrow" w:hAnsi="Arial Narrow" w:cs="Arial"/>
                <w:b/>
                <w:sz w:val="20"/>
                <w:szCs w:val="20"/>
              </w:rPr>
            </w:pPr>
            <w:r w:rsidRPr="00BD33A4">
              <w:rPr>
                <w:rFonts w:ascii="Arial Narrow" w:hAnsi="Arial Narrow" w:cs="Arial"/>
                <w:b/>
                <w:sz w:val="20"/>
                <w:szCs w:val="20"/>
              </w:rPr>
              <w:t>Formulation</w:t>
            </w:r>
          </w:p>
        </w:tc>
        <w:tc>
          <w:tcPr>
            <w:tcW w:w="1857" w:type="pct"/>
            <w:shd w:val="clear" w:color="auto" w:fill="auto"/>
            <w:vAlign w:val="center"/>
          </w:tcPr>
          <w:p w:rsidR="008E7365" w:rsidRPr="00BD33A4" w:rsidRDefault="008E7365" w:rsidP="007F6CE8">
            <w:pPr>
              <w:pStyle w:val="tablecolhead"/>
              <w:keepNext/>
              <w:rPr>
                <w:rFonts w:ascii="Arial Narrow" w:hAnsi="Arial Narrow" w:cs="Arial"/>
                <w:b/>
                <w:sz w:val="20"/>
                <w:szCs w:val="20"/>
              </w:rPr>
            </w:pPr>
            <w:r w:rsidRPr="00BD33A4">
              <w:rPr>
                <w:rFonts w:ascii="Arial Narrow" w:hAnsi="Arial Narrow" w:cs="Arial"/>
                <w:b/>
                <w:sz w:val="20"/>
                <w:szCs w:val="20"/>
              </w:rPr>
              <w:t>Number and timing of doses</w:t>
            </w:r>
          </w:p>
        </w:tc>
      </w:tr>
      <w:tr w:rsidR="006B4544" w:rsidRPr="00BD33A4" w:rsidTr="00E76413">
        <w:trPr>
          <w:cantSplit/>
          <w:trHeight w:hRule="exact" w:val="1660"/>
        </w:trPr>
        <w:tc>
          <w:tcPr>
            <w:tcW w:w="1884" w:type="pct"/>
            <w:shd w:val="clear" w:color="auto" w:fill="auto"/>
          </w:tcPr>
          <w:p w:rsidR="008E7365" w:rsidRPr="00BD33A4" w:rsidRDefault="008E7365" w:rsidP="007F6CE8">
            <w:pPr>
              <w:keepNext/>
              <w:shd w:val="clear" w:color="auto" w:fill="FFFFFF"/>
              <w:spacing w:before="120" w:after="60" w:line="200" w:lineRule="atLeast"/>
              <w:rPr>
                <w:rFonts w:ascii="Arial Narrow" w:hAnsi="Arial Narrow" w:cs="Arial"/>
                <w:b/>
                <w:sz w:val="20"/>
                <w:szCs w:val="20"/>
              </w:rPr>
            </w:pPr>
            <w:r w:rsidRPr="00BD33A4">
              <w:rPr>
                <w:rFonts w:ascii="Arial Narrow" w:hAnsi="Arial Narrow" w:cs="Arial"/>
                <w:b/>
                <w:sz w:val="20"/>
                <w:szCs w:val="20"/>
              </w:rPr>
              <w:t>Vaccine</w:t>
            </w:r>
          </w:p>
          <w:p w:rsidR="008E7365" w:rsidRPr="00BD33A4" w:rsidRDefault="008E7365" w:rsidP="007F6CE8">
            <w:pPr>
              <w:keepNext/>
              <w:shd w:val="clear" w:color="auto" w:fill="FFFFFF"/>
              <w:spacing w:before="60" w:after="60" w:line="240" w:lineRule="atLeast"/>
              <w:rPr>
                <w:rFonts w:ascii="Arial Narrow" w:hAnsi="Arial Narrow" w:cs="Arial"/>
                <w:sz w:val="20"/>
                <w:szCs w:val="20"/>
              </w:rPr>
            </w:pPr>
            <w:r w:rsidRPr="00BD33A4">
              <w:rPr>
                <w:rFonts w:ascii="Arial Narrow" w:hAnsi="Arial Narrow" w:cs="Arial"/>
                <w:sz w:val="20"/>
                <w:szCs w:val="20"/>
              </w:rPr>
              <w:t>Influenza</w:t>
            </w:r>
          </w:p>
          <w:p w:rsidR="008E7365" w:rsidRPr="00BD33A4" w:rsidRDefault="008E7365" w:rsidP="007F6CE8">
            <w:pPr>
              <w:keepNext/>
              <w:shd w:val="clear" w:color="auto" w:fill="FFFFFF"/>
              <w:spacing w:before="120" w:after="60" w:line="200" w:lineRule="atLeast"/>
              <w:rPr>
                <w:rFonts w:ascii="Arial Narrow" w:hAnsi="Arial Narrow" w:cs="Arial"/>
                <w:b/>
                <w:sz w:val="20"/>
                <w:szCs w:val="20"/>
              </w:rPr>
            </w:pPr>
            <w:r w:rsidRPr="00BD33A4">
              <w:rPr>
                <w:rFonts w:ascii="Arial Narrow" w:hAnsi="Arial Narrow" w:cs="Arial"/>
                <w:b/>
                <w:sz w:val="20"/>
                <w:szCs w:val="20"/>
              </w:rPr>
              <w:t>Circumstances</w:t>
            </w:r>
          </w:p>
          <w:p w:rsidR="008E7365" w:rsidRPr="00BD33A4" w:rsidRDefault="008E7365" w:rsidP="007F6CE8">
            <w:pPr>
              <w:keepNext/>
              <w:shd w:val="clear" w:color="auto" w:fill="FFFFFF"/>
              <w:spacing w:before="60" w:after="60" w:line="240" w:lineRule="atLeast"/>
              <w:rPr>
                <w:rFonts w:ascii="Arial Narrow" w:hAnsi="Arial Narrow" w:cs="Arial"/>
                <w:sz w:val="20"/>
                <w:szCs w:val="20"/>
              </w:rPr>
            </w:pPr>
            <w:r w:rsidRPr="00BD33A4">
              <w:rPr>
                <w:rFonts w:ascii="Arial Narrow" w:hAnsi="Arial Narrow" w:cs="Arial"/>
                <w:sz w:val="20"/>
                <w:szCs w:val="20"/>
              </w:rPr>
              <w:t>Vaccine may be provided in the circumstances set out in subsection 7(8)</w:t>
            </w:r>
          </w:p>
        </w:tc>
        <w:tc>
          <w:tcPr>
            <w:tcW w:w="551" w:type="pct"/>
            <w:shd w:val="clear" w:color="auto" w:fill="auto"/>
          </w:tcPr>
          <w:p w:rsidR="008E7365" w:rsidRPr="00BD33A4" w:rsidRDefault="008E7365" w:rsidP="007F6CE8">
            <w:pPr>
              <w:pStyle w:val="tablecolhead"/>
              <w:keepNext/>
              <w:rPr>
                <w:rFonts w:ascii="Arial Narrow" w:hAnsi="Arial Narrow" w:cs="Arial"/>
                <w:sz w:val="20"/>
                <w:szCs w:val="20"/>
              </w:rPr>
            </w:pPr>
            <w:proofErr w:type="spellStart"/>
            <w:r w:rsidRPr="00BD33A4">
              <w:rPr>
                <w:rFonts w:ascii="Arial Narrow" w:hAnsi="Arial Narrow" w:cs="Arial"/>
                <w:color w:val="000000"/>
                <w:sz w:val="20"/>
                <w:szCs w:val="20"/>
                <w:shd w:val="clear" w:color="auto" w:fill="FFFFFF"/>
              </w:rPr>
              <w:t>Fluarix</w:t>
            </w:r>
            <w:proofErr w:type="spellEnd"/>
            <w:r w:rsidRPr="00BD33A4">
              <w:rPr>
                <w:rFonts w:ascii="Arial Narrow" w:hAnsi="Arial Narrow" w:cs="Arial"/>
                <w:color w:val="000000"/>
                <w:sz w:val="20"/>
                <w:szCs w:val="20"/>
                <w:shd w:val="clear" w:color="auto" w:fill="FFFFFF"/>
              </w:rPr>
              <w:t xml:space="preserve"> Tetra</w:t>
            </w:r>
          </w:p>
        </w:tc>
        <w:tc>
          <w:tcPr>
            <w:tcW w:w="708" w:type="pct"/>
            <w:shd w:val="clear" w:color="auto" w:fill="auto"/>
          </w:tcPr>
          <w:tbl>
            <w:tblPr>
              <w:tblW w:w="14145" w:type="dxa"/>
              <w:shd w:val="clear" w:color="auto" w:fill="FFFFFF"/>
              <w:tblLayout w:type="fixed"/>
              <w:tblCellMar>
                <w:left w:w="0" w:type="dxa"/>
                <w:right w:w="0" w:type="dxa"/>
              </w:tblCellMar>
              <w:tblLook w:val="04A0" w:firstRow="1" w:lastRow="0" w:firstColumn="1" w:lastColumn="0" w:noHBand="0" w:noVBand="1"/>
            </w:tblPr>
            <w:tblGrid>
              <w:gridCol w:w="1869"/>
              <w:gridCol w:w="12276"/>
            </w:tblGrid>
            <w:tr w:rsidR="008E7365" w:rsidRPr="00BD33A4" w:rsidTr="00E76413">
              <w:trPr>
                <w:trHeight w:val="2963"/>
              </w:trPr>
              <w:tc>
                <w:tcPr>
                  <w:tcW w:w="1869" w:type="dxa"/>
                  <w:shd w:val="clear" w:color="auto" w:fill="FFFFFF"/>
                  <w:tcMar>
                    <w:top w:w="0" w:type="dxa"/>
                    <w:left w:w="108" w:type="dxa"/>
                    <w:bottom w:w="0" w:type="dxa"/>
                    <w:right w:w="108" w:type="dxa"/>
                  </w:tcMar>
                  <w:hideMark/>
                </w:tcPr>
                <w:p w:rsidR="006B4544" w:rsidRPr="00BD33A4" w:rsidRDefault="008E7365" w:rsidP="007F6CE8">
                  <w:pPr>
                    <w:keepNext/>
                    <w:spacing w:before="60" w:after="60" w:line="240" w:lineRule="atLeast"/>
                    <w:rPr>
                      <w:rFonts w:ascii="Arial Narrow" w:hAnsi="Arial Narrow" w:cs="Arial"/>
                      <w:color w:val="000000"/>
                      <w:sz w:val="20"/>
                      <w:szCs w:val="20"/>
                    </w:rPr>
                  </w:pPr>
                  <w:r w:rsidRPr="00BD33A4">
                    <w:rPr>
                      <w:rFonts w:ascii="Arial Narrow" w:hAnsi="Arial Narrow" w:cs="Arial"/>
                      <w:color w:val="000000"/>
                      <w:sz w:val="20"/>
                      <w:szCs w:val="20"/>
                    </w:rPr>
                    <w:t>Injection</w:t>
                  </w:r>
                </w:p>
                <w:p w:rsidR="008E7365" w:rsidRPr="00BD33A4" w:rsidRDefault="008E7365" w:rsidP="007F6CE8">
                  <w:pPr>
                    <w:keepNext/>
                    <w:spacing w:before="60" w:after="60" w:line="240" w:lineRule="atLeast"/>
                    <w:rPr>
                      <w:rFonts w:ascii="Arial Narrow" w:hAnsi="Arial Narrow" w:cs="Arial"/>
                      <w:color w:val="000000"/>
                      <w:sz w:val="20"/>
                      <w:szCs w:val="20"/>
                    </w:rPr>
                  </w:pPr>
                  <w:r w:rsidRPr="00BD33A4">
                    <w:rPr>
                      <w:rFonts w:ascii="Arial Narrow" w:hAnsi="Arial Narrow" w:cs="Arial"/>
                      <w:color w:val="000000"/>
                      <w:sz w:val="20"/>
                      <w:szCs w:val="20"/>
                    </w:rPr>
                    <w:t xml:space="preserve"> (0.5</w:t>
                  </w:r>
                  <w:r w:rsidR="007F6CE8" w:rsidRPr="00BD33A4">
                    <w:rPr>
                      <w:rFonts w:ascii="Arial Narrow" w:hAnsi="Arial Narrow" w:cs="Arial"/>
                      <w:color w:val="000000"/>
                      <w:sz w:val="20"/>
                      <w:szCs w:val="20"/>
                    </w:rPr>
                    <w:t xml:space="preserve"> </w:t>
                  </w:r>
                  <w:r w:rsidRPr="00BD33A4">
                    <w:rPr>
                      <w:rFonts w:ascii="Arial Narrow" w:hAnsi="Arial Narrow" w:cs="Arial"/>
                      <w:color w:val="000000"/>
                      <w:sz w:val="20"/>
                      <w:szCs w:val="20"/>
                    </w:rPr>
                    <w:t>mL)</w:t>
                  </w:r>
                </w:p>
              </w:tc>
              <w:tc>
                <w:tcPr>
                  <w:tcW w:w="12276" w:type="dxa"/>
                  <w:shd w:val="clear" w:color="auto" w:fill="FFFFFF"/>
                  <w:tcMar>
                    <w:top w:w="0" w:type="dxa"/>
                    <w:left w:w="108" w:type="dxa"/>
                    <w:bottom w:w="0" w:type="dxa"/>
                    <w:right w:w="108" w:type="dxa"/>
                  </w:tcMar>
                  <w:hideMark/>
                </w:tcPr>
                <w:p w:rsidR="008E7365" w:rsidRPr="00BD33A4" w:rsidRDefault="008E7365" w:rsidP="007F6CE8">
                  <w:pPr>
                    <w:keepNext/>
                    <w:spacing w:after="60" w:line="240" w:lineRule="atLeast"/>
                    <w:ind w:left="533" w:hanging="533"/>
                    <w:rPr>
                      <w:rFonts w:ascii="Arial Narrow" w:hAnsi="Arial Narrow" w:cs="Arial"/>
                      <w:color w:val="000000"/>
                      <w:sz w:val="20"/>
                      <w:szCs w:val="20"/>
                    </w:rPr>
                  </w:pPr>
                  <w:r w:rsidRPr="00BD33A4">
                    <w:rPr>
                      <w:rFonts w:ascii="Arial Narrow" w:hAnsi="Arial Narrow" w:cs="Arial"/>
                      <w:color w:val="000000"/>
                      <w:sz w:val="20"/>
                      <w:szCs w:val="20"/>
                    </w:rPr>
                    <w:t> </w:t>
                  </w:r>
                </w:p>
              </w:tc>
            </w:tr>
          </w:tbl>
          <w:p w:rsidR="008E7365" w:rsidRPr="00BD33A4" w:rsidRDefault="008E7365" w:rsidP="007F6CE8">
            <w:pPr>
              <w:pStyle w:val="tablecolhead"/>
              <w:keepNext/>
              <w:rPr>
                <w:rFonts w:ascii="Arial Narrow" w:hAnsi="Arial Narrow" w:cs="Arial"/>
                <w:sz w:val="20"/>
                <w:szCs w:val="20"/>
              </w:rPr>
            </w:pPr>
          </w:p>
        </w:tc>
        <w:tc>
          <w:tcPr>
            <w:tcW w:w="1857" w:type="pct"/>
            <w:shd w:val="clear" w:color="auto" w:fill="auto"/>
          </w:tcPr>
          <w:p w:rsidR="008E7365" w:rsidRPr="00BD33A4" w:rsidRDefault="008E7365" w:rsidP="007F6CE8">
            <w:pPr>
              <w:pStyle w:val="tablecolhead"/>
              <w:keepNext/>
              <w:rPr>
                <w:rFonts w:ascii="Arial Narrow" w:hAnsi="Arial Narrow" w:cs="Arial"/>
                <w:sz w:val="20"/>
                <w:szCs w:val="20"/>
              </w:rPr>
            </w:pPr>
            <w:r w:rsidRPr="00BD33A4">
              <w:rPr>
                <w:rFonts w:ascii="Arial Narrow" w:hAnsi="Arial Narrow" w:cs="Arial"/>
                <w:color w:val="000000"/>
                <w:sz w:val="20"/>
                <w:szCs w:val="20"/>
                <w:shd w:val="clear" w:color="auto" w:fill="FFFFFF"/>
              </w:rPr>
              <w:t xml:space="preserve">For children </w:t>
            </w:r>
            <w:r w:rsidR="0000777D" w:rsidRPr="00BD33A4">
              <w:rPr>
                <w:rFonts w:ascii="Arial Narrow" w:hAnsi="Arial Narrow" w:cs="Arial"/>
                <w:i/>
                <w:color w:val="000000"/>
                <w:sz w:val="20"/>
                <w:szCs w:val="20"/>
                <w:shd w:val="clear" w:color="auto" w:fill="FFFFFF"/>
              </w:rPr>
              <w:t>6 months</w:t>
            </w:r>
            <w:r w:rsidR="0000777D" w:rsidRPr="00BD33A4">
              <w:rPr>
                <w:rFonts w:ascii="Arial Narrow" w:hAnsi="Arial Narrow" w:cs="Arial"/>
                <w:color w:val="000000"/>
                <w:sz w:val="20"/>
                <w:szCs w:val="20"/>
                <w:shd w:val="clear" w:color="auto" w:fill="FFFFFF"/>
              </w:rPr>
              <w:t xml:space="preserve"> </w:t>
            </w:r>
            <w:r w:rsidRPr="00BD33A4">
              <w:rPr>
                <w:rFonts w:ascii="Arial Narrow" w:hAnsi="Arial Narrow" w:cs="Arial"/>
                <w:strike/>
                <w:color w:val="000000"/>
                <w:sz w:val="20"/>
                <w:szCs w:val="20"/>
                <w:shd w:val="clear" w:color="auto" w:fill="FFFFFF"/>
              </w:rPr>
              <w:t>3 years</w:t>
            </w:r>
            <w:r w:rsidRPr="00BD33A4">
              <w:rPr>
                <w:rFonts w:ascii="Arial Narrow" w:hAnsi="Arial Narrow" w:cs="Arial"/>
                <w:color w:val="000000"/>
                <w:sz w:val="20"/>
                <w:szCs w:val="20"/>
                <w:shd w:val="clear" w:color="auto" w:fill="FFFFFF"/>
              </w:rPr>
              <w:t xml:space="preserve"> and older but less than 9 years, 2 doses at least 1 month apart for the first vaccination and 1 dose per calendar year after that</w:t>
            </w:r>
            <w:r w:rsidR="00BD33A4">
              <w:rPr>
                <w:rFonts w:ascii="Arial Narrow" w:hAnsi="Arial Narrow" w:cs="Arial"/>
                <w:color w:val="000000"/>
                <w:sz w:val="20"/>
                <w:szCs w:val="20"/>
                <w:shd w:val="clear" w:color="auto" w:fill="FFFFFF"/>
              </w:rPr>
              <w:t xml:space="preserve">. </w:t>
            </w:r>
            <w:r w:rsidRPr="00BD33A4">
              <w:rPr>
                <w:rFonts w:ascii="Arial Narrow" w:hAnsi="Arial Narrow" w:cs="Arial"/>
                <w:color w:val="000000"/>
                <w:sz w:val="20"/>
                <w:szCs w:val="20"/>
                <w:shd w:val="clear" w:color="auto" w:fill="FFFFFF"/>
              </w:rPr>
              <w:t>For persons 9 years and above, 1 dose per calendar year.</w:t>
            </w:r>
          </w:p>
        </w:tc>
      </w:tr>
    </w:tbl>
    <w:p w:rsidR="00D44561" w:rsidRPr="00BD33A4" w:rsidRDefault="00D44561" w:rsidP="00BB3191">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The submission refer</w:t>
      </w:r>
      <w:r w:rsidR="0042037E" w:rsidRPr="00BD33A4">
        <w:rPr>
          <w:rFonts w:asciiTheme="minorHAnsi" w:eastAsiaTheme="minorHAnsi" w:hAnsiTheme="minorHAnsi" w:cstheme="minorBidi"/>
          <w:snapToGrid/>
          <w:sz w:val="24"/>
          <w:szCs w:val="22"/>
        </w:rPr>
        <w:t>r</w:t>
      </w:r>
      <w:r w:rsidR="0046177A" w:rsidRPr="00BD33A4">
        <w:rPr>
          <w:rFonts w:asciiTheme="minorHAnsi" w:eastAsiaTheme="minorHAnsi" w:hAnsiTheme="minorHAnsi" w:cstheme="minorBidi"/>
          <w:snapToGrid/>
          <w:sz w:val="24"/>
          <w:szCs w:val="22"/>
        </w:rPr>
        <w:t>ed</w:t>
      </w:r>
      <w:r w:rsidRPr="00BD33A4">
        <w:rPr>
          <w:rFonts w:asciiTheme="minorHAnsi" w:eastAsiaTheme="minorHAnsi" w:hAnsiTheme="minorHAnsi" w:cstheme="minorBidi"/>
          <w:snapToGrid/>
          <w:sz w:val="24"/>
          <w:szCs w:val="22"/>
        </w:rPr>
        <w:t xml:space="preserve"> to immunisation of all infants and children aged </w:t>
      </w:r>
      <w:r w:rsidR="006B4544" w:rsidRPr="00BD33A4">
        <w:rPr>
          <w:rFonts w:asciiTheme="minorHAnsi" w:eastAsiaTheme="minorHAnsi" w:hAnsiTheme="minorHAnsi" w:cstheme="minorBidi"/>
          <w:snapToGrid/>
          <w:sz w:val="24"/>
          <w:szCs w:val="22"/>
        </w:rPr>
        <w:t>6 - 35</w:t>
      </w:r>
      <w:r w:rsidRPr="00BD33A4">
        <w:rPr>
          <w:rFonts w:asciiTheme="minorHAnsi" w:eastAsiaTheme="minorHAnsi" w:hAnsiTheme="minorHAnsi" w:cstheme="minorBidi"/>
          <w:snapToGrid/>
          <w:sz w:val="24"/>
          <w:szCs w:val="22"/>
        </w:rPr>
        <w:t xml:space="preserve"> months (</w:t>
      </w:r>
      <w:r w:rsidR="007F6CE8" w:rsidRPr="00BD33A4">
        <w:rPr>
          <w:rFonts w:asciiTheme="minorHAnsi" w:eastAsiaTheme="minorHAnsi" w:hAnsiTheme="minorHAnsi" w:cstheme="minorBidi"/>
          <w:snapToGrid/>
          <w:sz w:val="24"/>
          <w:szCs w:val="22"/>
        </w:rPr>
        <w:t>p</w:t>
      </w:r>
      <w:r w:rsidRPr="00BD33A4">
        <w:rPr>
          <w:rFonts w:asciiTheme="minorHAnsi" w:eastAsiaTheme="minorHAnsi" w:hAnsiTheme="minorHAnsi" w:cstheme="minorBidi"/>
          <w:snapToGrid/>
          <w:sz w:val="24"/>
          <w:szCs w:val="22"/>
        </w:rPr>
        <w:t>10)</w:t>
      </w:r>
      <w:r w:rsidR="004B09F1" w:rsidRPr="00BD33A4">
        <w:rPr>
          <w:rFonts w:asciiTheme="minorHAnsi" w:eastAsiaTheme="minorHAnsi" w:hAnsiTheme="minorHAnsi" w:cstheme="minorBidi"/>
          <w:snapToGrid/>
          <w:sz w:val="24"/>
          <w:szCs w:val="22"/>
        </w:rPr>
        <w:t xml:space="preserve"> however the </w:t>
      </w:r>
      <w:r w:rsidRPr="00BD33A4">
        <w:rPr>
          <w:rFonts w:asciiTheme="minorHAnsi" w:eastAsiaTheme="minorHAnsi" w:hAnsiTheme="minorHAnsi" w:cstheme="minorBidi"/>
          <w:snapToGrid/>
          <w:sz w:val="24"/>
          <w:szCs w:val="22"/>
        </w:rPr>
        <w:t xml:space="preserve">proposed listing would only cover the infant and child groups </w:t>
      </w:r>
      <w:r w:rsidRPr="00BD33A4">
        <w:rPr>
          <w:rFonts w:asciiTheme="minorHAnsi" w:eastAsiaTheme="minorHAnsi" w:hAnsiTheme="minorHAnsi" w:cstheme="minorBidi"/>
          <w:snapToGrid/>
          <w:sz w:val="24"/>
          <w:szCs w:val="22"/>
        </w:rPr>
        <w:lastRenderedPageBreak/>
        <w:t xml:space="preserve">already able to receive </w:t>
      </w:r>
      <w:r w:rsidR="00DF6530" w:rsidRPr="00BD33A4">
        <w:rPr>
          <w:rFonts w:asciiTheme="minorHAnsi" w:eastAsiaTheme="minorHAnsi" w:hAnsiTheme="minorHAnsi" w:cstheme="minorBidi"/>
          <w:snapToGrid/>
          <w:sz w:val="24"/>
          <w:szCs w:val="22"/>
        </w:rPr>
        <w:t>in</w:t>
      </w:r>
      <w:r w:rsidRPr="00BD33A4">
        <w:rPr>
          <w:rFonts w:asciiTheme="minorHAnsi" w:eastAsiaTheme="minorHAnsi" w:hAnsiTheme="minorHAnsi" w:cstheme="minorBidi"/>
          <w:snapToGrid/>
          <w:sz w:val="24"/>
          <w:szCs w:val="22"/>
        </w:rPr>
        <w:t>flu</w:t>
      </w:r>
      <w:r w:rsidR="00DF6530" w:rsidRPr="00BD33A4">
        <w:rPr>
          <w:rFonts w:asciiTheme="minorHAnsi" w:eastAsiaTheme="minorHAnsi" w:hAnsiTheme="minorHAnsi" w:cstheme="minorBidi"/>
          <w:snapToGrid/>
          <w:sz w:val="24"/>
          <w:szCs w:val="22"/>
        </w:rPr>
        <w:t>enza</w:t>
      </w:r>
      <w:r w:rsidRPr="00BD33A4">
        <w:rPr>
          <w:rFonts w:asciiTheme="minorHAnsi" w:eastAsiaTheme="minorHAnsi" w:hAnsiTheme="minorHAnsi" w:cstheme="minorBidi"/>
          <w:snapToGrid/>
          <w:sz w:val="24"/>
          <w:szCs w:val="22"/>
        </w:rPr>
        <w:t xml:space="preserve"> vaccination under the NIP; those at increased risk of severe influenza </w:t>
      </w:r>
      <w:r w:rsidR="00DF6530" w:rsidRPr="00BD33A4">
        <w:rPr>
          <w:rFonts w:asciiTheme="minorHAnsi" w:eastAsiaTheme="minorHAnsi" w:hAnsiTheme="minorHAnsi" w:cstheme="minorBidi"/>
          <w:snapToGrid/>
          <w:sz w:val="24"/>
          <w:szCs w:val="22"/>
        </w:rPr>
        <w:t>as per T</w:t>
      </w:r>
      <w:r w:rsidRPr="00BD33A4">
        <w:rPr>
          <w:rFonts w:asciiTheme="minorHAnsi" w:eastAsiaTheme="minorHAnsi" w:hAnsiTheme="minorHAnsi" w:cstheme="minorBidi"/>
          <w:snapToGrid/>
          <w:sz w:val="24"/>
          <w:szCs w:val="22"/>
        </w:rPr>
        <w:t xml:space="preserve">able </w:t>
      </w:r>
      <w:r w:rsidR="00DF6530" w:rsidRPr="00BD33A4">
        <w:rPr>
          <w:rFonts w:asciiTheme="minorHAnsi" w:eastAsiaTheme="minorHAnsi" w:hAnsiTheme="minorHAnsi" w:cstheme="minorBidi"/>
          <w:snapToGrid/>
          <w:sz w:val="24"/>
          <w:szCs w:val="22"/>
        </w:rPr>
        <w:t>2</w:t>
      </w:r>
      <w:r w:rsidRPr="00BD33A4">
        <w:rPr>
          <w:rFonts w:asciiTheme="minorHAnsi" w:eastAsiaTheme="minorHAnsi" w:hAnsiTheme="minorHAnsi" w:cstheme="minorBidi"/>
          <w:snapToGrid/>
          <w:sz w:val="24"/>
          <w:szCs w:val="22"/>
        </w:rPr>
        <w:t xml:space="preserve"> and Aboriginal and Torres Strait Islander Children.</w:t>
      </w:r>
    </w:p>
    <w:p w:rsidR="00DF6530" w:rsidRPr="00BD33A4" w:rsidRDefault="00DF6530" w:rsidP="007F6CE8">
      <w:pPr>
        <w:pStyle w:val="Tableheading0"/>
        <w:spacing w:after="0"/>
        <w:rPr>
          <w:rFonts w:ascii="Arial Narrow" w:hAnsi="Arial Narrow"/>
          <w:b/>
          <w:snapToGrid w:val="0"/>
          <w:color w:val="000000"/>
        </w:rPr>
      </w:pPr>
      <w:r w:rsidRPr="00BD33A4">
        <w:rPr>
          <w:rFonts w:ascii="Arial Narrow" w:hAnsi="Arial Narrow"/>
          <w:b/>
        </w:rPr>
        <w:t xml:space="preserve">Table </w:t>
      </w:r>
      <w:r w:rsidRPr="001B7756">
        <w:rPr>
          <w:rFonts w:ascii="Arial Narrow" w:hAnsi="Arial Narrow"/>
          <w:b/>
        </w:rPr>
        <w:t>2</w:t>
      </w:r>
      <w:r w:rsidR="007F6CE8" w:rsidRPr="001B7756">
        <w:rPr>
          <w:rFonts w:ascii="Arial Narrow" w:hAnsi="Arial Narrow"/>
          <w:b/>
        </w:rPr>
        <w:t>:</w:t>
      </w:r>
      <w:r w:rsidRPr="00BD33A4">
        <w:rPr>
          <w:rFonts w:ascii="Arial Narrow" w:hAnsi="Arial Narrow"/>
          <w:b/>
        </w:rPr>
        <w:t xml:space="preserve"> Medical conditions that are associated with an increased risk of influenza disease complications and for which individuals are eligible for free vaccination under the NIP</w:t>
      </w:r>
      <w:r w:rsidRPr="00BD33A4">
        <w:rPr>
          <w:rFonts w:ascii="Arial Narrow" w:hAnsi="Arial Narrow"/>
          <w:b/>
          <w:color w:val="000000"/>
        </w:rPr>
        <w:t xml:space="preserve"> </w:t>
      </w:r>
    </w:p>
    <w:tbl>
      <w:tblPr>
        <w:tblStyle w:val="TableGrid"/>
        <w:tblpPr w:leftFromText="180" w:rightFromText="180" w:vertAnchor="text" w:horzAnchor="margin" w:tblpXSpec="center" w:tblpY="13"/>
        <w:tblW w:w="5000" w:type="pct"/>
        <w:tblLook w:val="0000" w:firstRow="0" w:lastRow="0" w:firstColumn="0" w:lastColumn="0" w:noHBand="0" w:noVBand="0"/>
        <w:tblCaption w:val="Medical conditions that are associated with an increased risk of influenza disease complications and for which individuals are eligible for free vaccination under the NIP "/>
      </w:tblPr>
      <w:tblGrid>
        <w:gridCol w:w="3544"/>
        <w:gridCol w:w="5472"/>
      </w:tblGrid>
      <w:tr w:rsidR="0050069F" w:rsidRPr="00BD33A4" w:rsidTr="007F6CE8">
        <w:trPr>
          <w:cantSplit/>
          <w:tblHeader/>
        </w:trPr>
        <w:tc>
          <w:tcPr>
            <w:tcW w:w="3457" w:type="dxa"/>
            <w:shd w:val="clear" w:color="auto" w:fill="auto"/>
          </w:tcPr>
          <w:p w:rsidR="0050069F" w:rsidRPr="00BD33A4" w:rsidRDefault="0050069F" w:rsidP="007F6CE8">
            <w:pPr>
              <w:pStyle w:val="Default"/>
              <w:rPr>
                <w:rFonts w:ascii="Arial Narrow" w:hAnsi="Arial Narrow" w:cs="Arial"/>
                <w:b/>
                <w:sz w:val="20"/>
                <w:szCs w:val="20"/>
              </w:rPr>
            </w:pPr>
            <w:r w:rsidRPr="00BD33A4">
              <w:rPr>
                <w:rFonts w:ascii="Arial Narrow" w:hAnsi="Arial Narrow" w:cs="Arial"/>
                <w:b/>
                <w:bCs/>
                <w:sz w:val="20"/>
                <w:szCs w:val="20"/>
              </w:rPr>
              <w:t xml:space="preserve">Category </w:t>
            </w:r>
          </w:p>
        </w:tc>
        <w:tc>
          <w:tcPr>
            <w:tcW w:w="5337" w:type="dxa"/>
            <w:shd w:val="clear" w:color="auto" w:fill="auto"/>
          </w:tcPr>
          <w:p w:rsidR="0050069F" w:rsidRPr="00BD33A4" w:rsidRDefault="0050069F" w:rsidP="007F6CE8">
            <w:pPr>
              <w:pStyle w:val="Default"/>
              <w:rPr>
                <w:rFonts w:ascii="Arial Narrow" w:hAnsi="Arial Narrow" w:cs="Arial"/>
                <w:b/>
                <w:sz w:val="20"/>
                <w:szCs w:val="20"/>
              </w:rPr>
            </w:pPr>
            <w:r w:rsidRPr="00BD33A4">
              <w:rPr>
                <w:rFonts w:ascii="Arial Narrow" w:hAnsi="Arial Narrow" w:cs="Arial"/>
                <w:b/>
                <w:bCs/>
                <w:sz w:val="20"/>
                <w:szCs w:val="20"/>
              </w:rPr>
              <w:t xml:space="preserve">Vaccination strongly recommended but not limited to individuals with the following clinical conditions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Cardiac disease </w:t>
            </w:r>
          </w:p>
        </w:tc>
        <w:tc>
          <w:tcPr>
            <w:tcW w:w="533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Cyanotic congenital heart disease, congestive heart failure, coronary artery disease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Chronic respiratory conditions </w:t>
            </w:r>
          </w:p>
        </w:tc>
        <w:tc>
          <w:tcPr>
            <w:tcW w:w="533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Severe asthma, cystic fibrosis, bronchiectasis, </w:t>
            </w:r>
            <w:proofErr w:type="spellStart"/>
            <w:r w:rsidRPr="00BD33A4">
              <w:rPr>
                <w:rFonts w:ascii="Arial Narrow" w:hAnsi="Arial Narrow" w:cs="Arial"/>
                <w:sz w:val="20"/>
                <w:szCs w:val="20"/>
              </w:rPr>
              <w:t>suppurative</w:t>
            </w:r>
            <w:proofErr w:type="spellEnd"/>
            <w:r w:rsidRPr="00BD33A4">
              <w:rPr>
                <w:rFonts w:ascii="Arial Narrow" w:hAnsi="Arial Narrow" w:cs="Arial"/>
                <w:sz w:val="20"/>
                <w:szCs w:val="20"/>
              </w:rPr>
              <w:t xml:space="preserve"> lung disease, chronic obstructive pulmonary disease, chronic emphysema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Chronic neurological conditions </w:t>
            </w:r>
          </w:p>
        </w:tc>
        <w:tc>
          <w:tcPr>
            <w:tcW w:w="533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Hereditary and degenerative CNS diseases, seizure disorders, spinal cord injuries, neuromuscular disorders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Immunocompromising conditions </w:t>
            </w:r>
          </w:p>
        </w:tc>
        <w:tc>
          <w:tcPr>
            <w:tcW w:w="533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Immunocompromised due to disease or treatment, </w:t>
            </w:r>
            <w:proofErr w:type="spellStart"/>
            <w:r w:rsidRPr="00BD33A4">
              <w:rPr>
                <w:rFonts w:ascii="Arial Narrow" w:hAnsi="Arial Narrow" w:cs="Arial"/>
                <w:sz w:val="20"/>
                <w:szCs w:val="20"/>
              </w:rPr>
              <w:t>asplenia</w:t>
            </w:r>
            <w:proofErr w:type="spellEnd"/>
            <w:r w:rsidRPr="00BD33A4">
              <w:rPr>
                <w:rFonts w:ascii="Arial Narrow" w:hAnsi="Arial Narrow" w:cs="Arial"/>
                <w:sz w:val="20"/>
                <w:szCs w:val="20"/>
              </w:rPr>
              <w:t xml:space="preserve"> or splenic dysfunction, HIV infection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Diabetes and other metabolic disorders </w:t>
            </w:r>
          </w:p>
        </w:tc>
        <w:tc>
          <w:tcPr>
            <w:tcW w:w="533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Type 1 or 2 diabetes, chronic metabolic disorders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Renal disease </w:t>
            </w:r>
          </w:p>
        </w:tc>
        <w:tc>
          <w:tcPr>
            <w:tcW w:w="533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Chronic renal failure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Haematological disorders </w:t>
            </w:r>
          </w:p>
        </w:tc>
        <w:tc>
          <w:tcPr>
            <w:tcW w:w="5337" w:type="dxa"/>
          </w:tcPr>
          <w:p w:rsidR="0050069F" w:rsidRPr="00BD33A4" w:rsidRDefault="0050069F" w:rsidP="007F6CE8">
            <w:pPr>
              <w:pStyle w:val="Default"/>
              <w:rPr>
                <w:rFonts w:ascii="Arial Narrow" w:hAnsi="Arial Narrow" w:cs="Arial"/>
                <w:sz w:val="20"/>
                <w:szCs w:val="20"/>
              </w:rPr>
            </w:pPr>
            <w:proofErr w:type="spellStart"/>
            <w:r w:rsidRPr="00BD33A4">
              <w:rPr>
                <w:rFonts w:ascii="Arial Narrow" w:hAnsi="Arial Narrow" w:cs="Arial"/>
                <w:sz w:val="20"/>
                <w:szCs w:val="20"/>
              </w:rPr>
              <w:t>Haemoglobinopathies</w:t>
            </w:r>
            <w:proofErr w:type="spellEnd"/>
            <w:r w:rsidRPr="00BD33A4">
              <w:rPr>
                <w:rFonts w:ascii="Arial Narrow" w:hAnsi="Arial Narrow" w:cs="Arial"/>
                <w:sz w:val="20"/>
                <w:szCs w:val="20"/>
              </w:rPr>
              <w:t xml:space="preserve"> </w:t>
            </w:r>
          </w:p>
        </w:tc>
      </w:tr>
      <w:tr w:rsidR="0050069F" w:rsidRPr="00BD33A4" w:rsidTr="007F6CE8">
        <w:trPr>
          <w:cantSplit/>
        </w:trPr>
        <w:tc>
          <w:tcPr>
            <w:tcW w:w="345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Long-term aspirin therapy in children aged 6 months to 10 years </w:t>
            </w:r>
          </w:p>
        </w:tc>
        <w:tc>
          <w:tcPr>
            <w:tcW w:w="5337" w:type="dxa"/>
          </w:tcPr>
          <w:p w:rsidR="0050069F" w:rsidRPr="00BD33A4" w:rsidRDefault="0050069F" w:rsidP="007F6CE8">
            <w:pPr>
              <w:pStyle w:val="Default"/>
              <w:rPr>
                <w:rFonts w:ascii="Arial Narrow" w:hAnsi="Arial Narrow" w:cs="Arial"/>
                <w:sz w:val="20"/>
                <w:szCs w:val="20"/>
              </w:rPr>
            </w:pPr>
            <w:r w:rsidRPr="00BD33A4">
              <w:rPr>
                <w:rFonts w:ascii="Arial Narrow" w:hAnsi="Arial Narrow" w:cs="Arial"/>
                <w:sz w:val="20"/>
                <w:szCs w:val="20"/>
              </w:rPr>
              <w:t xml:space="preserve">These children are at increased risk of Reye syndrome following influenza infection </w:t>
            </w:r>
          </w:p>
        </w:tc>
      </w:tr>
    </w:tbl>
    <w:p w:rsidR="00DF6530" w:rsidRPr="00BD33A4" w:rsidRDefault="0050069F" w:rsidP="007F6CE8">
      <w:pPr>
        <w:rPr>
          <w:rFonts w:ascii="Arial Narrow" w:hAnsi="Arial Narrow"/>
          <w:b/>
          <w:sz w:val="18"/>
          <w:szCs w:val="18"/>
        </w:rPr>
      </w:pPr>
      <w:r w:rsidRPr="00BD33A4">
        <w:rPr>
          <w:rFonts w:ascii="Arial Narrow" w:eastAsiaTheme="minorHAnsi" w:hAnsi="Arial Narrow"/>
          <w:sz w:val="18"/>
          <w:szCs w:val="18"/>
        </w:rPr>
        <w:t xml:space="preserve">Source: ATAGI </w:t>
      </w:r>
      <w:bookmarkStart w:id="0" w:name="_GoBack"/>
      <w:r w:rsidRPr="00BD33A4">
        <w:rPr>
          <w:rFonts w:ascii="Arial Narrow" w:hAnsi="Arial Narrow"/>
          <w:sz w:val="18"/>
          <w:szCs w:val="18"/>
        </w:rPr>
        <w:t>Pre-PBAC</w:t>
      </w:r>
      <w:bookmarkEnd w:id="0"/>
      <w:r w:rsidRPr="00BD33A4">
        <w:rPr>
          <w:rFonts w:ascii="Arial Narrow" w:hAnsi="Arial Narrow"/>
          <w:sz w:val="18"/>
          <w:szCs w:val="18"/>
        </w:rPr>
        <w:t xml:space="preserve"> Submission Advice, </w:t>
      </w:r>
      <w:proofErr w:type="spellStart"/>
      <w:r w:rsidRPr="00BD33A4">
        <w:rPr>
          <w:rFonts w:ascii="Arial Narrow" w:hAnsi="Arial Narrow"/>
          <w:sz w:val="18"/>
          <w:szCs w:val="18"/>
        </w:rPr>
        <w:t>Fluarix</w:t>
      </w:r>
      <w:proofErr w:type="spellEnd"/>
      <w:r w:rsidRPr="00BD33A4">
        <w:rPr>
          <w:rFonts w:ascii="Arial Narrow" w:hAnsi="Arial Narrow"/>
          <w:sz w:val="18"/>
          <w:szCs w:val="18"/>
        </w:rPr>
        <w:t xml:space="preserve"> Tetra, December 2018, </w:t>
      </w:r>
      <w:r w:rsidR="007F6CE8" w:rsidRPr="00BD33A4">
        <w:rPr>
          <w:rFonts w:ascii="Arial Narrow" w:hAnsi="Arial Narrow"/>
          <w:sz w:val="18"/>
          <w:szCs w:val="18"/>
        </w:rPr>
        <w:t>p</w:t>
      </w:r>
      <w:r w:rsidRPr="00BD33A4">
        <w:rPr>
          <w:rFonts w:ascii="Arial Narrow" w:hAnsi="Arial Narrow"/>
          <w:sz w:val="18"/>
          <w:szCs w:val="18"/>
        </w:rPr>
        <w:t>8</w:t>
      </w:r>
      <w:r w:rsidR="007F6CE8" w:rsidRPr="00BD33A4">
        <w:rPr>
          <w:rFonts w:ascii="Arial Narrow" w:hAnsi="Arial Narrow"/>
          <w:sz w:val="18"/>
          <w:szCs w:val="18"/>
        </w:rPr>
        <w:t>.</w:t>
      </w:r>
    </w:p>
    <w:p w:rsidR="00D008A5" w:rsidRPr="00BD33A4" w:rsidRDefault="0096323B" w:rsidP="005F3B0E">
      <w:pPr>
        <w:pStyle w:val="ListParagraph"/>
        <w:widowControl/>
        <w:numPr>
          <w:ilvl w:val="1"/>
          <w:numId w:val="14"/>
        </w:numPr>
        <w:spacing w:before="120" w:after="120"/>
        <w:rPr>
          <w:rFonts w:asciiTheme="minorHAnsi" w:hAnsiTheme="minorHAnsi"/>
        </w:rPr>
      </w:pPr>
      <w:r w:rsidRPr="00BD33A4">
        <w:rPr>
          <w:rFonts w:asciiTheme="minorHAnsi" w:hAnsiTheme="minorHAnsi"/>
          <w:sz w:val="24"/>
        </w:rPr>
        <w:t xml:space="preserve">The </w:t>
      </w:r>
      <w:r w:rsidR="006B4544" w:rsidRPr="00BD33A4">
        <w:rPr>
          <w:rFonts w:asciiTheme="minorHAnsi" w:hAnsiTheme="minorHAnsi"/>
          <w:sz w:val="24"/>
        </w:rPr>
        <w:t xml:space="preserve">requested </w:t>
      </w:r>
      <w:r w:rsidRPr="00BD33A4">
        <w:rPr>
          <w:rFonts w:asciiTheme="minorHAnsi" w:hAnsiTheme="minorHAnsi"/>
          <w:sz w:val="24"/>
        </w:rPr>
        <w:t xml:space="preserve">change falls within the indication </w:t>
      </w:r>
      <w:r w:rsidR="008E7365" w:rsidRPr="00BD33A4">
        <w:rPr>
          <w:rFonts w:asciiTheme="minorHAnsi" w:hAnsiTheme="minorHAnsi"/>
          <w:sz w:val="24"/>
        </w:rPr>
        <w:t xml:space="preserve">for </w:t>
      </w:r>
      <w:proofErr w:type="spellStart"/>
      <w:r w:rsidR="008E7365" w:rsidRPr="00BD33A4">
        <w:rPr>
          <w:rFonts w:asciiTheme="minorHAnsi" w:hAnsiTheme="minorHAnsi"/>
          <w:sz w:val="24"/>
        </w:rPr>
        <w:t>Fluarix</w:t>
      </w:r>
      <w:proofErr w:type="spellEnd"/>
      <w:r w:rsidR="008E7365" w:rsidRPr="00BD33A4">
        <w:rPr>
          <w:rFonts w:asciiTheme="minorHAnsi" w:hAnsiTheme="minorHAnsi"/>
          <w:sz w:val="24"/>
        </w:rPr>
        <w:t xml:space="preserve"> Tetra </w:t>
      </w:r>
      <w:r w:rsidRPr="00BD33A4">
        <w:rPr>
          <w:rFonts w:asciiTheme="minorHAnsi" w:hAnsiTheme="minorHAnsi"/>
          <w:sz w:val="24"/>
        </w:rPr>
        <w:t>approved by the TG</w:t>
      </w:r>
      <w:r w:rsidR="008945EC" w:rsidRPr="00BD33A4">
        <w:rPr>
          <w:rFonts w:asciiTheme="minorHAnsi" w:hAnsiTheme="minorHAnsi"/>
          <w:sz w:val="24"/>
        </w:rPr>
        <w:t>A and is</w:t>
      </w:r>
      <w:r w:rsidR="00FF6050" w:rsidRPr="00BD33A4">
        <w:rPr>
          <w:rFonts w:asciiTheme="minorHAnsi" w:hAnsiTheme="minorHAnsi"/>
          <w:sz w:val="24"/>
        </w:rPr>
        <w:t xml:space="preserve"> </w:t>
      </w:r>
      <w:r w:rsidR="0046177A" w:rsidRPr="00BD33A4">
        <w:rPr>
          <w:rFonts w:asciiTheme="minorHAnsi" w:hAnsiTheme="minorHAnsi"/>
          <w:sz w:val="24"/>
        </w:rPr>
        <w:t xml:space="preserve">a </w:t>
      </w:r>
      <w:r w:rsidR="008E7365" w:rsidRPr="00BD33A4">
        <w:rPr>
          <w:rFonts w:asciiTheme="minorHAnsi" w:hAnsiTheme="minorHAnsi"/>
          <w:sz w:val="24"/>
        </w:rPr>
        <w:t>cohort</w:t>
      </w:r>
      <w:r w:rsidR="008945EC" w:rsidRPr="00BD33A4">
        <w:rPr>
          <w:rFonts w:asciiTheme="minorHAnsi" w:hAnsiTheme="minorHAnsi"/>
          <w:sz w:val="24"/>
        </w:rPr>
        <w:t xml:space="preserve"> </w:t>
      </w:r>
      <w:r w:rsidR="00DF6530" w:rsidRPr="00BD33A4">
        <w:rPr>
          <w:rFonts w:asciiTheme="minorHAnsi" w:hAnsiTheme="minorHAnsi"/>
          <w:sz w:val="24"/>
        </w:rPr>
        <w:t xml:space="preserve">already NIP funded </w:t>
      </w:r>
      <w:r w:rsidR="008945EC" w:rsidRPr="00BD33A4">
        <w:rPr>
          <w:rFonts w:asciiTheme="minorHAnsi" w:hAnsiTheme="minorHAnsi"/>
          <w:sz w:val="24"/>
        </w:rPr>
        <w:t>for the prevention of seasonal influenza</w:t>
      </w:r>
      <w:r w:rsidR="00BD33A4">
        <w:rPr>
          <w:rFonts w:asciiTheme="minorHAnsi" w:hAnsiTheme="minorHAnsi"/>
          <w:sz w:val="24"/>
        </w:rPr>
        <w:t xml:space="preserve">. </w:t>
      </w:r>
      <w:r w:rsidR="006F7E40" w:rsidRPr="00BD33A4">
        <w:rPr>
          <w:rFonts w:asciiTheme="minorHAnsi" w:hAnsiTheme="minorHAnsi"/>
          <w:sz w:val="24"/>
        </w:rPr>
        <w:t>T</w:t>
      </w:r>
      <w:r w:rsidR="008E7365" w:rsidRPr="00BD33A4">
        <w:rPr>
          <w:rFonts w:asciiTheme="minorHAnsi" w:hAnsiTheme="minorHAnsi"/>
          <w:sz w:val="24"/>
        </w:rPr>
        <w:t>he A</w:t>
      </w:r>
      <w:r w:rsidR="008945EC" w:rsidRPr="00BD33A4">
        <w:rPr>
          <w:rFonts w:asciiTheme="minorHAnsi" w:hAnsiTheme="minorHAnsi"/>
          <w:sz w:val="24"/>
        </w:rPr>
        <w:t xml:space="preserve">ustralian </w:t>
      </w:r>
      <w:r w:rsidR="00E45FAD" w:rsidRPr="00BD33A4">
        <w:rPr>
          <w:rFonts w:asciiTheme="minorHAnsi" w:hAnsiTheme="minorHAnsi"/>
          <w:sz w:val="24"/>
        </w:rPr>
        <w:t>Technical</w:t>
      </w:r>
      <w:r w:rsidR="008945EC" w:rsidRPr="00BD33A4">
        <w:rPr>
          <w:rFonts w:asciiTheme="minorHAnsi" w:hAnsiTheme="minorHAnsi"/>
          <w:sz w:val="24"/>
        </w:rPr>
        <w:t xml:space="preserve"> Advisory Group on Immunisation</w:t>
      </w:r>
      <w:r w:rsidR="00041B6D" w:rsidRPr="00BD33A4">
        <w:rPr>
          <w:rFonts w:asciiTheme="minorHAnsi" w:hAnsiTheme="minorHAnsi"/>
          <w:sz w:val="24"/>
        </w:rPr>
        <w:t xml:space="preserve"> (ATAGI) considered </w:t>
      </w:r>
      <w:proofErr w:type="spellStart"/>
      <w:r w:rsidR="008E7365" w:rsidRPr="00BD33A4">
        <w:rPr>
          <w:rFonts w:asciiTheme="minorHAnsi" w:hAnsiTheme="minorHAnsi"/>
          <w:sz w:val="24"/>
        </w:rPr>
        <w:t>Fluarix</w:t>
      </w:r>
      <w:proofErr w:type="spellEnd"/>
      <w:r w:rsidR="008E7365" w:rsidRPr="00BD33A4">
        <w:rPr>
          <w:rFonts w:asciiTheme="minorHAnsi" w:hAnsiTheme="minorHAnsi"/>
          <w:sz w:val="24"/>
        </w:rPr>
        <w:t xml:space="preserve"> </w:t>
      </w:r>
      <w:r w:rsidR="00FF6050" w:rsidRPr="00BD33A4">
        <w:rPr>
          <w:rFonts w:asciiTheme="minorHAnsi" w:hAnsiTheme="minorHAnsi"/>
          <w:sz w:val="24"/>
        </w:rPr>
        <w:t xml:space="preserve">Tetra as </w:t>
      </w:r>
      <w:r w:rsidRPr="00BD33A4">
        <w:rPr>
          <w:rFonts w:asciiTheme="minorHAnsi" w:hAnsiTheme="minorHAnsi"/>
          <w:sz w:val="24"/>
        </w:rPr>
        <w:t>suitable for listing on the National Immunisation Program (NIP)</w:t>
      </w:r>
      <w:r w:rsidR="008E7365" w:rsidRPr="00BD33A4">
        <w:rPr>
          <w:rFonts w:asciiTheme="minorHAnsi" w:hAnsiTheme="minorHAnsi"/>
          <w:sz w:val="24"/>
        </w:rPr>
        <w:t xml:space="preserve"> for this cohort</w:t>
      </w:r>
      <w:r w:rsidR="00936364" w:rsidRPr="00BD33A4">
        <w:rPr>
          <w:rFonts w:asciiTheme="minorHAnsi" w:hAnsiTheme="minorHAnsi"/>
          <w:sz w:val="24"/>
        </w:rPr>
        <w:t xml:space="preserve"> (Pre-PBAC Submission Advice</w:t>
      </w:r>
      <w:r w:rsidR="00936364" w:rsidRPr="00FD7D60">
        <w:rPr>
          <w:rFonts w:asciiTheme="minorHAnsi" w:hAnsiTheme="minorHAnsi"/>
          <w:sz w:val="24"/>
        </w:rPr>
        <w:t>)</w:t>
      </w:r>
      <w:r w:rsidRPr="00FD7D60">
        <w:rPr>
          <w:rFonts w:asciiTheme="minorHAnsi" w:hAnsiTheme="minorHAnsi"/>
          <w:sz w:val="24"/>
        </w:rPr>
        <w:t>.</w:t>
      </w:r>
    </w:p>
    <w:p w:rsidR="00E45FAD" w:rsidRPr="00BD33A4" w:rsidRDefault="00E45FAD" w:rsidP="005F3B0E">
      <w:pPr>
        <w:pStyle w:val="ListParagraph"/>
        <w:widowControl/>
        <w:numPr>
          <w:ilvl w:val="1"/>
          <w:numId w:val="14"/>
        </w:numPr>
        <w:spacing w:before="120" w:after="120"/>
        <w:rPr>
          <w:rFonts w:asciiTheme="minorHAnsi" w:hAnsiTheme="minorHAnsi"/>
        </w:rPr>
      </w:pPr>
      <w:r w:rsidRPr="00BD33A4">
        <w:rPr>
          <w:rFonts w:asciiTheme="minorHAnsi" w:hAnsiTheme="minorHAnsi"/>
          <w:sz w:val="24"/>
        </w:rPr>
        <w:t xml:space="preserve">If </w:t>
      </w:r>
      <w:r w:rsidR="00FF6050" w:rsidRPr="00BD33A4">
        <w:rPr>
          <w:rFonts w:asciiTheme="minorHAnsi" w:hAnsiTheme="minorHAnsi"/>
          <w:sz w:val="24"/>
        </w:rPr>
        <w:t>the PBAC were to recom</w:t>
      </w:r>
      <w:r w:rsidR="004D7052" w:rsidRPr="00BD33A4">
        <w:rPr>
          <w:rFonts w:asciiTheme="minorHAnsi" w:hAnsiTheme="minorHAnsi"/>
          <w:sz w:val="24"/>
        </w:rPr>
        <w:t>m</w:t>
      </w:r>
      <w:r w:rsidR="00FF6050" w:rsidRPr="00BD33A4">
        <w:rPr>
          <w:rFonts w:asciiTheme="minorHAnsi" w:hAnsiTheme="minorHAnsi"/>
          <w:sz w:val="24"/>
        </w:rPr>
        <w:t>end expanding</w:t>
      </w:r>
      <w:r w:rsidRPr="00BD33A4">
        <w:rPr>
          <w:rFonts w:asciiTheme="minorHAnsi" w:hAnsiTheme="minorHAnsi"/>
          <w:sz w:val="24"/>
        </w:rPr>
        <w:t xml:space="preserve"> </w:t>
      </w:r>
      <w:r w:rsidR="00D44561" w:rsidRPr="00BD33A4">
        <w:rPr>
          <w:rFonts w:asciiTheme="minorHAnsi" w:hAnsiTheme="minorHAnsi"/>
          <w:sz w:val="24"/>
        </w:rPr>
        <w:t xml:space="preserve">the </w:t>
      </w:r>
      <w:proofErr w:type="spellStart"/>
      <w:r w:rsidRPr="00BD33A4">
        <w:rPr>
          <w:rFonts w:asciiTheme="minorHAnsi" w:hAnsiTheme="minorHAnsi"/>
          <w:sz w:val="24"/>
        </w:rPr>
        <w:t>Fluarix</w:t>
      </w:r>
      <w:proofErr w:type="spellEnd"/>
      <w:r w:rsidRPr="00BD33A4">
        <w:rPr>
          <w:rFonts w:asciiTheme="minorHAnsi" w:hAnsiTheme="minorHAnsi"/>
          <w:sz w:val="24"/>
        </w:rPr>
        <w:t xml:space="preserve"> Tetra</w:t>
      </w:r>
      <w:r w:rsidR="00FF6050" w:rsidRPr="00BD33A4">
        <w:rPr>
          <w:rFonts w:asciiTheme="minorHAnsi" w:hAnsiTheme="minorHAnsi"/>
          <w:sz w:val="24"/>
        </w:rPr>
        <w:t xml:space="preserve"> </w:t>
      </w:r>
      <w:r w:rsidR="00D44561" w:rsidRPr="00BD33A4">
        <w:rPr>
          <w:rFonts w:asciiTheme="minorHAnsi" w:hAnsiTheme="minorHAnsi"/>
          <w:sz w:val="24"/>
        </w:rPr>
        <w:t>listing</w:t>
      </w:r>
      <w:r w:rsidRPr="00BD33A4">
        <w:rPr>
          <w:rFonts w:asciiTheme="minorHAnsi" w:hAnsiTheme="minorHAnsi"/>
          <w:sz w:val="24"/>
        </w:rPr>
        <w:t>, changes w</w:t>
      </w:r>
      <w:r w:rsidR="004B09F1" w:rsidRPr="00BD33A4">
        <w:rPr>
          <w:rFonts w:asciiTheme="minorHAnsi" w:hAnsiTheme="minorHAnsi"/>
          <w:sz w:val="24"/>
        </w:rPr>
        <w:t>ould</w:t>
      </w:r>
      <w:r w:rsidRPr="00BD33A4">
        <w:rPr>
          <w:rFonts w:asciiTheme="minorHAnsi" w:hAnsiTheme="minorHAnsi"/>
          <w:sz w:val="24"/>
        </w:rPr>
        <w:t xml:space="preserve"> be required to the Determination</w:t>
      </w:r>
      <w:r w:rsidR="00FF6050" w:rsidRPr="00BD33A4">
        <w:rPr>
          <w:rFonts w:asciiTheme="minorHAnsi" w:hAnsiTheme="minorHAnsi"/>
          <w:sz w:val="24"/>
        </w:rPr>
        <w:t xml:space="preserve"> listing including </w:t>
      </w:r>
      <w:r w:rsidR="00DF6530" w:rsidRPr="00BD33A4">
        <w:rPr>
          <w:rFonts w:asciiTheme="minorHAnsi" w:hAnsiTheme="minorHAnsi"/>
          <w:sz w:val="24"/>
        </w:rPr>
        <w:t>the relevant</w:t>
      </w:r>
      <w:r w:rsidR="00D44561" w:rsidRPr="00BD33A4">
        <w:rPr>
          <w:rFonts w:asciiTheme="minorHAnsi" w:hAnsiTheme="minorHAnsi"/>
          <w:sz w:val="24"/>
        </w:rPr>
        <w:t xml:space="preserve"> circumstances.</w:t>
      </w:r>
    </w:p>
    <w:p w:rsidR="0004170F" w:rsidRPr="00BD33A4" w:rsidRDefault="0004170F" w:rsidP="005F3B0E">
      <w:pPr>
        <w:pStyle w:val="PBACHeading1"/>
        <w:numPr>
          <w:ilvl w:val="0"/>
          <w:numId w:val="0"/>
        </w:numPr>
        <w:spacing w:before="120" w:after="120"/>
        <w:ind w:left="284"/>
        <w:outlineLvl w:val="9"/>
        <w:rPr>
          <w:rFonts w:asciiTheme="minorHAnsi" w:eastAsiaTheme="minorHAnsi" w:hAnsiTheme="minorHAnsi" w:cstheme="minorHAnsi"/>
          <w:b w:val="0"/>
          <w:i/>
          <w:snapToGrid/>
          <w:sz w:val="24"/>
          <w:szCs w:val="24"/>
        </w:rPr>
      </w:pPr>
      <w:r w:rsidRPr="00BD33A4">
        <w:rPr>
          <w:rFonts w:asciiTheme="minorHAnsi" w:eastAsiaTheme="minorHAnsi" w:hAnsiTheme="minorHAnsi" w:cstheme="minorHAnsi"/>
          <w:b w:val="0"/>
          <w:i/>
          <w:snapToGrid/>
          <w:sz w:val="24"/>
          <w:szCs w:val="24"/>
        </w:rPr>
        <w:t>For more detail on PBAC’s view, see section 6 PBAC outcome.</w:t>
      </w:r>
    </w:p>
    <w:p w:rsidR="00CB11CD" w:rsidRPr="00BD33A4" w:rsidRDefault="00CE10C4" w:rsidP="005F3B0E">
      <w:pPr>
        <w:pStyle w:val="PBACHeading1"/>
        <w:keepNext/>
        <w:keepLines/>
        <w:spacing w:before="120" w:after="120"/>
        <w:ind w:left="709" w:hanging="709"/>
        <w:rPr>
          <w:rFonts w:asciiTheme="minorHAnsi" w:hAnsiTheme="minorHAnsi"/>
          <w:sz w:val="32"/>
          <w:szCs w:val="32"/>
        </w:rPr>
      </w:pPr>
      <w:r w:rsidRPr="00BD33A4">
        <w:rPr>
          <w:rFonts w:asciiTheme="minorHAnsi" w:hAnsiTheme="minorHAnsi"/>
          <w:sz w:val="32"/>
          <w:szCs w:val="32"/>
        </w:rPr>
        <w:t>Background</w:t>
      </w:r>
    </w:p>
    <w:p w:rsidR="002A41B8" w:rsidRPr="00BD33A4" w:rsidRDefault="002A41B8" w:rsidP="005F3B0E">
      <w:pPr>
        <w:pStyle w:val="ListParagraph"/>
        <w:keepNext/>
        <w:keepLines/>
        <w:widowControl/>
        <w:numPr>
          <w:ilvl w:val="1"/>
          <w:numId w:val="14"/>
        </w:numPr>
        <w:spacing w:before="120" w:after="120"/>
        <w:rPr>
          <w:rFonts w:asciiTheme="minorHAnsi" w:eastAsiaTheme="minorHAnsi" w:hAnsiTheme="minorHAnsi" w:cstheme="minorBidi"/>
          <w:snapToGrid/>
          <w:sz w:val="24"/>
          <w:szCs w:val="22"/>
        </w:rPr>
      </w:pP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is TGA registered for </w:t>
      </w:r>
      <w:r w:rsidR="00E45FAD" w:rsidRPr="00BD33A4">
        <w:rPr>
          <w:rFonts w:asciiTheme="minorHAnsi" w:eastAsiaTheme="minorHAnsi" w:hAnsiTheme="minorHAnsi" w:cstheme="minorBidi"/>
          <w:snapToGrid/>
          <w:sz w:val="24"/>
          <w:szCs w:val="22"/>
        </w:rPr>
        <w:t>the active immunisation of adults and children from 6 months of age for the prevention of influenza disease caused by the influenza virus types A and B contained in the vaccine</w:t>
      </w:r>
      <w:r w:rsidR="00FF6050" w:rsidRPr="00BD33A4">
        <w:rPr>
          <w:rFonts w:asciiTheme="minorHAnsi" w:eastAsiaTheme="minorHAnsi" w:hAnsiTheme="minorHAnsi" w:cstheme="minorBidi"/>
          <w:snapToGrid/>
          <w:sz w:val="24"/>
          <w:szCs w:val="22"/>
        </w:rPr>
        <w:t>.</w:t>
      </w:r>
    </w:p>
    <w:p w:rsidR="00A75170" w:rsidRPr="00BD33A4" w:rsidRDefault="00A75170" w:rsidP="005F3B0E">
      <w:pPr>
        <w:pStyle w:val="ListParagraph"/>
        <w:widowControl/>
        <w:numPr>
          <w:ilvl w:val="1"/>
          <w:numId w:val="14"/>
        </w:numPr>
        <w:spacing w:before="120" w:after="120"/>
        <w:rPr>
          <w:rFonts w:asciiTheme="minorHAnsi" w:eastAsiaTheme="minorHAnsi" w:hAnsiTheme="minorHAnsi" w:cstheme="minorBidi"/>
          <w:snapToGrid/>
          <w:sz w:val="24"/>
          <w:szCs w:val="22"/>
        </w:rPr>
      </w:pP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is an inactivated and purified split influenza vaccine</w:t>
      </w:r>
      <w:r w:rsidR="004562A0" w:rsidRPr="00BD33A4">
        <w:rPr>
          <w:rFonts w:asciiTheme="minorHAnsi" w:eastAsiaTheme="minorHAnsi" w:hAnsiTheme="minorHAnsi" w:cstheme="minorBidi"/>
          <w:snapToGrid/>
          <w:sz w:val="24"/>
          <w:szCs w:val="22"/>
        </w:rPr>
        <w:t xml:space="preserve"> </w:t>
      </w:r>
      <w:r w:rsidRPr="00BD33A4">
        <w:rPr>
          <w:rFonts w:asciiTheme="minorHAnsi" w:eastAsiaTheme="minorHAnsi" w:hAnsiTheme="minorHAnsi" w:cstheme="minorBidi"/>
          <w:snapToGrid/>
          <w:sz w:val="24"/>
          <w:szCs w:val="22"/>
        </w:rPr>
        <w:t>contain</w:t>
      </w:r>
      <w:r w:rsidR="004B09F1" w:rsidRPr="00BD33A4">
        <w:rPr>
          <w:rFonts w:asciiTheme="minorHAnsi" w:eastAsiaTheme="minorHAnsi" w:hAnsiTheme="minorHAnsi" w:cstheme="minorBidi"/>
          <w:snapToGrid/>
          <w:sz w:val="24"/>
          <w:szCs w:val="22"/>
        </w:rPr>
        <w:t>ing</w:t>
      </w:r>
      <w:r w:rsidRPr="00BD33A4">
        <w:rPr>
          <w:rFonts w:asciiTheme="minorHAnsi" w:eastAsiaTheme="minorHAnsi" w:hAnsiTheme="minorHAnsi" w:cstheme="minorBidi"/>
          <w:snapToGrid/>
          <w:sz w:val="24"/>
          <w:szCs w:val="22"/>
        </w:rPr>
        <w:t xml:space="preserve"> 15ug of each of the four influenza strains: type A/H1N1-like virus, type A/H3N2-like virus, type B/Victoria lineage and type B/Yamagata lineage. </w:t>
      </w: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has a uniform presentation (0.5 mL) per dose for all people aged ≥6 months.</w:t>
      </w:r>
    </w:p>
    <w:p w:rsidR="00790FB6" w:rsidRPr="00BD33A4" w:rsidRDefault="00D617E1"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T</w:t>
      </w:r>
      <w:r w:rsidR="002A41B8" w:rsidRPr="00BD33A4">
        <w:rPr>
          <w:rFonts w:asciiTheme="minorHAnsi" w:eastAsiaTheme="minorHAnsi" w:hAnsiTheme="minorHAnsi" w:cstheme="minorBidi"/>
          <w:snapToGrid/>
          <w:sz w:val="24"/>
          <w:szCs w:val="22"/>
        </w:rPr>
        <w:t xml:space="preserve">he PBAC recommended </w:t>
      </w:r>
      <w:r w:rsidR="0025535E" w:rsidRPr="00BD33A4">
        <w:rPr>
          <w:rFonts w:asciiTheme="minorHAnsi" w:eastAsiaTheme="minorHAnsi" w:hAnsiTheme="minorHAnsi" w:cstheme="minorBidi"/>
          <w:snapToGrid/>
          <w:sz w:val="24"/>
          <w:szCs w:val="22"/>
        </w:rPr>
        <w:t xml:space="preserve">the </w:t>
      </w:r>
      <w:r w:rsidR="002A41B8" w:rsidRPr="00BD33A4">
        <w:rPr>
          <w:rFonts w:asciiTheme="minorHAnsi" w:eastAsiaTheme="minorHAnsi" w:hAnsiTheme="minorHAnsi" w:cstheme="minorBidi"/>
          <w:snapToGrid/>
          <w:sz w:val="24"/>
          <w:szCs w:val="22"/>
        </w:rPr>
        <w:t>listing</w:t>
      </w:r>
      <w:r w:rsidR="0025535E" w:rsidRPr="00BD33A4">
        <w:rPr>
          <w:rFonts w:asciiTheme="minorHAnsi" w:eastAsiaTheme="minorHAnsi" w:hAnsiTheme="minorHAnsi" w:cstheme="minorBidi"/>
          <w:snapToGrid/>
          <w:sz w:val="24"/>
          <w:szCs w:val="22"/>
        </w:rPr>
        <w:t xml:space="preserve"> of</w:t>
      </w:r>
      <w:r w:rsidR="002A41B8" w:rsidRPr="00BD33A4">
        <w:rPr>
          <w:rFonts w:asciiTheme="minorHAnsi" w:eastAsiaTheme="minorHAnsi" w:hAnsiTheme="minorHAnsi" w:cstheme="minorBidi"/>
          <w:snapToGrid/>
          <w:sz w:val="24"/>
          <w:szCs w:val="22"/>
        </w:rPr>
        <w:t xml:space="preserve"> </w:t>
      </w:r>
      <w:proofErr w:type="spellStart"/>
      <w:r w:rsidR="000B5B38" w:rsidRPr="00BD33A4">
        <w:rPr>
          <w:rFonts w:asciiTheme="minorHAnsi" w:eastAsiaTheme="minorHAnsi" w:hAnsiTheme="minorHAnsi" w:cstheme="minorBidi"/>
          <w:snapToGrid/>
          <w:sz w:val="24"/>
          <w:szCs w:val="22"/>
        </w:rPr>
        <w:t>Fluarix</w:t>
      </w:r>
      <w:proofErr w:type="spellEnd"/>
      <w:r w:rsidR="000B5B38" w:rsidRPr="00BD33A4">
        <w:rPr>
          <w:rFonts w:asciiTheme="minorHAnsi" w:eastAsiaTheme="minorHAnsi" w:hAnsiTheme="minorHAnsi" w:cstheme="minorBidi"/>
          <w:snapToGrid/>
          <w:sz w:val="24"/>
          <w:szCs w:val="22"/>
        </w:rPr>
        <w:t xml:space="preserve"> Tetra </w:t>
      </w:r>
      <w:r w:rsidR="0025535E" w:rsidRPr="00BD33A4">
        <w:rPr>
          <w:rFonts w:asciiTheme="minorHAnsi" w:eastAsiaTheme="minorHAnsi" w:hAnsiTheme="minorHAnsi" w:cstheme="minorBidi"/>
          <w:snapToGrid/>
          <w:sz w:val="24"/>
          <w:szCs w:val="22"/>
        </w:rPr>
        <w:t xml:space="preserve">for people aged 3 years and older </w:t>
      </w:r>
      <w:r w:rsidR="00E45FAD" w:rsidRPr="00BD33A4">
        <w:rPr>
          <w:rFonts w:asciiTheme="minorHAnsi" w:eastAsiaTheme="minorHAnsi" w:hAnsiTheme="minorHAnsi" w:cstheme="minorBidi"/>
          <w:snapToGrid/>
          <w:sz w:val="24"/>
          <w:szCs w:val="22"/>
        </w:rPr>
        <w:t>on the D</w:t>
      </w:r>
      <w:r w:rsidR="002A41B8" w:rsidRPr="00BD33A4">
        <w:rPr>
          <w:rFonts w:asciiTheme="minorHAnsi" w:eastAsiaTheme="minorHAnsi" w:hAnsiTheme="minorHAnsi" w:cstheme="minorBidi"/>
          <w:snapToGrid/>
          <w:sz w:val="24"/>
          <w:szCs w:val="22"/>
        </w:rPr>
        <w:t xml:space="preserve">etermination </w:t>
      </w:r>
      <w:r w:rsidR="00D1081C" w:rsidRPr="00BD33A4">
        <w:rPr>
          <w:rFonts w:asciiTheme="minorHAnsi" w:eastAsiaTheme="minorHAnsi" w:hAnsiTheme="minorHAnsi" w:cstheme="minorBidi"/>
          <w:snapToGrid/>
          <w:sz w:val="24"/>
          <w:szCs w:val="22"/>
        </w:rPr>
        <w:t>in March 201</w:t>
      </w:r>
      <w:r w:rsidR="00330C7D" w:rsidRPr="00BD33A4">
        <w:rPr>
          <w:rFonts w:asciiTheme="minorHAnsi" w:eastAsiaTheme="minorHAnsi" w:hAnsiTheme="minorHAnsi" w:cstheme="minorBidi"/>
          <w:snapToGrid/>
          <w:sz w:val="24"/>
          <w:szCs w:val="22"/>
        </w:rPr>
        <w:t>5</w:t>
      </w:r>
      <w:r w:rsidR="00D1081C" w:rsidRPr="00BD33A4">
        <w:rPr>
          <w:rFonts w:asciiTheme="minorHAnsi" w:eastAsiaTheme="minorHAnsi" w:hAnsiTheme="minorHAnsi" w:cstheme="minorBidi"/>
          <w:snapToGrid/>
          <w:sz w:val="24"/>
          <w:szCs w:val="22"/>
        </w:rPr>
        <w:t xml:space="preserve"> </w:t>
      </w:r>
      <w:r w:rsidR="000B5B38" w:rsidRPr="00BD33A4">
        <w:rPr>
          <w:rFonts w:asciiTheme="minorHAnsi" w:eastAsiaTheme="minorHAnsi" w:hAnsiTheme="minorHAnsi" w:cstheme="minorBidi"/>
          <w:snapToGrid/>
          <w:sz w:val="24"/>
          <w:szCs w:val="22"/>
        </w:rPr>
        <w:t xml:space="preserve">prior to the reporting of </w:t>
      </w:r>
      <w:r w:rsidR="00FF6050" w:rsidRPr="00BD33A4">
        <w:rPr>
          <w:rFonts w:asciiTheme="minorHAnsi" w:eastAsiaTheme="minorHAnsi" w:hAnsiTheme="minorHAnsi" w:cstheme="minorBidi"/>
          <w:snapToGrid/>
          <w:sz w:val="24"/>
          <w:szCs w:val="22"/>
        </w:rPr>
        <w:t xml:space="preserve">trial </w:t>
      </w:r>
      <w:r w:rsidR="000B5B38" w:rsidRPr="00BD33A4">
        <w:rPr>
          <w:rFonts w:asciiTheme="minorHAnsi" w:eastAsiaTheme="minorHAnsi" w:hAnsiTheme="minorHAnsi" w:cstheme="minorBidi"/>
          <w:snapToGrid/>
          <w:sz w:val="24"/>
          <w:szCs w:val="22"/>
        </w:rPr>
        <w:t>data for the 6</w:t>
      </w:r>
      <w:r w:rsidR="0025535E" w:rsidRPr="00BD33A4">
        <w:rPr>
          <w:rFonts w:asciiTheme="minorHAnsi" w:eastAsiaTheme="minorHAnsi" w:hAnsiTheme="minorHAnsi" w:cstheme="minorBidi"/>
          <w:snapToGrid/>
          <w:sz w:val="24"/>
          <w:szCs w:val="22"/>
        </w:rPr>
        <w:t xml:space="preserve"> </w:t>
      </w:r>
      <w:r w:rsidR="00DF6530" w:rsidRPr="00BD33A4">
        <w:rPr>
          <w:rFonts w:asciiTheme="minorHAnsi" w:eastAsiaTheme="minorHAnsi" w:hAnsiTheme="minorHAnsi" w:cstheme="minorBidi"/>
          <w:snapToGrid/>
          <w:sz w:val="24"/>
          <w:szCs w:val="22"/>
        </w:rPr>
        <w:t>-</w:t>
      </w:r>
      <w:r w:rsidR="0025535E" w:rsidRPr="00BD33A4">
        <w:rPr>
          <w:rFonts w:asciiTheme="minorHAnsi" w:eastAsiaTheme="minorHAnsi" w:hAnsiTheme="minorHAnsi" w:cstheme="minorBidi"/>
          <w:snapToGrid/>
          <w:sz w:val="24"/>
          <w:szCs w:val="22"/>
        </w:rPr>
        <w:t xml:space="preserve"> </w:t>
      </w:r>
      <w:r w:rsidR="000B5B38" w:rsidRPr="00BD33A4">
        <w:rPr>
          <w:rFonts w:asciiTheme="minorHAnsi" w:eastAsiaTheme="minorHAnsi" w:hAnsiTheme="minorHAnsi" w:cstheme="minorBidi"/>
          <w:snapToGrid/>
          <w:sz w:val="24"/>
          <w:szCs w:val="22"/>
        </w:rPr>
        <w:t>35 month age cohort</w:t>
      </w:r>
      <w:r w:rsidRPr="00BD33A4">
        <w:rPr>
          <w:rFonts w:asciiTheme="minorHAnsi" w:eastAsiaTheme="minorHAnsi" w:hAnsiTheme="minorHAnsi" w:cstheme="minorBidi"/>
          <w:snapToGrid/>
          <w:sz w:val="24"/>
          <w:szCs w:val="22"/>
        </w:rPr>
        <w:t xml:space="preserve"> </w:t>
      </w:r>
      <w:r w:rsidR="00330C7D" w:rsidRPr="00BD33A4">
        <w:rPr>
          <w:rFonts w:asciiTheme="minorHAnsi" w:eastAsiaTheme="minorHAnsi" w:hAnsiTheme="minorHAnsi" w:cstheme="minorBidi"/>
          <w:snapToGrid/>
          <w:sz w:val="24"/>
          <w:szCs w:val="22"/>
        </w:rPr>
        <w:t>(</w:t>
      </w:r>
      <w:proofErr w:type="spellStart"/>
      <w:r w:rsidR="00DF6530" w:rsidRPr="00BD33A4">
        <w:rPr>
          <w:rFonts w:asciiTheme="minorHAnsi" w:eastAsiaTheme="minorHAnsi" w:hAnsiTheme="minorHAnsi" w:cstheme="minorBidi"/>
          <w:snapToGrid/>
          <w:sz w:val="24"/>
          <w:szCs w:val="22"/>
        </w:rPr>
        <w:t>Fluarix</w:t>
      </w:r>
      <w:proofErr w:type="spellEnd"/>
      <w:r w:rsidR="00DF6530" w:rsidRPr="00BD33A4">
        <w:rPr>
          <w:rFonts w:asciiTheme="minorHAnsi" w:eastAsiaTheme="minorHAnsi" w:hAnsiTheme="minorHAnsi" w:cstheme="minorBidi"/>
          <w:snapToGrid/>
          <w:sz w:val="24"/>
          <w:szCs w:val="22"/>
        </w:rPr>
        <w:t xml:space="preserve"> Tetra, </w:t>
      </w:r>
      <w:r w:rsidR="00330C7D" w:rsidRPr="00BD33A4">
        <w:rPr>
          <w:rFonts w:asciiTheme="minorHAnsi" w:eastAsiaTheme="minorHAnsi" w:hAnsiTheme="minorHAnsi" w:cstheme="minorBidi"/>
          <w:snapToGrid/>
          <w:sz w:val="24"/>
          <w:szCs w:val="22"/>
        </w:rPr>
        <w:t>Public Summary Document – March 2015 PBAC Meeting)</w:t>
      </w:r>
      <w:r w:rsidR="00BD33A4">
        <w:rPr>
          <w:rFonts w:asciiTheme="minorHAnsi" w:eastAsiaTheme="minorHAnsi" w:hAnsiTheme="minorHAnsi" w:cstheme="minorBidi"/>
          <w:snapToGrid/>
          <w:sz w:val="24"/>
          <w:szCs w:val="22"/>
        </w:rPr>
        <w:t xml:space="preserve">. </w:t>
      </w:r>
      <w:r w:rsidR="002A41B8" w:rsidRPr="00BD33A4">
        <w:rPr>
          <w:rFonts w:asciiTheme="minorHAnsi" w:eastAsiaTheme="minorHAnsi" w:hAnsiTheme="minorHAnsi" w:cstheme="minorBidi"/>
          <w:snapToGrid/>
          <w:sz w:val="24"/>
          <w:szCs w:val="22"/>
        </w:rPr>
        <w:t xml:space="preserve">The PBAC has not previously considered </w:t>
      </w:r>
      <w:proofErr w:type="spellStart"/>
      <w:r w:rsidR="002A41B8" w:rsidRPr="00BD33A4">
        <w:rPr>
          <w:rFonts w:asciiTheme="minorHAnsi" w:eastAsiaTheme="minorHAnsi" w:hAnsiTheme="minorHAnsi" w:cstheme="minorBidi"/>
          <w:snapToGrid/>
          <w:sz w:val="24"/>
          <w:szCs w:val="22"/>
        </w:rPr>
        <w:t>Fluarix</w:t>
      </w:r>
      <w:proofErr w:type="spellEnd"/>
      <w:r w:rsidR="002A41B8" w:rsidRPr="00BD33A4">
        <w:rPr>
          <w:rFonts w:asciiTheme="minorHAnsi" w:eastAsiaTheme="minorHAnsi" w:hAnsiTheme="minorHAnsi" w:cstheme="minorBidi"/>
          <w:snapToGrid/>
          <w:sz w:val="24"/>
          <w:szCs w:val="22"/>
        </w:rPr>
        <w:t xml:space="preserve"> Tetra for this age group.</w:t>
      </w:r>
    </w:p>
    <w:p w:rsidR="00DF6530" w:rsidRPr="00BD33A4" w:rsidRDefault="000B5B38" w:rsidP="005F3B0E">
      <w:pPr>
        <w:pStyle w:val="ListParagraph"/>
        <w:widowControl/>
        <w:numPr>
          <w:ilvl w:val="1"/>
          <w:numId w:val="14"/>
        </w:numPr>
        <w:spacing w:before="120" w:after="120"/>
        <w:rPr>
          <w:rFonts w:asciiTheme="minorHAnsi" w:eastAsiaTheme="minorHAnsi" w:hAnsiTheme="minorHAnsi" w:cstheme="minorBidi"/>
          <w:snapToGrid/>
          <w:sz w:val="24"/>
          <w:szCs w:val="22"/>
        </w:rPr>
      </w:pP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received TGA registration for use in infants and young children 6</w:t>
      </w:r>
      <w:r w:rsidR="00DF6530" w:rsidRPr="00BD33A4">
        <w:rPr>
          <w:rFonts w:asciiTheme="minorHAnsi" w:eastAsiaTheme="minorHAnsi" w:hAnsiTheme="minorHAnsi" w:cstheme="minorBidi"/>
          <w:snapToGrid/>
          <w:sz w:val="24"/>
          <w:szCs w:val="22"/>
        </w:rPr>
        <w:t xml:space="preserve"> -</w:t>
      </w:r>
      <w:r w:rsidR="000A111C" w:rsidRPr="00BD33A4">
        <w:rPr>
          <w:rFonts w:asciiTheme="minorHAnsi" w:eastAsiaTheme="minorHAnsi" w:hAnsiTheme="minorHAnsi" w:cstheme="minorBidi"/>
          <w:snapToGrid/>
          <w:sz w:val="24"/>
          <w:szCs w:val="22"/>
        </w:rPr>
        <w:t xml:space="preserve"> </w:t>
      </w:r>
      <w:r w:rsidRPr="00BD33A4">
        <w:rPr>
          <w:rFonts w:asciiTheme="minorHAnsi" w:eastAsiaTheme="minorHAnsi" w:hAnsiTheme="minorHAnsi" w:cstheme="minorBidi"/>
          <w:snapToGrid/>
          <w:sz w:val="24"/>
          <w:szCs w:val="22"/>
        </w:rPr>
        <w:t>35 months of age in May 2018</w:t>
      </w:r>
      <w:r w:rsidR="00BD33A4">
        <w:rPr>
          <w:rFonts w:asciiTheme="minorHAnsi" w:eastAsiaTheme="minorHAnsi" w:hAnsiTheme="minorHAnsi" w:cstheme="minorBidi"/>
          <w:snapToGrid/>
          <w:sz w:val="24"/>
          <w:szCs w:val="22"/>
        </w:rPr>
        <w:t>.</w:t>
      </w:r>
      <w:r w:rsidRPr="00BD33A4">
        <w:rPr>
          <w:rFonts w:asciiTheme="minorHAnsi" w:eastAsiaTheme="minorHAnsi" w:hAnsiTheme="minorHAnsi" w:cstheme="minorBidi"/>
          <w:snapToGrid/>
          <w:sz w:val="24"/>
          <w:szCs w:val="22"/>
        </w:rPr>
        <w:t xml:space="preserve"> </w:t>
      </w:r>
      <w:r w:rsidR="00BD33A4">
        <w:rPr>
          <w:rFonts w:asciiTheme="minorHAnsi" w:eastAsiaTheme="minorHAnsi" w:hAnsiTheme="minorHAnsi" w:cstheme="minorBidi"/>
          <w:snapToGrid/>
          <w:sz w:val="24"/>
          <w:szCs w:val="22"/>
        </w:rPr>
        <w:t>H</w:t>
      </w:r>
      <w:r w:rsidR="00BD33A4" w:rsidRPr="00BD33A4">
        <w:rPr>
          <w:rFonts w:asciiTheme="minorHAnsi" w:eastAsiaTheme="minorHAnsi" w:hAnsiTheme="minorHAnsi" w:cstheme="minorBidi"/>
          <w:snapToGrid/>
          <w:sz w:val="24"/>
          <w:szCs w:val="22"/>
        </w:rPr>
        <w:t>owever</w:t>
      </w:r>
      <w:r w:rsidRPr="00BD33A4">
        <w:rPr>
          <w:rFonts w:asciiTheme="minorHAnsi" w:eastAsiaTheme="minorHAnsi" w:hAnsiTheme="minorHAnsi" w:cstheme="minorBidi"/>
          <w:snapToGrid/>
          <w:sz w:val="24"/>
          <w:szCs w:val="22"/>
        </w:rPr>
        <w:t xml:space="preserve">, as the vaccine had already been manufactured and packed for the 2018 Australian influenza season at the time of TGA registration, </w:t>
      </w:r>
      <w:r w:rsidRPr="00BD33A4">
        <w:rPr>
          <w:rFonts w:asciiTheme="minorHAnsi" w:eastAsiaTheme="minorHAnsi" w:hAnsiTheme="minorHAnsi" w:cstheme="minorBidi"/>
          <w:snapToGrid/>
          <w:sz w:val="24"/>
          <w:szCs w:val="22"/>
        </w:rPr>
        <w:lastRenderedPageBreak/>
        <w:t>the labelling on the packs stated</w:t>
      </w:r>
      <w:r w:rsidR="00D617E1" w:rsidRPr="00BD33A4">
        <w:rPr>
          <w:rFonts w:asciiTheme="minorHAnsi" w:eastAsiaTheme="minorHAnsi" w:hAnsiTheme="minorHAnsi" w:cstheme="minorBidi"/>
          <w:snapToGrid/>
          <w:sz w:val="24"/>
          <w:szCs w:val="22"/>
        </w:rPr>
        <w:t xml:space="preserve"> that it was</w:t>
      </w:r>
      <w:r w:rsidRPr="00BD33A4">
        <w:rPr>
          <w:rFonts w:asciiTheme="minorHAnsi" w:eastAsiaTheme="minorHAnsi" w:hAnsiTheme="minorHAnsi" w:cstheme="minorBidi"/>
          <w:snapToGrid/>
          <w:sz w:val="24"/>
          <w:szCs w:val="22"/>
        </w:rPr>
        <w:t xml:space="preserve"> for use in children aged ≥ 3 years</w:t>
      </w:r>
      <w:r w:rsidR="00622059" w:rsidRPr="00BD33A4">
        <w:rPr>
          <w:rFonts w:asciiTheme="minorHAnsi" w:eastAsiaTheme="minorHAnsi" w:hAnsiTheme="minorHAnsi" w:cstheme="minorBidi"/>
          <w:snapToGrid/>
          <w:sz w:val="24"/>
          <w:szCs w:val="22"/>
        </w:rPr>
        <w:t xml:space="preserve">, </w:t>
      </w:r>
      <w:r w:rsidR="00DB47BE" w:rsidRPr="00BD33A4">
        <w:rPr>
          <w:rFonts w:asciiTheme="minorHAnsi" w:eastAsiaTheme="minorHAnsi" w:hAnsiTheme="minorHAnsi" w:cstheme="minorBidi"/>
          <w:snapToGrid/>
          <w:sz w:val="24"/>
          <w:szCs w:val="22"/>
        </w:rPr>
        <w:t xml:space="preserve">which </w:t>
      </w:r>
      <w:r w:rsidRPr="00BD33A4">
        <w:rPr>
          <w:rFonts w:asciiTheme="minorHAnsi" w:eastAsiaTheme="minorHAnsi" w:hAnsiTheme="minorHAnsi" w:cstheme="minorBidi"/>
          <w:snapToGrid/>
          <w:sz w:val="24"/>
          <w:szCs w:val="22"/>
        </w:rPr>
        <w:t xml:space="preserve">aligned with the </w:t>
      </w:r>
      <w:r w:rsidR="000A111C" w:rsidRPr="00BD33A4">
        <w:rPr>
          <w:rFonts w:asciiTheme="minorHAnsi" w:eastAsiaTheme="minorHAnsi" w:hAnsiTheme="minorHAnsi" w:cstheme="minorBidi"/>
          <w:snapToGrid/>
          <w:sz w:val="24"/>
          <w:szCs w:val="22"/>
        </w:rPr>
        <w:t>NIP listing</w:t>
      </w:r>
      <w:r w:rsidRPr="00BD33A4">
        <w:rPr>
          <w:rFonts w:asciiTheme="minorHAnsi" w:eastAsiaTheme="minorHAnsi" w:hAnsiTheme="minorHAnsi" w:cstheme="minorBidi"/>
          <w:snapToGrid/>
          <w:sz w:val="24"/>
          <w:szCs w:val="22"/>
        </w:rPr>
        <w:t xml:space="preserve"> for use in high- risk groups ≥ 3 years. </w:t>
      </w:r>
    </w:p>
    <w:p w:rsidR="006D00A4" w:rsidRPr="00BD33A4" w:rsidRDefault="00DF6530"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G</w:t>
      </w:r>
      <w:r w:rsidR="000B5B38" w:rsidRPr="00BD33A4">
        <w:rPr>
          <w:rFonts w:asciiTheme="minorHAnsi" w:eastAsiaTheme="minorHAnsi" w:hAnsiTheme="minorHAnsi" w:cstheme="minorBidi"/>
          <w:snapToGrid/>
          <w:sz w:val="24"/>
          <w:szCs w:val="22"/>
        </w:rPr>
        <w:t>iven</w:t>
      </w:r>
      <w:r w:rsidR="00BF28CC" w:rsidRPr="00BD33A4">
        <w:rPr>
          <w:rFonts w:asciiTheme="minorHAnsi" w:eastAsiaTheme="minorHAnsi" w:hAnsiTheme="minorHAnsi" w:cstheme="minorBidi"/>
          <w:snapToGrid/>
          <w:sz w:val="24"/>
          <w:szCs w:val="22"/>
        </w:rPr>
        <w:t xml:space="preserve"> that at the time of the submission,</w:t>
      </w:r>
      <w:r w:rsidR="000B5B38" w:rsidRPr="00BD33A4">
        <w:rPr>
          <w:rFonts w:asciiTheme="minorHAnsi" w:eastAsiaTheme="minorHAnsi" w:hAnsiTheme="minorHAnsi" w:cstheme="minorBidi"/>
          <w:snapToGrid/>
          <w:sz w:val="24"/>
          <w:szCs w:val="22"/>
        </w:rPr>
        <w:t xml:space="preserve"> the TGA registration for use </w:t>
      </w:r>
      <w:r w:rsidRPr="00BD33A4">
        <w:rPr>
          <w:rFonts w:asciiTheme="minorHAnsi" w:eastAsiaTheme="minorHAnsi" w:hAnsiTheme="minorHAnsi" w:cstheme="minorBidi"/>
          <w:snapToGrid/>
          <w:sz w:val="24"/>
          <w:szCs w:val="22"/>
        </w:rPr>
        <w:t xml:space="preserve">of </w:t>
      </w: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w:t>
      </w:r>
      <w:r w:rsidR="000B5B38" w:rsidRPr="00BD33A4">
        <w:rPr>
          <w:rFonts w:asciiTheme="minorHAnsi" w:eastAsiaTheme="minorHAnsi" w:hAnsiTheme="minorHAnsi" w:cstheme="minorBidi"/>
          <w:snapToGrid/>
          <w:sz w:val="24"/>
          <w:szCs w:val="22"/>
        </w:rPr>
        <w:t xml:space="preserve">in infants and children </w:t>
      </w:r>
      <w:r w:rsidR="00BF28CC" w:rsidRPr="00BD33A4">
        <w:rPr>
          <w:rFonts w:asciiTheme="minorHAnsi" w:eastAsiaTheme="minorHAnsi" w:hAnsiTheme="minorHAnsi" w:cstheme="minorBidi"/>
          <w:snapToGrid/>
          <w:sz w:val="24"/>
          <w:szCs w:val="22"/>
        </w:rPr>
        <w:t xml:space="preserve">was </w:t>
      </w:r>
      <w:r w:rsidR="000B5B38" w:rsidRPr="00BD33A4">
        <w:rPr>
          <w:rFonts w:asciiTheme="minorHAnsi" w:eastAsiaTheme="minorHAnsi" w:hAnsiTheme="minorHAnsi" w:cstheme="minorBidi"/>
          <w:snapToGrid/>
          <w:sz w:val="24"/>
          <w:szCs w:val="22"/>
        </w:rPr>
        <w:t xml:space="preserve">≥ 6 months, PBAC </w:t>
      </w:r>
      <w:r w:rsidR="000A111C" w:rsidRPr="00BD33A4">
        <w:rPr>
          <w:rFonts w:asciiTheme="minorHAnsi" w:eastAsiaTheme="minorHAnsi" w:hAnsiTheme="minorHAnsi" w:cstheme="minorBidi"/>
          <w:snapToGrid/>
          <w:sz w:val="24"/>
          <w:szCs w:val="22"/>
        </w:rPr>
        <w:t xml:space="preserve">consideration </w:t>
      </w:r>
      <w:proofErr w:type="gramStart"/>
      <w:r w:rsidR="0046177A" w:rsidRPr="00BD33A4">
        <w:rPr>
          <w:rFonts w:asciiTheme="minorHAnsi" w:eastAsiaTheme="minorHAnsi" w:hAnsiTheme="minorHAnsi" w:cstheme="minorBidi"/>
          <w:snapToGrid/>
          <w:sz w:val="24"/>
          <w:szCs w:val="22"/>
        </w:rPr>
        <w:t>wa</w:t>
      </w:r>
      <w:r w:rsidR="000B5B38" w:rsidRPr="00BD33A4">
        <w:rPr>
          <w:rFonts w:asciiTheme="minorHAnsi" w:eastAsiaTheme="minorHAnsi" w:hAnsiTheme="minorHAnsi" w:cstheme="minorBidi"/>
          <w:snapToGrid/>
          <w:sz w:val="24"/>
          <w:szCs w:val="22"/>
        </w:rPr>
        <w:t>s req</w:t>
      </w:r>
      <w:r w:rsidR="00041B6D" w:rsidRPr="00BD33A4">
        <w:rPr>
          <w:rFonts w:asciiTheme="minorHAnsi" w:eastAsiaTheme="minorHAnsi" w:hAnsiTheme="minorHAnsi" w:cstheme="minorBidi"/>
          <w:snapToGrid/>
          <w:sz w:val="24"/>
          <w:szCs w:val="22"/>
        </w:rPr>
        <w:t>uested</w:t>
      </w:r>
      <w:proofErr w:type="gramEnd"/>
      <w:r w:rsidR="000B5B38" w:rsidRPr="00BD33A4">
        <w:rPr>
          <w:rFonts w:asciiTheme="minorHAnsi" w:eastAsiaTheme="minorHAnsi" w:hAnsiTheme="minorHAnsi" w:cstheme="minorBidi"/>
          <w:snapToGrid/>
          <w:sz w:val="24"/>
          <w:szCs w:val="22"/>
        </w:rPr>
        <w:t xml:space="preserve"> to</w:t>
      </w:r>
      <w:r w:rsidR="00043C14" w:rsidRPr="00BD33A4">
        <w:rPr>
          <w:rFonts w:asciiTheme="minorHAnsi" w:eastAsiaTheme="minorHAnsi" w:hAnsiTheme="minorHAnsi" w:cstheme="minorBidi"/>
          <w:snapToGrid/>
          <w:sz w:val="24"/>
          <w:szCs w:val="22"/>
        </w:rPr>
        <w:t xml:space="preserve"> extend NIP-funded access to children ≥ 6 months. NIP listing as proposed would align the TGA-approved indication, updated pack labelling and NIP listing </w:t>
      </w:r>
      <w:proofErr w:type="gramStart"/>
      <w:r w:rsidR="00043C14" w:rsidRPr="00BD33A4">
        <w:rPr>
          <w:rFonts w:asciiTheme="minorHAnsi" w:eastAsiaTheme="minorHAnsi" w:hAnsiTheme="minorHAnsi" w:cstheme="minorBidi"/>
          <w:snapToGrid/>
          <w:sz w:val="24"/>
          <w:szCs w:val="22"/>
        </w:rPr>
        <w:t>and also</w:t>
      </w:r>
      <w:proofErr w:type="gramEnd"/>
      <w:r w:rsidR="00043C14" w:rsidRPr="00BD33A4">
        <w:rPr>
          <w:rFonts w:asciiTheme="minorHAnsi" w:eastAsiaTheme="minorHAnsi" w:hAnsiTheme="minorHAnsi" w:cstheme="minorBidi"/>
          <w:snapToGrid/>
          <w:sz w:val="24"/>
          <w:szCs w:val="22"/>
        </w:rPr>
        <w:t xml:space="preserve"> enable an additional supply option for this cohort. Alignment of the</w:t>
      </w:r>
      <w:r w:rsidR="00407AC8" w:rsidRPr="00BD33A4">
        <w:rPr>
          <w:rFonts w:asciiTheme="minorHAnsi" w:eastAsiaTheme="minorHAnsi" w:hAnsiTheme="minorHAnsi" w:cstheme="minorBidi"/>
          <w:snapToGrid/>
          <w:sz w:val="24"/>
          <w:szCs w:val="22"/>
        </w:rPr>
        <w:t xml:space="preserve">se </w:t>
      </w:r>
      <w:r w:rsidR="0046177A" w:rsidRPr="00BD33A4">
        <w:rPr>
          <w:rFonts w:asciiTheme="minorHAnsi" w:eastAsiaTheme="minorHAnsi" w:hAnsiTheme="minorHAnsi" w:cstheme="minorBidi"/>
          <w:snapToGrid/>
          <w:sz w:val="24"/>
          <w:szCs w:val="22"/>
        </w:rPr>
        <w:t xml:space="preserve">factors </w:t>
      </w:r>
      <w:r w:rsidR="00407AC8" w:rsidRPr="00BD33A4">
        <w:rPr>
          <w:rFonts w:asciiTheme="minorHAnsi" w:eastAsiaTheme="minorHAnsi" w:hAnsiTheme="minorHAnsi" w:cstheme="minorBidi"/>
          <w:snapToGrid/>
          <w:sz w:val="24"/>
          <w:szCs w:val="22"/>
        </w:rPr>
        <w:t>would also</w:t>
      </w:r>
      <w:r w:rsidR="000B5B38" w:rsidRPr="00BD33A4">
        <w:rPr>
          <w:rFonts w:asciiTheme="minorHAnsi" w:eastAsiaTheme="minorHAnsi" w:hAnsiTheme="minorHAnsi" w:cstheme="minorBidi"/>
          <w:snapToGrid/>
          <w:sz w:val="24"/>
          <w:szCs w:val="22"/>
        </w:rPr>
        <w:t xml:space="preserve"> avoi</w:t>
      </w:r>
      <w:r w:rsidR="00407AC8" w:rsidRPr="00BD33A4">
        <w:rPr>
          <w:rFonts w:asciiTheme="minorHAnsi" w:eastAsiaTheme="minorHAnsi" w:hAnsiTheme="minorHAnsi" w:cstheme="minorBidi"/>
          <w:snapToGrid/>
          <w:sz w:val="24"/>
          <w:szCs w:val="22"/>
        </w:rPr>
        <w:t>d</w:t>
      </w:r>
      <w:r w:rsidR="000B5B38" w:rsidRPr="00BD33A4">
        <w:rPr>
          <w:rFonts w:asciiTheme="minorHAnsi" w:eastAsiaTheme="minorHAnsi" w:hAnsiTheme="minorHAnsi" w:cstheme="minorBidi"/>
          <w:snapToGrid/>
          <w:sz w:val="24"/>
          <w:szCs w:val="22"/>
        </w:rPr>
        <w:t xml:space="preserve"> confusion about the appropriate </w:t>
      </w:r>
      <w:r w:rsidR="006D00A4" w:rsidRPr="00BD33A4">
        <w:rPr>
          <w:rFonts w:asciiTheme="minorHAnsi" w:eastAsiaTheme="minorHAnsi" w:hAnsiTheme="minorHAnsi" w:cstheme="minorBidi"/>
          <w:snapToGrid/>
          <w:sz w:val="24"/>
          <w:szCs w:val="22"/>
        </w:rPr>
        <w:t xml:space="preserve">age range for the </w:t>
      </w:r>
      <w:r w:rsidR="000B5B38" w:rsidRPr="00BD33A4">
        <w:rPr>
          <w:rFonts w:asciiTheme="minorHAnsi" w:eastAsiaTheme="minorHAnsi" w:hAnsiTheme="minorHAnsi" w:cstheme="minorBidi"/>
          <w:snapToGrid/>
          <w:sz w:val="24"/>
          <w:szCs w:val="22"/>
        </w:rPr>
        <w:t xml:space="preserve">use of </w:t>
      </w:r>
      <w:proofErr w:type="spellStart"/>
      <w:r w:rsidR="000B5B38" w:rsidRPr="00BD33A4">
        <w:rPr>
          <w:rFonts w:asciiTheme="minorHAnsi" w:eastAsiaTheme="minorHAnsi" w:hAnsiTheme="minorHAnsi" w:cstheme="minorBidi"/>
          <w:snapToGrid/>
          <w:sz w:val="24"/>
          <w:szCs w:val="22"/>
        </w:rPr>
        <w:t>Fluarix</w:t>
      </w:r>
      <w:proofErr w:type="spellEnd"/>
      <w:r w:rsidR="000B5B38" w:rsidRPr="00BD33A4">
        <w:rPr>
          <w:rFonts w:asciiTheme="minorHAnsi" w:eastAsiaTheme="minorHAnsi" w:hAnsiTheme="minorHAnsi" w:cstheme="minorBidi"/>
          <w:snapToGrid/>
          <w:sz w:val="24"/>
          <w:szCs w:val="22"/>
        </w:rPr>
        <w:t xml:space="preserve"> Tetra</w:t>
      </w:r>
      <w:r w:rsidR="006D00A4" w:rsidRPr="00BD33A4">
        <w:rPr>
          <w:rFonts w:asciiTheme="minorHAnsi" w:eastAsiaTheme="minorHAnsi" w:hAnsiTheme="minorHAnsi" w:cstheme="minorBidi"/>
          <w:snapToGrid/>
          <w:sz w:val="24"/>
          <w:szCs w:val="22"/>
        </w:rPr>
        <w:t xml:space="preserve">, or </w:t>
      </w:r>
      <w:r w:rsidR="00407AC8" w:rsidRPr="00BD33A4">
        <w:rPr>
          <w:rFonts w:asciiTheme="minorHAnsi" w:eastAsiaTheme="minorHAnsi" w:hAnsiTheme="minorHAnsi" w:cstheme="minorBidi"/>
          <w:snapToGrid/>
          <w:sz w:val="24"/>
          <w:szCs w:val="22"/>
        </w:rPr>
        <w:t xml:space="preserve">the </w:t>
      </w:r>
      <w:r w:rsidR="006D00A4" w:rsidRPr="00BD33A4">
        <w:rPr>
          <w:rFonts w:asciiTheme="minorHAnsi" w:eastAsiaTheme="minorHAnsi" w:hAnsiTheme="minorHAnsi" w:cstheme="minorBidi"/>
          <w:snapToGrid/>
          <w:sz w:val="24"/>
          <w:szCs w:val="22"/>
        </w:rPr>
        <w:t>inadvertent administration of NIP vaccines to a non-covered age cohort</w:t>
      </w:r>
      <w:r w:rsidR="000B5B38" w:rsidRPr="00BD33A4">
        <w:rPr>
          <w:rFonts w:asciiTheme="minorHAnsi" w:eastAsiaTheme="minorHAnsi" w:hAnsiTheme="minorHAnsi" w:cstheme="minorBidi"/>
          <w:snapToGrid/>
          <w:sz w:val="24"/>
          <w:szCs w:val="22"/>
        </w:rPr>
        <w:t xml:space="preserve">. </w:t>
      </w:r>
    </w:p>
    <w:p w:rsidR="0004170F" w:rsidRPr="00811C6C" w:rsidRDefault="0055419F" w:rsidP="005F3B0E">
      <w:pPr>
        <w:pStyle w:val="PBACHeading1"/>
        <w:numPr>
          <w:ilvl w:val="0"/>
          <w:numId w:val="0"/>
        </w:numPr>
        <w:spacing w:before="120" w:after="120"/>
        <w:ind w:left="284"/>
        <w:outlineLvl w:val="9"/>
        <w:rPr>
          <w:rFonts w:asciiTheme="minorHAnsi" w:eastAsiaTheme="minorHAnsi" w:hAnsiTheme="minorHAnsi" w:cstheme="minorHAnsi"/>
          <w:b w:val="0"/>
          <w:i/>
          <w:snapToGrid/>
          <w:sz w:val="24"/>
          <w:szCs w:val="24"/>
        </w:rPr>
      </w:pPr>
      <w:r w:rsidRPr="00BD33A4">
        <w:rPr>
          <w:rFonts w:asciiTheme="minorHAnsi" w:eastAsiaTheme="minorHAnsi" w:hAnsiTheme="minorHAnsi" w:cstheme="minorHAnsi"/>
          <w:b w:val="0"/>
          <w:i/>
          <w:snapToGrid/>
          <w:sz w:val="24"/>
          <w:szCs w:val="24"/>
        </w:rPr>
        <w:t xml:space="preserve">For more detail on PBAC’s view, see section </w:t>
      </w:r>
      <w:r w:rsidR="0004170F" w:rsidRPr="00BD33A4">
        <w:rPr>
          <w:rFonts w:asciiTheme="minorHAnsi" w:eastAsiaTheme="minorHAnsi" w:hAnsiTheme="minorHAnsi" w:cstheme="minorHAnsi"/>
          <w:b w:val="0"/>
          <w:i/>
          <w:snapToGrid/>
          <w:sz w:val="24"/>
          <w:szCs w:val="24"/>
        </w:rPr>
        <w:t>6</w:t>
      </w:r>
      <w:r w:rsidRPr="00BD33A4">
        <w:rPr>
          <w:rFonts w:asciiTheme="minorHAnsi" w:eastAsiaTheme="minorHAnsi" w:hAnsiTheme="minorHAnsi" w:cstheme="minorHAnsi"/>
          <w:b w:val="0"/>
          <w:i/>
          <w:snapToGrid/>
          <w:sz w:val="24"/>
          <w:szCs w:val="24"/>
        </w:rPr>
        <w:t xml:space="preserve"> PBAC outcome.</w:t>
      </w:r>
    </w:p>
    <w:p w:rsidR="005A3173" w:rsidRPr="00BD33A4" w:rsidRDefault="005A3173" w:rsidP="005F3B0E">
      <w:pPr>
        <w:pStyle w:val="PBACHeading1"/>
        <w:spacing w:before="120" w:after="120"/>
        <w:ind w:left="709" w:hanging="709"/>
        <w:rPr>
          <w:rFonts w:asciiTheme="minorHAnsi" w:hAnsiTheme="minorHAnsi"/>
          <w:sz w:val="32"/>
          <w:szCs w:val="32"/>
        </w:rPr>
      </w:pPr>
      <w:r w:rsidRPr="00BD33A4">
        <w:rPr>
          <w:rFonts w:asciiTheme="minorHAnsi" w:hAnsiTheme="minorHAnsi"/>
          <w:sz w:val="32"/>
          <w:szCs w:val="32"/>
        </w:rPr>
        <w:t>Comparator</w:t>
      </w:r>
    </w:p>
    <w:p w:rsidR="00150355" w:rsidRPr="00BD33A4" w:rsidRDefault="0013292A"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 xml:space="preserve">The minor submission nominated </w:t>
      </w:r>
      <w:proofErr w:type="spellStart"/>
      <w:r w:rsidRPr="00BD33A4">
        <w:rPr>
          <w:rFonts w:asciiTheme="minorHAnsi" w:eastAsiaTheme="minorHAnsi" w:hAnsiTheme="minorHAnsi" w:cstheme="minorBidi"/>
          <w:snapToGrid/>
          <w:sz w:val="24"/>
          <w:szCs w:val="22"/>
        </w:rPr>
        <w:t>FluQuadri</w:t>
      </w:r>
      <w:proofErr w:type="spellEnd"/>
      <w:r w:rsidRPr="00BD33A4">
        <w:rPr>
          <w:rFonts w:asciiTheme="minorHAnsi" w:eastAsiaTheme="minorHAnsi" w:hAnsiTheme="minorHAnsi" w:cstheme="minorBidi"/>
          <w:snapToGrid/>
          <w:sz w:val="24"/>
          <w:szCs w:val="22"/>
        </w:rPr>
        <w:t xml:space="preserve"> Junior (Sanofi-Pasteur) as the comparator </w:t>
      </w:r>
      <w:r w:rsidR="00D008A5" w:rsidRPr="00BD33A4">
        <w:rPr>
          <w:rFonts w:asciiTheme="minorHAnsi" w:eastAsiaTheme="minorHAnsi" w:hAnsiTheme="minorHAnsi" w:cstheme="minorBidi"/>
          <w:snapToGrid/>
          <w:sz w:val="24"/>
          <w:szCs w:val="22"/>
        </w:rPr>
        <w:t xml:space="preserve">in </w:t>
      </w:r>
      <w:r w:rsidRPr="00BD33A4">
        <w:rPr>
          <w:rFonts w:asciiTheme="minorHAnsi" w:eastAsiaTheme="minorHAnsi" w:hAnsiTheme="minorHAnsi" w:cstheme="minorBidi"/>
          <w:snapToGrid/>
          <w:sz w:val="24"/>
          <w:szCs w:val="22"/>
        </w:rPr>
        <w:t xml:space="preserve">the 6 </w:t>
      </w:r>
      <w:r w:rsidR="00DF6530" w:rsidRPr="00BD33A4">
        <w:rPr>
          <w:rFonts w:asciiTheme="minorHAnsi" w:eastAsiaTheme="minorHAnsi" w:hAnsiTheme="minorHAnsi" w:cstheme="minorBidi"/>
          <w:snapToGrid/>
          <w:sz w:val="24"/>
          <w:szCs w:val="22"/>
        </w:rPr>
        <w:t>-</w:t>
      </w:r>
      <w:r w:rsidRPr="00BD33A4">
        <w:rPr>
          <w:rFonts w:asciiTheme="minorHAnsi" w:eastAsiaTheme="minorHAnsi" w:hAnsiTheme="minorHAnsi" w:cstheme="minorBidi"/>
          <w:snapToGrid/>
          <w:sz w:val="24"/>
          <w:szCs w:val="22"/>
        </w:rPr>
        <w:t xml:space="preserve"> 35 month age </w:t>
      </w:r>
      <w:r w:rsidR="00F276D4" w:rsidRPr="00BD33A4">
        <w:rPr>
          <w:rFonts w:asciiTheme="minorHAnsi" w:eastAsiaTheme="minorHAnsi" w:hAnsiTheme="minorHAnsi" w:cstheme="minorBidi"/>
          <w:snapToGrid/>
          <w:sz w:val="24"/>
          <w:szCs w:val="22"/>
        </w:rPr>
        <w:t>group</w:t>
      </w:r>
      <w:r w:rsidR="00BD33A4">
        <w:rPr>
          <w:rFonts w:asciiTheme="minorHAnsi" w:eastAsiaTheme="minorHAnsi" w:hAnsiTheme="minorHAnsi" w:cstheme="minorBidi"/>
          <w:snapToGrid/>
          <w:sz w:val="24"/>
          <w:szCs w:val="22"/>
        </w:rPr>
        <w:t xml:space="preserve">. </w:t>
      </w:r>
      <w:proofErr w:type="spellStart"/>
      <w:r w:rsidR="00D008A5" w:rsidRPr="00BD33A4">
        <w:rPr>
          <w:rFonts w:asciiTheme="minorHAnsi" w:eastAsiaTheme="minorHAnsi" w:hAnsiTheme="minorHAnsi" w:cstheme="minorBidi"/>
          <w:snapToGrid/>
          <w:sz w:val="24"/>
          <w:szCs w:val="22"/>
        </w:rPr>
        <w:t>FluQuadri</w:t>
      </w:r>
      <w:proofErr w:type="spellEnd"/>
      <w:r w:rsidR="00D008A5" w:rsidRPr="00BD33A4">
        <w:rPr>
          <w:rFonts w:asciiTheme="minorHAnsi" w:eastAsiaTheme="minorHAnsi" w:hAnsiTheme="minorHAnsi" w:cstheme="minorBidi"/>
          <w:snapToGrid/>
          <w:sz w:val="24"/>
          <w:szCs w:val="22"/>
        </w:rPr>
        <w:t xml:space="preserve"> Junior is the only NIP listed vaccine </w:t>
      </w:r>
      <w:r w:rsidR="00A63218" w:rsidRPr="00BD33A4">
        <w:rPr>
          <w:rFonts w:asciiTheme="minorHAnsi" w:eastAsiaTheme="minorHAnsi" w:hAnsiTheme="minorHAnsi" w:cstheme="minorBidi"/>
          <w:snapToGrid/>
          <w:sz w:val="24"/>
          <w:szCs w:val="22"/>
        </w:rPr>
        <w:t>for</w:t>
      </w:r>
      <w:r w:rsidR="00D008A5" w:rsidRPr="00BD33A4">
        <w:rPr>
          <w:rFonts w:asciiTheme="minorHAnsi" w:eastAsiaTheme="minorHAnsi" w:hAnsiTheme="minorHAnsi" w:cstheme="minorBidi"/>
          <w:snapToGrid/>
          <w:sz w:val="24"/>
          <w:szCs w:val="22"/>
        </w:rPr>
        <w:t xml:space="preserve"> this age group</w:t>
      </w:r>
      <w:r w:rsidR="0050069F" w:rsidRPr="00BD33A4">
        <w:rPr>
          <w:rFonts w:asciiTheme="minorHAnsi" w:eastAsiaTheme="minorHAnsi" w:hAnsiTheme="minorHAnsi" w:cstheme="minorBidi"/>
          <w:snapToGrid/>
          <w:sz w:val="24"/>
          <w:szCs w:val="22"/>
        </w:rPr>
        <w:t xml:space="preserve"> </w:t>
      </w:r>
      <w:r w:rsidR="00D62176" w:rsidRPr="00BD33A4">
        <w:rPr>
          <w:rFonts w:asciiTheme="minorHAnsi" w:eastAsiaTheme="minorHAnsi" w:hAnsiTheme="minorHAnsi" w:cstheme="minorBidi"/>
          <w:snapToGrid/>
          <w:sz w:val="24"/>
          <w:szCs w:val="22"/>
        </w:rPr>
        <w:t xml:space="preserve">(ATAGI </w:t>
      </w:r>
      <w:r w:rsidR="00F276D4" w:rsidRPr="00BD33A4">
        <w:rPr>
          <w:rFonts w:asciiTheme="minorHAnsi" w:eastAsiaTheme="minorHAnsi" w:hAnsiTheme="minorHAnsi" w:cstheme="minorBidi"/>
          <w:snapToGrid/>
          <w:sz w:val="24"/>
          <w:szCs w:val="22"/>
        </w:rPr>
        <w:t xml:space="preserve">Pre-Submission Advice, </w:t>
      </w:r>
      <w:r w:rsidR="007F6CE8" w:rsidRPr="00BD33A4">
        <w:rPr>
          <w:rFonts w:asciiTheme="minorHAnsi" w:eastAsiaTheme="minorHAnsi" w:hAnsiTheme="minorHAnsi" w:cstheme="minorBidi"/>
          <w:snapToGrid/>
          <w:sz w:val="24"/>
          <w:szCs w:val="22"/>
        </w:rPr>
        <w:t>p</w:t>
      </w:r>
      <w:r w:rsidR="00D62176" w:rsidRPr="00BD33A4">
        <w:rPr>
          <w:rFonts w:asciiTheme="minorHAnsi" w:eastAsiaTheme="minorHAnsi" w:hAnsiTheme="minorHAnsi" w:cstheme="minorBidi"/>
          <w:snapToGrid/>
          <w:sz w:val="24"/>
          <w:szCs w:val="22"/>
        </w:rPr>
        <w:t>1</w:t>
      </w:r>
      <w:r w:rsidR="00F276D4" w:rsidRPr="00BD33A4">
        <w:rPr>
          <w:rFonts w:asciiTheme="minorHAnsi" w:eastAsiaTheme="minorHAnsi" w:hAnsiTheme="minorHAnsi" w:cstheme="minorBidi"/>
          <w:snapToGrid/>
          <w:sz w:val="24"/>
          <w:szCs w:val="22"/>
        </w:rPr>
        <w:t xml:space="preserve">), considered </w:t>
      </w:r>
      <w:r w:rsidR="00801DBE" w:rsidRPr="00BD33A4">
        <w:rPr>
          <w:rFonts w:asciiTheme="minorHAnsi" w:eastAsiaTheme="minorHAnsi" w:hAnsiTheme="minorHAnsi" w:cstheme="minorBidi"/>
          <w:snapToGrid/>
          <w:sz w:val="24"/>
          <w:szCs w:val="22"/>
        </w:rPr>
        <w:t>this to</w:t>
      </w:r>
      <w:r w:rsidR="00F276D4" w:rsidRPr="00BD33A4">
        <w:rPr>
          <w:rFonts w:asciiTheme="minorHAnsi" w:eastAsiaTheme="minorHAnsi" w:hAnsiTheme="minorHAnsi" w:cstheme="minorBidi"/>
          <w:snapToGrid/>
          <w:sz w:val="24"/>
          <w:szCs w:val="22"/>
        </w:rPr>
        <w:t xml:space="preserve"> be appropriate.</w:t>
      </w:r>
    </w:p>
    <w:p w:rsidR="00EE18FB" w:rsidRPr="00BD33A4" w:rsidRDefault="0013292A"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 xml:space="preserve">A key difference between </w:t>
      </w:r>
      <w:proofErr w:type="spellStart"/>
      <w:r w:rsidRPr="00BD33A4">
        <w:rPr>
          <w:rFonts w:asciiTheme="minorHAnsi" w:eastAsiaTheme="minorHAnsi" w:hAnsiTheme="minorHAnsi" w:cstheme="minorBidi"/>
          <w:snapToGrid/>
          <w:sz w:val="24"/>
          <w:szCs w:val="22"/>
        </w:rPr>
        <w:t>FluQuadri</w:t>
      </w:r>
      <w:proofErr w:type="spellEnd"/>
      <w:r w:rsidR="00150355" w:rsidRPr="00BD33A4">
        <w:rPr>
          <w:rFonts w:asciiTheme="minorHAnsi" w:eastAsiaTheme="minorHAnsi" w:hAnsiTheme="minorHAnsi" w:cstheme="minorBidi"/>
          <w:snapToGrid/>
          <w:sz w:val="24"/>
          <w:szCs w:val="22"/>
        </w:rPr>
        <w:t xml:space="preserve"> Junior and </w:t>
      </w:r>
      <w:proofErr w:type="spellStart"/>
      <w:r w:rsidR="007F6CE8" w:rsidRPr="00BD33A4">
        <w:rPr>
          <w:rFonts w:asciiTheme="minorHAnsi" w:eastAsiaTheme="minorHAnsi" w:hAnsiTheme="minorHAnsi" w:cstheme="minorBidi"/>
          <w:snapToGrid/>
          <w:sz w:val="24"/>
          <w:szCs w:val="22"/>
        </w:rPr>
        <w:t>Fluarix</w:t>
      </w:r>
      <w:proofErr w:type="spellEnd"/>
      <w:r w:rsidR="00150355" w:rsidRPr="00BD33A4">
        <w:rPr>
          <w:rFonts w:asciiTheme="minorHAnsi" w:eastAsiaTheme="minorHAnsi" w:hAnsiTheme="minorHAnsi" w:cstheme="minorBidi"/>
          <w:snapToGrid/>
          <w:sz w:val="24"/>
          <w:szCs w:val="22"/>
        </w:rPr>
        <w:t xml:space="preserve"> Tetra is the </w:t>
      </w:r>
      <w:r w:rsidR="00811C6C">
        <w:rPr>
          <w:rFonts w:asciiTheme="minorHAnsi" w:eastAsiaTheme="minorHAnsi" w:hAnsiTheme="minorHAnsi" w:cstheme="minorBidi"/>
          <w:snapToGrid/>
          <w:sz w:val="24"/>
          <w:szCs w:val="22"/>
        </w:rPr>
        <w:t>latter</w:t>
      </w:r>
      <w:r w:rsidR="00150355" w:rsidRPr="00BD33A4">
        <w:rPr>
          <w:rFonts w:asciiTheme="minorHAnsi" w:eastAsiaTheme="minorHAnsi" w:hAnsiTheme="minorHAnsi" w:cstheme="minorBidi"/>
          <w:snapToGrid/>
          <w:sz w:val="24"/>
          <w:szCs w:val="22"/>
        </w:rPr>
        <w:t xml:space="preserve"> </w:t>
      </w:r>
      <w:proofErr w:type="gramStart"/>
      <w:r w:rsidR="00811C6C">
        <w:rPr>
          <w:rFonts w:asciiTheme="minorHAnsi" w:eastAsiaTheme="minorHAnsi" w:hAnsiTheme="minorHAnsi" w:cstheme="minorBidi"/>
          <w:snapToGrid/>
          <w:sz w:val="24"/>
          <w:szCs w:val="22"/>
        </w:rPr>
        <w:t>can be</w:t>
      </w:r>
      <w:r w:rsidRPr="00BD33A4">
        <w:rPr>
          <w:rFonts w:asciiTheme="minorHAnsi" w:eastAsiaTheme="minorHAnsi" w:hAnsiTheme="minorHAnsi" w:cstheme="minorBidi"/>
          <w:snapToGrid/>
          <w:sz w:val="24"/>
          <w:szCs w:val="22"/>
        </w:rPr>
        <w:t xml:space="preserve"> used</w:t>
      </w:r>
      <w:proofErr w:type="gramEnd"/>
      <w:r w:rsidRPr="00BD33A4">
        <w:rPr>
          <w:rFonts w:asciiTheme="minorHAnsi" w:eastAsiaTheme="minorHAnsi" w:hAnsiTheme="minorHAnsi" w:cstheme="minorBidi"/>
          <w:snapToGrid/>
          <w:sz w:val="24"/>
          <w:szCs w:val="22"/>
        </w:rPr>
        <w:t xml:space="preserve"> in both paediatric and adult patients using the same dose, whereas </w:t>
      </w:r>
      <w:r w:rsidR="00150355" w:rsidRPr="00BD33A4">
        <w:rPr>
          <w:rFonts w:asciiTheme="minorHAnsi" w:eastAsiaTheme="minorHAnsi" w:hAnsiTheme="minorHAnsi" w:cstheme="minorBidi"/>
          <w:snapToGrid/>
          <w:sz w:val="24"/>
          <w:szCs w:val="22"/>
        </w:rPr>
        <w:t xml:space="preserve">the </w:t>
      </w:r>
      <w:r w:rsidR="00811C6C">
        <w:rPr>
          <w:rFonts w:asciiTheme="minorHAnsi" w:eastAsiaTheme="minorHAnsi" w:hAnsiTheme="minorHAnsi" w:cstheme="minorBidi"/>
          <w:snapToGrid/>
          <w:sz w:val="24"/>
          <w:szCs w:val="22"/>
        </w:rPr>
        <w:t>former</w:t>
      </w:r>
      <w:r w:rsidR="00150355" w:rsidRPr="00BD33A4">
        <w:rPr>
          <w:rFonts w:asciiTheme="minorHAnsi" w:eastAsiaTheme="minorHAnsi" w:hAnsiTheme="minorHAnsi" w:cstheme="minorBidi"/>
          <w:snapToGrid/>
          <w:sz w:val="24"/>
          <w:szCs w:val="22"/>
        </w:rPr>
        <w:t xml:space="preserve"> </w:t>
      </w:r>
      <w:r w:rsidRPr="00BD33A4">
        <w:rPr>
          <w:rFonts w:asciiTheme="minorHAnsi" w:eastAsiaTheme="minorHAnsi" w:hAnsiTheme="minorHAnsi" w:cstheme="minorBidi"/>
          <w:snapToGrid/>
          <w:sz w:val="24"/>
          <w:szCs w:val="22"/>
        </w:rPr>
        <w:t xml:space="preserve">is restricted to the </w:t>
      </w:r>
      <w:r w:rsidR="006B4544" w:rsidRPr="00BD33A4">
        <w:rPr>
          <w:rFonts w:asciiTheme="minorHAnsi" w:eastAsiaTheme="minorHAnsi" w:hAnsiTheme="minorHAnsi" w:cstheme="minorBidi"/>
          <w:snapToGrid/>
          <w:sz w:val="24"/>
          <w:szCs w:val="22"/>
        </w:rPr>
        <w:t>6 - 35</w:t>
      </w:r>
      <w:r w:rsidRPr="00BD33A4">
        <w:rPr>
          <w:rFonts w:asciiTheme="minorHAnsi" w:eastAsiaTheme="minorHAnsi" w:hAnsiTheme="minorHAnsi" w:cstheme="minorBidi"/>
          <w:snapToGrid/>
          <w:sz w:val="24"/>
          <w:szCs w:val="22"/>
        </w:rPr>
        <w:t xml:space="preserve"> month patient age group.</w:t>
      </w:r>
    </w:p>
    <w:p w:rsidR="0004170F" w:rsidRPr="003A589B" w:rsidRDefault="0004170F" w:rsidP="005F3B0E">
      <w:pPr>
        <w:spacing w:before="120" w:after="120"/>
        <w:rPr>
          <w:rFonts w:asciiTheme="minorHAnsi" w:eastAsiaTheme="minorHAnsi" w:hAnsiTheme="minorHAnsi" w:cstheme="minorHAnsi"/>
          <w:b/>
          <w:i/>
        </w:rPr>
      </w:pPr>
      <w:r w:rsidRPr="003A589B">
        <w:rPr>
          <w:rFonts w:asciiTheme="minorHAnsi" w:eastAsiaTheme="minorHAnsi" w:hAnsiTheme="minorHAnsi" w:cstheme="minorHAnsi"/>
          <w:i/>
        </w:rPr>
        <w:t>For more detail on PBAC’s view, see section 6 PBAC outcome.</w:t>
      </w:r>
    </w:p>
    <w:p w:rsidR="000B558D" w:rsidRPr="00BD33A4" w:rsidRDefault="008D7A41" w:rsidP="005F3B0E">
      <w:pPr>
        <w:pStyle w:val="Heading1"/>
        <w:keepNext/>
        <w:keepLines/>
        <w:widowControl/>
        <w:numPr>
          <w:ilvl w:val="0"/>
          <w:numId w:val="14"/>
        </w:numPr>
        <w:spacing w:before="120" w:after="120"/>
        <w:ind w:left="709" w:hanging="709"/>
        <w:jc w:val="left"/>
        <w:rPr>
          <w:rFonts w:asciiTheme="minorHAnsi" w:hAnsiTheme="minorHAnsi"/>
          <w:sz w:val="32"/>
          <w:szCs w:val="32"/>
        </w:rPr>
      </w:pPr>
      <w:r w:rsidRPr="00BD33A4">
        <w:rPr>
          <w:rFonts w:asciiTheme="minorHAnsi" w:hAnsiTheme="minorHAnsi"/>
          <w:sz w:val="32"/>
          <w:szCs w:val="32"/>
        </w:rPr>
        <w:t>C</w:t>
      </w:r>
      <w:r w:rsidR="00D84934" w:rsidRPr="00BD33A4">
        <w:rPr>
          <w:rFonts w:asciiTheme="minorHAnsi" w:hAnsiTheme="minorHAnsi"/>
          <w:sz w:val="32"/>
          <w:szCs w:val="32"/>
        </w:rPr>
        <w:t>onsideration of the evidence</w:t>
      </w:r>
    </w:p>
    <w:p w:rsidR="00081224" w:rsidRPr="00BD33A4" w:rsidRDefault="00081224" w:rsidP="005F3B0E">
      <w:pPr>
        <w:widowControl w:val="0"/>
        <w:spacing w:before="120" w:after="120"/>
        <w:jc w:val="both"/>
        <w:outlineLvl w:val="1"/>
        <w:rPr>
          <w:rFonts w:asciiTheme="minorHAnsi" w:hAnsiTheme="minorHAnsi" w:cs="Arial"/>
          <w:b/>
          <w:bCs/>
          <w:i/>
          <w:snapToGrid w:val="0"/>
          <w:sz w:val="28"/>
          <w:szCs w:val="28"/>
          <w:lang w:eastAsia="en-US"/>
        </w:rPr>
      </w:pPr>
      <w:r w:rsidRPr="00BD33A4">
        <w:rPr>
          <w:rFonts w:asciiTheme="minorHAnsi" w:hAnsiTheme="minorHAnsi" w:cs="Arial"/>
          <w:b/>
          <w:bCs/>
          <w:i/>
          <w:snapToGrid w:val="0"/>
          <w:sz w:val="28"/>
          <w:szCs w:val="28"/>
          <w:lang w:eastAsia="en-US"/>
        </w:rPr>
        <w:t>Sponsor hearing</w:t>
      </w:r>
    </w:p>
    <w:p w:rsidR="00081224" w:rsidRPr="00BD33A4" w:rsidRDefault="00081224" w:rsidP="005F3B0E">
      <w:pPr>
        <w:widowControl w:val="0"/>
        <w:numPr>
          <w:ilvl w:val="1"/>
          <w:numId w:val="5"/>
        </w:numPr>
        <w:spacing w:before="120" w:after="120"/>
        <w:jc w:val="both"/>
        <w:rPr>
          <w:rFonts w:asciiTheme="minorHAnsi" w:hAnsiTheme="minorHAnsi" w:cs="Arial"/>
          <w:bCs/>
          <w:snapToGrid w:val="0"/>
          <w:lang w:eastAsia="en-US"/>
        </w:rPr>
      </w:pPr>
      <w:r w:rsidRPr="00BD33A4">
        <w:rPr>
          <w:rFonts w:asciiTheme="minorHAnsi" w:hAnsiTheme="minorHAnsi" w:cs="Arial"/>
          <w:bCs/>
          <w:snapToGrid w:val="0"/>
          <w:lang w:eastAsia="en-US"/>
        </w:rPr>
        <w:t>The</w:t>
      </w:r>
      <w:r w:rsidR="009B24A0" w:rsidRPr="00BD33A4">
        <w:rPr>
          <w:rFonts w:asciiTheme="minorHAnsi" w:hAnsiTheme="minorHAnsi" w:cs="Arial"/>
          <w:bCs/>
          <w:snapToGrid w:val="0"/>
          <w:lang w:eastAsia="en-US"/>
        </w:rPr>
        <w:t>re was no hearing for this item</w:t>
      </w:r>
      <w:r w:rsidRPr="00BD33A4">
        <w:rPr>
          <w:rFonts w:asciiTheme="minorHAnsi" w:hAnsiTheme="minorHAnsi" w:cs="Arial"/>
          <w:bCs/>
          <w:snapToGrid w:val="0"/>
          <w:lang w:eastAsia="en-US"/>
        </w:rPr>
        <w:t>.</w:t>
      </w:r>
    </w:p>
    <w:p w:rsidR="00081224" w:rsidRPr="00BD33A4" w:rsidRDefault="00081224" w:rsidP="005F3B0E">
      <w:pPr>
        <w:widowControl w:val="0"/>
        <w:spacing w:before="120" w:after="120"/>
        <w:jc w:val="both"/>
        <w:outlineLvl w:val="1"/>
        <w:rPr>
          <w:rFonts w:asciiTheme="minorHAnsi" w:hAnsiTheme="minorHAnsi" w:cs="Arial"/>
          <w:b/>
          <w:bCs/>
          <w:i/>
          <w:snapToGrid w:val="0"/>
          <w:sz w:val="28"/>
          <w:szCs w:val="28"/>
          <w:lang w:eastAsia="en-US"/>
        </w:rPr>
      </w:pPr>
      <w:r w:rsidRPr="00BD33A4">
        <w:rPr>
          <w:rFonts w:asciiTheme="minorHAnsi" w:hAnsiTheme="minorHAnsi" w:cs="Arial"/>
          <w:b/>
          <w:bCs/>
          <w:i/>
          <w:snapToGrid w:val="0"/>
          <w:sz w:val="28"/>
          <w:szCs w:val="28"/>
          <w:lang w:eastAsia="en-US"/>
        </w:rPr>
        <w:t>Consumer comments</w:t>
      </w:r>
    </w:p>
    <w:p w:rsidR="00081224" w:rsidRPr="00BD33A4" w:rsidRDefault="00081224" w:rsidP="005F3B0E">
      <w:pPr>
        <w:widowControl w:val="0"/>
        <w:numPr>
          <w:ilvl w:val="1"/>
          <w:numId w:val="5"/>
        </w:numPr>
        <w:spacing w:before="120" w:after="120"/>
        <w:jc w:val="both"/>
        <w:rPr>
          <w:rFonts w:asciiTheme="minorHAnsi" w:hAnsiTheme="minorHAnsi" w:cs="Arial"/>
          <w:bCs/>
          <w:snapToGrid w:val="0"/>
          <w:lang w:eastAsia="en-US"/>
        </w:rPr>
      </w:pPr>
      <w:r w:rsidRPr="00BD33A4">
        <w:rPr>
          <w:rFonts w:asciiTheme="minorHAnsi" w:hAnsiTheme="minorHAnsi" w:cs="Arial"/>
          <w:bCs/>
          <w:snapToGrid w:val="0"/>
          <w:lang w:eastAsia="en-US"/>
        </w:rPr>
        <w:t>The PBAC noted and welcomed the input from individuals (</w:t>
      </w:r>
      <w:r w:rsidR="0004170F" w:rsidRPr="00BD33A4">
        <w:rPr>
          <w:rFonts w:asciiTheme="minorHAnsi" w:hAnsiTheme="minorHAnsi" w:cs="Arial"/>
          <w:bCs/>
          <w:snapToGrid w:val="0"/>
          <w:lang w:eastAsia="en-US"/>
        </w:rPr>
        <w:t>1</w:t>
      </w:r>
      <w:r w:rsidRPr="00BD33A4">
        <w:rPr>
          <w:rFonts w:asciiTheme="minorHAnsi" w:hAnsiTheme="minorHAnsi" w:cs="Arial"/>
          <w:bCs/>
          <w:snapToGrid w:val="0"/>
          <w:lang w:eastAsia="en-US"/>
        </w:rPr>
        <w:t>)</w:t>
      </w:r>
      <w:r w:rsidR="0004170F" w:rsidRPr="00BD33A4">
        <w:rPr>
          <w:rFonts w:asciiTheme="minorHAnsi" w:hAnsiTheme="minorHAnsi" w:cs="Arial"/>
          <w:bCs/>
          <w:snapToGrid w:val="0"/>
          <w:lang w:eastAsia="en-US"/>
        </w:rPr>
        <w:t xml:space="preserve"> </w:t>
      </w:r>
      <w:r w:rsidRPr="00BD33A4">
        <w:rPr>
          <w:rFonts w:asciiTheme="minorHAnsi" w:hAnsiTheme="minorHAnsi" w:cs="Arial"/>
          <w:bCs/>
          <w:snapToGrid w:val="0"/>
          <w:lang w:eastAsia="en-US"/>
        </w:rPr>
        <w:t>via the Consumer Comments facility on the PBS website</w:t>
      </w:r>
      <w:r w:rsidR="00BD33A4">
        <w:rPr>
          <w:rFonts w:asciiTheme="minorHAnsi" w:hAnsiTheme="minorHAnsi" w:cs="Arial"/>
          <w:bCs/>
          <w:snapToGrid w:val="0"/>
          <w:lang w:eastAsia="en-US"/>
        </w:rPr>
        <w:t xml:space="preserve">. </w:t>
      </w:r>
      <w:r w:rsidRPr="00BD33A4">
        <w:rPr>
          <w:rFonts w:asciiTheme="minorHAnsi" w:hAnsiTheme="minorHAnsi" w:cs="Arial"/>
          <w:bCs/>
          <w:snapToGrid w:val="0"/>
          <w:lang w:eastAsia="en-US"/>
        </w:rPr>
        <w:t>The comment</w:t>
      </w:r>
      <w:r w:rsidR="00B36BC6" w:rsidRPr="00BD33A4">
        <w:rPr>
          <w:rFonts w:asciiTheme="minorHAnsi" w:hAnsiTheme="minorHAnsi" w:cs="Arial"/>
          <w:bCs/>
          <w:snapToGrid w:val="0"/>
          <w:lang w:eastAsia="en-US"/>
        </w:rPr>
        <w:t xml:space="preserve"> </w:t>
      </w:r>
      <w:r w:rsidR="004B09F1" w:rsidRPr="00BD33A4">
        <w:rPr>
          <w:rFonts w:asciiTheme="minorHAnsi" w:hAnsiTheme="minorHAnsi" w:cs="Arial"/>
          <w:bCs/>
          <w:snapToGrid w:val="0"/>
          <w:lang w:eastAsia="en-US"/>
        </w:rPr>
        <w:t xml:space="preserve">referred to </w:t>
      </w:r>
      <w:r w:rsidR="00B36BC6" w:rsidRPr="00BD33A4">
        <w:rPr>
          <w:rFonts w:asciiTheme="minorHAnsi" w:hAnsiTheme="minorHAnsi" w:cs="Arial"/>
          <w:bCs/>
          <w:snapToGrid w:val="0"/>
          <w:lang w:eastAsia="en-US"/>
        </w:rPr>
        <w:t>the benefit of making influenza vaccines affordable to immunocompromised individuals</w:t>
      </w:r>
      <w:r w:rsidR="00BD33A4">
        <w:rPr>
          <w:rFonts w:asciiTheme="minorHAnsi" w:hAnsiTheme="minorHAnsi" w:cs="Arial"/>
          <w:bCs/>
          <w:snapToGrid w:val="0"/>
          <w:lang w:eastAsia="en-US"/>
        </w:rPr>
        <w:t xml:space="preserve">. </w:t>
      </w:r>
      <w:r w:rsidRPr="00BD33A4">
        <w:rPr>
          <w:rFonts w:asciiTheme="minorHAnsi" w:hAnsiTheme="minorHAnsi" w:cs="Arial"/>
          <w:bCs/>
          <w:snapToGrid w:val="0"/>
          <w:lang w:eastAsia="en-US"/>
        </w:rPr>
        <w:t xml:space="preserve"> </w:t>
      </w:r>
    </w:p>
    <w:p w:rsidR="00D84934" w:rsidRPr="00BD33A4" w:rsidRDefault="00D84934" w:rsidP="005F3B0E">
      <w:pPr>
        <w:pStyle w:val="Heading2"/>
        <w:keepLines/>
        <w:spacing w:before="120" w:after="120"/>
        <w:rPr>
          <w:rFonts w:asciiTheme="minorHAnsi" w:eastAsiaTheme="majorEastAsia" w:hAnsiTheme="minorHAnsi" w:cstheme="majorBidi"/>
          <w:sz w:val="28"/>
          <w:szCs w:val="28"/>
          <w:lang w:eastAsia="en-US"/>
        </w:rPr>
      </w:pPr>
      <w:r w:rsidRPr="00BD33A4">
        <w:rPr>
          <w:rFonts w:asciiTheme="minorHAnsi" w:eastAsiaTheme="majorEastAsia" w:hAnsiTheme="minorHAnsi" w:cstheme="majorBidi"/>
          <w:sz w:val="28"/>
          <w:szCs w:val="28"/>
          <w:lang w:eastAsia="en-US"/>
        </w:rPr>
        <w:t>Clinical trials</w:t>
      </w:r>
    </w:p>
    <w:p w:rsidR="002A1F36" w:rsidRDefault="009F4E46" w:rsidP="005F3B0E">
      <w:pPr>
        <w:spacing w:before="120" w:after="120"/>
        <w:rPr>
          <w:rFonts w:asciiTheme="minorHAnsi" w:hAnsiTheme="minorHAnsi"/>
        </w:rPr>
      </w:pPr>
      <w:r w:rsidRPr="00BD33A4">
        <w:rPr>
          <w:rFonts w:asciiTheme="minorHAnsi" w:hAnsiTheme="minorHAnsi"/>
        </w:rPr>
        <w:t>The minor submission presented the following clinical trials:</w:t>
      </w:r>
    </w:p>
    <w:p w:rsidR="002A1F36" w:rsidRDefault="002A1F36" w:rsidP="002A1F36">
      <w:r>
        <w:br w:type="page"/>
      </w:r>
    </w:p>
    <w:p w:rsidR="0076420C" w:rsidRPr="00BD33A4" w:rsidRDefault="007F6CE8" w:rsidP="005F3B0E">
      <w:pPr>
        <w:pStyle w:val="Tableheading0"/>
        <w:spacing w:before="120"/>
        <w:rPr>
          <w:rFonts w:ascii="Arial Narrow" w:hAnsi="Arial Narrow"/>
          <w:b/>
        </w:rPr>
      </w:pPr>
      <w:r w:rsidRPr="00BD33A4">
        <w:rPr>
          <w:rFonts w:ascii="Arial Narrow" w:hAnsi="Arial Narrow"/>
          <w:b/>
        </w:rPr>
        <w:t>Table 3:</w:t>
      </w:r>
      <w:r w:rsidR="00F319C6" w:rsidRPr="00BD33A4">
        <w:rPr>
          <w:rFonts w:ascii="Arial Narrow" w:hAnsi="Arial Narrow"/>
          <w:b/>
        </w:rPr>
        <w:t xml:space="preserve"> </w:t>
      </w:r>
      <w:r w:rsidR="0076420C" w:rsidRPr="00BD33A4">
        <w:rPr>
          <w:rFonts w:ascii="Arial Narrow" w:hAnsi="Arial Narrow"/>
          <w:b/>
        </w:rPr>
        <w:t>Trials and associated reports presented in the submission</w:t>
      </w:r>
    </w:p>
    <w:tbl>
      <w:tblPr>
        <w:tblStyle w:val="TableGrid"/>
        <w:tblW w:w="4913" w:type="pct"/>
        <w:tblLook w:val="01E0" w:firstRow="1" w:lastRow="1" w:firstColumn="1" w:lastColumn="1" w:noHBand="0" w:noVBand="0"/>
        <w:tblCaption w:val="Trials and associated reports presented in the submission"/>
      </w:tblPr>
      <w:tblGrid>
        <w:gridCol w:w="1411"/>
        <w:gridCol w:w="5363"/>
        <w:gridCol w:w="2085"/>
      </w:tblGrid>
      <w:tr w:rsidR="0076420C" w:rsidRPr="00BD33A4" w:rsidTr="009C1BD5">
        <w:trPr>
          <w:cantSplit/>
          <w:trHeight w:val="539"/>
          <w:tblHeader/>
        </w:trPr>
        <w:tc>
          <w:tcPr>
            <w:tcW w:w="796" w:type="pct"/>
          </w:tcPr>
          <w:p w:rsidR="0076420C" w:rsidRPr="00BD33A4" w:rsidRDefault="0076420C" w:rsidP="007F6CE8">
            <w:pPr>
              <w:pStyle w:val="NoSpacing"/>
              <w:spacing w:before="40" w:after="40"/>
              <w:jc w:val="left"/>
              <w:rPr>
                <w:rFonts w:ascii="Arial Narrow" w:hAnsi="Arial Narrow"/>
                <w:b/>
                <w:sz w:val="20"/>
              </w:rPr>
            </w:pPr>
            <w:r w:rsidRPr="00BD33A4">
              <w:rPr>
                <w:rFonts w:ascii="Arial Narrow" w:hAnsi="Arial Narrow"/>
                <w:b/>
                <w:sz w:val="20"/>
              </w:rPr>
              <w:lastRenderedPageBreak/>
              <w:t>Trial ID</w:t>
            </w:r>
            <w:r w:rsidR="006670BE" w:rsidRPr="00BD33A4">
              <w:rPr>
                <w:rFonts w:ascii="Arial Narrow" w:hAnsi="Arial Narrow"/>
                <w:b/>
                <w:sz w:val="20"/>
              </w:rPr>
              <w:t>/First Author</w:t>
            </w:r>
          </w:p>
        </w:tc>
        <w:tc>
          <w:tcPr>
            <w:tcW w:w="3027" w:type="pct"/>
          </w:tcPr>
          <w:p w:rsidR="0076420C" w:rsidRPr="00BD33A4" w:rsidRDefault="0076420C" w:rsidP="007F6CE8">
            <w:pPr>
              <w:keepNext/>
              <w:spacing w:before="40" w:after="40"/>
              <w:rPr>
                <w:rFonts w:ascii="Arial Narrow" w:hAnsi="Arial Narrow"/>
                <w:b/>
                <w:sz w:val="20"/>
              </w:rPr>
            </w:pPr>
            <w:r w:rsidRPr="00BD33A4">
              <w:rPr>
                <w:rFonts w:ascii="Arial Narrow" w:hAnsi="Arial Narrow"/>
                <w:b/>
                <w:sz w:val="20"/>
              </w:rPr>
              <w:t>Protocol title/ Publication title</w:t>
            </w:r>
          </w:p>
        </w:tc>
        <w:tc>
          <w:tcPr>
            <w:tcW w:w="1177" w:type="pct"/>
          </w:tcPr>
          <w:p w:rsidR="0076420C" w:rsidRPr="00BD33A4" w:rsidRDefault="0076420C" w:rsidP="007F6CE8">
            <w:pPr>
              <w:keepNext/>
              <w:spacing w:before="40" w:after="40"/>
              <w:rPr>
                <w:rFonts w:ascii="Arial Narrow" w:hAnsi="Arial Narrow"/>
                <w:b/>
                <w:sz w:val="20"/>
              </w:rPr>
            </w:pPr>
            <w:r w:rsidRPr="00BD33A4">
              <w:rPr>
                <w:rFonts w:ascii="Arial Narrow" w:hAnsi="Arial Narrow"/>
                <w:b/>
                <w:sz w:val="20"/>
              </w:rPr>
              <w:t>Publication citation</w:t>
            </w:r>
          </w:p>
        </w:tc>
      </w:tr>
      <w:tr w:rsidR="0076420C" w:rsidRPr="00BD33A4" w:rsidTr="009C1BD5">
        <w:trPr>
          <w:cantSplit/>
          <w:trHeight w:val="317"/>
          <w:tblHeader/>
        </w:trPr>
        <w:tc>
          <w:tcPr>
            <w:tcW w:w="5000" w:type="pct"/>
            <w:gridSpan w:val="3"/>
          </w:tcPr>
          <w:p w:rsidR="0076420C" w:rsidRPr="00BD33A4" w:rsidRDefault="005C5F6B" w:rsidP="007F6CE8">
            <w:pPr>
              <w:pStyle w:val="NoSpacing"/>
              <w:spacing w:before="40" w:after="40"/>
              <w:rPr>
                <w:rFonts w:ascii="Arial Narrow" w:hAnsi="Arial Narrow"/>
                <w:b/>
                <w:sz w:val="20"/>
              </w:rPr>
            </w:pPr>
            <w:r w:rsidRPr="00BD33A4">
              <w:rPr>
                <w:rFonts w:ascii="Arial Narrow" w:hAnsi="Arial Narrow"/>
                <w:b/>
                <w:sz w:val="20"/>
              </w:rPr>
              <w:t>In</w:t>
            </w:r>
            <w:r w:rsidR="002A41B8" w:rsidRPr="00BD33A4">
              <w:rPr>
                <w:rFonts w:ascii="Arial Narrow" w:hAnsi="Arial Narrow"/>
                <w:b/>
                <w:sz w:val="20"/>
              </w:rPr>
              <w:t>d</w:t>
            </w:r>
            <w:r w:rsidR="0076420C" w:rsidRPr="00BD33A4">
              <w:rPr>
                <w:rFonts w:ascii="Arial Narrow" w:hAnsi="Arial Narrow"/>
                <w:b/>
                <w:sz w:val="20"/>
              </w:rPr>
              <w:t>irect randomised trial</w:t>
            </w:r>
            <w:r w:rsidR="00B176C8" w:rsidRPr="00BD33A4">
              <w:rPr>
                <w:rFonts w:ascii="Arial Narrow" w:hAnsi="Arial Narrow"/>
                <w:b/>
                <w:sz w:val="20"/>
              </w:rPr>
              <w:t>(</w:t>
            </w:r>
            <w:r w:rsidR="0076420C" w:rsidRPr="00BD33A4">
              <w:rPr>
                <w:rFonts w:ascii="Arial Narrow" w:hAnsi="Arial Narrow"/>
                <w:b/>
                <w:sz w:val="20"/>
              </w:rPr>
              <w:t>s</w:t>
            </w:r>
            <w:r w:rsidR="00B176C8" w:rsidRPr="00BD33A4">
              <w:rPr>
                <w:rFonts w:ascii="Arial Narrow" w:hAnsi="Arial Narrow"/>
                <w:b/>
                <w:sz w:val="20"/>
              </w:rPr>
              <w:t>)</w:t>
            </w:r>
          </w:p>
        </w:tc>
      </w:tr>
      <w:tr w:rsidR="00FD5BB2" w:rsidRPr="00BD33A4" w:rsidTr="00322E0F">
        <w:trPr>
          <w:cantSplit/>
          <w:trHeight w:val="317"/>
          <w:tblHeader/>
        </w:trPr>
        <w:tc>
          <w:tcPr>
            <w:tcW w:w="796" w:type="pct"/>
          </w:tcPr>
          <w:p w:rsidR="00FD5BB2" w:rsidRPr="00BD33A4" w:rsidRDefault="00FD5BB2" w:rsidP="00322E0F">
            <w:pPr>
              <w:pStyle w:val="NoSpacing"/>
              <w:jc w:val="left"/>
              <w:rPr>
                <w:rFonts w:ascii="Arial Narrow" w:hAnsi="Arial Narrow"/>
                <w:sz w:val="20"/>
              </w:rPr>
            </w:pPr>
            <w:r w:rsidRPr="00BD33A4">
              <w:rPr>
                <w:rFonts w:ascii="Arial Narrow" w:hAnsi="Arial Narrow"/>
                <w:sz w:val="20"/>
              </w:rPr>
              <w:t xml:space="preserve">FLU D-QIV-004 / </w:t>
            </w:r>
            <w:proofErr w:type="spellStart"/>
            <w:r w:rsidRPr="00BD33A4">
              <w:rPr>
                <w:rFonts w:ascii="Arial Narrow" w:hAnsi="Arial Narrow"/>
                <w:sz w:val="20"/>
              </w:rPr>
              <w:t>Claeys</w:t>
            </w:r>
            <w:proofErr w:type="spellEnd"/>
          </w:p>
        </w:tc>
        <w:tc>
          <w:tcPr>
            <w:tcW w:w="3027" w:type="pct"/>
          </w:tcPr>
          <w:p w:rsidR="00FD5BB2" w:rsidRPr="00BD33A4" w:rsidRDefault="00FD5BB2" w:rsidP="0046177A">
            <w:pPr>
              <w:keepNext/>
              <w:rPr>
                <w:rFonts w:ascii="Arial Narrow" w:hAnsi="Arial Narrow"/>
                <w:sz w:val="20"/>
              </w:rPr>
            </w:pPr>
            <w:r w:rsidRPr="00BD33A4">
              <w:rPr>
                <w:rFonts w:ascii="Arial Narrow" w:hAnsi="Arial Narrow"/>
                <w:sz w:val="20"/>
              </w:rPr>
              <w:t xml:space="preserve">An efficacy study of GSK Biologicals’ </w:t>
            </w:r>
            <w:proofErr w:type="spellStart"/>
            <w:r w:rsidRPr="00BD33A4">
              <w:rPr>
                <w:rFonts w:ascii="Arial Narrow" w:hAnsi="Arial Narrow"/>
                <w:sz w:val="20"/>
              </w:rPr>
              <w:t>quadrivalent</w:t>
            </w:r>
            <w:proofErr w:type="spellEnd"/>
            <w:r w:rsidRPr="00BD33A4">
              <w:rPr>
                <w:rFonts w:ascii="Arial Narrow" w:hAnsi="Arial Narrow"/>
                <w:sz w:val="20"/>
              </w:rPr>
              <w:t xml:space="preserve"> influenza vaccine GSK2321138A (FLU D-QIV) when administered in children.</w:t>
            </w:r>
            <w:r w:rsidR="00150355" w:rsidRPr="00BD33A4">
              <w:rPr>
                <w:rFonts w:ascii="Arial Narrow" w:hAnsi="Arial Narrow"/>
                <w:sz w:val="20"/>
              </w:rPr>
              <w:t xml:space="preserve"> </w:t>
            </w:r>
            <w:r w:rsidRPr="00BD33A4">
              <w:rPr>
                <w:rFonts w:ascii="Arial Narrow" w:hAnsi="Arial Narrow"/>
                <w:sz w:val="20"/>
              </w:rPr>
              <w:t>/</w:t>
            </w:r>
            <w:r w:rsidR="00150355" w:rsidRPr="00BD33A4">
              <w:rPr>
                <w:rFonts w:ascii="Arial Narrow" w:hAnsi="Arial Narrow"/>
                <w:sz w:val="20"/>
              </w:rPr>
              <w:t xml:space="preserve"> </w:t>
            </w:r>
            <w:r w:rsidRPr="00BD33A4">
              <w:rPr>
                <w:rFonts w:ascii="Arial Narrow" w:hAnsi="Arial Narrow"/>
                <w:sz w:val="20"/>
              </w:rPr>
              <w:t>“Prevention of vaccine-matched and mismatched influenza in children aged 6-35 months: a multinational randomised trial across five influenza seasons</w:t>
            </w:r>
          </w:p>
        </w:tc>
        <w:tc>
          <w:tcPr>
            <w:tcW w:w="1177" w:type="pct"/>
          </w:tcPr>
          <w:p w:rsidR="00FD5BB2" w:rsidRPr="00BD33A4" w:rsidRDefault="00FD5BB2">
            <w:pPr>
              <w:keepNext/>
              <w:rPr>
                <w:rFonts w:ascii="Arial Narrow" w:hAnsi="Arial Narrow"/>
                <w:sz w:val="20"/>
              </w:rPr>
            </w:pPr>
            <w:r w:rsidRPr="00BD33A4">
              <w:rPr>
                <w:rFonts w:ascii="Arial Narrow" w:hAnsi="Arial Narrow"/>
                <w:sz w:val="20"/>
              </w:rPr>
              <w:t>Lancet Child Adolescent Health</w:t>
            </w:r>
            <w:r w:rsidR="007F6CE8" w:rsidRPr="00BD33A4">
              <w:rPr>
                <w:rFonts w:ascii="Arial Narrow" w:hAnsi="Arial Narrow"/>
                <w:sz w:val="20"/>
              </w:rPr>
              <w:t>; 2</w:t>
            </w:r>
            <w:r w:rsidRPr="00BD33A4">
              <w:rPr>
                <w:rFonts w:ascii="Arial Narrow" w:hAnsi="Arial Narrow"/>
                <w:sz w:val="20"/>
              </w:rPr>
              <w:t>: 338-49.</w:t>
            </w:r>
          </w:p>
        </w:tc>
      </w:tr>
      <w:tr w:rsidR="001F72E5" w:rsidRPr="00BD33A4" w:rsidTr="00322E0F">
        <w:trPr>
          <w:cantSplit/>
          <w:trHeight w:val="317"/>
          <w:tblHeader/>
        </w:trPr>
        <w:tc>
          <w:tcPr>
            <w:tcW w:w="796" w:type="pct"/>
          </w:tcPr>
          <w:p w:rsidR="001F72E5" w:rsidRPr="00BD33A4" w:rsidRDefault="00183C8A" w:rsidP="0046177A">
            <w:pPr>
              <w:pStyle w:val="NoSpacing"/>
              <w:jc w:val="left"/>
              <w:rPr>
                <w:rFonts w:ascii="Arial Narrow" w:hAnsi="Arial Narrow"/>
                <w:sz w:val="20"/>
                <w:szCs w:val="20"/>
                <w:highlight w:val="yellow"/>
              </w:rPr>
            </w:pPr>
            <w:r w:rsidRPr="001B7756">
              <w:rPr>
                <w:rFonts w:ascii="Arial Narrow" w:eastAsia="Calibri" w:hAnsi="Arial Narrow"/>
                <w:sz w:val="20"/>
                <w:szCs w:val="20"/>
              </w:rPr>
              <w:t xml:space="preserve">FLU </w:t>
            </w:r>
            <w:r w:rsidR="002553D8" w:rsidRPr="001B7756">
              <w:rPr>
                <w:rFonts w:ascii="Arial Narrow" w:eastAsia="Calibri" w:hAnsi="Arial Narrow"/>
                <w:sz w:val="20"/>
                <w:szCs w:val="20"/>
              </w:rPr>
              <w:t>D-QIV-009</w:t>
            </w:r>
            <w:r w:rsidR="00FD5BB2" w:rsidRPr="001B7756">
              <w:rPr>
                <w:rFonts w:ascii="Arial Narrow" w:eastAsia="Calibri" w:hAnsi="Arial Narrow"/>
                <w:sz w:val="20"/>
                <w:szCs w:val="20"/>
              </w:rPr>
              <w:t xml:space="preserve"> </w:t>
            </w:r>
          </w:p>
        </w:tc>
        <w:tc>
          <w:tcPr>
            <w:tcW w:w="3027" w:type="pct"/>
          </w:tcPr>
          <w:p w:rsidR="00183C8A" w:rsidRPr="00BD33A4" w:rsidRDefault="00183C8A">
            <w:pPr>
              <w:rPr>
                <w:rStyle w:val="TableText0"/>
                <w:szCs w:val="22"/>
              </w:rPr>
            </w:pPr>
            <w:r w:rsidRPr="00BD33A4">
              <w:rPr>
                <w:rStyle w:val="TableText0"/>
              </w:rPr>
              <w:t xml:space="preserve">Immunogenicity, safety and </w:t>
            </w:r>
            <w:proofErr w:type="spellStart"/>
            <w:r w:rsidRPr="00BD33A4">
              <w:rPr>
                <w:rStyle w:val="TableText0"/>
              </w:rPr>
              <w:t>reactogenicity</w:t>
            </w:r>
            <w:proofErr w:type="spellEnd"/>
            <w:r w:rsidRPr="00BD33A4">
              <w:rPr>
                <w:rStyle w:val="TableText0"/>
              </w:rPr>
              <w:t xml:space="preserve"> study of GSK Biologicals’ </w:t>
            </w:r>
            <w:proofErr w:type="spellStart"/>
            <w:r w:rsidRPr="00BD33A4">
              <w:rPr>
                <w:rStyle w:val="TableText0"/>
              </w:rPr>
              <w:t>quadrivalent</w:t>
            </w:r>
            <w:proofErr w:type="spellEnd"/>
            <w:r w:rsidRPr="00BD33A4">
              <w:rPr>
                <w:rStyle w:val="TableText0"/>
              </w:rPr>
              <w:t xml:space="preserve"> seasonal influenza candidate vaccine GSK2321138A, administered to children who previously participated in study 115345. </w:t>
            </w:r>
          </w:p>
          <w:p w:rsidR="00183C8A" w:rsidRPr="001B7756" w:rsidRDefault="00183C8A">
            <w:pPr>
              <w:keepNext/>
              <w:rPr>
                <w:rFonts w:ascii="Arial Narrow" w:eastAsia="Calibri" w:hAnsi="Arial Narrow"/>
                <w:sz w:val="20"/>
                <w:szCs w:val="20"/>
                <w:highlight w:val="yellow"/>
              </w:rPr>
            </w:pPr>
          </w:p>
        </w:tc>
        <w:tc>
          <w:tcPr>
            <w:tcW w:w="1177" w:type="pct"/>
          </w:tcPr>
          <w:p w:rsidR="00A63218" w:rsidRPr="00BD33A4" w:rsidRDefault="00183C8A">
            <w:pPr>
              <w:keepNext/>
              <w:rPr>
                <w:rFonts w:ascii="Arial Narrow" w:hAnsi="Arial Narrow"/>
                <w:i/>
                <w:sz w:val="20"/>
              </w:rPr>
            </w:pPr>
            <w:r w:rsidRPr="00BD33A4">
              <w:rPr>
                <w:rFonts w:ascii="Arial Narrow" w:hAnsi="Arial Narrow"/>
                <w:i/>
                <w:sz w:val="20"/>
              </w:rPr>
              <w:t>Unpublished</w:t>
            </w:r>
          </w:p>
          <w:p w:rsidR="001F72E5" w:rsidRPr="00BD33A4" w:rsidRDefault="001F72E5">
            <w:pPr>
              <w:keepNext/>
              <w:rPr>
                <w:rFonts w:ascii="Arial Narrow" w:hAnsi="Arial Narrow"/>
                <w:sz w:val="20"/>
              </w:rPr>
            </w:pPr>
          </w:p>
          <w:p w:rsidR="00FD5BB2" w:rsidRPr="00BD33A4" w:rsidRDefault="00FD5BB2">
            <w:pPr>
              <w:keepNext/>
              <w:rPr>
                <w:rFonts w:ascii="Arial Narrow" w:hAnsi="Arial Narrow"/>
                <w:sz w:val="20"/>
              </w:rPr>
            </w:pPr>
          </w:p>
          <w:p w:rsidR="00FD5BB2" w:rsidRPr="00BD33A4" w:rsidRDefault="00FD5BB2">
            <w:pPr>
              <w:keepNext/>
              <w:rPr>
                <w:rFonts w:ascii="Arial Narrow" w:hAnsi="Arial Narrow"/>
                <w:sz w:val="20"/>
              </w:rPr>
            </w:pPr>
          </w:p>
        </w:tc>
      </w:tr>
      <w:tr w:rsidR="002553D8" w:rsidRPr="00BD33A4" w:rsidTr="00322E0F">
        <w:trPr>
          <w:cantSplit/>
          <w:trHeight w:val="317"/>
          <w:tblHeader/>
        </w:trPr>
        <w:tc>
          <w:tcPr>
            <w:tcW w:w="796" w:type="pct"/>
          </w:tcPr>
          <w:p w:rsidR="002553D8" w:rsidRPr="001B7756" w:rsidRDefault="00183C8A" w:rsidP="00322E0F">
            <w:pPr>
              <w:pStyle w:val="NoSpacing"/>
              <w:jc w:val="left"/>
              <w:rPr>
                <w:rFonts w:ascii="Arial Narrow" w:eastAsia="Calibri" w:hAnsi="Arial Narrow"/>
                <w:sz w:val="20"/>
                <w:szCs w:val="20"/>
              </w:rPr>
            </w:pPr>
            <w:r w:rsidRPr="001B7756">
              <w:rPr>
                <w:rFonts w:ascii="Arial Narrow" w:eastAsia="Calibri" w:hAnsi="Arial Narrow"/>
                <w:sz w:val="20"/>
                <w:szCs w:val="20"/>
              </w:rPr>
              <w:t xml:space="preserve">FLU </w:t>
            </w:r>
            <w:r w:rsidR="00B17BE4" w:rsidRPr="001B7756">
              <w:rPr>
                <w:rFonts w:ascii="Arial Narrow" w:eastAsia="Calibri" w:hAnsi="Arial Narrow"/>
                <w:sz w:val="20"/>
                <w:szCs w:val="20"/>
              </w:rPr>
              <w:t>D-QIV-015</w:t>
            </w:r>
            <w:r w:rsidR="00A63218" w:rsidRPr="001B7756">
              <w:rPr>
                <w:rFonts w:ascii="Arial Narrow" w:eastAsia="Calibri" w:hAnsi="Arial Narrow"/>
                <w:sz w:val="20"/>
                <w:szCs w:val="20"/>
              </w:rPr>
              <w:t xml:space="preserve">/ </w:t>
            </w:r>
            <w:proofErr w:type="spellStart"/>
            <w:r w:rsidR="00A63218" w:rsidRPr="001B7756">
              <w:rPr>
                <w:rFonts w:ascii="Arial Narrow" w:eastAsia="Calibri" w:hAnsi="Arial Narrow" w:cstheme="minorHAnsi"/>
                <w:sz w:val="20"/>
                <w:szCs w:val="20"/>
              </w:rPr>
              <w:t>Claeys</w:t>
            </w:r>
            <w:proofErr w:type="spellEnd"/>
          </w:p>
        </w:tc>
        <w:tc>
          <w:tcPr>
            <w:tcW w:w="3027" w:type="pct"/>
          </w:tcPr>
          <w:p w:rsidR="002553D8" w:rsidRPr="001B7756" w:rsidRDefault="00A63218" w:rsidP="0046177A">
            <w:pPr>
              <w:keepNext/>
              <w:rPr>
                <w:rFonts w:eastAsia="Calibri"/>
              </w:rPr>
            </w:pPr>
            <w:r w:rsidRPr="001B7756">
              <w:rPr>
                <w:rFonts w:ascii="Arial Narrow" w:eastAsia="Calibri" w:hAnsi="Arial Narrow" w:cstheme="minorHAnsi"/>
                <w:sz w:val="20"/>
                <w:szCs w:val="20"/>
              </w:rPr>
              <w:t xml:space="preserve"> Safety and immunogenicity study of GSK Biologicals’ </w:t>
            </w:r>
            <w:proofErr w:type="spellStart"/>
            <w:r w:rsidRPr="001B7756">
              <w:rPr>
                <w:rFonts w:ascii="Arial Narrow" w:eastAsia="Calibri" w:hAnsi="Arial Narrow" w:cstheme="minorHAnsi"/>
                <w:sz w:val="20"/>
                <w:szCs w:val="20"/>
              </w:rPr>
              <w:t>Quadrivalent</w:t>
            </w:r>
            <w:proofErr w:type="spellEnd"/>
            <w:r w:rsidRPr="001B7756">
              <w:rPr>
                <w:rFonts w:ascii="Arial Narrow" w:eastAsia="Calibri" w:hAnsi="Arial Narrow" w:cstheme="minorHAnsi"/>
                <w:sz w:val="20"/>
                <w:szCs w:val="20"/>
              </w:rPr>
              <w:t xml:space="preserve"> Influenza Vaccine (GSK2321138A) manufactured with a new process in adults and children. / “Assessment of an optimized manufacturing process for inactivated </w:t>
            </w:r>
            <w:proofErr w:type="spellStart"/>
            <w:r w:rsidRPr="001B7756">
              <w:rPr>
                <w:rFonts w:ascii="Arial Narrow" w:eastAsia="Calibri" w:hAnsi="Arial Narrow" w:cstheme="minorHAnsi"/>
                <w:sz w:val="20"/>
                <w:szCs w:val="20"/>
              </w:rPr>
              <w:t>quadrivalent</w:t>
            </w:r>
            <w:proofErr w:type="spellEnd"/>
            <w:r w:rsidRPr="001B7756">
              <w:rPr>
                <w:rFonts w:ascii="Arial Narrow" w:eastAsia="Calibri" w:hAnsi="Arial Narrow" w:cstheme="minorHAnsi"/>
                <w:sz w:val="20"/>
                <w:szCs w:val="20"/>
              </w:rPr>
              <w:t xml:space="preserve"> influenza vaccine: A phase III, randomized, double-blind, safety and immunogenicity study in children and adults.”</w:t>
            </w:r>
          </w:p>
        </w:tc>
        <w:tc>
          <w:tcPr>
            <w:tcW w:w="1177" w:type="pct"/>
          </w:tcPr>
          <w:p w:rsidR="00A63218" w:rsidRPr="00BD33A4" w:rsidRDefault="00A63218">
            <w:pPr>
              <w:keepNext/>
              <w:rPr>
                <w:rFonts w:ascii="Arial Narrow" w:hAnsi="Arial Narrow"/>
                <w:sz w:val="20"/>
              </w:rPr>
            </w:pPr>
            <w:r w:rsidRPr="001B7756">
              <w:rPr>
                <w:rFonts w:ascii="Arial Narrow" w:eastAsia="Calibri" w:hAnsi="Arial Narrow" w:cstheme="minorHAnsi"/>
                <w:sz w:val="20"/>
                <w:szCs w:val="20"/>
              </w:rPr>
              <w:t xml:space="preserve">BMC Infectious Diseases, vol:18 iss:1, 1471-2334  </w:t>
            </w:r>
          </w:p>
        </w:tc>
      </w:tr>
      <w:tr w:rsidR="00150355" w:rsidRPr="00BD33A4" w:rsidTr="00322E0F">
        <w:trPr>
          <w:cantSplit/>
          <w:trHeight w:val="317"/>
          <w:tblHeader/>
        </w:trPr>
        <w:tc>
          <w:tcPr>
            <w:tcW w:w="796" w:type="pct"/>
          </w:tcPr>
          <w:p w:rsidR="00150355" w:rsidRPr="001B7756" w:rsidRDefault="00150355" w:rsidP="00322E0F">
            <w:pPr>
              <w:pStyle w:val="NoSpacing"/>
              <w:jc w:val="left"/>
              <w:rPr>
                <w:rFonts w:ascii="Arial Narrow" w:eastAsia="Calibri" w:hAnsi="Arial Narrow"/>
                <w:sz w:val="20"/>
                <w:szCs w:val="20"/>
              </w:rPr>
            </w:pPr>
            <w:r w:rsidRPr="00BD33A4">
              <w:rPr>
                <w:rFonts w:ascii="Arial Narrow" w:hAnsi="Arial Narrow"/>
                <w:sz w:val="20"/>
              </w:rPr>
              <w:t>FLU-Q-QIV-022 CSR / Jain</w:t>
            </w:r>
          </w:p>
        </w:tc>
        <w:tc>
          <w:tcPr>
            <w:tcW w:w="3027" w:type="pct"/>
          </w:tcPr>
          <w:p w:rsidR="00150355" w:rsidRPr="001B7756" w:rsidRDefault="00150355" w:rsidP="0046177A">
            <w:pPr>
              <w:keepNext/>
              <w:rPr>
                <w:rFonts w:ascii="Arial Narrow" w:eastAsia="Calibri" w:hAnsi="Arial Narrow"/>
                <w:sz w:val="20"/>
                <w:szCs w:val="20"/>
              </w:rPr>
            </w:pPr>
            <w:r w:rsidRPr="00BD33A4">
              <w:rPr>
                <w:rFonts w:ascii="Arial Narrow" w:hAnsi="Arial Narrow"/>
                <w:sz w:val="20"/>
              </w:rPr>
              <w:t xml:space="preserve">Immunogenicity and safety study of GSK Biologicals’ </w:t>
            </w:r>
            <w:proofErr w:type="spellStart"/>
            <w:r w:rsidRPr="00BD33A4">
              <w:rPr>
                <w:rFonts w:ascii="Arial Narrow" w:hAnsi="Arial Narrow"/>
                <w:sz w:val="20"/>
              </w:rPr>
              <w:t>quadrivalent</w:t>
            </w:r>
            <w:proofErr w:type="spellEnd"/>
            <w:r w:rsidRPr="00BD33A4">
              <w:rPr>
                <w:rFonts w:ascii="Arial Narrow" w:hAnsi="Arial Narrow"/>
                <w:sz w:val="20"/>
              </w:rPr>
              <w:t xml:space="preserve"> influenza vaccine (GSK2282512A) compared to </w:t>
            </w:r>
            <w:proofErr w:type="spellStart"/>
            <w:r w:rsidRPr="00BD33A4">
              <w:rPr>
                <w:rFonts w:ascii="Arial Narrow" w:hAnsi="Arial Narrow"/>
                <w:sz w:val="20"/>
              </w:rPr>
              <w:t>Fluzone</w:t>
            </w:r>
            <w:proofErr w:type="spellEnd"/>
            <w:r w:rsidRPr="00BD33A4">
              <w:rPr>
                <w:rFonts w:ascii="Arial Narrow" w:hAnsi="Arial Narrow"/>
                <w:sz w:val="20"/>
              </w:rPr>
              <w:t xml:space="preserve">® </w:t>
            </w:r>
            <w:proofErr w:type="spellStart"/>
            <w:r w:rsidRPr="00BD33A4">
              <w:rPr>
                <w:rFonts w:ascii="Arial Narrow" w:hAnsi="Arial Narrow"/>
                <w:sz w:val="20"/>
              </w:rPr>
              <w:t>Quadrivalent</w:t>
            </w:r>
            <w:proofErr w:type="spellEnd"/>
            <w:r w:rsidRPr="00BD33A4">
              <w:rPr>
                <w:rFonts w:ascii="Arial Narrow" w:hAnsi="Arial Narrow"/>
                <w:sz w:val="20"/>
              </w:rPr>
              <w:t xml:space="preserve"> in children </w:t>
            </w:r>
            <w:r w:rsidR="006B4544" w:rsidRPr="00BD33A4">
              <w:rPr>
                <w:rFonts w:ascii="Arial Narrow" w:hAnsi="Arial Narrow"/>
                <w:sz w:val="20"/>
              </w:rPr>
              <w:t>6 - 35</w:t>
            </w:r>
            <w:r w:rsidRPr="00BD33A4">
              <w:rPr>
                <w:rFonts w:ascii="Arial Narrow" w:hAnsi="Arial Narrow"/>
                <w:sz w:val="20"/>
              </w:rPr>
              <w:t xml:space="preserve"> months of age. / “Time to Change Dosing of Inactivated </w:t>
            </w:r>
            <w:proofErr w:type="spellStart"/>
            <w:r w:rsidRPr="00BD33A4">
              <w:rPr>
                <w:rFonts w:ascii="Arial Narrow" w:hAnsi="Arial Narrow"/>
                <w:sz w:val="20"/>
              </w:rPr>
              <w:t>Quadrivalent</w:t>
            </w:r>
            <w:proofErr w:type="spellEnd"/>
            <w:r w:rsidRPr="00BD33A4">
              <w:rPr>
                <w:rFonts w:ascii="Arial Narrow" w:hAnsi="Arial Narrow"/>
                <w:sz w:val="20"/>
              </w:rPr>
              <w:t xml:space="preserve"> Influenza Vaccine in Young Children: Evidence From a Phase III, Randomized, Controlled Trial.” </w:t>
            </w:r>
          </w:p>
        </w:tc>
        <w:tc>
          <w:tcPr>
            <w:tcW w:w="1177" w:type="pct"/>
          </w:tcPr>
          <w:p w:rsidR="00150355" w:rsidRPr="00BD33A4" w:rsidRDefault="00150355">
            <w:pPr>
              <w:keepNext/>
              <w:rPr>
                <w:rFonts w:ascii="Arial Narrow" w:hAnsi="Arial Narrow"/>
                <w:sz w:val="20"/>
              </w:rPr>
            </w:pPr>
            <w:r w:rsidRPr="00BD33A4">
              <w:rPr>
                <w:rFonts w:ascii="Arial Narrow" w:hAnsi="Arial Narrow"/>
                <w:sz w:val="20"/>
              </w:rPr>
              <w:t xml:space="preserve">Journal of the </w:t>
            </w:r>
            <w:proofErr w:type="spellStart"/>
            <w:r w:rsidRPr="00BD33A4">
              <w:rPr>
                <w:rFonts w:ascii="Arial Narrow" w:hAnsi="Arial Narrow"/>
                <w:sz w:val="20"/>
              </w:rPr>
              <w:t>Pediatric</w:t>
            </w:r>
            <w:proofErr w:type="spellEnd"/>
            <w:r w:rsidRPr="00BD33A4">
              <w:rPr>
                <w:rFonts w:ascii="Arial Narrow" w:hAnsi="Arial Narrow"/>
                <w:sz w:val="20"/>
              </w:rPr>
              <w:t xml:space="preserve"> Infectious Diseases Society, 6 (March): 9 -19</w:t>
            </w:r>
          </w:p>
        </w:tc>
      </w:tr>
    </w:tbl>
    <w:p w:rsidR="0076420C" w:rsidRPr="00BD33A4" w:rsidRDefault="0076420C" w:rsidP="007F6CE8">
      <w:pPr>
        <w:pStyle w:val="tablenotes"/>
        <w:widowControl/>
        <w:spacing w:after="120"/>
        <w:rPr>
          <w:rFonts w:ascii="Arial Narrow" w:hAnsi="Arial Narrow"/>
          <w:sz w:val="18"/>
          <w:szCs w:val="18"/>
        </w:rPr>
      </w:pPr>
      <w:r w:rsidRPr="00BD33A4">
        <w:rPr>
          <w:rFonts w:ascii="Arial Narrow" w:hAnsi="Arial Narrow"/>
          <w:sz w:val="18"/>
          <w:szCs w:val="18"/>
        </w:rPr>
        <w:t xml:space="preserve">Source: </w:t>
      </w:r>
      <w:r w:rsidR="00150355" w:rsidRPr="00BD33A4">
        <w:rPr>
          <w:rFonts w:ascii="Arial Narrow" w:hAnsi="Arial Narrow"/>
          <w:sz w:val="18"/>
          <w:szCs w:val="18"/>
        </w:rPr>
        <w:t>Clinical result summar</w:t>
      </w:r>
      <w:r w:rsidR="00714946" w:rsidRPr="00BD33A4">
        <w:rPr>
          <w:rFonts w:ascii="Arial Narrow" w:hAnsi="Arial Narrow"/>
          <w:sz w:val="18"/>
          <w:szCs w:val="18"/>
        </w:rPr>
        <w:t xml:space="preserve">ies </w:t>
      </w:r>
      <w:r w:rsidR="00150355" w:rsidRPr="00BD33A4">
        <w:rPr>
          <w:rFonts w:ascii="Arial Narrow" w:hAnsi="Arial Narrow"/>
          <w:sz w:val="18"/>
          <w:szCs w:val="18"/>
        </w:rPr>
        <w:t>of D-QIV-004</w:t>
      </w:r>
      <w:r w:rsidR="00714946" w:rsidRPr="00BD33A4">
        <w:rPr>
          <w:rFonts w:ascii="Arial Narrow" w:hAnsi="Arial Narrow"/>
          <w:sz w:val="18"/>
          <w:szCs w:val="18"/>
        </w:rPr>
        <w:t>, D-QIV-009, D-QIV-015, Q-QIV-022</w:t>
      </w:r>
    </w:p>
    <w:p w:rsidR="00F319C6" w:rsidRPr="00BD33A4" w:rsidRDefault="0055419F" w:rsidP="005F3B0E">
      <w:pPr>
        <w:pStyle w:val="ListParagraph"/>
        <w:widowControl/>
        <w:numPr>
          <w:ilvl w:val="1"/>
          <w:numId w:val="14"/>
        </w:numPr>
        <w:spacing w:before="120" w:after="120"/>
        <w:rPr>
          <w:rFonts w:asciiTheme="minorHAnsi" w:eastAsiaTheme="minorHAnsi" w:hAnsiTheme="minorHAnsi" w:cstheme="minorHAnsi"/>
          <w:snapToGrid/>
          <w:sz w:val="24"/>
          <w:szCs w:val="24"/>
        </w:rPr>
      </w:pPr>
      <w:r w:rsidRPr="00BD33A4">
        <w:rPr>
          <w:rFonts w:asciiTheme="minorHAnsi" w:eastAsiaTheme="minorHAnsi" w:hAnsiTheme="minorHAnsi" w:cstheme="minorBidi"/>
          <w:snapToGrid/>
          <w:sz w:val="24"/>
          <w:szCs w:val="22"/>
        </w:rPr>
        <w:t>An</w:t>
      </w:r>
      <w:r w:rsidR="00862703" w:rsidRPr="00BD33A4">
        <w:rPr>
          <w:rFonts w:asciiTheme="minorHAnsi" w:eastAsiaTheme="minorHAnsi" w:hAnsiTheme="minorHAnsi" w:cstheme="minorBidi"/>
          <w:snapToGrid/>
          <w:sz w:val="24"/>
          <w:szCs w:val="22"/>
        </w:rPr>
        <w:t xml:space="preserve"> </w:t>
      </w:r>
      <w:r w:rsidR="003D2AB0" w:rsidRPr="00BD33A4">
        <w:rPr>
          <w:rFonts w:asciiTheme="minorHAnsi" w:eastAsiaTheme="minorHAnsi" w:hAnsiTheme="minorHAnsi" w:cstheme="minorBidi"/>
          <w:snapToGrid/>
          <w:sz w:val="24"/>
          <w:szCs w:val="22"/>
        </w:rPr>
        <w:t xml:space="preserve">inclusion </w:t>
      </w:r>
      <w:r w:rsidR="007F6CE8" w:rsidRPr="00BD33A4">
        <w:rPr>
          <w:rFonts w:asciiTheme="minorHAnsi" w:eastAsiaTheme="minorHAnsi" w:hAnsiTheme="minorHAnsi" w:cstheme="minorBidi"/>
          <w:snapToGrid/>
          <w:sz w:val="24"/>
          <w:szCs w:val="22"/>
        </w:rPr>
        <w:t>criterion in the literature search was</w:t>
      </w:r>
      <w:r w:rsidR="003D2AB0" w:rsidRPr="00BD33A4">
        <w:rPr>
          <w:rFonts w:asciiTheme="minorHAnsi" w:eastAsiaTheme="minorHAnsi" w:hAnsiTheme="minorHAnsi" w:cstheme="minorBidi"/>
          <w:snapToGrid/>
          <w:sz w:val="24"/>
          <w:szCs w:val="22"/>
        </w:rPr>
        <w:t xml:space="preserve"> </w:t>
      </w:r>
      <w:r w:rsidR="00A63218" w:rsidRPr="00BD33A4">
        <w:rPr>
          <w:rFonts w:asciiTheme="minorHAnsi" w:eastAsiaTheme="minorHAnsi" w:hAnsiTheme="minorHAnsi" w:cstheme="minorBidi"/>
          <w:snapToGrid/>
          <w:sz w:val="24"/>
          <w:szCs w:val="22"/>
        </w:rPr>
        <w:t>healthy infants/children</w:t>
      </w:r>
      <w:r w:rsidR="007F6CE8" w:rsidRPr="00BD33A4">
        <w:rPr>
          <w:rFonts w:asciiTheme="minorHAnsi" w:eastAsiaTheme="minorHAnsi" w:hAnsiTheme="minorHAnsi" w:cstheme="minorBidi"/>
          <w:snapToGrid/>
          <w:sz w:val="24"/>
          <w:szCs w:val="22"/>
        </w:rPr>
        <w:t>,</w:t>
      </w:r>
      <w:r w:rsidR="003D2AB0" w:rsidRPr="00BD33A4">
        <w:rPr>
          <w:rFonts w:asciiTheme="minorHAnsi" w:eastAsiaTheme="minorHAnsi" w:hAnsiTheme="minorHAnsi" w:cstheme="minorBidi"/>
          <w:snapToGrid/>
          <w:sz w:val="24"/>
          <w:szCs w:val="22"/>
        </w:rPr>
        <w:t xml:space="preserve"> which did not cover the entire proposed cohort for the proposed listing.</w:t>
      </w:r>
      <w:r w:rsidR="00A63218" w:rsidRPr="00BD33A4">
        <w:rPr>
          <w:rFonts w:asciiTheme="minorHAnsi" w:eastAsiaTheme="minorHAnsi" w:hAnsiTheme="minorHAnsi" w:cstheme="minorBidi"/>
          <w:snapToGrid/>
          <w:sz w:val="24"/>
          <w:szCs w:val="22"/>
        </w:rPr>
        <w:t xml:space="preserve"> </w:t>
      </w:r>
      <w:r w:rsidRPr="00BD33A4">
        <w:rPr>
          <w:rFonts w:asciiTheme="minorHAnsi" w:eastAsiaTheme="minorHAnsi" w:hAnsiTheme="minorHAnsi" w:cstheme="minorBidi"/>
          <w:snapToGrid/>
          <w:sz w:val="24"/>
          <w:szCs w:val="22"/>
        </w:rPr>
        <w:t>W</w:t>
      </w:r>
      <w:r w:rsidR="00407AC8" w:rsidRPr="00BD33A4">
        <w:rPr>
          <w:rFonts w:asciiTheme="minorHAnsi" w:eastAsiaTheme="minorHAnsi" w:hAnsiTheme="minorHAnsi" w:cstheme="minorBidi"/>
          <w:snapToGrid/>
          <w:sz w:val="24"/>
          <w:szCs w:val="22"/>
        </w:rPr>
        <w:t xml:space="preserve">hile this </w:t>
      </w:r>
      <w:r w:rsidR="00862703" w:rsidRPr="00BD33A4">
        <w:rPr>
          <w:rFonts w:asciiTheme="minorHAnsi" w:eastAsiaTheme="minorHAnsi" w:hAnsiTheme="minorHAnsi" w:cstheme="minorBidi"/>
          <w:snapToGrid/>
          <w:sz w:val="24"/>
          <w:szCs w:val="22"/>
        </w:rPr>
        <w:t>wa</w:t>
      </w:r>
      <w:r w:rsidR="00407AC8" w:rsidRPr="00BD33A4">
        <w:rPr>
          <w:rFonts w:asciiTheme="minorHAnsi" w:eastAsiaTheme="minorHAnsi" w:hAnsiTheme="minorHAnsi" w:cstheme="minorBidi"/>
          <w:snapToGrid/>
          <w:sz w:val="24"/>
          <w:szCs w:val="22"/>
        </w:rPr>
        <w:t>s a limitation</w:t>
      </w:r>
      <w:r w:rsidR="00EC4DCA" w:rsidRPr="00BD33A4">
        <w:rPr>
          <w:rFonts w:asciiTheme="minorHAnsi" w:eastAsiaTheme="minorHAnsi" w:hAnsiTheme="minorHAnsi" w:cstheme="minorBidi"/>
          <w:snapToGrid/>
          <w:sz w:val="24"/>
          <w:szCs w:val="22"/>
        </w:rPr>
        <w:t xml:space="preserve">, </w:t>
      </w:r>
      <w:r w:rsidR="00801DBE" w:rsidRPr="00BD33A4">
        <w:rPr>
          <w:rFonts w:asciiTheme="minorHAnsi" w:eastAsiaTheme="minorHAnsi" w:hAnsiTheme="minorHAnsi" w:cstheme="minorBidi"/>
          <w:snapToGrid/>
          <w:sz w:val="24"/>
          <w:szCs w:val="22"/>
        </w:rPr>
        <w:t>it may be</w:t>
      </w:r>
      <w:r w:rsidR="00A63218" w:rsidRPr="00BD33A4">
        <w:rPr>
          <w:rFonts w:asciiTheme="minorHAnsi" w:eastAsiaTheme="minorHAnsi" w:hAnsiTheme="minorHAnsi" w:cstheme="minorBidi"/>
          <w:snapToGrid/>
          <w:sz w:val="24"/>
          <w:szCs w:val="22"/>
        </w:rPr>
        <w:t xml:space="preserve"> reasonabl</w:t>
      </w:r>
      <w:r w:rsidR="00801DBE" w:rsidRPr="00BD33A4">
        <w:rPr>
          <w:rFonts w:asciiTheme="minorHAnsi" w:eastAsiaTheme="minorHAnsi" w:hAnsiTheme="minorHAnsi" w:cstheme="minorBidi"/>
          <w:snapToGrid/>
          <w:sz w:val="24"/>
          <w:szCs w:val="22"/>
        </w:rPr>
        <w:t>e to expect</w:t>
      </w:r>
      <w:r w:rsidR="00A63218" w:rsidRPr="00BD33A4">
        <w:rPr>
          <w:rFonts w:asciiTheme="minorHAnsi" w:eastAsiaTheme="minorHAnsi" w:hAnsiTheme="minorHAnsi" w:cstheme="minorBidi"/>
          <w:snapToGrid/>
          <w:sz w:val="24"/>
          <w:szCs w:val="22"/>
        </w:rPr>
        <w:t xml:space="preserve"> </w:t>
      </w:r>
      <w:r w:rsidR="00776199" w:rsidRPr="00BD33A4">
        <w:rPr>
          <w:rFonts w:asciiTheme="minorHAnsi" w:eastAsiaTheme="minorHAnsi" w:hAnsiTheme="minorHAnsi" w:cstheme="minorBidi"/>
          <w:snapToGrid/>
          <w:sz w:val="24"/>
          <w:szCs w:val="22"/>
        </w:rPr>
        <w:t>t</w:t>
      </w:r>
      <w:r w:rsidR="00A63218" w:rsidRPr="00BD33A4">
        <w:rPr>
          <w:rFonts w:asciiTheme="minorHAnsi" w:eastAsiaTheme="minorHAnsi" w:hAnsiTheme="minorHAnsi" w:cstheme="minorBidi"/>
          <w:snapToGrid/>
          <w:sz w:val="24"/>
          <w:szCs w:val="22"/>
        </w:rPr>
        <w:t xml:space="preserve">hat </w:t>
      </w:r>
      <w:r w:rsidR="00EC4DCA" w:rsidRPr="00BD33A4">
        <w:rPr>
          <w:rFonts w:asciiTheme="minorHAnsi" w:eastAsiaTheme="minorHAnsi" w:hAnsiTheme="minorHAnsi" w:cstheme="minorBidi"/>
          <w:snapToGrid/>
          <w:sz w:val="24"/>
          <w:szCs w:val="22"/>
        </w:rPr>
        <w:t xml:space="preserve">the clinical outcomes in sub-populations are unlikely to vary significantly, or to vary between the proposed listing and the </w:t>
      </w:r>
      <w:r w:rsidR="00BD33A4" w:rsidRPr="00BD33A4">
        <w:rPr>
          <w:rFonts w:asciiTheme="minorHAnsi" w:eastAsiaTheme="minorHAnsi" w:hAnsiTheme="minorHAnsi" w:cstheme="minorBidi"/>
          <w:snapToGrid/>
          <w:sz w:val="24"/>
          <w:szCs w:val="22"/>
        </w:rPr>
        <w:t>comparator that</w:t>
      </w:r>
      <w:r w:rsidR="00EC4DCA" w:rsidRPr="00BD33A4">
        <w:rPr>
          <w:rFonts w:asciiTheme="minorHAnsi" w:eastAsiaTheme="minorHAnsi" w:hAnsiTheme="minorHAnsi" w:cstheme="minorBidi"/>
          <w:snapToGrid/>
          <w:sz w:val="24"/>
          <w:szCs w:val="22"/>
        </w:rPr>
        <w:t xml:space="preserve"> </w:t>
      </w:r>
      <w:proofErr w:type="gramStart"/>
      <w:r w:rsidR="00EC4DCA" w:rsidRPr="00BD33A4">
        <w:rPr>
          <w:rFonts w:asciiTheme="minorHAnsi" w:eastAsiaTheme="minorHAnsi" w:hAnsiTheme="minorHAnsi" w:cstheme="minorBidi"/>
          <w:snapToGrid/>
          <w:sz w:val="24"/>
          <w:szCs w:val="22"/>
        </w:rPr>
        <w:t>is already used</w:t>
      </w:r>
      <w:proofErr w:type="gramEnd"/>
      <w:r w:rsidR="00EC4DCA" w:rsidRPr="00BD33A4">
        <w:rPr>
          <w:rFonts w:asciiTheme="minorHAnsi" w:eastAsiaTheme="minorHAnsi" w:hAnsiTheme="minorHAnsi" w:cstheme="minorBidi"/>
          <w:snapToGrid/>
          <w:sz w:val="24"/>
          <w:szCs w:val="22"/>
        </w:rPr>
        <w:t xml:space="preserve"> in this cohort. </w:t>
      </w:r>
    </w:p>
    <w:p w:rsidR="00801DBE" w:rsidRPr="00BD33A4" w:rsidRDefault="00801DBE" w:rsidP="005F3B0E">
      <w:pPr>
        <w:pStyle w:val="ListParagraph"/>
        <w:widowControl/>
        <w:numPr>
          <w:ilvl w:val="1"/>
          <w:numId w:val="14"/>
        </w:numPr>
        <w:spacing w:before="120" w:after="120"/>
        <w:rPr>
          <w:rFonts w:asciiTheme="minorHAnsi" w:eastAsiaTheme="minorHAnsi" w:hAnsiTheme="minorHAnsi" w:cstheme="minorHAnsi"/>
          <w:snapToGrid/>
          <w:sz w:val="24"/>
          <w:szCs w:val="24"/>
        </w:rPr>
      </w:pPr>
      <w:r w:rsidRPr="00BD33A4">
        <w:rPr>
          <w:rFonts w:asciiTheme="minorHAnsi" w:eastAsiaTheme="minorHAnsi" w:hAnsiTheme="minorHAnsi" w:cstheme="minorHAnsi"/>
          <w:snapToGrid/>
          <w:sz w:val="24"/>
          <w:szCs w:val="24"/>
        </w:rPr>
        <w:t>The key clinical trial (FLU-Q-QIV-022) used ‘</w:t>
      </w:r>
      <w:r w:rsidRPr="001B7756">
        <w:rPr>
          <w:rFonts w:asciiTheme="minorHAnsi" w:eastAsia="Calibri" w:hAnsiTheme="minorHAnsi" w:cstheme="minorHAnsi"/>
          <w:sz w:val="24"/>
          <w:szCs w:val="24"/>
          <w:lang w:eastAsia="en-AU"/>
        </w:rPr>
        <w:t xml:space="preserve">FluLaval Tetra’ (GlaxoSmithKline) as a surrogate for </w:t>
      </w:r>
      <w:proofErr w:type="spellStart"/>
      <w:r w:rsidRPr="001B7756">
        <w:rPr>
          <w:rFonts w:asciiTheme="minorHAnsi" w:eastAsia="Calibri" w:hAnsiTheme="minorHAnsi" w:cstheme="minorHAnsi"/>
          <w:sz w:val="24"/>
          <w:szCs w:val="24"/>
          <w:lang w:eastAsia="en-AU"/>
        </w:rPr>
        <w:t>Fluarix</w:t>
      </w:r>
      <w:proofErr w:type="spellEnd"/>
      <w:r w:rsidRPr="001B7756">
        <w:rPr>
          <w:rFonts w:asciiTheme="minorHAnsi" w:eastAsia="Calibri" w:hAnsiTheme="minorHAnsi" w:cstheme="minorHAnsi"/>
          <w:sz w:val="24"/>
          <w:szCs w:val="24"/>
          <w:lang w:eastAsia="en-AU"/>
        </w:rPr>
        <w:t xml:space="preserve"> </w:t>
      </w:r>
      <w:proofErr w:type="gramStart"/>
      <w:r w:rsidRPr="001B7756">
        <w:rPr>
          <w:rFonts w:asciiTheme="minorHAnsi" w:eastAsia="Calibri" w:hAnsiTheme="minorHAnsi" w:cstheme="minorHAnsi"/>
          <w:sz w:val="24"/>
          <w:szCs w:val="24"/>
          <w:lang w:eastAsia="en-AU"/>
        </w:rPr>
        <w:t xml:space="preserve">Tetra, and </w:t>
      </w:r>
      <w:proofErr w:type="spellStart"/>
      <w:r w:rsidRPr="001B7756">
        <w:rPr>
          <w:rFonts w:asciiTheme="minorHAnsi" w:eastAsia="Calibri" w:hAnsiTheme="minorHAnsi" w:cstheme="minorHAnsi"/>
          <w:sz w:val="24"/>
          <w:szCs w:val="24"/>
          <w:lang w:eastAsia="en-AU"/>
        </w:rPr>
        <w:t>Fluzone</w:t>
      </w:r>
      <w:proofErr w:type="spellEnd"/>
      <w:r w:rsidRPr="001B7756">
        <w:rPr>
          <w:rFonts w:asciiTheme="minorHAnsi" w:eastAsia="Calibri" w:hAnsiTheme="minorHAnsi" w:cstheme="minorHAnsi"/>
          <w:sz w:val="24"/>
          <w:szCs w:val="24"/>
          <w:lang w:eastAsia="en-AU"/>
        </w:rPr>
        <w:t xml:space="preserve"> </w:t>
      </w:r>
      <w:proofErr w:type="spellStart"/>
      <w:r w:rsidRPr="001B7756">
        <w:rPr>
          <w:rFonts w:asciiTheme="minorHAnsi" w:eastAsia="Calibri" w:hAnsiTheme="minorHAnsi" w:cstheme="minorHAnsi"/>
          <w:sz w:val="24"/>
          <w:szCs w:val="24"/>
          <w:lang w:eastAsia="en-AU"/>
        </w:rPr>
        <w:t>Quadrivalent</w:t>
      </w:r>
      <w:proofErr w:type="spellEnd"/>
      <w:r w:rsidRPr="001B7756">
        <w:rPr>
          <w:rFonts w:asciiTheme="minorHAnsi" w:eastAsia="Calibri" w:hAnsiTheme="minorHAnsi" w:cstheme="minorHAnsi"/>
          <w:sz w:val="24"/>
          <w:szCs w:val="24"/>
          <w:lang w:eastAsia="en-AU"/>
        </w:rPr>
        <w:t xml:space="preserve"> (Sanofi-Aventis)</w:t>
      </w:r>
      <w:proofErr w:type="gramEnd"/>
      <w:r w:rsidRPr="001B7756">
        <w:rPr>
          <w:rFonts w:asciiTheme="minorHAnsi" w:eastAsia="Calibri" w:hAnsiTheme="minorHAnsi" w:cstheme="minorHAnsi"/>
          <w:sz w:val="24"/>
          <w:szCs w:val="24"/>
          <w:lang w:eastAsia="en-AU"/>
        </w:rPr>
        <w:t xml:space="preserve"> as a</w:t>
      </w:r>
      <w:r w:rsidR="00EC4DCA" w:rsidRPr="001B7756">
        <w:rPr>
          <w:rFonts w:asciiTheme="minorHAnsi" w:eastAsia="Calibri" w:hAnsiTheme="minorHAnsi" w:cstheme="minorHAnsi"/>
          <w:sz w:val="24"/>
          <w:szCs w:val="24"/>
          <w:lang w:eastAsia="en-AU"/>
        </w:rPr>
        <w:t xml:space="preserve"> surrogate for </w:t>
      </w:r>
      <w:proofErr w:type="spellStart"/>
      <w:r w:rsidR="00EC4DCA" w:rsidRPr="001B7756">
        <w:rPr>
          <w:rFonts w:asciiTheme="minorHAnsi" w:eastAsia="Calibri" w:hAnsiTheme="minorHAnsi" w:cstheme="minorHAnsi"/>
          <w:sz w:val="24"/>
          <w:szCs w:val="24"/>
          <w:lang w:eastAsia="en-AU"/>
        </w:rPr>
        <w:t>FluQuadri</w:t>
      </w:r>
      <w:proofErr w:type="spellEnd"/>
      <w:r w:rsidR="00EC4DCA" w:rsidRPr="001B7756">
        <w:rPr>
          <w:rFonts w:asciiTheme="minorHAnsi" w:eastAsia="Calibri" w:hAnsiTheme="minorHAnsi" w:cstheme="minorHAnsi"/>
          <w:sz w:val="24"/>
          <w:szCs w:val="24"/>
          <w:lang w:eastAsia="en-AU"/>
        </w:rPr>
        <w:t xml:space="preserve"> Junior, justifying these surrogates as they have</w:t>
      </w:r>
      <w:r w:rsidRPr="001B7756">
        <w:rPr>
          <w:rFonts w:asciiTheme="minorHAnsi" w:eastAsia="Calibri" w:hAnsiTheme="minorHAnsi" w:cstheme="minorHAnsi"/>
          <w:sz w:val="24"/>
          <w:szCs w:val="24"/>
          <w:lang w:eastAsia="en-AU"/>
        </w:rPr>
        <w:t xml:space="preserve"> equivalent antigen content</w:t>
      </w:r>
      <w:r w:rsidR="00EC4DCA" w:rsidRPr="001B7756">
        <w:rPr>
          <w:rFonts w:asciiTheme="minorHAnsi" w:eastAsia="Calibri" w:hAnsiTheme="minorHAnsi" w:cstheme="minorHAnsi"/>
          <w:sz w:val="24"/>
          <w:szCs w:val="24"/>
          <w:lang w:eastAsia="en-AU"/>
        </w:rPr>
        <w:t>s</w:t>
      </w:r>
      <w:r w:rsidRPr="001B7756">
        <w:rPr>
          <w:rFonts w:asciiTheme="minorHAnsi" w:eastAsia="Calibri" w:hAnsiTheme="minorHAnsi" w:cstheme="minorHAnsi"/>
          <w:sz w:val="24"/>
          <w:szCs w:val="24"/>
          <w:lang w:eastAsia="en-AU"/>
        </w:rPr>
        <w:t xml:space="preserve"> as their </w:t>
      </w:r>
      <w:r w:rsidR="00EC4DCA" w:rsidRPr="001B7756">
        <w:rPr>
          <w:rFonts w:asciiTheme="minorHAnsi" w:eastAsia="Calibri" w:hAnsiTheme="minorHAnsi" w:cstheme="minorHAnsi"/>
          <w:sz w:val="24"/>
          <w:szCs w:val="24"/>
          <w:lang w:eastAsia="en-AU"/>
        </w:rPr>
        <w:t xml:space="preserve">respective </w:t>
      </w:r>
      <w:r w:rsidRPr="001B7756">
        <w:rPr>
          <w:rFonts w:asciiTheme="minorHAnsi" w:eastAsia="Calibri" w:hAnsiTheme="minorHAnsi" w:cstheme="minorHAnsi"/>
          <w:sz w:val="24"/>
          <w:szCs w:val="24"/>
          <w:lang w:eastAsia="en-AU"/>
        </w:rPr>
        <w:t>surrogate</w:t>
      </w:r>
      <w:r w:rsidR="00EC4DCA" w:rsidRPr="001B7756">
        <w:rPr>
          <w:rFonts w:asciiTheme="minorHAnsi" w:eastAsia="Calibri" w:hAnsiTheme="minorHAnsi" w:cstheme="minorHAnsi"/>
          <w:sz w:val="24"/>
          <w:szCs w:val="24"/>
          <w:lang w:eastAsia="en-AU"/>
        </w:rPr>
        <w:t>s</w:t>
      </w:r>
      <w:r w:rsidRPr="001B7756">
        <w:rPr>
          <w:rFonts w:asciiTheme="minorHAnsi" w:eastAsia="Calibri" w:hAnsiTheme="minorHAnsi" w:cstheme="minorHAnsi"/>
          <w:sz w:val="24"/>
          <w:szCs w:val="24"/>
          <w:lang w:eastAsia="en-AU"/>
        </w:rPr>
        <w:t xml:space="preserve">. </w:t>
      </w:r>
    </w:p>
    <w:p w:rsidR="00DF26A7" w:rsidRPr="00BD33A4" w:rsidRDefault="005A3173" w:rsidP="005F3B0E">
      <w:pPr>
        <w:pStyle w:val="Heading2"/>
        <w:keepLines/>
        <w:spacing w:before="120" w:after="120"/>
        <w:rPr>
          <w:rFonts w:asciiTheme="minorHAnsi" w:eastAsiaTheme="majorEastAsia" w:hAnsiTheme="minorHAnsi" w:cstheme="majorBidi"/>
          <w:sz w:val="28"/>
          <w:szCs w:val="28"/>
          <w:lang w:eastAsia="en-US"/>
        </w:rPr>
      </w:pPr>
      <w:r w:rsidRPr="00BD33A4">
        <w:rPr>
          <w:rFonts w:asciiTheme="minorHAnsi" w:eastAsiaTheme="majorEastAsia" w:hAnsiTheme="minorHAnsi" w:cstheme="majorBidi"/>
          <w:sz w:val="28"/>
          <w:szCs w:val="28"/>
          <w:lang w:eastAsia="en-US"/>
        </w:rPr>
        <w:t>Comparative effectiveness</w:t>
      </w:r>
    </w:p>
    <w:p w:rsidR="00B73BAA" w:rsidRPr="00BD33A4" w:rsidRDefault="00B73BAA" w:rsidP="005F3B0E">
      <w:pPr>
        <w:pStyle w:val="ListParagraph"/>
        <w:widowControl/>
        <w:numPr>
          <w:ilvl w:val="1"/>
          <w:numId w:val="14"/>
        </w:numPr>
        <w:spacing w:before="120" w:after="120"/>
        <w:rPr>
          <w:rFonts w:eastAsiaTheme="minorHAnsi"/>
          <w:i/>
          <w:snapToGrid/>
        </w:rPr>
      </w:pPr>
      <w:r w:rsidRPr="00BD33A4">
        <w:rPr>
          <w:rFonts w:asciiTheme="minorHAnsi" w:eastAsiaTheme="minorHAnsi" w:hAnsiTheme="minorHAnsi" w:cstheme="minorHAnsi"/>
          <w:snapToGrid/>
          <w:sz w:val="24"/>
          <w:szCs w:val="24"/>
        </w:rPr>
        <w:t>Th</w:t>
      </w:r>
      <w:r w:rsidR="0069373D" w:rsidRPr="00BD33A4">
        <w:rPr>
          <w:rFonts w:asciiTheme="minorHAnsi" w:eastAsiaTheme="minorHAnsi" w:hAnsiTheme="minorHAnsi" w:cstheme="minorHAnsi"/>
          <w:snapToGrid/>
          <w:sz w:val="24"/>
          <w:szCs w:val="24"/>
        </w:rPr>
        <w:t>e</w:t>
      </w:r>
      <w:r w:rsidRPr="00BD33A4">
        <w:rPr>
          <w:rFonts w:asciiTheme="minorHAnsi" w:eastAsiaTheme="minorHAnsi" w:hAnsiTheme="minorHAnsi" w:cstheme="minorHAnsi"/>
          <w:snapToGrid/>
          <w:sz w:val="24"/>
          <w:szCs w:val="24"/>
        </w:rPr>
        <w:t xml:space="preserve"> submission </w:t>
      </w:r>
      <w:r w:rsidR="003A7657" w:rsidRPr="00BD33A4">
        <w:rPr>
          <w:rFonts w:asciiTheme="minorHAnsi" w:eastAsiaTheme="minorHAnsi" w:hAnsiTheme="minorHAnsi" w:cstheme="minorHAnsi"/>
          <w:snapToGrid/>
          <w:sz w:val="24"/>
          <w:szCs w:val="24"/>
        </w:rPr>
        <w:t>claim</w:t>
      </w:r>
      <w:r w:rsidR="00A456AE" w:rsidRPr="00BD33A4">
        <w:rPr>
          <w:rFonts w:asciiTheme="minorHAnsi" w:eastAsiaTheme="minorHAnsi" w:hAnsiTheme="minorHAnsi" w:cstheme="minorHAnsi"/>
          <w:snapToGrid/>
          <w:sz w:val="24"/>
          <w:szCs w:val="24"/>
        </w:rPr>
        <w:t>ed</w:t>
      </w:r>
      <w:r w:rsidRPr="00BD33A4">
        <w:rPr>
          <w:rFonts w:asciiTheme="minorHAnsi" w:eastAsiaTheme="minorHAnsi" w:hAnsiTheme="minorHAnsi" w:cstheme="minorHAnsi"/>
          <w:snapToGrid/>
          <w:sz w:val="24"/>
          <w:szCs w:val="24"/>
        </w:rPr>
        <w:t xml:space="preserve"> that </w:t>
      </w:r>
      <w:proofErr w:type="spellStart"/>
      <w:r w:rsidRPr="00BD33A4">
        <w:rPr>
          <w:rFonts w:asciiTheme="minorHAnsi" w:eastAsiaTheme="minorHAnsi" w:hAnsiTheme="minorHAnsi" w:cstheme="minorHAnsi"/>
          <w:snapToGrid/>
          <w:sz w:val="24"/>
          <w:szCs w:val="24"/>
        </w:rPr>
        <w:t>Fluarix</w:t>
      </w:r>
      <w:proofErr w:type="spellEnd"/>
      <w:r w:rsidRPr="00BD33A4">
        <w:rPr>
          <w:rFonts w:asciiTheme="minorHAnsi" w:eastAsiaTheme="minorHAnsi" w:hAnsiTheme="minorHAnsi" w:cstheme="minorHAnsi"/>
          <w:snapToGrid/>
          <w:sz w:val="24"/>
          <w:szCs w:val="24"/>
        </w:rPr>
        <w:t xml:space="preserve"> Tetra </w:t>
      </w:r>
      <w:r w:rsidR="00383499" w:rsidRPr="00BD33A4">
        <w:rPr>
          <w:rFonts w:asciiTheme="minorHAnsi" w:eastAsiaTheme="minorHAnsi" w:hAnsiTheme="minorHAnsi" w:cstheme="minorHAnsi"/>
          <w:snapToGrid/>
          <w:sz w:val="24"/>
          <w:szCs w:val="24"/>
        </w:rPr>
        <w:t>was</w:t>
      </w:r>
      <w:r w:rsidRPr="00BD33A4">
        <w:rPr>
          <w:rFonts w:asciiTheme="minorHAnsi" w:eastAsiaTheme="minorHAnsi" w:hAnsiTheme="minorHAnsi" w:cstheme="minorHAnsi"/>
          <w:snapToGrid/>
          <w:sz w:val="24"/>
          <w:szCs w:val="24"/>
        </w:rPr>
        <w:t xml:space="preserve"> non-inferior with respect to efficacy and safety to </w:t>
      </w:r>
      <w:proofErr w:type="spellStart"/>
      <w:r w:rsidRPr="00BD33A4">
        <w:rPr>
          <w:rFonts w:asciiTheme="minorHAnsi" w:eastAsiaTheme="minorHAnsi" w:hAnsiTheme="minorHAnsi" w:cstheme="minorHAnsi"/>
          <w:snapToGrid/>
          <w:sz w:val="24"/>
          <w:szCs w:val="24"/>
        </w:rPr>
        <w:t>FluQuadri</w:t>
      </w:r>
      <w:proofErr w:type="spellEnd"/>
      <w:r w:rsidRPr="00BD33A4">
        <w:rPr>
          <w:rFonts w:asciiTheme="minorHAnsi" w:eastAsiaTheme="minorHAnsi" w:hAnsiTheme="minorHAnsi" w:cstheme="minorHAnsi"/>
          <w:snapToGrid/>
          <w:sz w:val="24"/>
          <w:szCs w:val="24"/>
        </w:rPr>
        <w:t xml:space="preserve"> Junior </w:t>
      </w:r>
      <w:r w:rsidR="00BB0D81" w:rsidRPr="00BD33A4">
        <w:rPr>
          <w:rFonts w:asciiTheme="minorHAnsi" w:eastAsiaTheme="minorHAnsi" w:hAnsiTheme="minorHAnsi" w:cstheme="minorHAnsi"/>
          <w:snapToGrid/>
          <w:sz w:val="24"/>
          <w:szCs w:val="24"/>
        </w:rPr>
        <w:t>for</w:t>
      </w:r>
      <w:r w:rsidRPr="00BD33A4">
        <w:rPr>
          <w:rFonts w:asciiTheme="minorHAnsi" w:eastAsiaTheme="minorHAnsi" w:hAnsiTheme="minorHAnsi" w:cstheme="minorHAnsi"/>
          <w:snapToGrid/>
          <w:sz w:val="24"/>
          <w:szCs w:val="24"/>
        </w:rPr>
        <w:t xml:space="preserve"> the prevention of seasonal influenza disease caused by the influenza virus type</w:t>
      </w:r>
      <w:r w:rsidR="00BB0D81" w:rsidRPr="00BD33A4">
        <w:rPr>
          <w:rFonts w:asciiTheme="minorHAnsi" w:eastAsiaTheme="minorHAnsi" w:hAnsiTheme="minorHAnsi" w:cstheme="minorHAnsi"/>
          <w:snapToGrid/>
          <w:sz w:val="24"/>
          <w:szCs w:val="24"/>
        </w:rPr>
        <w:t>s</w:t>
      </w:r>
      <w:r w:rsidRPr="00BD33A4">
        <w:rPr>
          <w:rFonts w:asciiTheme="minorHAnsi" w:eastAsiaTheme="minorHAnsi" w:hAnsiTheme="minorHAnsi" w:cstheme="minorHAnsi"/>
          <w:snapToGrid/>
          <w:sz w:val="24"/>
          <w:szCs w:val="24"/>
        </w:rPr>
        <w:t xml:space="preserve"> A and B contained in the vaccine </w:t>
      </w:r>
      <w:r w:rsidR="00801DBE" w:rsidRPr="00BD33A4">
        <w:rPr>
          <w:rFonts w:asciiTheme="minorHAnsi" w:eastAsiaTheme="minorHAnsi" w:hAnsiTheme="minorHAnsi" w:cstheme="minorHAnsi"/>
          <w:snapToGrid/>
          <w:sz w:val="24"/>
          <w:szCs w:val="24"/>
        </w:rPr>
        <w:t>in the proposed cohort.</w:t>
      </w:r>
    </w:p>
    <w:p w:rsidR="00BB0D81" w:rsidRPr="00BD33A4" w:rsidRDefault="00BB0D81" w:rsidP="005F3B0E">
      <w:pPr>
        <w:pStyle w:val="ListParagraph"/>
        <w:widowControl/>
        <w:numPr>
          <w:ilvl w:val="1"/>
          <w:numId w:val="14"/>
        </w:numPr>
        <w:spacing w:before="120" w:after="120"/>
        <w:rPr>
          <w:rFonts w:asciiTheme="minorHAnsi" w:eastAsiaTheme="minorHAnsi" w:hAnsiTheme="minorHAnsi" w:cstheme="minorHAnsi"/>
          <w:snapToGrid/>
          <w:sz w:val="24"/>
          <w:szCs w:val="24"/>
        </w:rPr>
      </w:pPr>
      <w:r w:rsidRPr="00BD33A4">
        <w:rPr>
          <w:rFonts w:asciiTheme="minorHAnsi" w:eastAsiaTheme="minorHAnsi" w:hAnsiTheme="minorHAnsi" w:cstheme="minorHAnsi"/>
          <w:snapToGrid/>
          <w:sz w:val="24"/>
          <w:szCs w:val="24"/>
        </w:rPr>
        <w:t>A</w:t>
      </w:r>
      <w:r w:rsidRPr="00BD33A4">
        <w:rPr>
          <w:rFonts w:asciiTheme="minorHAnsi" w:hAnsiTheme="minorHAnsi" w:cstheme="minorHAnsi"/>
          <w:sz w:val="24"/>
          <w:szCs w:val="24"/>
        </w:rPr>
        <w:t xml:space="preserve">mong a subset of subjects from study D-QIV-004 (753 vaccinated with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 579 in the control group), the immunogenicity of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 was demonstrated with post vaccination seroconversion rates (SCR) between 68.8% for A/H3N2 and 81.2% for B/Yamagata strains, and significant increases in post vaccination geometric mean titres (GMT) for all strains. </w:t>
      </w:r>
      <w:r w:rsidRPr="00BD33A4">
        <w:rPr>
          <w:rFonts w:asciiTheme="minorHAnsi" w:eastAsiaTheme="minorHAnsi" w:hAnsiTheme="minorHAnsi" w:cstheme="minorHAnsi"/>
          <w:snapToGrid/>
          <w:sz w:val="24"/>
          <w:szCs w:val="24"/>
        </w:rPr>
        <w:t xml:space="preserve">There were no immunogenicity data directly comparing </w:t>
      </w:r>
      <w:proofErr w:type="spellStart"/>
      <w:r w:rsidRPr="00BD33A4">
        <w:rPr>
          <w:rFonts w:asciiTheme="minorHAnsi" w:eastAsiaTheme="minorHAnsi" w:hAnsiTheme="minorHAnsi" w:cstheme="minorHAnsi"/>
          <w:snapToGrid/>
          <w:sz w:val="24"/>
          <w:szCs w:val="24"/>
        </w:rPr>
        <w:t>Fluarix</w:t>
      </w:r>
      <w:proofErr w:type="spellEnd"/>
      <w:r w:rsidRPr="00BD33A4">
        <w:rPr>
          <w:rFonts w:asciiTheme="minorHAnsi" w:eastAsiaTheme="minorHAnsi" w:hAnsiTheme="minorHAnsi" w:cstheme="minorHAnsi"/>
          <w:snapToGrid/>
          <w:sz w:val="24"/>
          <w:szCs w:val="24"/>
        </w:rPr>
        <w:t xml:space="preserve"> Tetra with the comparator. ATAGI noted (Pre-Submission PBAC Advice, </w:t>
      </w:r>
      <w:r w:rsidR="007F6CE8" w:rsidRPr="00BD33A4">
        <w:rPr>
          <w:rFonts w:asciiTheme="minorHAnsi" w:eastAsiaTheme="minorHAnsi" w:hAnsiTheme="minorHAnsi" w:cstheme="minorHAnsi"/>
          <w:snapToGrid/>
          <w:sz w:val="24"/>
          <w:szCs w:val="24"/>
        </w:rPr>
        <w:t>p</w:t>
      </w:r>
      <w:r w:rsidRPr="00BD33A4">
        <w:rPr>
          <w:rFonts w:asciiTheme="minorHAnsi" w:eastAsiaTheme="minorHAnsi" w:hAnsiTheme="minorHAnsi" w:cstheme="minorHAnsi"/>
          <w:snapToGrid/>
          <w:sz w:val="24"/>
          <w:szCs w:val="24"/>
        </w:rPr>
        <w:t xml:space="preserve">3-4) that there </w:t>
      </w:r>
      <w:r w:rsidR="00383499" w:rsidRPr="00BD33A4">
        <w:rPr>
          <w:rFonts w:asciiTheme="minorHAnsi" w:eastAsiaTheme="minorHAnsi" w:hAnsiTheme="minorHAnsi" w:cstheme="minorHAnsi"/>
          <w:snapToGrid/>
          <w:sz w:val="24"/>
          <w:szCs w:val="24"/>
        </w:rPr>
        <w:t xml:space="preserve">were </w:t>
      </w:r>
      <w:r w:rsidRPr="00BD33A4">
        <w:rPr>
          <w:rFonts w:asciiTheme="minorHAnsi" w:eastAsiaTheme="minorHAnsi" w:hAnsiTheme="minorHAnsi" w:cstheme="minorHAnsi"/>
          <w:snapToGrid/>
          <w:sz w:val="24"/>
          <w:szCs w:val="24"/>
        </w:rPr>
        <w:t>limitations in using immunogenicity data to predict protective immunity, particularly in young children, where conventional titres are associated with limited levels of clinical protection</w:t>
      </w:r>
      <w:r w:rsidR="00BD33A4">
        <w:rPr>
          <w:rFonts w:asciiTheme="minorHAnsi" w:eastAsiaTheme="minorHAnsi" w:hAnsiTheme="minorHAnsi" w:cstheme="minorHAnsi"/>
          <w:snapToGrid/>
          <w:sz w:val="24"/>
          <w:szCs w:val="24"/>
        </w:rPr>
        <w:t xml:space="preserve">. </w:t>
      </w:r>
      <w:r w:rsidRPr="00BD33A4">
        <w:rPr>
          <w:rFonts w:asciiTheme="minorHAnsi" w:eastAsiaTheme="minorHAnsi" w:hAnsiTheme="minorHAnsi" w:cstheme="minorHAnsi"/>
          <w:snapToGrid/>
          <w:sz w:val="24"/>
          <w:szCs w:val="24"/>
        </w:rPr>
        <w:t xml:space="preserve">Accordingly, ATAGI considered </w:t>
      </w:r>
      <w:r w:rsidR="0046177A" w:rsidRPr="00BD33A4">
        <w:rPr>
          <w:rFonts w:asciiTheme="minorHAnsi" w:eastAsiaTheme="minorHAnsi" w:hAnsiTheme="minorHAnsi" w:cstheme="minorHAnsi"/>
          <w:snapToGrid/>
          <w:sz w:val="24"/>
          <w:szCs w:val="24"/>
        </w:rPr>
        <w:t xml:space="preserve">vaccine </w:t>
      </w:r>
      <w:r w:rsidR="0046177A" w:rsidRPr="00BD33A4">
        <w:rPr>
          <w:rFonts w:asciiTheme="minorHAnsi" w:eastAsiaTheme="minorHAnsi" w:hAnsiTheme="minorHAnsi" w:cstheme="minorHAnsi"/>
          <w:snapToGrid/>
          <w:sz w:val="24"/>
          <w:szCs w:val="24"/>
        </w:rPr>
        <w:lastRenderedPageBreak/>
        <w:t>efficacy (</w:t>
      </w:r>
      <w:r w:rsidRPr="00BD33A4">
        <w:rPr>
          <w:rFonts w:asciiTheme="minorHAnsi" w:eastAsiaTheme="minorHAnsi" w:hAnsiTheme="minorHAnsi" w:cstheme="minorHAnsi"/>
          <w:snapToGrid/>
          <w:sz w:val="24"/>
          <w:szCs w:val="24"/>
        </w:rPr>
        <w:t>VE</w:t>
      </w:r>
      <w:r w:rsidR="0046177A" w:rsidRPr="00BD33A4">
        <w:rPr>
          <w:rFonts w:asciiTheme="minorHAnsi" w:eastAsiaTheme="minorHAnsi" w:hAnsiTheme="minorHAnsi" w:cstheme="minorHAnsi"/>
          <w:snapToGrid/>
          <w:sz w:val="24"/>
          <w:szCs w:val="24"/>
        </w:rPr>
        <w:t>)</w:t>
      </w:r>
      <w:r w:rsidRPr="00BD33A4">
        <w:rPr>
          <w:rFonts w:asciiTheme="minorHAnsi" w:eastAsiaTheme="minorHAnsi" w:hAnsiTheme="minorHAnsi" w:cstheme="minorHAnsi"/>
          <w:snapToGrid/>
          <w:sz w:val="24"/>
          <w:szCs w:val="24"/>
        </w:rPr>
        <w:t xml:space="preserve"> against influenza a more appropriate endpoint for determining protection provided by influenza vaccine than immunogenicity data, particularly in children aged 6 - 35 months</w:t>
      </w:r>
      <w:r w:rsidR="00BD33A4">
        <w:rPr>
          <w:rFonts w:asciiTheme="minorHAnsi" w:eastAsiaTheme="minorHAnsi" w:hAnsiTheme="minorHAnsi" w:cstheme="minorHAnsi"/>
          <w:snapToGrid/>
          <w:sz w:val="24"/>
          <w:szCs w:val="24"/>
        </w:rPr>
        <w:t xml:space="preserve">. </w:t>
      </w:r>
    </w:p>
    <w:p w:rsidR="00BB0D81" w:rsidRPr="00BD33A4" w:rsidRDefault="00801DBE" w:rsidP="005F3B0E">
      <w:pPr>
        <w:pStyle w:val="ListParagraph"/>
        <w:widowControl/>
        <w:numPr>
          <w:ilvl w:val="1"/>
          <w:numId w:val="14"/>
        </w:numPr>
        <w:spacing w:before="120" w:after="120"/>
        <w:rPr>
          <w:rFonts w:asciiTheme="minorHAnsi" w:eastAsiaTheme="minorHAnsi" w:hAnsiTheme="minorHAnsi" w:cstheme="minorBidi"/>
          <w:sz w:val="24"/>
          <w:szCs w:val="22"/>
        </w:rPr>
      </w:pPr>
      <w:r w:rsidRPr="00BD33A4">
        <w:rPr>
          <w:rFonts w:asciiTheme="minorHAnsi" w:eastAsiaTheme="minorHAnsi" w:hAnsiTheme="minorHAnsi" w:cstheme="minorBidi"/>
          <w:snapToGrid/>
          <w:sz w:val="24"/>
          <w:szCs w:val="22"/>
        </w:rPr>
        <w:t>There</w:t>
      </w:r>
      <w:r w:rsidR="00BB0D81" w:rsidRPr="00BD33A4">
        <w:rPr>
          <w:rFonts w:asciiTheme="minorHAnsi" w:eastAsiaTheme="minorHAnsi" w:hAnsiTheme="minorHAnsi" w:cstheme="minorBidi"/>
          <w:snapToGrid/>
          <w:sz w:val="24"/>
          <w:szCs w:val="22"/>
        </w:rPr>
        <w:t xml:space="preserve"> were</w:t>
      </w:r>
      <w:r w:rsidRPr="00BD33A4">
        <w:rPr>
          <w:rFonts w:asciiTheme="minorHAnsi" w:eastAsiaTheme="minorHAnsi" w:hAnsiTheme="minorHAnsi" w:cstheme="minorBidi"/>
          <w:snapToGrid/>
          <w:sz w:val="24"/>
          <w:szCs w:val="22"/>
        </w:rPr>
        <w:t xml:space="preserve"> </w:t>
      </w:r>
      <w:proofErr w:type="gramStart"/>
      <w:r w:rsidRPr="00BD33A4">
        <w:rPr>
          <w:rFonts w:asciiTheme="minorHAnsi" w:eastAsiaTheme="minorHAnsi" w:hAnsiTheme="minorHAnsi" w:cstheme="minorBidi"/>
          <w:snapToGrid/>
          <w:sz w:val="24"/>
          <w:szCs w:val="22"/>
        </w:rPr>
        <w:t>no indirect</w:t>
      </w:r>
      <w:proofErr w:type="gramEnd"/>
      <w:r w:rsidRPr="00BD33A4">
        <w:rPr>
          <w:rFonts w:asciiTheme="minorHAnsi" w:eastAsiaTheme="minorHAnsi" w:hAnsiTheme="minorHAnsi" w:cstheme="minorBidi"/>
          <w:snapToGrid/>
          <w:sz w:val="24"/>
          <w:szCs w:val="22"/>
        </w:rPr>
        <w:t xml:space="preserve"> comparisons of vaccine efficacy between </w:t>
      </w: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and </w:t>
      </w:r>
      <w:proofErr w:type="spellStart"/>
      <w:r w:rsidRPr="00BD33A4">
        <w:rPr>
          <w:rFonts w:asciiTheme="minorHAnsi" w:eastAsiaTheme="minorHAnsi" w:hAnsiTheme="minorHAnsi" w:cstheme="minorBidi"/>
          <w:snapToGrid/>
          <w:sz w:val="24"/>
          <w:szCs w:val="22"/>
        </w:rPr>
        <w:t>Flu</w:t>
      </w:r>
      <w:r w:rsidR="00FF4137" w:rsidRPr="00BD33A4">
        <w:rPr>
          <w:rFonts w:asciiTheme="minorHAnsi" w:eastAsiaTheme="minorHAnsi" w:hAnsiTheme="minorHAnsi" w:cstheme="minorBidi"/>
          <w:snapToGrid/>
          <w:sz w:val="24"/>
          <w:szCs w:val="22"/>
        </w:rPr>
        <w:t>Q</w:t>
      </w:r>
      <w:r w:rsidRPr="00BD33A4">
        <w:rPr>
          <w:rFonts w:asciiTheme="minorHAnsi" w:eastAsiaTheme="minorHAnsi" w:hAnsiTheme="minorHAnsi" w:cstheme="minorBidi"/>
          <w:snapToGrid/>
          <w:sz w:val="24"/>
          <w:szCs w:val="22"/>
        </w:rPr>
        <w:t>uadri</w:t>
      </w:r>
      <w:proofErr w:type="spellEnd"/>
      <w:r w:rsidRPr="00BD33A4">
        <w:rPr>
          <w:rFonts w:asciiTheme="minorHAnsi" w:eastAsiaTheme="minorHAnsi" w:hAnsiTheme="minorHAnsi" w:cstheme="minorBidi"/>
          <w:snapToGrid/>
          <w:sz w:val="24"/>
          <w:szCs w:val="22"/>
        </w:rPr>
        <w:t xml:space="preserve"> Junior given the lack of vaccine efficacy studies for </w:t>
      </w:r>
      <w:proofErr w:type="spellStart"/>
      <w:r w:rsidRPr="00BD33A4">
        <w:rPr>
          <w:rFonts w:asciiTheme="minorHAnsi" w:eastAsiaTheme="minorHAnsi" w:hAnsiTheme="minorHAnsi" w:cstheme="minorBidi"/>
          <w:snapToGrid/>
          <w:sz w:val="24"/>
          <w:szCs w:val="22"/>
        </w:rPr>
        <w:t>Flu</w:t>
      </w:r>
      <w:r w:rsidR="00FF4137" w:rsidRPr="00BD33A4">
        <w:rPr>
          <w:rFonts w:asciiTheme="minorHAnsi" w:eastAsiaTheme="minorHAnsi" w:hAnsiTheme="minorHAnsi" w:cstheme="minorBidi"/>
          <w:snapToGrid/>
          <w:sz w:val="24"/>
          <w:szCs w:val="22"/>
        </w:rPr>
        <w:t>Q</w:t>
      </w:r>
      <w:r w:rsidRPr="00BD33A4">
        <w:rPr>
          <w:rFonts w:asciiTheme="minorHAnsi" w:eastAsiaTheme="minorHAnsi" w:hAnsiTheme="minorHAnsi" w:cstheme="minorBidi"/>
          <w:snapToGrid/>
          <w:sz w:val="24"/>
          <w:szCs w:val="22"/>
        </w:rPr>
        <w:t>uadri</w:t>
      </w:r>
      <w:proofErr w:type="spellEnd"/>
      <w:r w:rsidRPr="00BD33A4">
        <w:rPr>
          <w:rFonts w:asciiTheme="minorHAnsi" w:eastAsiaTheme="minorHAnsi" w:hAnsiTheme="minorHAnsi" w:cstheme="minorBidi"/>
          <w:snapToGrid/>
          <w:sz w:val="24"/>
          <w:szCs w:val="22"/>
        </w:rPr>
        <w:t xml:space="preserve"> Junior.</w:t>
      </w:r>
      <w:r w:rsidR="00BB0D81" w:rsidRPr="00BD33A4">
        <w:rPr>
          <w:rFonts w:asciiTheme="minorHAnsi" w:eastAsiaTheme="minorHAnsi" w:hAnsiTheme="minorHAnsi" w:cstheme="minorBidi"/>
          <w:snapToGrid/>
          <w:sz w:val="24"/>
          <w:szCs w:val="22"/>
        </w:rPr>
        <w:t xml:space="preserve"> </w:t>
      </w:r>
      <w:r w:rsidR="002A41B8" w:rsidRPr="00BD33A4">
        <w:rPr>
          <w:rFonts w:asciiTheme="minorHAnsi" w:eastAsiaTheme="minorHAnsi" w:hAnsiTheme="minorHAnsi" w:cstheme="minorHAnsi"/>
          <w:snapToGrid/>
          <w:sz w:val="24"/>
          <w:szCs w:val="24"/>
        </w:rPr>
        <w:t xml:space="preserve">ATAGI </w:t>
      </w:r>
      <w:r w:rsidR="00A456AE" w:rsidRPr="00BD33A4">
        <w:rPr>
          <w:rFonts w:asciiTheme="minorHAnsi" w:eastAsiaTheme="minorHAnsi" w:hAnsiTheme="minorHAnsi" w:cstheme="minorHAnsi"/>
          <w:snapToGrid/>
          <w:sz w:val="24"/>
          <w:szCs w:val="24"/>
        </w:rPr>
        <w:t xml:space="preserve">(Pre-PBAC Submission Advice) considered “the </w:t>
      </w:r>
      <w:proofErr w:type="spellStart"/>
      <w:r w:rsidR="00A456AE" w:rsidRPr="00BD33A4">
        <w:rPr>
          <w:rFonts w:asciiTheme="minorHAnsi" w:eastAsiaTheme="minorHAnsi" w:hAnsiTheme="minorHAnsi" w:cstheme="minorHAnsi"/>
          <w:snapToGrid/>
          <w:sz w:val="24"/>
          <w:szCs w:val="24"/>
        </w:rPr>
        <w:t>Fluarix</w:t>
      </w:r>
      <w:proofErr w:type="spellEnd"/>
      <w:r w:rsidR="00A456AE" w:rsidRPr="00BD33A4">
        <w:rPr>
          <w:rFonts w:asciiTheme="minorHAnsi" w:eastAsiaTheme="minorHAnsi" w:hAnsiTheme="minorHAnsi" w:cstheme="minorHAnsi"/>
          <w:snapToGrid/>
          <w:sz w:val="24"/>
          <w:szCs w:val="24"/>
        </w:rPr>
        <w:t xml:space="preserve"> Tetra vaccine efficacy (VE) of 63.2%</w:t>
      </w:r>
      <w:r w:rsidR="00A456AE" w:rsidRPr="00BD33A4">
        <w:rPr>
          <w:rFonts w:asciiTheme="minorHAnsi" w:hAnsiTheme="minorHAnsi" w:cstheme="minorHAnsi"/>
          <w:sz w:val="24"/>
          <w:szCs w:val="24"/>
        </w:rPr>
        <w:t xml:space="preserve"> (95%CI: 51.8–72.3%) against moderate-severe influenza to be comparable to vaccine efficacy and effectiveness estimates of other TIV</w:t>
      </w:r>
      <w:r w:rsidR="00BB0D81" w:rsidRPr="00BD33A4">
        <w:rPr>
          <w:rFonts w:asciiTheme="minorHAnsi" w:hAnsiTheme="minorHAnsi" w:cstheme="minorHAnsi"/>
          <w:sz w:val="24"/>
          <w:szCs w:val="24"/>
        </w:rPr>
        <w:t>s</w:t>
      </w:r>
      <w:r w:rsidR="00A456AE" w:rsidRPr="00BD33A4">
        <w:rPr>
          <w:rFonts w:asciiTheme="minorHAnsi" w:hAnsiTheme="minorHAnsi" w:cstheme="minorHAnsi"/>
          <w:sz w:val="24"/>
          <w:szCs w:val="24"/>
        </w:rPr>
        <w:t xml:space="preserve"> and QIVs. Recognising that influenza vaccine efficacy/effectiveness can vary year to year, and </w:t>
      </w:r>
      <w:r w:rsidR="00BB0D81" w:rsidRPr="00BD33A4">
        <w:rPr>
          <w:rFonts w:asciiTheme="minorHAnsi" w:hAnsiTheme="minorHAnsi" w:cstheme="minorHAnsi"/>
          <w:sz w:val="24"/>
          <w:szCs w:val="24"/>
        </w:rPr>
        <w:t xml:space="preserve">in </w:t>
      </w:r>
      <w:r w:rsidR="00A456AE" w:rsidRPr="00BD33A4">
        <w:rPr>
          <w:rFonts w:asciiTheme="minorHAnsi" w:hAnsiTheme="minorHAnsi" w:cstheme="minorHAnsi"/>
          <w:sz w:val="24"/>
          <w:szCs w:val="24"/>
        </w:rPr>
        <w:t xml:space="preserve">the absence of a direct comparison of the vaccine efficacy/effectiveness of </w:t>
      </w:r>
      <w:proofErr w:type="spellStart"/>
      <w:r w:rsidR="00A456AE" w:rsidRPr="00BD33A4">
        <w:rPr>
          <w:rFonts w:asciiTheme="minorHAnsi" w:hAnsiTheme="minorHAnsi" w:cstheme="minorHAnsi"/>
          <w:sz w:val="24"/>
          <w:szCs w:val="24"/>
        </w:rPr>
        <w:t>FluQuadri</w:t>
      </w:r>
      <w:proofErr w:type="spellEnd"/>
      <w:r w:rsidR="00A456AE" w:rsidRPr="00BD33A4">
        <w:rPr>
          <w:rFonts w:asciiTheme="minorHAnsi" w:hAnsiTheme="minorHAnsi" w:cstheme="minorHAnsi"/>
          <w:sz w:val="24"/>
          <w:szCs w:val="24"/>
        </w:rPr>
        <w:t xml:space="preserve"> Junior to </w:t>
      </w:r>
      <w:proofErr w:type="spellStart"/>
      <w:r w:rsidR="00A456AE" w:rsidRPr="00BD33A4">
        <w:rPr>
          <w:rFonts w:asciiTheme="minorHAnsi" w:hAnsiTheme="minorHAnsi" w:cstheme="minorHAnsi"/>
          <w:sz w:val="24"/>
          <w:szCs w:val="24"/>
        </w:rPr>
        <w:t>Fluarix</w:t>
      </w:r>
      <w:proofErr w:type="spellEnd"/>
      <w:r w:rsidR="00A456AE" w:rsidRPr="00BD33A4">
        <w:rPr>
          <w:rFonts w:asciiTheme="minorHAnsi" w:hAnsiTheme="minorHAnsi" w:cstheme="minorHAnsi"/>
          <w:sz w:val="24"/>
          <w:szCs w:val="24"/>
        </w:rPr>
        <w:t xml:space="preserve"> Tetra in 6</w:t>
      </w:r>
      <w:r w:rsidR="00776199" w:rsidRPr="00BD33A4">
        <w:rPr>
          <w:rFonts w:asciiTheme="minorHAnsi" w:hAnsiTheme="minorHAnsi" w:cstheme="minorHAnsi"/>
          <w:sz w:val="24"/>
          <w:szCs w:val="24"/>
        </w:rPr>
        <w:t xml:space="preserve"> </w:t>
      </w:r>
      <w:r w:rsidR="00A456AE" w:rsidRPr="00BD33A4">
        <w:rPr>
          <w:rFonts w:asciiTheme="minorHAnsi" w:hAnsiTheme="minorHAnsi" w:cstheme="minorHAnsi"/>
          <w:sz w:val="24"/>
          <w:szCs w:val="24"/>
        </w:rPr>
        <w:t>–</w:t>
      </w:r>
      <w:r w:rsidR="00776199" w:rsidRPr="00BD33A4">
        <w:rPr>
          <w:rFonts w:asciiTheme="minorHAnsi" w:hAnsiTheme="minorHAnsi" w:cstheme="minorHAnsi"/>
          <w:sz w:val="24"/>
          <w:szCs w:val="24"/>
        </w:rPr>
        <w:t xml:space="preserve"> </w:t>
      </w:r>
      <w:r w:rsidR="00A456AE" w:rsidRPr="00BD33A4">
        <w:rPr>
          <w:rFonts w:asciiTheme="minorHAnsi" w:hAnsiTheme="minorHAnsi" w:cstheme="minorHAnsi"/>
          <w:sz w:val="24"/>
          <w:szCs w:val="24"/>
        </w:rPr>
        <w:t xml:space="preserve">35 month olds, ATAGI consider the efficacy of </w:t>
      </w:r>
      <w:proofErr w:type="spellStart"/>
      <w:r w:rsidR="00A456AE" w:rsidRPr="00BD33A4">
        <w:rPr>
          <w:rFonts w:asciiTheme="minorHAnsi" w:hAnsiTheme="minorHAnsi" w:cstheme="minorHAnsi"/>
          <w:sz w:val="24"/>
          <w:szCs w:val="24"/>
        </w:rPr>
        <w:t>Fluarix</w:t>
      </w:r>
      <w:proofErr w:type="spellEnd"/>
      <w:r w:rsidR="00A456AE" w:rsidRPr="00BD33A4">
        <w:rPr>
          <w:rFonts w:asciiTheme="minorHAnsi" w:hAnsiTheme="minorHAnsi" w:cstheme="minorHAnsi"/>
          <w:sz w:val="24"/>
          <w:szCs w:val="24"/>
        </w:rPr>
        <w:t xml:space="preserve"> Tetra likely to be equivalent to </w:t>
      </w:r>
      <w:proofErr w:type="spellStart"/>
      <w:r w:rsidR="00A456AE" w:rsidRPr="00BD33A4">
        <w:rPr>
          <w:rFonts w:asciiTheme="minorHAnsi" w:hAnsiTheme="minorHAnsi" w:cstheme="minorHAnsi"/>
          <w:sz w:val="24"/>
          <w:szCs w:val="24"/>
        </w:rPr>
        <w:t>FluQuadri</w:t>
      </w:r>
      <w:proofErr w:type="spellEnd"/>
      <w:r w:rsidR="00A456AE" w:rsidRPr="00BD33A4">
        <w:rPr>
          <w:rFonts w:asciiTheme="minorHAnsi" w:hAnsiTheme="minorHAnsi" w:cstheme="minorHAnsi"/>
          <w:sz w:val="24"/>
          <w:szCs w:val="24"/>
        </w:rPr>
        <w:t xml:space="preserve"> Junior in children aged 6–35 months.</w:t>
      </w:r>
      <w:r w:rsidR="00BB0D81" w:rsidRPr="00BD33A4">
        <w:rPr>
          <w:rFonts w:asciiTheme="minorHAnsi" w:hAnsiTheme="minorHAnsi" w:cstheme="minorHAnsi"/>
          <w:sz w:val="24"/>
          <w:szCs w:val="24"/>
        </w:rPr>
        <w:t>”</w:t>
      </w:r>
    </w:p>
    <w:p w:rsidR="002A41B8" w:rsidRPr="00BD33A4" w:rsidRDefault="003D71DC" w:rsidP="005F3B0E">
      <w:pPr>
        <w:pStyle w:val="ListParagraph"/>
        <w:widowControl/>
        <w:numPr>
          <w:ilvl w:val="1"/>
          <w:numId w:val="14"/>
        </w:numPr>
        <w:spacing w:before="120" w:after="120"/>
        <w:rPr>
          <w:rFonts w:asciiTheme="minorHAnsi" w:eastAsiaTheme="minorHAnsi" w:hAnsiTheme="minorHAnsi" w:cstheme="minorHAnsi"/>
          <w:snapToGrid/>
          <w:sz w:val="24"/>
          <w:szCs w:val="24"/>
        </w:rPr>
      </w:pPr>
      <w:r w:rsidRPr="00BD33A4">
        <w:rPr>
          <w:rFonts w:asciiTheme="minorHAnsi" w:eastAsiaTheme="minorHAnsi" w:hAnsiTheme="minorHAnsi" w:cstheme="minorHAnsi"/>
          <w:snapToGrid/>
          <w:sz w:val="24"/>
          <w:szCs w:val="24"/>
        </w:rPr>
        <w:t xml:space="preserve">ATAGI (Pre-PBAC Submission Advice) also noted evidence of priming of antibody response in young children who received </w:t>
      </w:r>
      <w:proofErr w:type="spellStart"/>
      <w:r w:rsidRPr="00BD33A4">
        <w:rPr>
          <w:rFonts w:asciiTheme="minorHAnsi" w:eastAsiaTheme="minorHAnsi" w:hAnsiTheme="minorHAnsi" w:cstheme="minorHAnsi"/>
          <w:snapToGrid/>
          <w:sz w:val="24"/>
          <w:szCs w:val="24"/>
        </w:rPr>
        <w:t>Fluarix</w:t>
      </w:r>
      <w:proofErr w:type="spellEnd"/>
      <w:r w:rsidRPr="00BD33A4">
        <w:rPr>
          <w:rFonts w:asciiTheme="minorHAnsi" w:eastAsiaTheme="minorHAnsi" w:hAnsiTheme="minorHAnsi" w:cstheme="minorHAnsi"/>
          <w:snapToGrid/>
          <w:sz w:val="24"/>
          <w:szCs w:val="24"/>
        </w:rPr>
        <w:t xml:space="preserve"> Tetra and that a</w:t>
      </w:r>
      <w:r w:rsidRPr="00BD33A4">
        <w:rPr>
          <w:rFonts w:asciiTheme="minorHAnsi" w:hAnsiTheme="minorHAnsi" w:cstheme="minorHAnsi"/>
          <w:sz w:val="24"/>
          <w:szCs w:val="24"/>
        </w:rPr>
        <w:t xml:space="preserve"> study investigating co-administration </w:t>
      </w:r>
      <w:r w:rsidR="00BB0D81" w:rsidRPr="00BD33A4">
        <w:rPr>
          <w:rFonts w:asciiTheme="minorHAnsi" w:hAnsiTheme="minorHAnsi" w:cstheme="minorHAnsi"/>
          <w:sz w:val="24"/>
          <w:szCs w:val="24"/>
        </w:rPr>
        <w:t>with</w:t>
      </w:r>
      <w:r w:rsidRPr="00BD33A4">
        <w:rPr>
          <w:rFonts w:asciiTheme="minorHAnsi" w:hAnsiTheme="minorHAnsi" w:cstheme="minorHAnsi"/>
          <w:sz w:val="24"/>
          <w:szCs w:val="24"/>
        </w:rPr>
        <w:t xml:space="preserve"> 23-valent pneumococcal polysaccharide vaccine (PPV23) in adults aged ≥50 years found the immune responses were similar for all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 strains and the six pneumococcal serotypes evaluated in PPV23</w:t>
      </w:r>
      <w:r w:rsidR="00BD33A4">
        <w:rPr>
          <w:rFonts w:asciiTheme="minorHAnsi" w:hAnsiTheme="minorHAnsi" w:cstheme="minorHAnsi"/>
          <w:sz w:val="24"/>
          <w:szCs w:val="24"/>
        </w:rPr>
        <w:t xml:space="preserve">. </w:t>
      </w:r>
    </w:p>
    <w:p w:rsidR="005A3173" w:rsidRPr="00BD33A4" w:rsidRDefault="005A3173" w:rsidP="005F3B0E">
      <w:pPr>
        <w:pStyle w:val="Heading2"/>
        <w:keepLines/>
        <w:spacing w:before="120" w:after="120"/>
        <w:rPr>
          <w:rFonts w:asciiTheme="minorHAnsi" w:eastAsiaTheme="majorEastAsia" w:hAnsiTheme="minorHAnsi" w:cstheme="majorBidi"/>
          <w:sz w:val="28"/>
          <w:szCs w:val="28"/>
          <w:lang w:eastAsia="en-US"/>
        </w:rPr>
      </w:pPr>
      <w:r w:rsidRPr="00BD33A4">
        <w:rPr>
          <w:rFonts w:asciiTheme="minorHAnsi" w:eastAsiaTheme="majorEastAsia" w:hAnsiTheme="minorHAnsi" w:cstheme="majorBidi"/>
          <w:sz w:val="28"/>
          <w:szCs w:val="28"/>
          <w:lang w:eastAsia="en-US"/>
        </w:rPr>
        <w:t>Comparative harms</w:t>
      </w:r>
    </w:p>
    <w:p w:rsidR="003A7657" w:rsidRPr="00BD33A4" w:rsidRDefault="003A7657" w:rsidP="005F3B0E">
      <w:pPr>
        <w:pStyle w:val="ListParagraph"/>
        <w:widowControl/>
        <w:numPr>
          <w:ilvl w:val="1"/>
          <w:numId w:val="14"/>
        </w:numPr>
        <w:spacing w:before="120" w:after="120"/>
        <w:rPr>
          <w:rFonts w:asciiTheme="minorHAnsi" w:eastAsiaTheme="minorHAnsi" w:hAnsiTheme="minorHAnsi" w:cstheme="minorHAnsi"/>
          <w:snapToGrid/>
          <w:sz w:val="24"/>
          <w:szCs w:val="24"/>
        </w:rPr>
      </w:pPr>
      <w:r w:rsidRPr="00BD33A4">
        <w:rPr>
          <w:rFonts w:asciiTheme="minorHAnsi" w:eastAsiaTheme="minorHAnsi" w:hAnsiTheme="minorHAnsi" w:cstheme="minorHAnsi"/>
          <w:snapToGrid/>
          <w:sz w:val="24"/>
          <w:szCs w:val="24"/>
        </w:rPr>
        <w:t>In its December 2018 Pre-PBAC Submission Advice, ATAGI stated:</w:t>
      </w:r>
    </w:p>
    <w:p w:rsidR="006B3B70" w:rsidRPr="00BD33A4" w:rsidRDefault="003A7657" w:rsidP="005F3B0E">
      <w:pPr>
        <w:pStyle w:val="ListParagraph"/>
        <w:widowControl/>
        <w:numPr>
          <w:ilvl w:val="0"/>
          <w:numId w:val="20"/>
        </w:numPr>
        <w:spacing w:before="120" w:after="120"/>
        <w:rPr>
          <w:rFonts w:asciiTheme="minorHAnsi" w:hAnsiTheme="minorHAnsi" w:cstheme="minorHAnsi"/>
          <w:sz w:val="24"/>
          <w:szCs w:val="24"/>
        </w:rPr>
      </w:pPr>
      <w:r w:rsidRPr="00BD33A4">
        <w:rPr>
          <w:rFonts w:asciiTheme="minorHAnsi" w:hAnsiTheme="minorHAnsi" w:cstheme="minorHAnsi"/>
          <w:sz w:val="24"/>
          <w:szCs w:val="24"/>
        </w:rPr>
        <w:t xml:space="preserve">‘ATAGI does not have specific concerns regarding the safety of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 for use in children aged 6–35 months under the NIP; however, ATAGI considers ongoing surveillance of adverse events following immunisation to be essential.’ (p4)</w:t>
      </w:r>
      <w:r w:rsidR="00BD33A4">
        <w:rPr>
          <w:rFonts w:asciiTheme="minorHAnsi" w:hAnsiTheme="minorHAnsi" w:cstheme="minorHAnsi"/>
          <w:sz w:val="24"/>
          <w:szCs w:val="24"/>
        </w:rPr>
        <w:t xml:space="preserve">. </w:t>
      </w:r>
      <w:r w:rsidR="00776199" w:rsidRPr="00BD33A4">
        <w:rPr>
          <w:rFonts w:asciiTheme="minorHAnsi" w:hAnsiTheme="minorHAnsi" w:cstheme="minorHAnsi"/>
          <w:sz w:val="24"/>
          <w:szCs w:val="24"/>
        </w:rPr>
        <w:t>ATAGI specified this to include</w:t>
      </w:r>
      <w:r w:rsidR="00BB01F4" w:rsidRPr="00BD33A4">
        <w:rPr>
          <w:rFonts w:asciiTheme="minorHAnsi" w:hAnsiTheme="minorHAnsi" w:cstheme="minorHAnsi"/>
          <w:sz w:val="24"/>
          <w:szCs w:val="24"/>
        </w:rPr>
        <w:t xml:space="preserve"> spontaneous reporting to the Therapeutic Goods Administration (TGA) and active surveillance via </w:t>
      </w:r>
      <w:proofErr w:type="spellStart"/>
      <w:r w:rsidR="00BB01F4" w:rsidRPr="00BD33A4">
        <w:rPr>
          <w:rFonts w:asciiTheme="minorHAnsi" w:hAnsiTheme="minorHAnsi" w:cstheme="minorHAnsi"/>
          <w:sz w:val="24"/>
          <w:szCs w:val="24"/>
        </w:rPr>
        <w:t>AusVaxSafety</w:t>
      </w:r>
      <w:proofErr w:type="spellEnd"/>
      <w:r w:rsidR="00BD33A4">
        <w:rPr>
          <w:rFonts w:asciiTheme="minorHAnsi" w:hAnsiTheme="minorHAnsi" w:cstheme="minorHAnsi"/>
          <w:sz w:val="24"/>
          <w:szCs w:val="24"/>
        </w:rPr>
        <w:t xml:space="preserve">. </w:t>
      </w:r>
      <w:r w:rsidR="006B3B70" w:rsidRPr="00BD33A4">
        <w:rPr>
          <w:rFonts w:asciiTheme="minorHAnsi" w:hAnsiTheme="minorHAnsi" w:cstheme="minorHAnsi"/>
          <w:sz w:val="24"/>
          <w:szCs w:val="24"/>
        </w:rPr>
        <w:t>ATAGI provided additional advice regarding surveillance activities more broadly (</w:t>
      </w:r>
      <w:r w:rsidR="007F6CE8" w:rsidRPr="00BD33A4">
        <w:rPr>
          <w:rFonts w:asciiTheme="minorHAnsi" w:hAnsiTheme="minorHAnsi" w:cstheme="minorHAnsi"/>
          <w:sz w:val="24"/>
          <w:szCs w:val="24"/>
        </w:rPr>
        <w:t>p</w:t>
      </w:r>
      <w:r w:rsidR="006B3B70" w:rsidRPr="00BD33A4">
        <w:rPr>
          <w:rFonts w:asciiTheme="minorHAnsi" w:hAnsiTheme="minorHAnsi" w:cstheme="minorHAnsi"/>
          <w:sz w:val="24"/>
          <w:szCs w:val="24"/>
        </w:rPr>
        <w:t>6).</w:t>
      </w:r>
    </w:p>
    <w:p w:rsidR="003A7657" w:rsidRPr="00BD33A4" w:rsidRDefault="006B3B70" w:rsidP="005F3B0E">
      <w:pPr>
        <w:pStyle w:val="ListParagraph"/>
        <w:widowControl/>
        <w:numPr>
          <w:ilvl w:val="0"/>
          <w:numId w:val="20"/>
        </w:numPr>
        <w:spacing w:before="120" w:after="120"/>
        <w:rPr>
          <w:rFonts w:asciiTheme="minorHAnsi" w:hAnsiTheme="minorHAnsi" w:cstheme="minorHAnsi"/>
          <w:sz w:val="24"/>
          <w:szCs w:val="24"/>
        </w:rPr>
      </w:pPr>
      <w:r w:rsidRPr="00BD33A4" w:rsidDel="006B3B70">
        <w:rPr>
          <w:rFonts w:asciiTheme="minorHAnsi" w:hAnsiTheme="minorHAnsi" w:cstheme="minorHAnsi"/>
          <w:sz w:val="24"/>
          <w:szCs w:val="24"/>
        </w:rPr>
        <w:t xml:space="preserve"> </w:t>
      </w:r>
      <w:proofErr w:type="gramStart"/>
      <w:r w:rsidR="003A7657" w:rsidRPr="00BD33A4">
        <w:rPr>
          <w:rFonts w:asciiTheme="minorHAnsi" w:hAnsiTheme="minorHAnsi" w:cstheme="minorHAnsi"/>
          <w:sz w:val="24"/>
          <w:szCs w:val="24"/>
        </w:rPr>
        <w:t xml:space="preserve">‘ATAGI </w:t>
      </w:r>
      <w:r w:rsidR="00776199" w:rsidRPr="00BD33A4">
        <w:rPr>
          <w:rFonts w:asciiTheme="minorHAnsi" w:hAnsiTheme="minorHAnsi" w:cstheme="minorHAnsi"/>
          <w:sz w:val="24"/>
          <w:szCs w:val="24"/>
        </w:rPr>
        <w:t>also “</w:t>
      </w:r>
      <w:r w:rsidR="003A7657" w:rsidRPr="00BD33A4">
        <w:rPr>
          <w:rFonts w:asciiTheme="minorHAnsi" w:hAnsiTheme="minorHAnsi" w:cstheme="minorHAnsi"/>
          <w:sz w:val="24"/>
          <w:szCs w:val="24"/>
        </w:rPr>
        <w:t xml:space="preserve">recognises that if listed under the NIP for children aged 6–35 months, clear communication with and education of general practitioners and other immunisation providers will be required to minimise the possibility of </w:t>
      </w:r>
      <w:proofErr w:type="spellStart"/>
      <w:r w:rsidR="003A7657" w:rsidRPr="00BD33A4">
        <w:rPr>
          <w:rFonts w:asciiTheme="minorHAnsi" w:hAnsiTheme="minorHAnsi" w:cstheme="minorHAnsi"/>
          <w:sz w:val="24"/>
          <w:szCs w:val="24"/>
        </w:rPr>
        <w:t>i</w:t>
      </w:r>
      <w:proofErr w:type="spellEnd"/>
      <w:r w:rsidR="003A7657" w:rsidRPr="00BD33A4">
        <w:rPr>
          <w:rFonts w:asciiTheme="minorHAnsi" w:hAnsiTheme="minorHAnsi" w:cstheme="minorHAnsi"/>
          <w:sz w:val="24"/>
          <w:szCs w:val="24"/>
        </w:rPr>
        <w:t>) half doses being given to young children and ii) other influenza vaccines recommended for older age groups being inadvertently administered to children aged &lt;5 years.’</w:t>
      </w:r>
      <w:proofErr w:type="gramEnd"/>
      <w:r w:rsidR="000A4B14" w:rsidRPr="00BD33A4">
        <w:rPr>
          <w:rFonts w:asciiTheme="minorHAnsi" w:hAnsiTheme="minorHAnsi" w:cstheme="minorHAnsi"/>
          <w:sz w:val="24"/>
          <w:szCs w:val="24"/>
        </w:rPr>
        <w:t xml:space="preserve"> </w:t>
      </w:r>
      <w:r w:rsidR="003A7657" w:rsidRPr="00BD33A4">
        <w:rPr>
          <w:rFonts w:asciiTheme="minorHAnsi" w:hAnsiTheme="minorHAnsi" w:cstheme="minorHAnsi"/>
          <w:sz w:val="24"/>
          <w:szCs w:val="24"/>
        </w:rPr>
        <w:t>(</w:t>
      </w:r>
      <w:r w:rsidR="000A4B14" w:rsidRPr="00BD33A4">
        <w:rPr>
          <w:rFonts w:asciiTheme="minorHAnsi" w:hAnsiTheme="minorHAnsi" w:cstheme="minorHAnsi"/>
          <w:sz w:val="24"/>
          <w:szCs w:val="24"/>
        </w:rPr>
        <w:t>ATAGI Pre-PBAC Submission advice</w:t>
      </w:r>
      <w:r w:rsidR="003A7657" w:rsidRPr="00BD33A4">
        <w:rPr>
          <w:rFonts w:asciiTheme="minorHAnsi" w:hAnsiTheme="minorHAnsi" w:cstheme="minorHAnsi"/>
          <w:sz w:val="24"/>
          <w:szCs w:val="24"/>
        </w:rPr>
        <w:t>)</w:t>
      </w:r>
      <w:r w:rsidR="000A4B14" w:rsidRPr="00BD33A4">
        <w:rPr>
          <w:rFonts w:asciiTheme="minorHAnsi" w:hAnsiTheme="minorHAnsi" w:cstheme="minorHAnsi"/>
          <w:sz w:val="24"/>
          <w:szCs w:val="24"/>
        </w:rPr>
        <w:t>.</w:t>
      </w:r>
    </w:p>
    <w:p w:rsidR="005A790A" w:rsidRPr="00BD33A4" w:rsidRDefault="00BB01F4" w:rsidP="005F3B0E">
      <w:pPr>
        <w:pStyle w:val="ListParagraph"/>
        <w:widowControl/>
        <w:numPr>
          <w:ilvl w:val="1"/>
          <w:numId w:val="14"/>
        </w:numPr>
        <w:spacing w:before="120" w:after="120"/>
        <w:rPr>
          <w:rFonts w:asciiTheme="minorHAnsi" w:hAnsiTheme="minorHAnsi" w:cstheme="minorHAnsi"/>
          <w:sz w:val="24"/>
          <w:szCs w:val="24"/>
        </w:rPr>
      </w:pPr>
      <w:r w:rsidRPr="00BD33A4">
        <w:rPr>
          <w:rFonts w:asciiTheme="minorHAnsi" w:hAnsiTheme="minorHAnsi" w:cstheme="minorHAnsi"/>
          <w:sz w:val="24"/>
          <w:szCs w:val="24"/>
        </w:rPr>
        <w:t>ATAGI (Pre-PBAC Submission Advice) note</w:t>
      </w:r>
      <w:r w:rsidR="0046177A" w:rsidRPr="00BD33A4">
        <w:rPr>
          <w:rFonts w:asciiTheme="minorHAnsi" w:hAnsiTheme="minorHAnsi" w:cstheme="minorHAnsi"/>
          <w:sz w:val="24"/>
          <w:szCs w:val="24"/>
        </w:rPr>
        <w:t>d</w:t>
      </w:r>
      <w:r w:rsidRPr="00BD33A4">
        <w:rPr>
          <w:rFonts w:asciiTheme="minorHAnsi" w:hAnsiTheme="minorHAnsi" w:cstheme="minorHAnsi"/>
          <w:sz w:val="24"/>
          <w:szCs w:val="24"/>
        </w:rPr>
        <w:t xml:space="preserve"> a lack of available data on concomitant use of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 with other vaccines in this age cohort, however note</w:t>
      </w:r>
      <w:r w:rsidR="0046177A" w:rsidRPr="00BD33A4">
        <w:rPr>
          <w:rFonts w:asciiTheme="minorHAnsi" w:hAnsiTheme="minorHAnsi" w:cstheme="minorHAnsi"/>
          <w:sz w:val="24"/>
          <w:szCs w:val="24"/>
        </w:rPr>
        <w:t>d</w:t>
      </w:r>
      <w:r w:rsidR="0004170F" w:rsidRPr="00BD33A4">
        <w:rPr>
          <w:rFonts w:asciiTheme="minorHAnsi" w:hAnsiTheme="minorHAnsi" w:cstheme="minorHAnsi"/>
          <w:sz w:val="24"/>
          <w:szCs w:val="24"/>
        </w:rPr>
        <w:t xml:space="preserve"> </w:t>
      </w:r>
      <w:r w:rsidRPr="00BD33A4">
        <w:rPr>
          <w:rFonts w:asciiTheme="minorHAnsi" w:hAnsiTheme="minorHAnsi" w:cstheme="minorHAnsi"/>
          <w:sz w:val="24"/>
          <w:szCs w:val="24"/>
        </w:rPr>
        <w:t xml:space="preserve">that a study in adults aged 50 years and over found similar safety and </w:t>
      </w:r>
      <w:proofErr w:type="spellStart"/>
      <w:r w:rsidRPr="00BD33A4">
        <w:rPr>
          <w:rFonts w:asciiTheme="minorHAnsi" w:hAnsiTheme="minorHAnsi" w:cstheme="minorHAnsi"/>
          <w:sz w:val="24"/>
          <w:szCs w:val="24"/>
        </w:rPr>
        <w:t>reactogen</w:t>
      </w:r>
      <w:r w:rsidR="006B3B70" w:rsidRPr="00BD33A4">
        <w:rPr>
          <w:rFonts w:asciiTheme="minorHAnsi" w:hAnsiTheme="minorHAnsi" w:cstheme="minorHAnsi"/>
          <w:sz w:val="24"/>
          <w:szCs w:val="24"/>
        </w:rPr>
        <w:t>c</w:t>
      </w:r>
      <w:r w:rsidRPr="00BD33A4">
        <w:rPr>
          <w:rFonts w:asciiTheme="minorHAnsi" w:hAnsiTheme="minorHAnsi" w:cstheme="minorHAnsi"/>
          <w:sz w:val="24"/>
          <w:szCs w:val="24"/>
        </w:rPr>
        <w:t>tity</w:t>
      </w:r>
      <w:proofErr w:type="spellEnd"/>
      <w:r w:rsidRPr="00BD33A4">
        <w:rPr>
          <w:rFonts w:asciiTheme="minorHAnsi" w:hAnsiTheme="minorHAnsi" w:cstheme="minorHAnsi"/>
          <w:sz w:val="24"/>
          <w:szCs w:val="24"/>
        </w:rPr>
        <w:t xml:space="preserve"> among groups receiving concomitant and non-</w:t>
      </w:r>
      <w:r w:rsidR="00BB0D81" w:rsidRPr="00BD33A4">
        <w:rPr>
          <w:rFonts w:asciiTheme="minorHAnsi" w:hAnsiTheme="minorHAnsi" w:cstheme="minorHAnsi"/>
          <w:sz w:val="24"/>
          <w:szCs w:val="24"/>
        </w:rPr>
        <w:t>concomitant</w:t>
      </w:r>
      <w:r w:rsidRPr="00BD33A4">
        <w:rPr>
          <w:rFonts w:asciiTheme="minorHAnsi" w:hAnsiTheme="minorHAnsi" w:cstheme="minorHAnsi"/>
          <w:sz w:val="24"/>
          <w:szCs w:val="24"/>
        </w:rPr>
        <w:t xml:space="preserve"> doses of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w:t>
      </w:r>
      <w:r w:rsidR="00BD33A4">
        <w:rPr>
          <w:rFonts w:asciiTheme="minorHAnsi" w:hAnsiTheme="minorHAnsi" w:cstheme="minorHAnsi"/>
          <w:sz w:val="24"/>
          <w:szCs w:val="24"/>
        </w:rPr>
        <w:t xml:space="preserve">. </w:t>
      </w:r>
      <w:r w:rsidR="00F12B10" w:rsidRPr="00BD33A4">
        <w:rPr>
          <w:rFonts w:asciiTheme="minorHAnsi" w:hAnsiTheme="minorHAnsi" w:cstheme="minorHAnsi"/>
          <w:sz w:val="24"/>
          <w:szCs w:val="24"/>
        </w:rPr>
        <w:t xml:space="preserve">The Pre-PBAC Response acknowledged the lack of available data and noted ATAGI’s advice that it did not have substantial concerns re co-administration. </w:t>
      </w:r>
    </w:p>
    <w:p w:rsidR="00BB01F4" w:rsidRPr="00BD33A4" w:rsidRDefault="00BB01F4" w:rsidP="005F3B0E">
      <w:pPr>
        <w:pStyle w:val="ListParagraph"/>
        <w:widowControl/>
        <w:numPr>
          <w:ilvl w:val="1"/>
          <w:numId w:val="14"/>
        </w:numPr>
        <w:spacing w:before="120" w:after="120"/>
        <w:rPr>
          <w:rFonts w:asciiTheme="minorHAnsi" w:hAnsiTheme="minorHAnsi" w:cstheme="minorHAnsi"/>
          <w:sz w:val="24"/>
          <w:szCs w:val="24"/>
        </w:rPr>
      </w:pPr>
      <w:r w:rsidRPr="00BD33A4">
        <w:rPr>
          <w:rFonts w:asciiTheme="minorHAnsi" w:hAnsiTheme="minorHAnsi" w:cstheme="minorHAnsi"/>
          <w:sz w:val="24"/>
          <w:szCs w:val="24"/>
        </w:rPr>
        <w:lastRenderedPageBreak/>
        <w:t xml:space="preserve">ATAGI </w:t>
      </w:r>
      <w:r w:rsidR="006B3B70" w:rsidRPr="00BD33A4">
        <w:rPr>
          <w:rFonts w:asciiTheme="minorHAnsi" w:hAnsiTheme="minorHAnsi" w:cstheme="minorHAnsi"/>
          <w:sz w:val="24"/>
          <w:szCs w:val="24"/>
        </w:rPr>
        <w:t xml:space="preserve">(Pre-PBAC submission advice) </w:t>
      </w:r>
      <w:r w:rsidR="0046177A" w:rsidRPr="00BD33A4">
        <w:rPr>
          <w:rFonts w:asciiTheme="minorHAnsi" w:hAnsiTheme="minorHAnsi" w:cstheme="minorHAnsi"/>
          <w:sz w:val="24"/>
          <w:szCs w:val="24"/>
        </w:rPr>
        <w:t xml:space="preserve">also </w:t>
      </w:r>
      <w:r w:rsidRPr="00BD33A4">
        <w:rPr>
          <w:rFonts w:asciiTheme="minorHAnsi" w:hAnsiTheme="minorHAnsi" w:cstheme="minorHAnsi"/>
          <w:sz w:val="24"/>
          <w:szCs w:val="24"/>
        </w:rPr>
        <w:t>no</w:t>
      </w:r>
      <w:r w:rsidR="005A790A" w:rsidRPr="00BD33A4">
        <w:rPr>
          <w:rFonts w:asciiTheme="minorHAnsi" w:hAnsiTheme="minorHAnsi" w:cstheme="minorHAnsi"/>
          <w:sz w:val="24"/>
          <w:szCs w:val="24"/>
        </w:rPr>
        <w:t>t</w:t>
      </w:r>
      <w:r w:rsidRPr="00BD33A4">
        <w:rPr>
          <w:rFonts w:asciiTheme="minorHAnsi" w:hAnsiTheme="minorHAnsi" w:cstheme="minorHAnsi"/>
          <w:sz w:val="24"/>
          <w:szCs w:val="24"/>
        </w:rPr>
        <w:t xml:space="preserve">ed and agreed with the </w:t>
      </w:r>
      <w:r w:rsidR="00811C6C">
        <w:rPr>
          <w:rFonts w:asciiTheme="minorHAnsi" w:hAnsiTheme="minorHAnsi" w:cstheme="minorHAnsi"/>
          <w:sz w:val="24"/>
          <w:szCs w:val="24"/>
        </w:rPr>
        <w:t xml:space="preserve">safety profile of the </w:t>
      </w:r>
      <w:r w:rsidRPr="00BD33A4">
        <w:rPr>
          <w:rFonts w:asciiTheme="minorHAnsi" w:hAnsiTheme="minorHAnsi" w:cstheme="minorHAnsi"/>
          <w:sz w:val="24"/>
          <w:szCs w:val="24"/>
        </w:rPr>
        <w:t>TGA Clinical Evaluation Report</w:t>
      </w:r>
      <w:r w:rsidR="006B3B70" w:rsidRPr="00BD33A4">
        <w:rPr>
          <w:rFonts w:asciiTheme="minorHAnsi" w:hAnsiTheme="minorHAnsi" w:cstheme="minorHAnsi"/>
          <w:sz w:val="24"/>
          <w:szCs w:val="24"/>
        </w:rPr>
        <w:t xml:space="preserve"> (provided by GSK to ATAGI in confidence</w:t>
      </w:r>
      <w:r w:rsidR="00BD33A4">
        <w:rPr>
          <w:rFonts w:asciiTheme="minorHAnsi" w:hAnsiTheme="minorHAnsi" w:cstheme="minorHAnsi"/>
          <w:sz w:val="24"/>
          <w:szCs w:val="24"/>
        </w:rPr>
        <w:t>)</w:t>
      </w:r>
      <w:r w:rsidRPr="00BD33A4">
        <w:rPr>
          <w:rFonts w:asciiTheme="minorHAnsi" w:hAnsiTheme="minorHAnsi" w:cstheme="minorHAnsi"/>
          <w:sz w:val="24"/>
          <w:szCs w:val="24"/>
        </w:rPr>
        <w:t xml:space="preserve">, that </w:t>
      </w:r>
      <w:r w:rsidR="00811C6C">
        <w:rPr>
          <w:rFonts w:asciiTheme="minorHAnsi" w:hAnsiTheme="minorHAnsi" w:cstheme="minorHAnsi"/>
          <w:sz w:val="24"/>
          <w:szCs w:val="24"/>
        </w:rPr>
        <w:t xml:space="preserve">supported TGA approval of the change in age indication for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w:t>
      </w:r>
      <w:r w:rsidR="00811C6C">
        <w:rPr>
          <w:rFonts w:asciiTheme="minorHAnsi" w:hAnsiTheme="minorHAnsi" w:cstheme="minorHAnsi"/>
          <w:sz w:val="24"/>
          <w:szCs w:val="24"/>
        </w:rPr>
        <w:t>.</w:t>
      </w:r>
      <w:r w:rsidR="00BD33A4">
        <w:rPr>
          <w:rFonts w:asciiTheme="minorHAnsi" w:hAnsiTheme="minorHAnsi" w:cstheme="minorHAnsi"/>
          <w:sz w:val="24"/>
          <w:szCs w:val="24"/>
        </w:rPr>
        <w:t xml:space="preserve"> </w:t>
      </w:r>
    </w:p>
    <w:p w:rsidR="005A790A" w:rsidRPr="00BD33A4" w:rsidRDefault="005A790A" w:rsidP="005F3B0E">
      <w:pPr>
        <w:pStyle w:val="ListParagraph"/>
        <w:widowControl/>
        <w:numPr>
          <w:ilvl w:val="1"/>
          <w:numId w:val="14"/>
        </w:numPr>
        <w:spacing w:before="120" w:after="120"/>
        <w:rPr>
          <w:rFonts w:asciiTheme="minorHAnsi" w:hAnsiTheme="minorHAnsi" w:cstheme="minorHAnsi"/>
          <w:sz w:val="24"/>
          <w:szCs w:val="24"/>
        </w:rPr>
      </w:pPr>
      <w:r w:rsidRPr="00BD33A4">
        <w:rPr>
          <w:rFonts w:asciiTheme="minorHAnsi" w:hAnsiTheme="minorHAnsi" w:cstheme="minorHAnsi"/>
          <w:sz w:val="24"/>
          <w:szCs w:val="24"/>
        </w:rPr>
        <w:t xml:space="preserve">ATAGI </w:t>
      </w:r>
      <w:r w:rsidR="00D617E1" w:rsidRPr="00BD33A4">
        <w:rPr>
          <w:rFonts w:asciiTheme="minorHAnsi" w:hAnsiTheme="minorHAnsi" w:cstheme="minorHAnsi"/>
          <w:sz w:val="24"/>
          <w:szCs w:val="24"/>
        </w:rPr>
        <w:t xml:space="preserve">(Pre-PBAC Submission Advice) </w:t>
      </w:r>
      <w:r w:rsidRPr="00BD33A4">
        <w:rPr>
          <w:rFonts w:asciiTheme="minorHAnsi" w:hAnsiTheme="minorHAnsi" w:cstheme="minorHAnsi"/>
          <w:sz w:val="24"/>
          <w:szCs w:val="24"/>
        </w:rPr>
        <w:t>noted that</w:t>
      </w:r>
      <w:r w:rsidRPr="00BD33A4">
        <w:rPr>
          <w:rFonts w:asciiTheme="minorHAnsi" w:hAnsiTheme="minorHAnsi" w:cstheme="minorHAnsi"/>
        </w:rPr>
        <w:t xml:space="preserve"> </w:t>
      </w:r>
      <w:r w:rsidR="00D617E1" w:rsidRPr="00BD33A4">
        <w:rPr>
          <w:rFonts w:asciiTheme="minorHAnsi" w:hAnsiTheme="minorHAnsi" w:cstheme="minorHAnsi"/>
          <w:sz w:val="24"/>
          <w:szCs w:val="24"/>
        </w:rPr>
        <w:t>a</w:t>
      </w:r>
      <w:r w:rsidRPr="00BD33A4">
        <w:rPr>
          <w:rFonts w:asciiTheme="minorHAnsi" w:hAnsiTheme="minorHAnsi" w:cstheme="minorHAnsi"/>
          <w:sz w:val="24"/>
          <w:szCs w:val="24"/>
        </w:rPr>
        <w:t xml:space="preserve">s the studies assessing safety did not specifically include children with risk factors for severe or complicated influenza, </w:t>
      </w:r>
      <w:r w:rsidR="00D617E1" w:rsidRPr="00BD33A4">
        <w:rPr>
          <w:rFonts w:asciiTheme="minorHAnsi" w:hAnsiTheme="minorHAnsi" w:cstheme="minorHAnsi"/>
          <w:sz w:val="24"/>
          <w:szCs w:val="24"/>
        </w:rPr>
        <w:t>“</w:t>
      </w:r>
      <w:r w:rsidRPr="00BD33A4">
        <w:rPr>
          <w:rFonts w:asciiTheme="minorHAnsi" w:hAnsiTheme="minorHAnsi" w:cstheme="minorHAnsi"/>
          <w:sz w:val="24"/>
          <w:szCs w:val="24"/>
        </w:rPr>
        <w:t xml:space="preserve">it is uncertain whether the risk of AE following immunisation, such as fever and febrile seizures, would be higher among children with underlying medical conditions, such as epilepsy, than observed in the study populations. However, the comparability of the safety profile with other vaccines does not indicate greater risk associated with </w:t>
      </w:r>
      <w:proofErr w:type="spellStart"/>
      <w:r w:rsidRPr="00BD33A4">
        <w:rPr>
          <w:rFonts w:asciiTheme="minorHAnsi" w:hAnsiTheme="minorHAnsi" w:cstheme="minorHAnsi"/>
          <w:sz w:val="24"/>
          <w:szCs w:val="24"/>
        </w:rPr>
        <w:t>Fluarix</w:t>
      </w:r>
      <w:proofErr w:type="spellEnd"/>
      <w:r w:rsidRPr="00BD33A4">
        <w:rPr>
          <w:rFonts w:asciiTheme="minorHAnsi" w:hAnsiTheme="minorHAnsi" w:cstheme="minorHAnsi"/>
          <w:sz w:val="24"/>
          <w:szCs w:val="24"/>
        </w:rPr>
        <w:t xml:space="preserve"> Tetra than currently available influenza vaccines</w:t>
      </w:r>
      <w:r w:rsidR="00D617E1" w:rsidRPr="00BD33A4">
        <w:rPr>
          <w:rFonts w:asciiTheme="minorHAnsi" w:hAnsiTheme="minorHAnsi" w:cstheme="minorHAnsi"/>
          <w:sz w:val="24"/>
          <w:szCs w:val="24"/>
        </w:rPr>
        <w:t>.”</w:t>
      </w:r>
    </w:p>
    <w:p w:rsidR="003C2FB5" w:rsidRPr="00BD33A4" w:rsidRDefault="005A3173" w:rsidP="005F3B0E">
      <w:pPr>
        <w:pStyle w:val="Heading2"/>
        <w:keepLines/>
        <w:spacing w:before="120" w:after="120"/>
        <w:rPr>
          <w:rFonts w:asciiTheme="minorHAnsi" w:eastAsiaTheme="majorEastAsia" w:hAnsiTheme="minorHAnsi" w:cstheme="majorBidi"/>
          <w:sz w:val="28"/>
          <w:szCs w:val="28"/>
          <w:lang w:eastAsia="en-US"/>
        </w:rPr>
      </w:pPr>
      <w:r w:rsidRPr="00BD33A4">
        <w:rPr>
          <w:rFonts w:asciiTheme="minorHAnsi" w:eastAsiaTheme="majorEastAsia" w:hAnsiTheme="minorHAnsi" w:cstheme="majorBidi"/>
          <w:sz w:val="28"/>
          <w:szCs w:val="28"/>
          <w:lang w:eastAsia="en-US"/>
        </w:rPr>
        <w:t>Clinical claim</w:t>
      </w:r>
    </w:p>
    <w:p w:rsidR="003A7657" w:rsidRPr="00BD33A4" w:rsidRDefault="003A7657" w:rsidP="005F3B0E">
      <w:pPr>
        <w:pStyle w:val="ListParagraph"/>
        <w:widowControl/>
        <w:numPr>
          <w:ilvl w:val="1"/>
          <w:numId w:val="14"/>
        </w:numPr>
        <w:spacing w:before="120" w:after="120"/>
        <w:rPr>
          <w:rFonts w:asciiTheme="minorHAnsi" w:eastAsiaTheme="minorHAnsi" w:hAnsiTheme="minorHAnsi" w:cstheme="minorBidi"/>
          <w:snapToGrid/>
          <w:color w:val="000000" w:themeColor="text1"/>
          <w:sz w:val="24"/>
          <w:szCs w:val="22"/>
        </w:rPr>
      </w:pPr>
      <w:r w:rsidRPr="00BD33A4">
        <w:rPr>
          <w:rFonts w:asciiTheme="minorHAnsi" w:eastAsiaTheme="minorHAnsi" w:hAnsiTheme="minorHAnsi" w:cstheme="minorBidi"/>
          <w:snapToGrid/>
          <w:color w:val="000000" w:themeColor="text1"/>
          <w:sz w:val="24"/>
          <w:szCs w:val="22"/>
        </w:rPr>
        <w:t>Th</w:t>
      </w:r>
      <w:r w:rsidR="002A41B8" w:rsidRPr="00BD33A4">
        <w:rPr>
          <w:rFonts w:asciiTheme="minorHAnsi" w:eastAsiaTheme="minorHAnsi" w:hAnsiTheme="minorHAnsi" w:cstheme="minorBidi"/>
          <w:snapToGrid/>
          <w:color w:val="000000" w:themeColor="text1"/>
          <w:sz w:val="24"/>
          <w:szCs w:val="22"/>
        </w:rPr>
        <w:t>e</w:t>
      </w:r>
      <w:r w:rsidRPr="00BD33A4">
        <w:rPr>
          <w:rFonts w:asciiTheme="minorHAnsi" w:eastAsiaTheme="minorHAnsi" w:hAnsiTheme="minorHAnsi" w:cstheme="minorBidi"/>
          <w:snapToGrid/>
          <w:color w:val="000000" w:themeColor="text1"/>
          <w:sz w:val="24"/>
          <w:szCs w:val="22"/>
        </w:rPr>
        <w:t xml:space="preserve"> submission claim</w:t>
      </w:r>
      <w:r w:rsidR="000A4B14" w:rsidRPr="00BD33A4">
        <w:rPr>
          <w:rFonts w:asciiTheme="minorHAnsi" w:eastAsiaTheme="minorHAnsi" w:hAnsiTheme="minorHAnsi" w:cstheme="minorBidi"/>
          <w:snapToGrid/>
          <w:color w:val="000000" w:themeColor="text1"/>
          <w:sz w:val="24"/>
          <w:szCs w:val="22"/>
        </w:rPr>
        <w:t>ed</w:t>
      </w:r>
      <w:r w:rsidRPr="00BD33A4">
        <w:rPr>
          <w:rFonts w:asciiTheme="minorHAnsi" w:eastAsiaTheme="minorHAnsi" w:hAnsiTheme="minorHAnsi" w:cstheme="minorBidi"/>
          <w:snapToGrid/>
          <w:color w:val="000000" w:themeColor="text1"/>
          <w:sz w:val="24"/>
          <w:szCs w:val="22"/>
        </w:rPr>
        <w:t xml:space="preserve"> that </w:t>
      </w:r>
      <w:proofErr w:type="spellStart"/>
      <w:r w:rsidRPr="00BD33A4">
        <w:rPr>
          <w:rFonts w:asciiTheme="minorHAnsi" w:eastAsiaTheme="minorHAnsi" w:hAnsiTheme="minorHAnsi" w:cstheme="minorBidi"/>
          <w:snapToGrid/>
          <w:color w:val="000000" w:themeColor="text1"/>
          <w:sz w:val="24"/>
          <w:szCs w:val="22"/>
        </w:rPr>
        <w:t>Fluarix</w:t>
      </w:r>
      <w:proofErr w:type="spellEnd"/>
      <w:r w:rsidRPr="00BD33A4">
        <w:rPr>
          <w:rFonts w:asciiTheme="minorHAnsi" w:eastAsiaTheme="minorHAnsi" w:hAnsiTheme="minorHAnsi" w:cstheme="minorBidi"/>
          <w:snapToGrid/>
          <w:color w:val="000000" w:themeColor="text1"/>
          <w:sz w:val="24"/>
          <w:szCs w:val="22"/>
        </w:rPr>
        <w:t xml:space="preserve"> Tetra </w:t>
      </w:r>
      <w:r w:rsidR="00383499" w:rsidRPr="00BD33A4">
        <w:rPr>
          <w:rFonts w:asciiTheme="minorHAnsi" w:eastAsiaTheme="minorHAnsi" w:hAnsiTheme="minorHAnsi" w:cstheme="minorBidi"/>
          <w:snapToGrid/>
          <w:color w:val="000000" w:themeColor="text1"/>
          <w:sz w:val="24"/>
          <w:szCs w:val="22"/>
        </w:rPr>
        <w:t>was</w:t>
      </w:r>
      <w:r w:rsidRPr="00BD33A4">
        <w:rPr>
          <w:rFonts w:asciiTheme="minorHAnsi" w:eastAsiaTheme="minorHAnsi" w:hAnsiTheme="minorHAnsi" w:cstheme="minorBidi"/>
          <w:snapToGrid/>
          <w:color w:val="000000" w:themeColor="text1"/>
          <w:sz w:val="24"/>
          <w:szCs w:val="22"/>
        </w:rPr>
        <w:t xml:space="preserve"> non-inferior with respect to efficacy and safety to </w:t>
      </w:r>
      <w:proofErr w:type="spellStart"/>
      <w:r w:rsidRPr="00BD33A4">
        <w:rPr>
          <w:rFonts w:asciiTheme="minorHAnsi" w:eastAsiaTheme="minorHAnsi" w:hAnsiTheme="minorHAnsi" w:cstheme="minorBidi"/>
          <w:snapToGrid/>
          <w:color w:val="000000" w:themeColor="text1"/>
          <w:sz w:val="24"/>
          <w:szCs w:val="22"/>
        </w:rPr>
        <w:t>FluQuadri</w:t>
      </w:r>
      <w:proofErr w:type="spellEnd"/>
      <w:r w:rsidRPr="00BD33A4">
        <w:rPr>
          <w:rFonts w:asciiTheme="minorHAnsi" w:eastAsiaTheme="minorHAnsi" w:hAnsiTheme="minorHAnsi" w:cstheme="minorBidi"/>
          <w:snapToGrid/>
          <w:color w:val="000000" w:themeColor="text1"/>
          <w:sz w:val="24"/>
          <w:szCs w:val="22"/>
        </w:rPr>
        <w:t xml:space="preserve"> Junior in the prevention of seasonal influenza disease caused by the influenza virus type</w:t>
      </w:r>
      <w:r w:rsidR="00B62366" w:rsidRPr="00BD33A4">
        <w:rPr>
          <w:rFonts w:asciiTheme="minorHAnsi" w:eastAsiaTheme="minorHAnsi" w:hAnsiTheme="minorHAnsi" w:cstheme="minorBidi"/>
          <w:snapToGrid/>
          <w:color w:val="000000" w:themeColor="text1"/>
          <w:sz w:val="24"/>
          <w:szCs w:val="22"/>
        </w:rPr>
        <w:t>s</w:t>
      </w:r>
      <w:r w:rsidRPr="00BD33A4">
        <w:rPr>
          <w:rFonts w:asciiTheme="minorHAnsi" w:eastAsiaTheme="minorHAnsi" w:hAnsiTheme="minorHAnsi" w:cstheme="minorBidi"/>
          <w:snapToGrid/>
          <w:color w:val="000000" w:themeColor="text1"/>
          <w:sz w:val="24"/>
          <w:szCs w:val="22"/>
        </w:rPr>
        <w:t xml:space="preserve"> A and B contained in the vaccine </w:t>
      </w:r>
      <w:r w:rsidR="00801DBE" w:rsidRPr="00BD33A4">
        <w:rPr>
          <w:rFonts w:asciiTheme="minorHAnsi" w:eastAsiaTheme="minorHAnsi" w:hAnsiTheme="minorHAnsi" w:cstheme="minorBidi"/>
          <w:snapToGrid/>
          <w:color w:val="000000" w:themeColor="text1"/>
          <w:sz w:val="24"/>
          <w:szCs w:val="22"/>
        </w:rPr>
        <w:t xml:space="preserve">for infants and young children aged </w:t>
      </w:r>
      <w:r w:rsidR="006B4544" w:rsidRPr="00BD33A4">
        <w:rPr>
          <w:rFonts w:asciiTheme="minorHAnsi" w:eastAsiaTheme="minorHAnsi" w:hAnsiTheme="minorHAnsi" w:cstheme="minorBidi"/>
          <w:snapToGrid/>
          <w:color w:val="000000" w:themeColor="text1"/>
          <w:sz w:val="24"/>
          <w:szCs w:val="22"/>
        </w:rPr>
        <w:t>6 - 35</w:t>
      </w:r>
      <w:r w:rsidRPr="00BD33A4">
        <w:rPr>
          <w:rFonts w:asciiTheme="minorHAnsi" w:eastAsiaTheme="minorHAnsi" w:hAnsiTheme="minorHAnsi" w:cstheme="minorBidi"/>
          <w:snapToGrid/>
          <w:color w:val="000000" w:themeColor="text1"/>
          <w:sz w:val="24"/>
          <w:szCs w:val="22"/>
        </w:rPr>
        <w:t xml:space="preserve"> months</w:t>
      </w:r>
      <w:r w:rsidR="00801DBE" w:rsidRPr="00BD33A4">
        <w:rPr>
          <w:rFonts w:asciiTheme="minorHAnsi" w:eastAsiaTheme="minorHAnsi" w:hAnsiTheme="minorHAnsi" w:cstheme="minorBidi"/>
          <w:snapToGrid/>
          <w:color w:val="000000" w:themeColor="text1"/>
          <w:sz w:val="24"/>
          <w:szCs w:val="22"/>
        </w:rPr>
        <w:t>.</w:t>
      </w:r>
    </w:p>
    <w:p w:rsidR="000A4B14" w:rsidRPr="00BD33A4" w:rsidRDefault="000A4B14" w:rsidP="005F3B0E">
      <w:pPr>
        <w:pStyle w:val="ListParagraph"/>
        <w:widowControl/>
        <w:numPr>
          <w:ilvl w:val="1"/>
          <w:numId w:val="14"/>
        </w:numPr>
        <w:spacing w:before="120" w:after="120"/>
        <w:rPr>
          <w:rFonts w:asciiTheme="minorHAnsi" w:eastAsiaTheme="minorHAnsi" w:hAnsiTheme="minorHAnsi" w:cstheme="minorBidi"/>
          <w:snapToGrid/>
          <w:sz w:val="24"/>
          <w:szCs w:val="22"/>
        </w:rPr>
      </w:pPr>
      <w:proofErr w:type="gramStart"/>
      <w:r w:rsidRPr="00BD33A4">
        <w:rPr>
          <w:rFonts w:asciiTheme="minorHAnsi" w:eastAsiaTheme="minorHAnsi" w:hAnsiTheme="minorHAnsi" w:cstheme="minorBidi"/>
          <w:snapToGrid/>
          <w:sz w:val="24"/>
          <w:szCs w:val="22"/>
        </w:rPr>
        <w:t>In its December 20</w:t>
      </w:r>
      <w:r w:rsidR="007F6CE8" w:rsidRPr="00BD33A4">
        <w:rPr>
          <w:rFonts w:asciiTheme="minorHAnsi" w:eastAsiaTheme="minorHAnsi" w:hAnsiTheme="minorHAnsi" w:cstheme="minorBidi"/>
          <w:snapToGrid/>
          <w:sz w:val="24"/>
          <w:szCs w:val="22"/>
        </w:rPr>
        <w:t xml:space="preserve">18 Pre-PBAC Submission Advice </w:t>
      </w:r>
      <w:r w:rsidRPr="00BD33A4">
        <w:rPr>
          <w:rFonts w:asciiTheme="minorHAnsi" w:eastAsiaTheme="minorHAnsi" w:hAnsiTheme="minorHAnsi" w:cstheme="minorBidi"/>
          <w:snapToGrid/>
          <w:sz w:val="24"/>
          <w:szCs w:val="22"/>
        </w:rPr>
        <w:t xml:space="preserve">, ATAGI considered </w:t>
      </w: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suitable to be listed on the National Health (Immunisation Program – Designated Vaccines) Determination for the prevention of seasonal influenza in infants and children aged 6 - 35 months who have medical conditions associated with an increased risk of influenza disease complications and who are eligible for influenza vaccines under the National Immunisation Program (NIP).</w:t>
      </w:r>
      <w:proofErr w:type="gramEnd"/>
      <w:r w:rsidRPr="00BD33A4">
        <w:t xml:space="preserve"> </w:t>
      </w:r>
      <w:r w:rsidRPr="00BD33A4">
        <w:rPr>
          <w:rFonts w:asciiTheme="minorHAnsi" w:eastAsiaTheme="minorHAnsi" w:hAnsiTheme="minorHAnsi" w:cstheme="minorBidi"/>
          <w:snapToGrid/>
          <w:sz w:val="24"/>
          <w:szCs w:val="22"/>
        </w:rPr>
        <w:t>This was on the basis of:</w:t>
      </w:r>
    </w:p>
    <w:p w:rsidR="000A4B14" w:rsidRPr="00BD33A4" w:rsidRDefault="000A4B14" w:rsidP="005F3B0E">
      <w:pPr>
        <w:pStyle w:val="ListParagraph"/>
        <w:widowControl/>
        <w:numPr>
          <w:ilvl w:val="0"/>
          <w:numId w:val="21"/>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 xml:space="preserve">clinical trial evidence of efficacy of </w:t>
      </w: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in children aged 6–35 months; and</w:t>
      </w:r>
    </w:p>
    <w:p w:rsidR="000A4B14" w:rsidRPr="00BD33A4" w:rsidRDefault="000A4B14" w:rsidP="005F3B0E">
      <w:pPr>
        <w:pStyle w:val="ListParagraph"/>
        <w:widowControl/>
        <w:numPr>
          <w:ilvl w:val="0"/>
          <w:numId w:val="21"/>
        </w:numPr>
        <w:spacing w:before="120" w:after="120"/>
        <w:rPr>
          <w:rFonts w:asciiTheme="minorHAnsi" w:eastAsiaTheme="minorHAnsi" w:hAnsiTheme="minorHAnsi" w:cstheme="minorBidi"/>
          <w:snapToGrid/>
          <w:sz w:val="24"/>
          <w:szCs w:val="22"/>
        </w:rPr>
      </w:pPr>
      <w:proofErr w:type="gramStart"/>
      <w:r w:rsidRPr="00BD33A4">
        <w:rPr>
          <w:rFonts w:asciiTheme="minorHAnsi" w:eastAsiaTheme="minorHAnsi" w:hAnsiTheme="minorHAnsi" w:cstheme="minorBidi"/>
          <w:snapToGrid/>
          <w:sz w:val="24"/>
          <w:szCs w:val="22"/>
        </w:rPr>
        <w:t>the</w:t>
      </w:r>
      <w:proofErr w:type="gramEnd"/>
      <w:r w:rsidRPr="00BD33A4">
        <w:rPr>
          <w:rFonts w:asciiTheme="minorHAnsi" w:eastAsiaTheme="minorHAnsi" w:hAnsiTheme="minorHAnsi" w:cstheme="minorBidi"/>
          <w:snapToGrid/>
          <w:sz w:val="24"/>
          <w:szCs w:val="22"/>
        </w:rPr>
        <w:t xml:space="preserve"> acceptable safety profile of </w:t>
      </w: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in children aged 6–35 months based on clinical trials.</w:t>
      </w:r>
    </w:p>
    <w:p w:rsidR="00BB0D81" w:rsidRPr="00BD33A4" w:rsidRDefault="00BB0D81"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HAnsi"/>
          <w:snapToGrid/>
          <w:sz w:val="24"/>
          <w:szCs w:val="24"/>
        </w:rPr>
        <w:t xml:space="preserve">ATAGI summarised its advice (Pre-PBAC Submission Advice), </w:t>
      </w:r>
      <w:r w:rsidR="006B3B70" w:rsidRPr="00BD33A4">
        <w:rPr>
          <w:rFonts w:asciiTheme="minorHAnsi" w:eastAsiaTheme="minorHAnsi" w:hAnsiTheme="minorHAnsi" w:cstheme="minorHAnsi"/>
          <w:snapToGrid/>
          <w:sz w:val="24"/>
          <w:szCs w:val="24"/>
        </w:rPr>
        <w:t>tha</w:t>
      </w:r>
      <w:r w:rsidRPr="00BD33A4">
        <w:rPr>
          <w:rFonts w:asciiTheme="minorHAnsi" w:eastAsiaTheme="minorHAnsi" w:hAnsiTheme="minorHAnsi" w:cstheme="minorHAnsi"/>
          <w:snapToGrid/>
          <w:sz w:val="24"/>
          <w:szCs w:val="24"/>
        </w:rPr>
        <w:t xml:space="preserve">t ‘While there is no data directly comparing </w:t>
      </w:r>
      <w:proofErr w:type="spellStart"/>
      <w:r w:rsidRPr="00BD33A4">
        <w:rPr>
          <w:rFonts w:asciiTheme="minorHAnsi" w:eastAsiaTheme="minorHAnsi" w:hAnsiTheme="minorHAnsi" w:cstheme="minorHAnsi"/>
          <w:snapToGrid/>
          <w:sz w:val="24"/>
          <w:szCs w:val="24"/>
        </w:rPr>
        <w:t>Fluarix</w:t>
      </w:r>
      <w:proofErr w:type="spellEnd"/>
      <w:r w:rsidRPr="00BD33A4">
        <w:rPr>
          <w:rFonts w:asciiTheme="minorHAnsi" w:eastAsiaTheme="minorHAnsi" w:hAnsiTheme="minorHAnsi" w:cstheme="minorHAnsi"/>
          <w:snapToGrid/>
          <w:sz w:val="24"/>
          <w:szCs w:val="24"/>
        </w:rPr>
        <w:t xml:space="preserve"> Tetra and </w:t>
      </w:r>
      <w:proofErr w:type="spellStart"/>
      <w:r w:rsidRPr="00BD33A4">
        <w:rPr>
          <w:rFonts w:asciiTheme="minorHAnsi" w:eastAsiaTheme="minorHAnsi" w:hAnsiTheme="minorHAnsi" w:cstheme="minorHAnsi"/>
          <w:snapToGrid/>
          <w:sz w:val="24"/>
          <w:szCs w:val="24"/>
        </w:rPr>
        <w:t>FluQuadri</w:t>
      </w:r>
      <w:proofErr w:type="spellEnd"/>
      <w:r w:rsidRPr="00BD33A4">
        <w:rPr>
          <w:rFonts w:asciiTheme="minorHAnsi" w:eastAsiaTheme="minorHAnsi" w:hAnsiTheme="minorHAnsi" w:cstheme="minorHAnsi"/>
          <w:snapToGrid/>
          <w:sz w:val="24"/>
          <w:szCs w:val="24"/>
        </w:rPr>
        <w:t xml:space="preserve"> Junior™, the QIV currently used under the NIP for children aged 6–35 months, based upon the evidence of </w:t>
      </w:r>
      <w:proofErr w:type="spellStart"/>
      <w:r w:rsidRPr="00BD33A4">
        <w:rPr>
          <w:rFonts w:asciiTheme="minorHAnsi" w:eastAsiaTheme="minorHAnsi" w:hAnsiTheme="minorHAnsi" w:cstheme="minorHAnsi"/>
          <w:snapToGrid/>
          <w:sz w:val="24"/>
          <w:szCs w:val="24"/>
        </w:rPr>
        <w:t>Fluarix</w:t>
      </w:r>
      <w:proofErr w:type="spellEnd"/>
      <w:r w:rsidRPr="00BD33A4">
        <w:rPr>
          <w:rFonts w:asciiTheme="minorHAnsi" w:eastAsiaTheme="minorHAnsi" w:hAnsiTheme="minorHAnsi" w:cstheme="minorHAnsi"/>
          <w:snapToGrid/>
          <w:sz w:val="24"/>
          <w:szCs w:val="24"/>
        </w:rPr>
        <w:t xml:space="preserve"> Tetra efficacy and safety, ATAGI consider </w:t>
      </w:r>
      <w:proofErr w:type="spellStart"/>
      <w:r w:rsidRPr="00BD33A4">
        <w:rPr>
          <w:rFonts w:asciiTheme="minorHAnsi" w:eastAsiaTheme="minorHAnsi" w:hAnsiTheme="minorHAnsi" w:cstheme="minorHAnsi"/>
          <w:snapToGrid/>
          <w:sz w:val="24"/>
          <w:szCs w:val="24"/>
        </w:rPr>
        <w:t>Fluarix</w:t>
      </w:r>
      <w:proofErr w:type="spellEnd"/>
      <w:r w:rsidRPr="00BD33A4">
        <w:rPr>
          <w:rFonts w:asciiTheme="minorHAnsi" w:eastAsiaTheme="minorHAnsi" w:hAnsiTheme="minorHAnsi" w:cstheme="minorHAnsi"/>
          <w:snapToGrid/>
          <w:sz w:val="24"/>
          <w:szCs w:val="24"/>
        </w:rPr>
        <w:t xml:space="preserve"> Tetra to be equivalent in efficacy and safety to </w:t>
      </w:r>
      <w:proofErr w:type="spellStart"/>
      <w:r w:rsidRPr="00BD33A4">
        <w:rPr>
          <w:rFonts w:asciiTheme="minorHAnsi" w:eastAsiaTheme="minorHAnsi" w:hAnsiTheme="minorHAnsi" w:cstheme="minorHAnsi"/>
          <w:snapToGrid/>
          <w:sz w:val="24"/>
          <w:szCs w:val="24"/>
        </w:rPr>
        <w:t>FluQuadri</w:t>
      </w:r>
      <w:proofErr w:type="spellEnd"/>
      <w:r w:rsidRPr="00BD33A4">
        <w:rPr>
          <w:rFonts w:asciiTheme="minorHAnsi" w:eastAsiaTheme="minorHAnsi" w:hAnsiTheme="minorHAnsi" w:cstheme="minorHAnsi"/>
          <w:snapToGrid/>
          <w:sz w:val="24"/>
          <w:szCs w:val="24"/>
        </w:rPr>
        <w:t xml:space="preserve"> Junior.’</w:t>
      </w:r>
    </w:p>
    <w:p w:rsidR="006D1400" w:rsidRPr="00BD33A4" w:rsidRDefault="000A4B14" w:rsidP="005F3B0E">
      <w:pPr>
        <w:pStyle w:val="ListParagraph"/>
        <w:widowControl/>
        <w:numPr>
          <w:ilvl w:val="1"/>
          <w:numId w:val="14"/>
        </w:numPr>
        <w:spacing w:before="120" w:after="120"/>
        <w:rPr>
          <w:rFonts w:asciiTheme="minorHAnsi" w:eastAsiaTheme="minorHAnsi" w:hAnsiTheme="minorHAnsi" w:cstheme="minorBidi"/>
          <w:snapToGrid/>
          <w:sz w:val="24"/>
          <w:szCs w:val="22"/>
        </w:rPr>
      </w:pPr>
      <w:proofErr w:type="gramStart"/>
      <w:r w:rsidRPr="00BD33A4">
        <w:rPr>
          <w:rFonts w:asciiTheme="minorHAnsi" w:eastAsiaTheme="minorHAnsi" w:hAnsiTheme="minorHAnsi" w:cstheme="minorBidi"/>
          <w:snapToGrid/>
          <w:sz w:val="24"/>
          <w:szCs w:val="22"/>
        </w:rPr>
        <w:t xml:space="preserve">In providing its advice, ATAGI (Pre-PBAC Submission advice) identified the key uncertainties relating to the proposal as being around the </w:t>
      </w:r>
      <w:r w:rsidR="005A790A" w:rsidRPr="00BD33A4">
        <w:rPr>
          <w:rFonts w:asciiTheme="minorHAnsi" w:eastAsiaTheme="minorHAnsi" w:hAnsiTheme="minorHAnsi" w:cstheme="minorBidi"/>
          <w:snapToGrid/>
          <w:sz w:val="24"/>
          <w:szCs w:val="22"/>
        </w:rPr>
        <w:t xml:space="preserve">evidence of the non-inferiority of </w:t>
      </w:r>
      <w:proofErr w:type="spellStart"/>
      <w:r w:rsidR="005A790A" w:rsidRPr="00BD33A4">
        <w:rPr>
          <w:rFonts w:asciiTheme="minorHAnsi" w:eastAsiaTheme="minorHAnsi" w:hAnsiTheme="minorHAnsi" w:cstheme="minorBidi"/>
          <w:snapToGrid/>
          <w:sz w:val="24"/>
          <w:szCs w:val="22"/>
        </w:rPr>
        <w:t>Fluarix</w:t>
      </w:r>
      <w:proofErr w:type="spellEnd"/>
      <w:r w:rsidR="005A790A" w:rsidRPr="00BD33A4">
        <w:rPr>
          <w:rFonts w:asciiTheme="minorHAnsi" w:eastAsiaTheme="minorHAnsi" w:hAnsiTheme="minorHAnsi" w:cstheme="minorBidi"/>
          <w:snapToGrid/>
          <w:sz w:val="24"/>
          <w:szCs w:val="22"/>
        </w:rPr>
        <w:t xml:space="preserve"> Tetra to </w:t>
      </w:r>
      <w:proofErr w:type="spellStart"/>
      <w:r w:rsidR="005A790A" w:rsidRPr="00BD33A4">
        <w:rPr>
          <w:rFonts w:asciiTheme="minorHAnsi" w:eastAsiaTheme="minorHAnsi" w:hAnsiTheme="minorHAnsi" w:cstheme="minorBidi"/>
          <w:snapToGrid/>
          <w:sz w:val="24"/>
          <w:szCs w:val="22"/>
        </w:rPr>
        <w:t>FluQuadri</w:t>
      </w:r>
      <w:proofErr w:type="spellEnd"/>
      <w:r w:rsidR="005A790A" w:rsidRPr="00BD33A4">
        <w:rPr>
          <w:rFonts w:asciiTheme="minorHAnsi" w:eastAsiaTheme="minorHAnsi" w:hAnsiTheme="minorHAnsi" w:cstheme="minorBidi"/>
          <w:snapToGrid/>
          <w:sz w:val="24"/>
          <w:szCs w:val="22"/>
        </w:rPr>
        <w:t xml:space="preserve"> Junior in children aged 6–35 months</w:t>
      </w:r>
      <w:r w:rsidRPr="00BD33A4">
        <w:rPr>
          <w:rFonts w:asciiTheme="minorHAnsi" w:eastAsiaTheme="minorHAnsi" w:hAnsiTheme="minorHAnsi" w:cstheme="minorBidi"/>
          <w:snapToGrid/>
          <w:sz w:val="24"/>
          <w:szCs w:val="22"/>
        </w:rPr>
        <w:t xml:space="preserve"> including the lack of a direct comparison of VE and immunogenicity between </w:t>
      </w:r>
      <w:proofErr w:type="spellStart"/>
      <w:r w:rsidRPr="00BD33A4">
        <w:rPr>
          <w:rFonts w:asciiTheme="minorHAnsi" w:eastAsiaTheme="minorHAnsi" w:hAnsiTheme="minorHAnsi" w:cstheme="minorBidi"/>
          <w:snapToGrid/>
          <w:sz w:val="24"/>
          <w:szCs w:val="22"/>
        </w:rPr>
        <w:t>Fluarix</w:t>
      </w:r>
      <w:proofErr w:type="spellEnd"/>
      <w:r w:rsidRPr="00BD33A4">
        <w:rPr>
          <w:rFonts w:asciiTheme="minorHAnsi" w:eastAsiaTheme="minorHAnsi" w:hAnsiTheme="minorHAnsi" w:cstheme="minorBidi"/>
          <w:snapToGrid/>
          <w:sz w:val="24"/>
          <w:szCs w:val="22"/>
        </w:rPr>
        <w:t xml:space="preserve"> Tetra and the comparator (or an equivalent QIV), issues around interpretation of immunogenicity data in children aged 6–35 months and uncertainty around the safety and </w:t>
      </w:r>
      <w:r w:rsidR="005A790A" w:rsidRPr="00BD33A4">
        <w:rPr>
          <w:rFonts w:asciiTheme="minorHAnsi" w:eastAsiaTheme="minorHAnsi" w:hAnsiTheme="minorHAnsi" w:cstheme="minorBidi"/>
          <w:snapToGrid/>
          <w:sz w:val="24"/>
          <w:szCs w:val="22"/>
        </w:rPr>
        <w:t xml:space="preserve">effectiveness of </w:t>
      </w:r>
      <w:proofErr w:type="spellStart"/>
      <w:r w:rsidR="005A790A" w:rsidRPr="00BD33A4">
        <w:rPr>
          <w:rFonts w:asciiTheme="minorHAnsi" w:eastAsiaTheme="minorHAnsi" w:hAnsiTheme="minorHAnsi" w:cstheme="minorBidi"/>
          <w:snapToGrid/>
          <w:sz w:val="24"/>
          <w:szCs w:val="22"/>
        </w:rPr>
        <w:t>Fluarix</w:t>
      </w:r>
      <w:proofErr w:type="spellEnd"/>
      <w:r w:rsidR="005A790A" w:rsidRPr="00BD33A4">
        <w:rPr>
          <w:rFonts w:asciiTheme="minorHAnsi" w:eastAsiaTheme="minorHAnsi" w:hAnsiTheme="minorHAnsi" w:cstheme="minorBidi"/>
          <w:snapToGrid/>
          <w:sz w:val="24"/>
          <w:szCs w:val="22"/>
        </w:rPr>
        <w:t xml:space="preserve"> Tetra in children with underlyi</w:t>
      </w:r>
      <w:r w:rsidRPr="00BD33A4">
        <w:rPr>
          <w:rFonts w:asciiTheme="minorHAnsi" w:eastAsiaTheme="minorHAnsi" w:hAnsiTheme="minorHAnsi" w:cstheme="minorBidi"/>
          <w:snapToGrid/>
          <w:sz w:val="24"/>
          <w:szCs w:val="22"/>
        </w:rPr>
        <w:t>ng medical risk factors</w:t>
      </w:r>
      <w:r w:rsidR="00BD33A4">
        <w:rPr>
          <w:rFonts w:asciiTheme="minorHAnsi" w:eastAsiaTheme="minorHAnsi" w:hAnsiTheme="minorHAnsi" w:cstheme="minorBidi"/>
          <w:snapToGrid/>
          <w:sz w:val="24"/>
          <w:szCs w:val="22"/>
        </w:rPr>
        <w:t>.</w:t>
      </w:r>
      <w:proofErr w:type="gramEnd"/>
      <w:r w:rsidR="00BD33A4">
        <w:rPr>
          <w:rFonts w:asciiTheme="minorHAnsi" w:eastAsiaTheme="minorHAnsi" w:hAnsiTheme="minorHAnsi" w:cstheme="minorBidi"/>
          <w:snapToGrid/>
          <w:sz w:val="24"/>
          <w:szCs w:val="22"/>
        </w:rPr>
        <w:t xml:space="preserve"> </w:t>
      </w:r>
      <w:r w:rsidR="005A790A" w:rsidRPr="00BD33A4">
        <w:rPr>
          <w:rFonts w:asciiTheme="minorHAnsi" w:eastAsiaTheme="minorHAnsi" w:hAnsiTheme="minorHAnsi" w:cstheme="minorBidi"/>
          <w:snapToGrid/>
          <w:sz w:val="24"/>
          <w:szCs w:val="22"/>
        </w:rPr>
        <w:t xml:space="preserve">Whilst acknowledging these uncertainties, based upon the evidence of clinical efficacy and safety, ATAGI </w:t>
      </w:r>
      <w:r w:rsidRPr="00BD33A4">
        <w:rPr>
          <w:rFonts w:asciiTheme="minorHAnsi" w:eastAsiaTheme="minorHAnsi" w:hAnsiTheme="minorHAnsi" w:cstheme="minorBidi"/>
          <w:snapToGrid/>
          <w:sz w:val="24"/>
          <w:szCs w:val="22"/>
        </w:rPr>
        <w:t xml:space="preserve">still </w:t>
      </w:r>
      <w:r w:rsidR="005A790A" w:rsidRPr="00BD33A4">
        <w:rPr>
          <w:rFonts w:asciiTheme="minorHAnsi" w:eastAsiaTheme="minorHAnsi" w:hAnsiTheme="minorHAnsi" w:cstheme="minorBidi"/>
          <w:snapToGrid/>
          <w:sz w:val="24"/>
          <w:szCs w:val="22"/>
        </w:rPr>
        <w:t>consider</w:t>
      </w:r>
      <w:r w:rsidRPr="00BD33A4">
        <w:rPr>
          <w:rFonts w:asciiTheme="minorHAnsi" w:eastAsiaTheme="minorHAnsi" w:hAnsiTheme="minorHAnsi" w:cstheme="minorBidi"/>
          <w:snapToGrid/>
          <w:sz w:val="24"/>
          <w:szCs w:val="22"/>
        </w:rPr>
        <w:t>ed</w:t>
      </w:r>
      <w:r w:rsidR="005A790A" w:rsidRPr="00BD33A4">
        <w:rPr>
          <w:rFonts w:asciiTheme="minorHAnsi" w:eastAsiaTheme="minorHAnsi" w:hAnsiTheme="minorHAnsi" w:cstheme="minorBidi"/>
          <w:snapToGrid/>
          <w:sz w:val="24"/>
          <w:szCs w:val="22"/>
        </w:rPr>
        <w:t xml:space="preserve"> the benefits of </w:t>
      </w:r>
      <w:proofErr w:type="spellStart"/>
      <w:r w:rsidR="005A790A" w:rsidRPr="00BD33A4">
        <w:rPr>
          <w:rFonts w:asciiTheme="minorHAnsi" w:eastAsiaTheme="minorHAnsi" w:hAnsiTheme="minorHAnsi" w:cstheme="minorBidi"/>
          <w:snapToGrid/>
          <w:sz w:val="24"/>
          <w:szCs w:val="22"/>
        </w:rPr>
        <w:t>Fluarix</w:t>
      </w:r>
      <w:proofErr w:type="spellEnd"/>
      <w:r w:rsidR="005A790A" w:rsidRPr="00BD33A4">
        <w:rPr>
          <w:rFonts w:asciiTheme="minorHAnsi" w:eastAsiaTheme="minorHAnsi" w:hAnsiTheme="minorHAnsi" w:cstheme="minorBidi"/>
          <w:snapToGrid/>
          <w:sz w:val="24"/>
          <w:szCs w:val="22"/>
        </w:rPr>
        <w:t xml:space="preserve"> Tetra in children aged 6</w:t>
      </w:r>
      <w:r w:rsidRPr="00BD33A4">
        <w:rPr>
          <w:rFonts w:asciiTheme="minorHAnsi" w:eastAsiaTheme="minorHAnsi" w:hAnsiTheme="minorHAnsi" w:cstheme="minorBidi"/>
          <w:snapToGrid/>
          <w:sz w:val="24"/>
          <w:szCs w:val="22"/>
        </w:rPr>
        <w:t xml:space="preserve"> </w:t>
      </w:r>
      <w:r w:rsidR="005A790A" w:rsidRPr="00BD33A4">
        <w:rPr>
          <w:rFonts w:asciiTheme="minorHAnsi" w:eastAsiaTheme="minorHAnsi" w:hAnsiTheme="minorHAnsi" w:cstheme="minorBidi"/>
          <w:snapToGrid/>
          <w:sz w:val="24"/>
          <w:szCs w:val="22"/>
        </w:rPr>
        <w:t>–</w:t>
      </w:r>
      <w:r w:rsidRPr="00BD33A4">
        <w:rPr>
          <w:rFonts w:asciiTheme="minorHAnsi" w:eastAsiaTheme="minorHAnsi" w:hAnsiTheme="minorHAnsi" w:cstheme="minorBidi"/>
          <w:snapToGrid/>
          <w:sz w:val="24"/>
          <w:szCs w:val="22"/>
        </w:rPr>
        <w:t xml:space="preserve"> </w:t>
      </w:r>
      <w:r w:rsidR="005A790A" w:rsidRPr="00BD33A4">
        <w:rPr>
          <w:rFonts w:asciiTheme="minorHAnsi" w:eastAsiaTheme="minorHAnsi" w:hAnsiTheme="minorHAnsi" w:cstheme="minorBidi"/>
          <w:snapToGrid/>
          <w:sz w:val="24"/>
          <w:szCs w:val="22"/>
        </w:rPr>
        <w:t>35 month</w:t>
      </w:r>
      <w:r w:rsidRPr="00BD33A4">
        <w:rPr>
          <w:rFonts w:asciiTheme="minorHAnsi" w:eastAsiaTheme="minorHAnsi" w:hAnsiTheme="minorHAnsi" w:cstheme="minorBidi"/>
          <w:snapToGrid/>
          <w:sz w:val="24"/>
          <w:szCs w:val="22"/>
        </w:rPr>
        <w:t>s</w:t>
      </w:r>
      <w:r w:rsidR="005A790A" w:rsidRPr="00BD33A4">
        <w:rPr>
          <w:rFonts w:asciiTheme="minorHAnsi" w:eastAsiaTheme="minorHAnsi" w:hAnsiTheme="minorHAnsi" w:cstheme="minorBidi"/>
          <w:snapToGrid/>
          <w:sz w:val="24"/>
          <w:szCs w:val="22"/>
        </w:rPr>
        <w:t xml:space="preserve"> to be equivalent to that of </w:t>
      </w:r>
      <w:proofErr w:type="spellStart"/>
      <w:r w:rsidR="005A790A" w:rsidRPr="00BD33A4">
        <w:rPr>
          <w:rFonts w:asciiTheme="minorHAnsi" w:eastAsiaTheme="minorHAnsi" w:hAnsiTheme="minorHAnsi" w:cstheme="minorBidi"/>
          <w:snapToGrid/>
          <w:sz w:val="24"/>
          <w:szCs w:val="22"/>
        </w:rPr>
        <w:t>FluQuadri</w:t>
      </w:r>
      <w:proofErr w:type="spellEnd"/>
      <w:r w:rsidR="005A790A" w:rsidRPr="00BD33A4">
        <w:rPr>
          <w:rFonts w:asciiTheme="minorHAnsi" w:eastAsiaTheme="minorHAnsi" w:hAnsiTheme="minorHAnsi" w:cstheme="minorBidi"/>
          <w:snapToGrid/>
          <w:sz w:val="24"/>
          <w:szCs w:val="22"/>
        </w:rPr>
        <w:t xml:space="preserve"> Junior.</w:t>
      </w:r>
    </w:p>
    <w:p w:rsidR="00AE4035" w:rsidRPr="00BD33A4" w:rsidRDefault="00AE4035"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lastRenderedPageBreak/>
        <w:t>The PBAC considered that the claim of non-inferior comparative effectiveness was reasonable.</w:t>
      </w:r>
    </w:p>
    <w:p w:rsidR="00AE4035" w:rsidRPr="00BD33A4" w:rsidRDefault="00AE4035" w:rsidP="005F3B0E">
      <w:pPr>
        <w:pStyle w:val="ListParagraph"/>
        <w:widowControl/>
        <w:numPr>
          <w:ilvl w:val="1"/>
          <w:numId w:val="14"/>
        </w:numPr>
        <w:spacing w:before="120" w:after="120"/>
        <w:rPr>
          <w:rFonts w:asciiTheme="minorHAnsi" w:eastAsiaTheme="minorHAnsi" w:hAnsiTheme="minorHAnsi" w:cstheme="minorBidi"/>
          <w:snapToGrid/>
          <w:sz w:val="24"/>
          <w:szCs w:val="22"/>
        </w:rPr>
      </w:pPr>
      <w:r w:rsidRPr="00BD33A4">
        <w:rPr>
          <w:rFonts w:asciiTheme="minorHAnsi" w:eastAsiaTheme="minorHAnsi" w:hAnsiTheme="minorHAnsi" w:cstheme="minorBidi"/>
          <w:snapToGrid/>
          <w:sz w:val="24"/>
          <w:szCs w:val="22"/>
        </w:rPr>
        <w:t>The PBAC considered that the claim of non-inferior comparative safety was reasonable</w:t>
      </w:r>
      <w:r w:rsidR="00BF28CC" w:rsidRPr="00BD33A4">
        <w:rPr>
          <w:rFonts w:asciiTheme="minorHAnsi" w:eastAsiaTheme="minorHAnsi" w:hAnsiTheme="minorHAnsi" w:cstheme="minorBidi"/>
          <w:snapToGrid/>
          <w:sz w:val="24"/>
          <w:szCs w:val="22"/>
        </w:rPr>
        <w:t>.</w:t>
      </w:r>
    </w:p>
    <w:p w:rsidR="005A3173" w:rsidRPr="00BD33A4" w:rsidRDefault="005A3173" w:rsidP="005F3B0E">
      <w:pPr>
        <w:pStyle w:val="Heading2"/>
        <w:keepLines/>
        <w:spacing w:before="120" w:after="120"/>
        <w:rPr>
          <w:rFonts w:asciiTheme="minorHAnsi" w:eastAsiaTheme="majorEastAsia" w:hAnsiTheme="minorHAnsi" w:cstheme="majorBidi"/>
          <w:sz w:val="28"/>
          <w:szCs w:val="28"/>
          <w:lang w:eastAsia="en-US"/>
        </w:rPr>
      </w:pPr>
      <w:r w:rsidRPr="00BD33A4">
        <w:rPr>
          <w:rFonts w:asciiTheme="minorHAnsi" w:eastAsiaTheme="majorEastAsia" w:hAnsiTheme="minorHAnsi" w:cstheme="majorBidi"/>
          <w:sz w:val="28"/>
          <w:szCs w:val="28"/>
          <w:lang w:eastAsia="en-US"/>
        </w:rPr>
        <w:t>Economic analysis</w:t>
      </w:r>
    </w:p>
    <w:p w:rsidR="009B0F67" w:rsidRPr="00BD33A4" w:rsidRDefault="00FF2801" w:rsidP="005F3B0E">
      <w:pPr>
        <w:pStyle w:val="ListParagraph"/>
        <w:widowControl/>
        <w:numPr>
          <w:ilvl w:val="1"/>
          <w:numId w:val="14"/>
        </w:numPr>
        <w:spacing w:before="120" w:after="120"/>
        <w:rPr>
          <w:rFonts w:asciiTheme="minorHAnsi" w:hAnsiTheme="minorHAnsi"/>
          <w:sz w:val="24"/>
          <w:szCs w:val="24"/>
        </w:rPr>
      </w:pPr>
      <w:r w:rsidRPr="00BD33A4">
        <w:rPr>
          <w:rFonts w:asciiTheme="minorHAnsi" w:hAnsiTheme="minorHAnsi"/>
          <w:sz w:val="24"/>
          <w:szCs w:val="24"/>
        </w:rPr>
        <w:t>As a minor submission, there wa</w:t>
      </w:r>
      <w:r w:rsidR="009B0F67" w:rsidRPr="00BD33A4">
        <w:rPr>
          <w:rFonts w:asciiTheme="minorHAnsi" w:hAnsiTheme="minorHAnsi"/>
          <w:sz w:val="24"/>
          <w:szCs w:val="24"/>
        </w:rPr>
        <w:t>s no economic comparison presented</w:t>
      </w:r>
      <w:r w:rsidR="00C00DA7" w:rsidRPr="00BD33A4">
        <w:rPr>
          <w:rFonts w:asciiTheme="minorHAnsi" w:hAnsiTheme="minorHAnsi"/>
          <w:sz w:val="24"/>
          <w:szCs w:val="24"/>
        </w:rPr>
        <w:t xml:space="preserve">/ an economic comparison </w:t>
      </w:r>
      <w:r w:rsidRPr="00BD33A4">
        <w:rPr>
          <w:rFonts w:asciiTheme="minorHAnsi" w:hAnsiTheme="minorHAnsi"/>
          <w:sz w:val="24"/>
          <w:szCs w:val="24"/>
        </w:rPr>
        <w:t>wa</w:t>
      </w:r>
      <w:r w:rsidR="00C00DA7" w:rsidRPr="00BD33A4">
        <w:rPr>
          <w:rFonts w:asciiTheme="minorHAnsi" w:hAnsiTheme="minorHAnsi"/>
          <w:sz w:val="24"/>
          <w:szCs w:val="24"/>
        </w:rPr>
        <w:t>s not relevant</w:t>
      </w:r>
      <w:r w:rsidR="009B0F67" w:rsidRPr="00BD33A4">
        <w:rPr>
          <w:rFonts w:asciiTheme="minorHAnsi" w:hAnsiTheme="minorHAnsi"/>
          <w:sz w:val="24"/>
          <w:szCs w:val="24"/>
        </w:rPr>
        <w:t>.</w:t>
      </w:r>
      <w:r w:rsidR="003A7657" w:rsidRPr="00BD33A4">
        <w:rPr>
          <w:rFonts w:asciiTheme="minorHAnsi" w:hAnsiTheme="minorHAnsi"/>
          <w:sz w:val="24"/>
          <w:szCs w:val="24"/>
        </w:rPr>
        <w:t xml:space="preserve"> </w:t>
      </w:r>
    </w:p>
    <w:p w:rsidR="00206D09" w:rsidRPr="00BD33A4" w:rsidRDefault="003A7657" w:rsidP="005F3B0E">
      <w:pPr>
        <w:pStyle w:val="ListParagraph"/>
        <w:widowControl/>
        <w:numPr>
          <w:ilvl w:val="1"/>
          <w:numId w:val="14"/>
        </w:numPr>
        <w:spacing w:before="120" w:after="120"/>
        <w:rPr>
          <w:rFonts w:asciiTheme="minorHAnsi" w:hAnsiTheme="minorHAnsi"/>
          <w:sz w:val="24"/>
          <w:szCs w:val="24"/>
        </w:rPr>
      </w:pPr>
      <w:r w:rsidRPr="00BD33A4">
        <w:rPr>
          <w:rFonts w:asciiTheme="minorHAnsi" w:hAnsiTheme="minorHAnsi"/>
          <w:sz w:val="24"/>
          <w:szCs w:val="24"/>
        </w:rPr>
        <w:t>The submission</w:t>
      </w:r>
      <w:r w:rsidR="00206D09" w:rsidRPr="00BD33A4">
        <w:rPr>
          <w:rFonts w:asciiTheme="minorHAnsi" w:hAnsiTheme="minorHAnsi"/>
          <w:sz w:val="24"/>
          <w:szCs w:val="24"/>
        </w:rPr>
        <w:t xml:space="preserve"> claimed cost-minimisation </w:t>
      </w:r>
      <w:r w:rsidR="00BD33A4" w:rsidRPr="00BD33A4">
        <w:rPr>
          <w:rFonts w:asciiTheme="minorHAnsi" w:hAnsiTheme="minorHAnsi"/>
          <w:sz w:val="24"/>
          <w:szCs w:val="24"/>
        </w:rPr>
        <w:t>based on</w:t>
      </w:r>
      <w:r w:rsidR="00206D09" w:rsidRPr="00BD33A4">
        <w:rPr>
          <w:rFonts w:asciiTheme="minorHAnsi" w:hAnsiTheme="minorHAnsi"/>
          <w:sz w:val="24"/>
          <w:szCs w:val="24"/>
        </w:rPr>
        <w:t xml:space="preserve"> the </w:t>
      </w:r>
      <w:proofErr w:type="spellStart"/>
      <w:r w:rsidR="00206D09" w:rsidRPr="00BD33A4">
        <w:rPr>
          <w:rFonts w:asciiTheme="minorHAnsi" w:hAnsiTheme="minorHAnsi"/>
          <w:sz w:val="24"/>
          <w:szCs w:val="24"/>
        </w:rPr>
        <w:t>equi</w:t>
      </w:r>
      <w:proofErr w:type="spellEnd"/>
      <w:r w:rsidR="00206D09" w:rsidRPr="00BD33A4">
        <w:rPr>
          <w:rFonts w:asciiTheme="minorHAnsi" w:hAnsiTheme="minorHAnsi"/>
          <w:sz w:val="24"/>
          <w:szCs w:val="24"/>
        </w:rPr>
        <w:t xml:space="preserve">-effective dose of </w:t>
      </w:r>
      <w:r w:rsidRPr="00BD33A4">
        <w:rPr>
          <w:rFonts w:asciiTheme="minorHAnsi" w:hAnsiTheme="minorHAnsi"/>
          <w:sz w:val="24"/>
          <w:szCs w:val="24"/>
        </w:rPr>
        <w:t xml:space="preserve">one </w:t>
      </w:r>
      <w:r w:rsidR="009F7D57" w:rsidRPr="00BD33A4">
        <w:rPr>
          <w:rFonts w:asciiTheme="minorHAnsi" w:hAnsiTheme="minorHAnsi"/>
          <w:sz w:val="24"/>
          <w:szCs w:val="24"/>
        </w:rPr>
        <w:t xml:space="preserve">0.5 mL </w:t>
      </w:r>
      <w:r w:rsidRPr="00BD33A4">
        <w:rPr>
          <w:rFonts w:asciiTheme="minorHAnsi" w:hAnsiTheme="minorHAnsi"/>
          <w:sz w:val="24"/>
          <w:szCs w:val="24"/>
        </w:rPr>
        <w:t xml:space="preserve">dose of </w:t>
      </w:r>
      <w:proofErr w:type="spellStart"/>
      <w:r w:rsidRPr="00BD33A4">
        <w:rPr>
          <w:rFonts w:asciiTheme="minorHAnsi" w:hAnsiTheme="minorHAnsi"/>
          <w:sz w:val="24"/>
          <w:szCs w:val="24"/>
        </w:rPr>
        <w:t>Fluarix</w:t>
      </w:r>
      <w:proofErr w:type="spellEnd"/>
      <w:r w:rsidRPr="00BD33A4">
        <w:rPr>
          <w:rFonts w:asciiTheme="minorHAnsi" w:hAnsiTheme="minorHAnsi"/>
          <w:sz w:val="24"/>
          <w:szCs w:val="24"/>
        </w:rPr>
        <w:t xml:space="preserve"> Tetra </w:t>
      </w:r>
      <w:r w:rsidR="00877712" w:rsidRPr="00BD33A4">
        <w:rPr>
          <w:rFonts w:asciiTheme="minorHAnsi" w:hAnsiTheme="minorHAnsi"/>
          <w:sz w:val="24"/>
          <w:szCs w:val="24"/>
        </w:rPr>
        <w:t xml:space="preserve">(containing </w:t>
      </w:r>
      <w:proofErr w:type="gramStart"/>
      <w:r w:rsidR="00877712" w:rsidRPr="00BD33A4">
        <w:rPr>
          <w:rFonts w:asciiTheme="minorHAnsi" w:hAnsiTheme="minorHAnsi"/>
          <w:sz w:val="24"/>
          <w:szCs w:val="24"/>
        </w:rPr>
        <w:t xml:space="preserve">60 </w:t>
      </w:r>
      <w:r w:rsidR="00B36BC6" w:rsidRPr="00BD33A4">
        <w:rPr>
          <w:rFonts w:asciiTheme="minorHAnsi" w:hAnsiTheme="minorHAnsi"/>
          <w:sz w:val="24"/>
          <w:szCs w:val="24"/>
        </w:rPr>
        <w:t>mc</w:t>
      </w:r>
      <w:r w:rsidR="00877712" w:rsidRPr="00BD33A4">
        <w:rPr>
          <w:rFonts w:asciiTheme="minorHAnsi" w:hAnsiTheme="minorHAnsi"/>
          <w:sz w:val="24"/>
          <w:szCs w:val="24"/>
        </w:rPr>
        <w:t>g</w:t>
      </w:r>
      <w:proofErr w:type="gramEnd"/>
      <w:r w:rsidR="00877712" w:rsidRPr="00BD33A4">
        <w:rPr>
          <w:rFonts w:asciiTheme="minorHAnsi" w:hAnsiTheme="minorHAnsi"/>
          <w:sz w:val="24"/>
          <w:szCs w:val="24"/>
        </w:rPr>
        <w:t xml:space="preserve"> hemagglutinin) </w:t>
      </w:r>
      <w:r w:rsidR="000A4B14" w:rsidRPr="00BD33A4">
        <w:rPr>
          <w:rFonts w:asciiTheme="minorHAnsi" w:hAnsiTheme="minorHAnsi"/>
          <w:sz w:val="24"/>
          <w:szCs w:val="24"/>
        </w:rPr>
        <w:t>to</w:t>
      </w:r>
      <w:r w:rsidRPr="00BD33A4">
        <w:rPr>
          <w:rFonts w:asciiTheme="minorHAnsi" w:hAnsiTheme="minorHAnsi"/>
          <w:sz w:val="24"/>
          <w:szCs w:val="24"/>
        </w:rPr>
        <w:t xml:space="preserve"> one </w:t>
      </w:r>
      <w:r w:rsidR="009F7D57" w:rsidRPr="00BD33A4">
        <w:rPr>
          <w:rFonts w:asciiTheme="minorHAnsi" w:hAnsiTheme="minorHAnsi"/>
          <w:sz w:val="24"/>
          <w:szCs w:val="24"/>
        </w:rPr>
        <w:t xml:space="preserve">0.25 mL </w:t>
      </w:r>
      <w:r w:rsidRPr="00BD33A4">
        <w:rPr>
          <w:rFonts w:asciiTheme="minorHAnsi" w:hAnsiTheme="minorHAnsi"/>
          <w:sz w:val="24"/>
          <w:szCs w:val="24"/>
        </w:rPr>
        <w:t xml:space="preserve">dose of </w:t>
      </w:r>
      <w:proofErr w:type="spellStart"/>
      <w:r w:rsidRPr="00BD33A4">
        <w:rPr>
          <w:rFonts w:asciiTheme="minorHAnsi" w:hAnsiTheme="minorHAnsi"/>
          <w:sz w:val="24"/>
          <w:szCs w:val="24"/>
        </w:rPr>
        <w:t>Flu</w:t>
      </w:r>
      <w:r w:rsidR="00FF4137" w:rsidRPr="00BD33A4">
        <w:rPr>
          <w:rFonts w:asciiTheme="minorHAnsi" w:hAnsiTheme="minorHAnsi"/>
          <w:sz w:val="24"/>
          <w:szCs w:val="24"/>
        </w:rPr>
        <w:t>Q</w:t>
      </w:r>
      <w:r w:rsidRPr="00BD33A4">
        <w:rPr>
          <w:rFonts w:asciiTheme="minorHAnsi" w:hAnsiTheme="minorHAnsi"/>
          <w:sz w:val="24"/>
          <w:szCs w:val="24"/>
        </w:rPr>
        <w:t>uadri</w:t>
      </w:r>
      <w:proofErr w:type="spellEnd"/>
      <w:r w:rsidRPr="00BD33A4">
        <w:rPr>
          <w:rFonts w:asciiTheme="minorHAnsi" w:hAnsiTheme="minorHAnsi"/>
          <w:sz w:val="24"/>
          <w:szCs w:val="24"/>
        </w:rPr>
        <w:t xml:space="preserve"> Junior</w:t>
      </w:r>
      <w:r w:rsidR="00877712" w:rsidRPr="00BD33A4">
        <w:rPr>
          <w:rFonts w:asciiTheme="minorHAnsi" w:hAnsiTheme="minorHAnsi"/>
          <w:sz w:val="24"/>
          <w:szCs w:val="24"/>
        </w:rPr>
        <w:t xml:space="preserve"> (containing 30 </w:t>
      </w:r>
      <w:r w:rsidR="00B36BC6" w:rsidRPr="00BD33A4">
        <w:rPr>
          <w:rFonts w:asciiTheme="minorHAnsi" w:hAnsiTheme="minorHAnsi"/>
          <w:sz w:val="24"/>
          <w:szCs w:val="24"/>
        </w:rPr>
        <w:t>mc</w:t>
      </w:r>
      <w:r w:rsidR="00877712" w:rsidRPr="00BD33A4">
        <w:rPr>
          <w:rFonts w:asciiTheme="minorHAnsi" w:hAnsiTheme="minorHAnsi"/>
          <w:sz w:val="24"/>
          <w:szCs w:val="24"/>
        </w:rPr>
        <w:t>g hemagglutinin</w:t>
      </w:r>
      <w:r w:rsidR="00FF4137" w:rsidRPr="00BD33A4">
        <w:rPr>
          <w:rFonts w:asciiTheme="minorHAnsi" w:hAnsiTheme="minorHAnsi"/>
          <w:sz w:val="24"/>
          <w:szCs w:val="24"/>
        </w:rPr>
        <w:t>)</w:t>
      </w:r>
      <w:r w:rsidR="00BD33A4">
        <w:rPr>
          <w:rFonts w:asciiTheme="minorHAnsi" w:hAnsiTheme="minorHAnsi"/>
          <w:sz w:val="24"/>
          <w:szCs w:val="24"/>
        </w:rPr>
        <w:t xml:space="preserve">. </w:t>
      </w:r>
      <w:r w:rsidR="000A4B14" w:rsidRPr="00BD33A4">
        <w:rPr>
          <w:rFonts w:asciiTheme="minorHAnsi" w:hAnsiTheme="minorHAnsi"/>
          <w:sz w:val="24"/>
          <w:szCs w:val="24"/>
        </w:rPr>
        <w:t>The submission noted</w:t>
      </w:r>
      <w:r w:rsidR="00206D09" w:rsidRPr="00BD33A4">
        <w:rPr>
          <w:rFonts w:asciiTheme="minorHAnsi" w:hAnsiTheme="minorHAnsi"/>
          <w:sz w:val="24"/>
          <w:szCs w:val="24"/>
        </w:rPr>
        <w:t xml:space="preserve"> t</w:t>
      </w:r>
      <w:r w:rsidRPr="00BD33A4">
        <w:rPr>
          <w:rFonts w:asciiTheme="minorHAnsi" w:hAnsiTheme="minorHAnsi"/>
          <w:sz w:val="24"/>
          <w:szCs w:val="24"/>
        </w:rPr>
        <w:t xml:space="preserve">here </w:t>
      </w:r>
      <w:r w:rsidR="00383499" w:rsidRPr="00BD33A4">
        <w:rPr>
          <w:rFonts w:asciiTheme="minorHAnsi" w:hAnsiTheme="minorHAnsi"/>
          <w:sz w:val="24"/>
          <w:szCs w:val="24"/>
        </w:rPr>
        <w:t xml:space="preserve">were </w:t>
      </w:r>
      <w:r w:rsidRPr="00BD33A4">
        <w:rPr>
          <w:rFonts w:asciiTheme="minorHAnsi" w:hAnsiTheme="minorHAnsi"/>
          <w:sz w:val="24"/>
          <w:szCs w:val="24"/>
        </w:rPr>
        <w:t xml:space="preserve">no differences in costs of </w:t>
      </w:r>
      <w:proofErr w:type="spellStart"/>
      <w:r w:rsidRPr="00BD33A4">
        <w:rPr>
          <w:rFonts w:asciiTheme="minorHAnsi" w:hAnsiTheme="minorHAnsi"/>
          <w:sz w:val="24"/>
          <w:szCs w:val="24"/>
        </w:rPr>
        <w:t>Fluarix</w:t>
      </w:r>
      <w:proofErr w:type="spellEnd"/>
      <w:r w:rsidRPr="00BD33A4">
        <w:rPr>
          <w:rFonts w:asciiTheme="minorHAnsi" w:hAnsiTheme="minorHAnsi"/>
          <w:sz w:val="24"/>
          <w:szCs w:val="24"/>
        </w:rPr>
        <w:t xml:space="preserve"> Tetra and </w:t>
      </w:r>
      <w:proofErr w:type="spellStart"/>
      <w:r w:rsidRPr="00BD33A4">
        <w:rPr>
          <w:rFonts w:asciiTheme="minorHAnsi" w:hAnsiTheme="minorHAnsi"/>
          <w:sz w:val="24"/>
          <w:szCs w:val="24"/>
        </w:rPr>
        <w:t>Flu</w:t>
      </w:r>
      <w:r w:rsidR="00163514" w:rsidRPr="00BD33A4">
        <w:rPr>
          <w:rFonts w:asciiTheme="minorHAnsi" w:hAnsiTheme="minorHAnsi"/>
          <w:sz w:val="24"/>
          <w:szCs w:val="24"/>
        </w:rPr>
        <w:t>Q</w:t>
      </w:r>
      <w:r w:rsidRPr="00BD33A4">
        <w:rPr>
          <w:rFonts w:asciiTheme="minorHAnsi" w:hAnsiTheme="minorHAnsi"/>
          <w:sz w:val="24"/>
          <w:szCs w:val="24"/>
        </w:rPr>
        <w:t>uadri</w:t>
      </w:r>
      <w:proofErr w:type="spellEnd"/>
      <w:r w:rsidRPr="00BD33A4">
        <w:rPr>
          <w:rFonts w:asciiTheme="minorHAnsi" w:hAnsiTheme="minorHAnsi"/>
          <w:sz w:val="24"/>
          <w:szCs w:val="24"/>
        </w:rPr>
        <w:t xml:space="preserve"> Junior with respect to administration, monitoring or safety. </w:t>
      </w:r>
    </w:p>
    <w:p w:rsidR="003C2FB5" w:rsidRPr="00BD33A4" w:rsidRDefault="00A55FEE" w:rsidP="005F3B0E">
      <w:pPr>
        <w:pStyle w:val="Heading2"/>
        <w:keepLines/>
        <w:spacing w:before="120" w:after="120"/>
        <w:rPr>
          <w:rFonts w:asciiTheme="minorHAnsi" w:eastAsiaTheme="majorEastAsia" w:hAnsiTheme="minorHAnsi" w:cstheme="majorBidi"/>
          <w:sz w:val="28"/>
          <w:szCs w:val="28"/>
          <w:lang w:eastAsia="en-US"/>
        </w:rPr>
      </w:pPr>
      <w:r w:rsidRPr="00BD33A4">
        <w:rPr>
          <w:rFonts w:asciiTheme="minorHAnsi" w:eastAsiaTheme="majorEastAsia" w:hAnsiTheme="minorHAnsi" w:cstheme="majorBidi"/>
          <w:sz w:val="28"/>
          <w:szCs w:val="28"/>
          <w:lang w:eastAsia="en-US"/>
        </w:rPr>
        <w:t>Drug cost/patient/</w:t>
      </w:r>
      <w:r w:rsidR="00CB11CD" w:rsidRPr="00BD33A4">
        <w:rPr>
          <w:rFonts w:asciiTheme="minorHAnsi" w:eastAsiaTheme="majorEastAsia" w:hAnsiTheme="minorHAnsi" w:cstheme="majorBidi"/>
          <w:sz w:val="28"/>
          <w:szCs w:val="28"/>
          <w:lang w:eastAsia="en-US"/>
        </w:rPr>
        <w:t>dose</w:t>
      </w:r>
      <w:r w:rsidRPr="00BD33A4">
        <w:rPr>
          <w:rFonts w:asciiTheme="minorHAnsi" w:eastAsiaTheme="majorEastAsia" w:hAnsiTheme="minorHAnsi" w:cstheme="majorBidi"/>
          <w:sz w:val="28"/>
          <w:szCs w:val="28"/>
          <w:lang w:eastAsia="en-US"/>
        </w:rPr>
        <w:t>: $</w:t>
      </w:r>
      <w:r w:rsidR="00BF216E">
        <w:rPr>
          <w:rFonts w:asciiTheme="minorHAnsi" w:eastAsiaTheme="majorEastAsia" w:hAnsiTheme="minorHAnsi" w:cstheme="majorBidi"/>
          <w:noProof/>
          <w:color w:val="000000"/>
          <w:sz w:val="28"/>
          <w:szCs w:val="28"/>
          <w:highlight w:val="black"/>
          <w:lang w:eastAsia="en-US"/>
        </w:rPr>
        <w:t>'''''''</w:t>
      </w:r>
      <w:r w:rsidR="008115B0" w:rsidRPr="00BD33A4">
        <w:rPr>
          <w:rFonts w:asciiTheme="minorHAnsi" w:eastAsiaTheme="majorEastAsia" w:hAnsiTheme="minorHAnsi" w:cstheme="majorBidi"/>
          <w:sz w:val="28"/>
          <w:szCs w:val="28"/>
          <w:lang w:eastAsia="en-US"/>
        </w:rPr>
        <w:t xml:space="preserve"> per dose</w:t>
      </w:r>
    </w:p>
    <w:p w:rsidR="00877712" w:rsidRPr="00BD33A4" w:rsidRDefault="00CB11CD" w:rsidP="005F3B0E">
      <w:pPr>
        <w:pStyle w:val="ListParagraph"/>
        <w:widowControl/>
        <w:numPr>
          <w:ilvl w:val="1"/>
          <w:numId w:val="14"/>
        </w:numPr>
        <w:spacing w:before="120" w:after="120"/>
        <w:rPr>
          <w:rFonts w:asciiTheme="minorHAnsi" w:eastAsiaTheme="minorHAnsi" w:hAnsiTheme="minorHAnsi" w:cstheme="minorBidi"/>
          <w:sz w:val="24"/>
          <w:szCs w:val="22"/>
        </w:rPr>
      </w:pPr>
      <w:r w:rsidRPr="00BD33A4">
        <w:rPr>
          <w:rFonts w:asciiTheme="minorHAnsi" w:eastAsiaTheme="minorHAnsi" w:hAnsiTheme="minorHAnsi" w:cstheme="minorBidi"/>
          <w:snapToGrid/>
          <w:sz w:val="24"/>
          <w:szCs w:val="22"/>
        </w:rPr>
        <w:t>The submission claim</w:t>
      </w:r>
      <w:r w:rsidR="00B62366" w:rsidRPr="00BD33A4">
        <w:rPr>
          <w:rFonts w:asciiTheme="minorHAnsi" w:eastAsiaTheme="minorHAnsi" w:hAnsiTheme="minorHAnsi" w:cstheme="minorBidi"/>
          <w:snapToGrid/>
          <w:sz w:val="24"/>
          <w:szCs w:val="22"/>
        </w:rPr>
        <w:t>ed</w:t>
      </w:r>
      <w:r w:rsidRPr="00BD33A4">
        <w:rPr>
          <w:rFonts w:asciiTheme="minorHAnsi" w:eastAsiaTheme="minorHAnsi" w:hAnsiTheme="minorHAnsi" w:cstheme="minorBidi"/>
          <w:snapToGrid/>
          <w:sz w:val="24"/>
          <w:szCs w:val="22"/>
        </w:rPr>
        <w:t xml:space="preserve"> cost-minimisation </w:t>
      </w:r>
      <w:r w:rsidR="009A1E98" w:rsidRPr="00BD33A4">
        <w:rPr>
          <w:rFonts w:asciiTheme="minorHAnsi" w:eastAsiaTheme="minorHAnsi" w:hAnsiTheme="minorHAnsi" w:cstheme="minorBidi"/>
          <w:snapToGrid/>
          <w:sz w:val="24"/>
          <w:szCs w:val="22"/>
        </w:rPr>
        <w:t xml:space="preserve">based on </w:t>
      </w:r>
      <w:r w:rsidRPr="00BD33A4">
        <w:rPr>
          <w:rFonts w:asciiTheme="minorHAnsi" w:eastAsiaTheme="minorHAnsi" w:hAnsiTheme="minorHAnsi" w:cstheme="minorBidi"/>
          <w:snapToGrid/>
          <w:sz w:val="24"/>
          <w:szCs w:val="22"/>
        </w:rPr>
        <w:t xml:space="preserve">price parity with </w:t>
      </w:r>
      <w:proofErr w:type="spellStart"/>
      <w:r w:rsidR="00170768" w:rsidRPr="00BD33A4">
        <w:rPr>
          <w:rFonts w:asciiTheme="minorHAnsi" w:eastAsiaTheme="minorHAnsi" w:hAnsiTheme="minorHAnsi" w:cstheme="minorBidi"/>
          <w:snapToGrid/>
          <w:sz w:val="24"/>
          <w:szCs w:val="22"/>
        </w:rPr>
        <w:t>FluQuadri</w:t>
      </w:r>
      <w:proofErr w:type="spellEnd"/>
      <w:r w:rsidR="00170768" w:rsidRPr="00BD33A4">
        <w:rPr>
          <w:rFonts w:asciiTheme="minorHAnsi" w:eastAsiaTheme="minorHAnsi" w:hAnsiTheme="minorHAnsi" w:cstheme="minorBidi"/>
          <w:snapToGrid/>
          <w:sz w:val="24"/>
          <w:szCs w:val="22"/>
        </w:rPr>
        <w:t xml:space="preserve"> Junior </w:t>
      </w:r>
      <w:r w:rsidR="009A1E98" w:rsidRPr="00BD33A4">
        <w:rPr>
          <w:rFonts w:asciiTheme="minorHAnsi" w:eastAsiaTheme="minorHAnsi" w:hAnsiTheme="minorHAnsi" w:cstheme="minorBidi"/>
          <w:snapToGrid/>
          <w:sz w:val="24"/>
          <w:szCs w:val="22"/>
        </w:rPr>
        <w:t>at a nationally negotiated vaccine cost of $</w:t>
      </w:r>
      <w:r w:rsidR="00BF216E">
        <w:rPr>
          <w:rFonts w:asciiTheme="minorHAnsi" w:eastAsiaTheme="minorHAnsi" w:hAnsiTheme="minorHAnsi" w:cstheme="minorBidi"/>
          <w:noProof/>
          <w:snapToGrid/>
          <w:color w:val="000000"/>
          <w:sz w:val="24"/>
          <w:szCs w:val="22"/>
          <w:highlight w:val="black"/>
        </w:rPr>
        <w:t>'''''''''</w:t>
      </w:r>
      <w:r w:rsidR="009A1E98" w:rsidRPr="00BD33A4">
        <w:rPr>
          <w:rFonts w:asciiTheme="minorHAnsi" w:eastAsiaTheme="minorHAnsi" w:hAnsiTheme="minorHAnsi" w:cstheme="minorBidi"/>
          <w:snapToGrid/>
          <w:sz w:val="24"/>
          <w:szCs w:val="22"/>
        </w:rPr>
        <w:t xml:space="preserve"> based on a single dose per child per year. This </w:t>
      </w:r>
      <w:r w:rsidR="00383499" w:rsidRPr="00BD33A4">
        <w:rPr>
          <w:rFonts w:asciiTheme="minorHAnsi" w:eastAsiaTheme="minorHAnsi" w:hAnsiTheme="minorHAnsi" w:cstheme="minorBidi"/>
          <w:snapToGrid/>
          <w:sz w:val="24"/>
          <w:szCs w:val="22"/>
        </w:rPr>
        <w:t>wa</w:t>
      </w:r>
      <w:r w:rsidR="009A1E98" w:rsidRPr="00BD33A4">
        <w:rPr>
          <w:rFonts w:asciiTheme="minorHAnsi" w:eastAsiaTheme="minorHAnsi" w:hAnsiTheme="minorHAnsi" w:cstheme="minorBidi"/>
          <w:snapToGrid/>
          <w:sz w:val="24"/>
          <w:szCs w:val="22"/>
        </w:rPr>
        <w:t xml:space="preserve">s equivalent to the nationally negotiated price for </w:t>
      </w:r>
      <w:proofErr w:type="spellStart"/>
      <w:r w:rsidR="009A1E98" w:rsidRPr="00BD33A4">
        <w:rPr>
          <w:rFonts w:asciiTheme="minorHAnsi" w:eastAsiaTheme="minorHAnsi" w:hAnsiTheme="minorHAnsi" w:cstheme="minorBidi"/>
          <w:snapToGrid/>
          <w:sz w:val="24"/>
          <w:szCs w:val="22"/>
        </w:rPr>
        <w:t>FluQuadri</w:t>
      </w:r>
      <w:proofErr w:type="spellEnd"/>
      <w:r w:rsidR="009A1E98" w:rsidRPr="00BD33A4">
        <w:rPr>
          <w:rFonts w:asciiTheme="minorHAnsi" w:eastAsiaTheme="minorHAnsi" w:hAnsiTheme="minorHAnsi" w:cstheme="minorBidi"/>
          <w:snapToGrid/>
          <w:sz w:val="24"/>
          <w:szCs w:val="22"/>
        </w:rPr>
        <w:t xml:space="preserve"> Junior.</w:t>
      </w:r>
    </w:p>
    <w:p w:rsidR="00877712" w:rsidRPr="00BD33A4" w:rsidRDefault="00877712" w:rsidP="005F3B0E">
      <w:pPr>
        <w:pStyle w:val="ListParagraph"/>
        <w:widowControl/>
        <w:numPr>
          <w:ilvl w:val="1"/>
          <w:numId w:val="14"/>
        </w:numPr>
        <w:spacing w:before="120" w:after="120"/>
        <w:rPr>
          <w:rFonts w:asciiTheme="minorHAnsi" w:eastAsiaTheme="minorHAnsi" w:hAnsiTheme="minorHAnsi" w:cstheme="minorBidi"/>
          <w:sz w:val="24"/>
          <w:szCs w:val="22"/>
        </w:rPr>
      </w:pPr>
      <w:r w:rsidRPr="00BD33A4">
        <w:rPr>
          <w:rFonts w:asciiTheme="minorHAnsi" w:eastAsiaTheme="minorHAnsi" w:hAnsiTheme="minorHAnsi" w:cstheme="minorBidi"/>
          <w:snapToGrid/>
          <w:color w:val="000000" w:themeColor="text1"/>
          <w:sz w:val="24"/>
          <w:szCs w:val="22"/>
        </w:rPr>
        <w:t xml:space="preserve">For influenza vaccine naïve children aged </w:t>
      </w:r>
      <w:r w:rsidR="0089601B" w:rsidRPr="00BD33A4">
        <w:rPr>
          <w:rFonts w:asciiTheme="minorHAnsi" w:eastAsiaTheme="minorHAnsi" w:hAnsiTheme="minorHAnsi" w:cstheme="minorBidi"/>
          <w:snapToGrid/>
          <w:color w:val="000000" w:themeColor="text1"/>
          <w:sz w:val="24"/>
          <w:szCs w:val="22"/>
        </w:rPr>
        <w:t>6 months</w:t>
      </w:r>
      <w:r w:rsidRPr="00BD33A4">
        <w:rPr>
          <w:rFonts w:asciiTheme="minorHAnsi" w:eastAsiaTheme="minorHAnsi" w:hAnsiTheme="minorHAnsi" w:cstheme="minorBidi"/>
          <w:snapToGrid/>
          <w:color w:val="000000" w:themeColor="text1"/>
          <w:sz w:val="24"/>
          <w:szCs w:val="22"/>
        </w:rPr>
        <w:t xml:space="preserve"> to &lt;9 years, the cost would be $</w:t>
      </w:r>
      <w:r w:rsidR="00BF216E">
        <w:rPr>
          <w:rFonts w:asciiTheme="minorHAnsi" w:eastAsiaTheme="minorHAnsi" w:hAnsiTheme="minorHAnsi" w:cstheme="minorBidi"/>
          <w:noProof/>
          <w:snapToGrid/>
          <w:color w:val="000000"/>
          <w:sz w:val="24"/>
          <w:szCs w:val="22"/>
          <w:highlight w:val="black"/>
        </w:rPr>
        <w:t>'''''''''''</w:t>
      </w:r>
      <w:r w:rsidRPr="00BD33A4">
        <w:rPr>
          <w:rFonts w:asciiTheme="minorHAnsi" w:eastAsiaTheme="minorHAnsi" w:hAnsiTheme="minorHAnsi" w:cstheme="minorBidi"/>
          <w:snapToGrid/>
          <w:color w:val="000000" w:themeColor="text1"/>
          <w:sz w:val="24"/>
          <w:szCs w:val="22"/>
        </w:rPr>
        <w:t xml:space="preserve"> in the first year based on the child receiving two vaccinations four weeks apart in the first year, followed by $</w:t>
      </w:r>
      <w:r w:rsidR="00BF216E">
        <w:rPr>
          <w:rFonts w:asciiTheme="minorHAnsi" w:eastAsiaTheme="minorHAnsi" w:hAnsiTheme="minorHAnsi" w:cstheme="minorBidi"/>
          <w:noProof/>
          <w:snapToGrid/>
          <w:color w:val="000000"/>
          <w:sz w:val="24"/>
          <w:szCs w:val="22"/>
          <w:highlight w:val="black"/>
        </w:rPr>
        <w:t>'''''''''</w:t>
      </w:r>
      <w:r w:rsidRPr="00BD33A4">
        <w:rPr>
          <w:rFonts w:asciiTheme="minorHAnsi" w:eastAsiaTheme="minorHAnsi" w:hAnsiTheme="minorHAnsi" w:cstheme="minorBidi"/>
          <w:snapToGrid/>
          <w:color w:val="000000" w:themeColor="text1"/>
          <w:sz w:val="24"/>
          <w:szCs w:val="22"/>
        </w:rPr>
        <w:t xml:space="preserve"> per child per year thereafter. The dosage frequency </w:t>
      </w:r>
      <w:r w:rsidR="00383499" w:rsidRPr="00BD33A4">
        <w:rPr>
          <w:rFonts w:asciiTheme="minorHAnsi" w:eastAsiaTheme="minorHAnsi" w:hAnsiTheme="minorHAnsi" w:cstheme="minorBidi"/>
          <w:snapToGrid/>
          <w:color w:val="000000" w:themeColor="text1"/>
          <w:sz w:val="24"/>
          <w:szCs w:val="22"/>
        </w:rPr>
        <w:t xml:space="preserve">was </w:t>
      </w:r>
      <w:r w:rsidRPr="00BD33A4">
        <w:rPr>
          <w:rFonts w:asciiTheme="minorHAnsi" w:eastAsiaTheme="minorHAnsi" w:hAnsiTheme="minorHAnsi" w:cstheme="minorBidi"/>
          <w:snapToGrid/>
          <w:color w:val="000000" w:themeColor="text1"/>
          <w:sz w:val="24"/>
          <w:szCs w:val="22"/>
        </w:rPr>
        <w:t>equivalent to the comparator.</w:t>
      </w:r>
    </w:p>
    <w:p w:rsidR="005A3173" w:rsidRPr="00BD33A4" w:rsidRDefault="005A3173" w:rsidP="005F3B0E">
      <w:pPr>
        <w:pStyle w:val="Heading2"/>
        <w:keepLines/>
        <w:spacing w:before="120" w:after="120"/>
        <w:rPr>
          <w:rFonts w:asciiTheme="minorHAnsi" w:eastAsiaTheme="majorEastAsia" w:hAnsiTheme="minorHAnsi" w:cstheme="majorBidi"/>
          <w:sz w:val="28"/>
          <w:szCs w:val="28"/>
          <w:lang w:eastAsia="en-US"/>
        </w:rPr>
      </w:pPr>
      <w:r w:rsidRPr="00BD33A4">
        <w:rPr>
          <w:rFonts w:asciiTheme="minorHAnsi" w:eastAsiaTheme="majorEastAsia" w:hAnsiTheme="minorHAnsi" w:cstheme="majorBidi"/>
          <w:sz w:val="28"/>
          <w:szCs w:val="28"/>
          <w:lang w:eastAsia="en-US"/>
        </w:rPr>
        <w:t xml:space="preserve">Estimated </w:t>
      </w:r>
      <w:r w:rsidR="008115B0" w:rsidRPr="00BD33A4">
        <w:rPr>
          <w:rFonts w:asciiTheme="minorHAnsi" w:eastAsiaTheme="majorEastAsia" w:hAnsiTheme="minorHAnsi" w:cstheme="majorBidi"/>
          <w:sz w:val="28"/>
          <w:szCs w:val="28"/>
          <w:lang w:eastAsia="en-US"/>
        </w:rPr>
        <w:t xml:space="preserve">NIP </w:t>
      </w:r>
      <w:r w:rsidRPr="00BD33A4">
        <w:rPr>
          <w:rFonts w:asciiTheme="minorHAnsi" w:eastAsiaTheme="majorEastAsia" w:hAnsiTheme="minorHAnsi" w:cstheme="majorBidi"/>
          <w:sz w:val="28"/>
          <w:szCs w:val="28"/>
          <w:lang w:eastAsia="en-US"/>
        </w:rPr>
        <w:t>usage &amp; financial implications</w:t>
      </w:r>
    </w:p>
    <w:p w:rsidR="00C00DA7" w:rsidRPr="00BD33A4" w:rsidRDefault="00FF2801" w:rsidP="005F3B0E">
      <w:pPr>
        <w:pStyle w:val="ListParagraph"/>
        <w:widowControl/>
        <w:numPr>
          <w:ilvl w:val="1"/>
          <w:numId w:val="14"/>
        </w:numPr>
        <w:spacing w:before="120" w:after="120"/>
        <w:rPr>
          <w:rFonts w:asciiTheme="minorHAnsi" w:hAnsiTheme="minorHAnsi"/>
          <w:sz w:val="24"/>
          <w:szCs w:val="24"/>
        </w:rPr>
      </w:pPr>
      <w:r w:rsidRPr="00BD33A4">
        <w:rPr>
          <w:rFonts w:asciiTheme="minorHAnsi" w:hAnsiTheme="minorHAnsi"/>
          <w:sz w:val="24"/>
          <w:szCs w:val="24"/>
        </w:rPr>
        <w:t>The minor submission estimated</w:t>
      </w:r>
      <w:r w:rsidR="00C00DA7" w:rsidRPr="00BD33A4">
        <w:rPr>
          <w:rFonts w:asciiTheme="minorHAnsi" w:hAnsiTheme="minorHAnsi"/>
          <w:sz w:val="24"/>
          <w:szCs w:val="24"/>
        </w:rPr>
        <w:t xml:space="preserve"> there to be no financial implications to the </w:t>
      </w:r>
      <w:r w:rsidR="008115B0" w:rsidRPr="00BD33A4">
        <w:rPr>
          <w:rFonts w:asciiTheme="minorHAnsi" w:hAnsiTheme="minorHAnsi"/>
          <w:sz w:val="24"/>
          <w:szCs w:val="24"/>
        </w:rPr>
        <w:t xml:space="preserve">NIP </w:t>
      </w:r>
      <w:r w:rsidR="00C00DA7" w:rsidRPr="00BD33A4">
        <w:rPr>
          <w:rFonts w:asciiTheme="minorHAnsi" w:hAnsiTheme="minorHAnsi"/>
          <w:sz w:val="24"/>
          <w:szCs w:val="24"/>
        </w:rPr>
        <w:t>as the submission expect</w:t>
      </w:r>
      <w:r w:rsidR="009A1E98" w:rsidRPr="00BD33A4">
        <w:rPr>
          <w:rFonts w:asciiTheme="minorHAnsi" w:hAnsiTheme="minorHAnsi"/>
          <w:sz w:val="24"/>
          <w:szCs w:val="24"/>
        </w:rPr>
        <w:t>ed</w:t>
      </w:r>
      <w:r w:rsidR="00C00DA7" w:rsidRPr="00BD33A4">
        <w:rPr>
          <w:rFonts w:asciiTheme="minorHAnsi" w:hAnsiTheme="minorHAnsi"/>
          <w:sz w:val="24"/>
          <w:szCs w:val="24"/>
        </w:rPr>
        <w:t xml:space="preserve"> </w:t>
      </w:r>
      <w:proofErr w:type="spellStart"/>
      <w:r w:rsidR="00BB4A67" w:rsidRPr="00BD33A4">
        <w:rPr>
          <w:rFonts w:asciiTheme="minorHAnsi" w:hAnsiTheme="minorHAnsi"/>
          <w:sz w:val="24"/>
          <w:szCs w:val="24"/>
        </w:rPr>
        <w:t>Fluarix</w:t>
      </w:r>
      <w:proofErr w:type="spellEnd"/>
      <w:r w:rsidR="00BB4A67" w:rsidRPr="00BD33A4">
        <w:rPr>
          <w:rFonts w:asciiTheme="minorHAnsi" w:hAnsiTheme="minorHAnsi"/>
          <w:sz w:val="24"/>
          <w:szCs w:val="24"/>
        </w:rPr>
        <w:t xml:space="preserve"> Tetra</w:t>
      </w:r>
      <w:r w:rsidR="00C00DA7" w:rsidRPr="00BD33A4">
        <w:rPr>
          <w:rFonts w:asciiTheme="minorHAnsi" w:hAnsiTheme="minorHAnsi"/>
          <w:sz w:val="24"/>
          <w:szCs w:val="24"/>
        </w:rPr>
        <w:t xml:space="preserve"> to substitute for </w:t>
      </w:r>
      <w:proofErr w:type="spellStart"/>
      <w:r w:rsidR="00BB4A67" w:rsidRPr="00BD33A4">
        <w:rPr>
          <w:rFonts w:asciiTheme="minorHAnsi" w:hAnsiTheme="minorHAnsi"/>
          <w:sz w:val="24"/>
          <w:szCs w:val="24"/>
        </w:rPr>
        <w:t>FluQuadri</w:t>
      </w:r>
      <w:proofErr w:type="spellEnd"/>
      <w:r w:rsidR="00BB4A67" w:rsidRPr="00BD33A4">
        <w:rPr>
          <w:rFonts w:asciiTheme="minorHAnsi" w:hAnsiTheme="minorHAnsi"/>
          <w:sz w:val="24"/>
          <w:szCs w:val="24"/>
        </w:rPr>
        <w:t xml:space="preserve"> Junior</w:t>
      </w:r>
      <w:r w:rsidR="00C00DA7" w:rsidRPr="00BD33A4">
        <w:rPr>
          <w:rFonts w:asciiTheme="minorHAnsi" w:hAnsiTheme="minorHAnsi"/>
          <w:sz w:val="24"/>
          <w:szCs w:val="24"/>
        </w:rPr>
        <w:t xml:space="preserve"> and both </w:t>
      </w:r>
      <w:r w:rsidR="00BB4A67" w:rsidRPr="00BD33A4">
        <w:rPr>
          <w:rFonts w:asciiTheme="minorHAnsi" w:hAnsiTheme="minorHAnsi"/>
          <w:sz w:val="24"/>
          <w:szCs w:val="24"/>
        </w:rPr>
        <w:t>vaccines</w:t>
      </w:r>
      <w:r w:rsidR="00C00DA7" w:rsidRPr="00BD33A4">
        <w:rPr>
          <w:rFonts w:asciiTheme="minorHAnsi" w:hAnsiTheme="minorHAnsi"/>
          <w:sz w:val="24"/>
          <w:szCs w:val="24"/>
        </w:rPr>
        <w:t xml:space="preserve"> have the same </w:t>
      </w:r>
      <w:r w:rsidR="006D1400" w:rsidRPr="00BD33A4">
        <w:rPr>
          <w:rFonts w:asciiTheme="minorHAnsi" w:hAnsiTheme="minorHAnsi"/>
          <w:sz w:val="24"/>
          <w:szCs w:val="24"/>
        </w:rPr>
        <w:t xml:space="preserve">nationally negotiated </w:t>
      </w:r>
      <w:r w:rsidR="00C00DA7" w:rsidRPr="00BD33A4">
        <w:rPr>
          <w:rFonts w:asciiTheme="minorHAnsi" w:hAnsiTheme="minorHAnsi"/>
          <w:sz w:val="24"/>
          <w:szCs w:val="24"/>
        </w:rPr>
        <w:t>price.</w:t>
      </w:r>
      <w:r w:rsidR="00BB4A67" w:rsidRPr="00BD33A4">
        <w:rPr>
          <w:rFonts w:asciiTheme="minorHAnsi" w:hAnsiTheme="minorHAnsi"/>
          <w:sz w:val="24"/>
          <w:szCs w:val="24"/>
        </w:rPr>
        <w:t xml:space="preserve"> </w:t>
      </w:r>
    </w:p>
    <w:p w:rsidR="00081224" w:rsidRPr="00BD33A4" w:rsidRDefault="00081224" w:rsidP="005F3B0E">
      <w:pPr>
        <w:pStyle w:val="Heading1"/>
        <w:keepNext/>
        <w:keepLines/>
        <w:widowControl/>
        <w:numPr>
          <w:ilvl w:val="0"/>
          <w:numId w:val="14"/>
        </w:numPr>
        <w:spacing w:before="120" w:after="120"/>
        <w:ind w:left="709" w:hanging="709"/>
        <w:jc w:val="left"/>
        <w:rPr>
          <w:rFonts w:asciiTheme="minorHAnsi" w:hAnsiTheme="minorHAnsi"/>
          <w:sz w:val="32"/>
          <w:szCs w:val="32"/>
        </w:rPr>
      </w:pPr>
      <w:r w:rsidRPr="00BD33A4">
        <w:rPr>
          <w:rFonts w:asciiTheme="minorHAnsi" w:hAnsiTheme="minorHAnsi"/>
          <w:sz w:val="32"/>
          <w:szCs w:val="32"/>
        </w:rPr>
        <w:t>PBAC Outcome</w:t>
      </w:r>
    </w:p>
    <w:p w:rsidR="00DF6701" w:rsidRPr="00BD33A4" w:rsidRDefault="00DF6701" w:rsidP="005F3B0E">
      <w:pPr>
        <w:pStyle w:val="ListParagraph"/>
        <w:widowControl/>
        <w:numPr>
          <w:ilvl w:val="1"/>
          <w:numId w:val="5"/>
        </w:numPr>
        <w:spacing w:before="120" w:after="120"/>
        <w:rPr>
          <w:rFonts w:asciiTheme="minorHAnsi" w:eastAsiaTheme="minorHAnsi" w:hAnsiTheme="minorHAnsi" w:cstheme="minorBidi"/>
          <w:snapToGrid/>
        </w:rPr>
      </w:pPr>
      <w:r w:rsidRPr="001B7756">
        <w:rPr>
          <w:rFonts w:asciiTheme="minorHAnsi" w:hAnsiTheme="minorHAnsi"/>
          <w:bCs/>
          <w:sz w:val="24"/>
          <w:szCs w:val="24"/>
        </w:rPr>
        <w:t xml:space="preserve">The PBAC recommended an extension to the listing of </w:t>
      </w:r>
      <w:proofErr w:type="spellStart"/>
      <w:r w:rsidRPr="001B7756">
        <w:rPr>
          <w:rFonts w:asciiTheme="minorHAnsi" w:hAnsiTheme="minorHAnsi"/>
          <w:bCs/>
          <w:sz w:val="24"/>
          <w:szCs w:val="24"/>
        </w:rPr>
        <w:t>Fluarix</w:t>
      </w:r>
      <w:proofErr w:type="spellEnd"/>
      <w:r w:rsidRPr="001B7756">
        <w:rPr>
          <w:rFonts w:asciiTheme="minorHAnsi" w:hAnsiTheme="minorHAnsi"/>
          <w:bCs/>
          <w:sz w:val="24"/>
          <w:szCs w:val="24"/>
        </w:rPr>
        <w:t xml:space="preserve"> Tetra</w:t>
      </w:r>
      <w:r w:rsidR="00905628" w:rsidRPr="00BD33A4">
        <w:rPr>
          <w:rFonts w:asciiTheme="minorHAnsi" w:hAnsiTheme="minorHAnsi" w:cstheme="minorHAnsi"/>
          <w:bCs/>
          <w:sz w:val="24"/>
          <w:szCs w:val="24"/>
        </w:rPr>
        <w:t>®</w:t>
      </w:r>
      <w:r w:rsidRPr="001B7756">
        <w:rPr>
          <w:rFonts w:asciiTheme="minorHAnsi" w:hAnsiTheme="minorHAnsi"/>
          <w:bCs/>
          <w:sz w:val="24"/>
          <w:szCs w:val="24"/>
        </w:rPr>
        <w:t xml:space="preserve"> (</w:t>
      </w:r>
      <w:proofErr w:type="spellStart"/>
      <w:r w:rsidRPr="001B7756">
        <w:rPr>
          <w:rFonts w:asciiTheme="minorHAnsi" w:hAnsiTheme="minorHAnsi"/>
          <w:bCs/>
          <w:sz w:val="24"/>
          <w:szCs w:val="24"/>
        </w:rPr>
        <w:t>quadrivalent</w:t>
      </w:r>
      <w:proofErr w:type="spellEnd"/>
      <w:r w:rsidRPr="001B7756">
        <w:rPr>
          <w:rFonts w:asciiTheme="minorHAnsi" w:hAnsiTheme="minorHAnsi"/>
          <w:bCs/>
          <w:sz w:val="24"/>
          <w:szCs w:val="24"/>
        </w:rPr>
        <w:t xml:space="preserve"> influenza vaccine (split </w:t>
      </w:r>
      <w:proofErr w:type="spellStart"/>
      <w:r w:rsidRPr="001B7756">
        <w:rPr>
          <w:rFonts w:asciiTheme="minorHAnsi" w:hAnsiTheme="minorHAnsi"/>
          <w:bCs/>
          <w:sz w:val="24"/>
          <w:szCs w:val="24"/>
        </w:rPr>
        <w:t>virion</w:t>
      </w:r>
      <w:proofErr w:type="spellEnd"/>
      <w:r w:rsidRPr="001B7756">
        <w:rPr>
          <w:rFonts w:asciiTheme="minorHAnsi" w:hAnsiTheme="minorHAnsi"/>
          <w:bCs/>
          <w:sz w:val="24"/>
          <w:szCs w:val="24"/>
        </w:rPr>
        <w:t xml:space="preserve">, inactivated)), on the </w:t>
      </w:r>
      <w:r w:rsidR="007B647F" w:rsidRPr="00BD33A4">
        <w:rPr>
          <w:rFonts w:asciiTheme="minorHAnsi" w:eastAsiaTheme="minorHAnsi" w:hAnsiTheme="minorHAnsi" w:cstheme="minorBidi"/>
          <w:i/>
          <w:snapToGrid/>
          <w:sz w:val="24"/>
          <w:szCs w:val="24"/>
        </w:rPr>
        <w:t>National Health (Immunisation Program – Designated Vaccines</w:t>
      </w:r>
      <w:r w:rsidR="00025530" w:rsidRPr="00BD33A4">
        <w:rPr>
          <w:rFonts w:asciiTheme="minorHAnsi" w:eastAsiaTheme="minorHAnsi" w:hAnsiTheme="minorHAnsi" w:cstheme="minorBidi"/>
          <w:i/>
          <w:snapToGrid/>
          <w:sz w:val="24"/>
          <w:szCs w:val="24"/>
        </w:rPr>
        <w:t>)</w:t>
      </w:r>
      <w:r w:rsidR="007B647F" w:rsidRPr="00BD33A4">
        <w:rPr>
          <w:rFonts w:asciiTheme="minorHAnsi" w:eastAsiaTheme="minorHAnsi" w:hAnsiTheme="minorHAnsi" w:cstheme="minorBidi"/>
          <w:i/>
          <w:snapToGrid/>
          <w:sz w:val="24"/>
          <w:szCs w:val="24"/>
        </w:rPr>
        <w:t xml:space="preserve"> Determination 2014 (No.1)</w:t>
      </w:r>
      <w:r w:rsidR="007B647F" w:rsidRPr="00BD33A4">
        <w:rPr>
          <w:rFonts w:asciiTheme="minorHAnsi" w:eastAsiaTheme="minorHAnsi" w:hAnsiTheme="minorHAnsi" w:cstheme="minorBidi"/>
          <w:snapToGrid/>
          <w:sz w:val="24"/>
          <w:szCs w:val="24"/>
        </w:rPr>
        <w:t xml:space="preserve"> </w:t>
      </w:r>
      <w:r w:rsidR="00025530" w:rsidRPr="00BD33A4">
        <w:rPr>
          <w:rFonts w:asciiTheme="minorHAnsi" w:eastAsiaTheme="minorHAnsi" w:hAnsiTheme="minorHAnsi" w:cstheme="minorBidi"/>
          <w:snapToGrid/>
          <w:sz w:val="24"/>
          <w:szCs w:val="24"/>
        </w:rPr>
        <w:t>(</w:t>
      </w:r>
      <w:r w:rsidR="007B647F" w:rsidRPr="00BD33A4">
        <w:rPr>
          <w:rFonts w:asciiTheme="minorHAnsi" w:eastAsiaTheme="minorHAnsi" w:hAnsiTheme="minorHAnsi" w:cstheme="minorBidi"/>
          <w:snapToGrid/>
          <w:sz w:val="24"/>
          <w:szCs w:val="24"/>
        </w:rPr>
        <w:t>the Determination)</w:t>
      </w:r>
      <w:r w:rsidR="00025530" w:rsidRPr="00BD33A4">
        <w:rPr>
          <w:rFonts w:asciiTheme="minorHAnsi" w:eastAsiaTheme="minorHAnsi" w:hAnsiTheme="minorHAnsi" w:cstheme="minorBidi"/>
          <w:snapToGrid/>
          <w:sz w:val="24"/>
          <w:szCs w:val="24"/>
        </w:rPr>
        <w:t>,</w:t>
      </w:r>
      <w:r w:rsidR="007B647F" w:rsidRPr="001B7756">
        <w:rPr>
          <w:rFonts w:asciiTheme="minorHAnsi" w:hAnsiTheme="minorHAnsi"/>
          <w:bCs/>
          <w:sz w:val="24"/>
          <w:szCs w:val="24"/>
        </w:rPr>
        <w:t xml:space="preserve"> </w:t>
      </w:r>
      <w:r w:rsidRPr="001B7756">
        <w:rPr>
          <w:rFonts w:asciiTheme="minorHAnsi" w:hAnsiTheme="minorHAnsi"/>
          <w:bCs/>
          <w:sz w:val="24"/>
          <w:szCs w:val="24"/>
        </w:rPr>
        <w:t xml:space="preserve">for the prevention of seasonal influenza to include </w:t>
      </w:r>
      <w:r w:rsidR="00E74DC7" w:rsidRPr="001B7756">
        <w:rPr>
          <w:rFonts w:asciiTheme="minorHAnsi" w:hAnsiTheme="minorHAnsi"/>
          <w:bCs/>
          <w:sz w:val="24"/>
          <w:szCs w:val="24"/>
        </w:rPr>
        <w:t>high</w:t>
      </w:r>
      <w:r w:rsidRPr="001B7756">
        <w:rPr>
          <w:rFonts w:asciiTheme="minorHAnsi" w:hAnsiTheme="minorHAnsi"/>
          <w:bCs/>
          <w:sz w:val="24"/>
          <w:szCs w:val="24"/>
        </w:rPr>
        <w:t xml:space="preserve"> risk </w:t>
      </w:r>
      <w:r w:rsidR="00E74DC7" w:rsidRPr="001B7756">
        <w:rPr>
          <w:rFonts w:asciiTheme="minorHAnsi" w:hAnsiTheme="minorHAnsi"/>
          <w:bCs/>
          <w:sz w:val="24"/>
          <w:szCs w:val="24"/>
        </w:rPr>
        <w:t>and Aboriginal and/or Torres Strait Islander</w:t>
      </w:r>
      <w:r w:rsidRPr="001B7756">
        <w:rPr>
          <w:rFonts w:asciiTheme="minorHAnsi" w:hAnsiTheme="minorHAnsi"/>
          <w:bCs/>
          <w:sz w:val="24"/>
          <w:szCs w:val="24"/>
        </w:rPr>
        <w:t xml:space="preserve"> </w:t>
      </w:r>
      <w:r w:rsidR="00E74DC7" w:rsidRPr="001B7756">
        <w:rPr>
          <w:rFonts w:asciiTheme="minorHAnsi" w:hAnsiTheme="minorHAnsi"/>
          <w:bCs/>
          <w:sz w:val="24"/>
          <w:szCs w:val="24"/>
        </w:rPr>
        <w:t xml:space="preserve">infants </w:t>
      </w:r>
      <w:r w:rsidRPr="001B7756">
        <w:rPr>
          <w:rFonts w:asciiTheme="minorHAnsi" w:hAnsiTheme="minorHAnsi"/>
          <w:bCs/>
          <w:sz w:val="24"/>
          <w:szCs w:val="24"/>
        </w:rPr>
        <w:t>and children aged 6 to 35 months of age</w:t>
      </w:r>
      <w:r w:rsidR="00BD33A4">
        <w:rPr>
          <w:rFonts w:asciiTheme="minorHAnsi" w:hAnsiTheme="minorHAnsi"/>
          <w:bCs/>
          <w:sz w:val="24"/>
          <w:szCs w:val="24"/>
        </w:rPr>
        <w:t xml:space="preserve">. </w:t>
      </w:r>
      <w:r w:rsidRPr="001B7756">
        <w:rPr>
          <w:rFonts w:asciiTheme="minorHAnsi" w:hAnsiTheme="minorHAnsi"/>
          <w:bCs/>
          <w:sz w:val="24"/>
          <w:szCs w:val="24"/>
        </w:rPr>
        <w:t xml:space="preserve">The PBAC considered that </w:t>
      </w:r>
      <w:proofErr w:type="spellStart"/>
      <w:r w:rsidRPr="001B7756">
        <w:rPr>
          <w:rFonts w:asciiTheme="minorHAnsi" w:hAnsiTheme="minorHAnsi"/>
          <w:bCs/>
          <w:sz w:val="24"/>
          <w:szCs w:val="24"/>
        </w:rPr>
        <w:t>Fluarix</w:t>
      </w:r>
      <w:proofErr w:type="spellEnd"/>
      <w:r w:rsidRPr="001B7756">
        <w:rPr>
          <w:rFonts w:asciiTheme="minorHAnsi" w:hAnsiTheme="minorHAnsi"/>
          <w:bCs/>
          <w:sz w:val="24"/>
          <w:szCs w:val="24"/>
        </w:rPr>
        <w:t xml:space="preserve"> Tetra was cost-effective on a cost</w:t>
      </w:r>
      <w:r w:rsidR="00025530" w:rsidRPr="001B7756">
        <w:rPr>
          <w:rFonts w:asciiTheme="minorHAnsi" w:hAnsiTheme="minorHAnsi"/>
          <w:bCs/>
          <w:sz w:val="24"/>
          <w:szCs w:val="24"/>
        </w:rPr>
        <w:t>-</w:t>
      </w:r>
      <w:r w:rsidRPr="001B7756">
        <w:rPr>
          <w:rFonts w:asciiTheme="minorHAnsi" w:hAnsiTheme="minorHAnsi"/>
          <w:bCs/>
          <w:sz w:val="24"/>
          <w:szCs w:val="24"/>
        </w:rPr>
        <w:t xml:space="preserve">minimisation basis to the comparator </w:t>
      </w:r>
      <w:proofErr w:type="spellStart"/>
      <w:r w:rsidRPr="001B7756">
        <w:rPr>
          <w:rFonts w:asciiTheme="minorHAnsi" w:hAnsiTheme="minorHAnsi"/>
          <w:bCs/>
          <w:sz w:val="24"/>
          <w:szCs w:val="24"/>
        </w:rPr>
        <w:t>FluQuadri</w:t>
      </w:r>
      <w:proofErr w:type="spellEnd"/>
      <w:r w:rsidR="00905628" w:rsidRPr="00BD33A4">
        <w:rPr>
          <w:rFonts w:asciiTheme="minorHAnsi" w:hAnsiTheme="minorHAnsi" w:cstheme="minorHAnsi"/>
          <w:bCs/>
          <w:sz w:val="24"/>
          <w:szCs w:val="24"/>
        </w:rPr>
        <w:t>®</w:t>
      </w:r>
      <w:r w:rsidRPr="001B7756">
        <w:rPr>
          <w:rFonts w:asciiTheme="minorHAnsi" w:hAnsiTheme="minorHAnsi"/>
          <w:bCs/>
          <w:sz w:val="24"/>
          <w:szCs w:val="24"/>
        </w:rPr>
        <w:t xml:space="preserve"> Junior on the basis of an </w:t>
      </w:r>
      <w:proofErr w:type="spellStart"/>
      <w:r w:rsidRPr="001B7756">
        <w:rPr>
          <w:rFonts w:asciiTheme="minorHAnsi" w:hAnsiTheme="minorHAnsi"/>
          <w:bCs/>
          <w:sz w:val="24"/>
          <w:szCs w:val="24"/>
        </w:rPr>
        <w:t>equi</w:t>
      </w:r>
      <w:proofErr w:type="spellEnd"/>
      <w:r w:rsidR="00025530" w:rsidRPr="001B7756">
        <w:rPr>
          <w:rFonts w:asciiTheme="minorHAnsi" w:hAnsiTheme="minorHAnsi"/>
          <w:bCs/>
          <w:sz w:val="24"/>
          <w:szCs w:val="24"/>
        </w:rPr>
        <w:t>-</w:t>
      </w:r>
      <w:r w:rsidRPr="001B7756">
        <w:rPr>
          <w:rFonts w:asciiTheme="minorHAnsi" w:hAnsiTheme="minorHAnsi"/>
          <w:bCs/>
          <w:sz w:val="24"/>
          <w:szCs w:val="24"/>
        </w:rPr>
        <w:t xml:space="preserve">effective dose of one 0.5 mL dose of </w:t>
      </w:r>
      <w:proofErr w:type="spellStart"/>
      <w:r w:rsidRPr="001B7756">
        <w:rPr>
          <w:rFonts w:asciiTheme="minorHAnsi" w:hAnsiTheme="minorHAnsi"/>
          <w:bCs/>
          <w:sz w:val="24"/>
          <w:szCs w:val="24"/>
        </w:rPr>
        <w:t>Fluarix</w:t>
      </w:r>
      <w:proofErr w:type="spellEnd"/>
      <w:r w:rsidRPr="001B7756">
        <w:rPr>
          <w:rFonts w:asciiTheme="minorHAnsi" w:hAnsiTheme="minorHAnsi"/>
          <w:bCs/>
          <w:sz w:val="24"/>
          <w:szCs w:val="24"/>
        </w:rPr>
        <w:t xml:space="preserve"> Tetra to one 0.25 mL dose of the currently NIP listed comparator </w:t>
      </w:r>
      <w:proofErr w:type="spellStart"/>
      <w:r w:rsidRPr="001B7756">
        <w:rPr>
          <w:rFonts w:asciiTheme="minorHAnsi" w:hAnsiTheme="minorHAnsi"/>
          <w:bCs/>
          <w:sz w:val="24"/>
          <w:szCs w:val="24"/>
        </w:rPr>
        <w:t>FluQuadri</w:t>
      </w:r>
      <w:proofErr w:type="spellEnd"/>
      <w:r w:rsidRPr="001B7756">
        <w:rPr>
          <w:rFonts w:asciiTheme="minorHAnsi" w:hAnsiTheme="minorHAnsi"/>
          <w:bCs/>
          <w:sz w:val="24"/>
          <w:szCs w:val="24"/>
        </w:rPr>
        <w:t xml:space="preserve"> Junior</w:t>
      </w:r>
      <w:r w:rsidR="00BD33A4">
        <w:rPr>
          <w:rFonts w:asciiTheme="minorHAnsi" w:hAnsiTheme="minorHAnsi"/>
          <w:bCs/>
          <w:sz w:val="24"/>
          <w:szCs w:val="24"/>
        </w:rPr>
        <w:t xml:space="preserve">. </w:t>
      </w:r>
      <w:r w:rsidRPr="001B7756">
        <w:rPr>
          <w:rFonts w:asciiTheme="minorHAnsi" w:hAnsiTheme="minorHAnsi"/>
          <w:bCs/>
          <w:sz w:val="24"/>
          <w:szCs w:val="24"/>
        </w:rPr>
        <w:t xml:space="preserve">The PBAC noted that the inclusion of </w:t>
      </w:r>
      <w:proofErr w:type="spellStart"/>
      <w:r w:rsidRPr="001B7756">
        <w:rPr>
          <w:rFonts w:asciiTheme="minorHAnsi" w:hAnsiTheme="minorHAnsi"/>
          <w:bCs/>
          <w:sz w:val="24"/>
          <w:szCs w:val="24"/>
        </w:rPr>
        <w:t>Fluarix</w:t>
      </w:r>
      <w:proofErr w:type="spellEnd"/>
      <w:r w:rsidRPr="001B7756">
        <w:rPr>
          <w:rFonts w:asciiTheme="minorHAnsi" w:hAnsiTheme="minorHAnsi"/>
          <w:bCs/>
          <w:sz w:val="24"/>
          <w:szCs w:val="24"/>
        </w:rPr>
        <w:t xml:space="preserve"> Tetra on the NIP would be a useful addition to the supply of influenza vaccinations in infants and young children.</w:t>
      </w:r>
    </w:p>
    <w:p w:rsidR="00CC6F8C" w:rsidRPr="001B7756" w:rsidRDefault="00CC6F8C" w:rsidP="005F3B0E">
      <w:pPr>
        <w:widowControl w:val="0"/>
        <w:numPr>
          <w:ilvl w:val="1"/>
          <w:numId w:val="5"/>
        </w:numPr>
        <w:spacing w:before="120" w:after="120"/>
        <w:jc w:val="both"/>
        <w:rPr>
          <w:rFonts w:asciiTheme="minorHAnsi" w:hAnsiTheme="minorHAnsi" w:cs="Arial"/>
          <w:bCs/>
          <w:snapToGrid w:val="0"/>
        </w:rPr>
      </w:pPr>
      <w:r w:rsidRPr="001B7756">
        <w:rPr>
          <w:rFonts w:asciiTheme="minorHAnsi" w:hAnsiTheme="minorHAnsi"/>
          <w:bCs/>
        </w:rPr>
        <w:t>The PBAC noted that the NIP currently provides free seasonal influenza vaccin</w:t>
      </w:r>
      <w:r w:rsidR="007B647F" w:rsidRPr="001B7756">
        <w:rPr>
          <w:rFonts w:asciiTheme="minorHAnsi" w:hAnsiTheme="minorHAnsi"/>
          <w:bCs/>
        </w:rPr>
        <w:t>es</w:t>
      </w:r>
      <w:r w:rsidRPr="001B7756">
        <w:rPr>
          <w:rFonts w:asciiTheme="minorHAnsi" w:hAnsiTheme="minorHAnsi"/>
          <w:bCs/>
        </w:rPr>
        <w:t xml:space="preserve"> each year to infants</w:t>
      </w:r>
      <w:r w:rsidR="00B62366" w:rsidRPr="001B7756">
        <w:rPr>
          <w:rFonts w:asciiTheme="minorHAnsi" w:hAnsiTheme="minorHAnsi"/>
          <w:bCs/>
        </w:rPr>
        <w:t>,</w:t>
      </w:r>
      <w:r w:rsidRPr="001B7756">
        <w:rPr>
          <w:rFonts w:asciiTheme="minorHAnsi" w:hAnsiTheme="minorHAnsi"/>
          <w:bCs/>
        </w:rPr>
        <w:t xml:space="preserve"> children, and adults </w:t>
      </w:r>
      <w:r w:rsidR="00905628" w:rsidRPr="001B7756">
        <w:rPr>
          <w:rFonts w:asciiTheme="minorHAnsi" w:hAnsiTheme="minorHAnsi"/>
          <w:bCs/>
        </w:rPr>
        <w:t>who</w:t>
      </w:r>
      <w:r w:rsidRPr="001B7756">
        <w:rPr>
          <w:rFonts w:asciiTheme="minorHAnsi" w:hAnsiTheme="minorHAnsi"/>
          <w:bCs/>
        </w:rPr>
        <w:t xml:space="preserve"> meet the criteria outlined in </w:t>
      </w:r>
      <w:r w:rsidR="003C6C95" w:rsidRPr="001B7756">
        <w:rPr>
          <w:rFonts w:asciiTheme="minorHAnsi" w:hAnsiTheme="minorHAnsi"/>
          <w:bCs/>
        </w:rPr>
        <w:t>Table 2</w:t>
      </w:r>
      <w:r w:rsidR="007B647F" w:rsidRPr="001B7756">
        <w:rPr>
          <w:rFonts w:asciiTheme="minorHAnsi" w:hAnsiTheme="minorHAnsi"/>
          <w:bCs/>
        </w:rPr>
        <w:t xml:space="preserve">, and that this cohort </w:t>
      </w:r>
      <w:proofErr w:type="gramStart"/>
      <w:r w:rsidR="007B647F" w:rsidRPr="001B7756">
        <w:rPr>
          <w:rFonts w:asciiTheme="minorHAnsi" w:hAnsiTheme="minorHAnsi"/>
          <w:bCs/>
        </w:rPr>
        <w:t>is covered</w:t>
      </w:r>
      <w:proofErr w:type="gramEnd"/>
      <w:r w:rsidR="007B647F" w:rsidRPr="001B7756">
        <w:rPr>
          <w:rFonts w:asciiTheme="minorHAnsi" w:hAnsiTheme="minorHAnsi"/>
          <w:bCs/>
        </w:rPr>
        <w:t xml:space="preserve"> by a single vaccine, </w:t>
      </w:r>
      <w:proofErr w:type="spellStart"/>
      <w:r w:rsidR="007B647F" w:rsidRPr="001B7756">
        <w:rPr>
          <w:rFonts w:asciiTheme="minorHAnsi" w:hAnsiTheme="minorHAnsi"/>
          <w:bCs/>
        </w:rPr>
        <w:t>FluQuadri</w:t>
      </w:r>
      <w:proofErr w:type="spellEnd"/>
      <w:r w:rsidR="007B647F" w:rsidRPr="001B7756">
        <w:rPr>
          <w:rFonts w:asciiTheme="minorHAnsi" w:hAnsiTheme="minorHAnsi"/>
          <w:bCs/>
        </w:rPr>
        <w:t xml:space="preserve"> Junior, in a dose specific to the 6-</w:t>
      </w:r>
      <w:r w:rsidR="007B647F" w:rsidRPr="001B7756">
        <w:rPr>
          <w:rFonts w:asciiTheme="minorHAnsi" w:hAnsiTheme="minorHAnsi"/>
          <w:bCs/>
        </w:rPr>
        <w:lastRenderedPageBreak/>
        <w:t>35 month age cohort</w:t>
      </w:r>
      <w:r w:rsidRPr="001B7756">
        <w:rPr>
          <w:rFonts w:asciiTheme="minorHAnsi" w:hAnsiTheme="minorHAnsi"/>
          <w:bCs/>
        </w:rPr>
        <w:t xml:space="preserve">. The recommended change would provide access to a seasonal influenza vaccine </w:t>
      </w:r>
      <w:r w:rsidR="007B647F" w:rsidRPr="001B7756">
        <w:rPr>
          <w:rFonts w:asciiTheme="minorHAnsi" w:hAnsiTheme="minorHAnsi"/>
          <w:bCs/>
        </w:rPr>
        <w:t>in a uniform dose</w:t>
      </w:r>
      <w:r w:rsidRPr="001B7756">
        <w:rPr>
          <w:rFonts w:asciiTheme="minorHAnsi" w:hAnsiTheme="minorHAnsi"/>
          <w:bCs/>
        </w:rPr>
        <w:t>.</w:t>
      </w:r>
    </w:p>
    <w:p w:rsidR="00DF6701" w:rsidRPr="001B7756" w:rsidRDefault="00DF6701" w:rsidP="005F3B0E">
      <w:pPr>
        <w:widowControl w:val="0"/>
        <w:numPr>
          <w:ilvl w:val="1"/>
          <w:numId w:val="5"/>
        </w:numPr>
        <w:spacing w:before="120" w:after="120"/>
        <w:jc w:val="both"/>
        <w:rPr>
          <w:rFonts w:asciiTheme="minorHAnsi" w:hAnsiTheme="minorHAnsi" w:cs="Arial"/>
          <w:bCs/>
          <w:snapToGrid w:val="0"/>
        </w:rPr>
      </w:pPr>
      <w:r w:rsidRPr="001B7756">
        <w:rPr>
          <w:rFonts w:asciiTheme="minorHAnsi" w:hAnsiTheme="minorHAnsi" w:cs="Arial"/>
          <w:bCs/>
          <w:snapToGrid w:val="0"/>
        </w:rPr>
        <w:t xml:space="preserve">The </w:t>
      </w:r>
      <w:r w:rsidR="00B62366" w:rsidRPr="001B7756">
        <w:rPr>
          <w:rFonts w:asciiTheme="minorHAnsi" w:hAnsiTheme="minorHAnsi" w:cs="Arial"/>
          <w:bCs/>
          <w:snapToGrid w:val="0"/>
        </w:rPr>
        <w:t>PB</w:t>
      </w:r>
      <w:r w:rsidRPr="001B7756">
        <w:rPr>
          <w:rFonts w:asciiTheme="minorHAnsi" w:hAnsiTheme="minorHAnsi" w:cs="Arial"/>
          <w:bCs/>
          <w:snapToGrid w:val="0"/>
        </w:rPr>
        <w:t xml:space="preserve">AC considered that </w:t>
      </w:r>
      <w:proofErr w:type="spellStart"/>
      <w:r w:rsidRPr="001B7756">
        <w:rPr>
          <w:rFonts w:asciiTheme="minorHAnsi" w:hAnsiTheme="minorHAnsi" w:cs="Arial"/>
          <w:bCs/>
          <w:snapToGrid w:val="0"/>
        </w:rPr>
        <w:t>FluQuadri</w:t>
      </w:r>
      <w:proofErr w:type="spellEnd"/>
      <w:r w:rsidRPr="001B7756">
        <w:rPr>
          <w:rFonts w:asciiTheme="minorHAnsi" w:hAnsiTheme="minorHAnsi" w:cs="Arial"/>
          <w:bCs/>
          <w:snapToGrid w:val="0"/>
        </w:rPr>
        <w:t xml:space="preserve"> Junior </w:t>
      </w:r>
      <w:r w:rsidR="00383499" w:rsidRPr="001B7756">
        <w:rPr>
          <w:rFonts w:asciiTheme="minorHAnsi" w:hAnsiTheme="minorHAnsi" w:cs="Arial"/>
          <w:bCs/>
          <w:snapToGrid w:val="0"/>
        </w:rPr>
        <w:t>wa</w:t>
      </w:r>
      <w:r w:rsidRPr="001B7756">
        <w:rPr>
          <w:rFonts w:asciiTheme="minorHAnsi" w:hAnsiTheme="minorHAnsi" w:cs="Arial"/>
          <w:bCs/>
          <w:snapToGrid w:val="0"/>
        </w:rPr>
        <w:t xml:space="preserve">s </w:t>
      </w:r>
      <w:r w:rsidR="007B647F" w:rsidRPr="001B7756">
        <w:rPr>
          <w:rFonts w:asciiTheme="minorHAnsi" w:hAnsiTheme="minorHAnsi" w:cs="Arial"/>
          <w:bCs/>
          <w:snapToGrid w:val="0"/>
        </w:rPr>
        <w:t>the</w:t>
      </w:r>
      <w:r w:rsidRPr="001B7756">
        <w:rPr>
          <w:rFonts w:asciiTheme="minorHAnsi" w:hAnsiTheme="minorHAnsi" w:cs="Arial"/>
          <w:bCs/>
          <w:snapToGrid w:val="0"/>
        </w:rPr>
        <w:t xml:space="preserve"> appropriate comparator to </w:t>
      </w:r>
      <w:proofErr w:type="spellStart"/>
      <w:r w:rsidRPr="001B7756">
        <w:rPr>
          <w:rFonts w:asciiTheme="minorHAnsi" w:hAnsiTheme="minorHAnsi" w:cs="Arial"/>
          <w:bCs/>
          <w:snapToGrid w:val="0"/>
        </w:rPr>
        <w:t>Fluarix</w:t>
      </w:r>
      <w:proofErr w:type="spellEnd"/>
      <w:r w:rsidRPr="001B7756">
        <w:rPr>
          <w:rFonts w:asciiTheme="minorHAnsi" w:hAnsiTheme="minorHAnsi" w:cs="Arial"/>
          <w:bCs/>
          <w:snapToGrid w:val="0"/>
        </w:rPr>
        <w:t xml:space="preserve"> Tetra as </w:t>
      </w:r>
      <w:proofErr w:type="spellStart"/>
      <w:r w:rsidR="00B62366" w:rsidRPr="001B7756">
        <w:rPr>
          <w:rFonts w:asciiTheme="minorHAnsi" w:hAnsiTheme="minorHAnsi" w:cs="Arial"/>
          <w:bCs/>
          <w:snapToGrid w:val="0"/>
        </w:rPr>
        <w:t>FluQuadri</w:t>
      </w:r>
      <w:proofErr w:type="spellEnd"/>
      <w:r w:rsidR="00B62366" w:rsidRPr="001B7756">
        <w:rPr>
          <w:rFonts w:asciiTheme="minorHAnsi" w:hAnsiTheme="minorHAnsi" w:cs="Arial"/>
          <w:bCs/>
          <w:snapToGrid w:val="0"/>
        </w:rPr>
        <w:t xml:space="preserve"> Junior is currently NIP listed for this </w:t>
      </w:r>
      <w:r w:rsidR="00905628" w:rsidRPr="001B7756">
        <w:rPr>
          <w:rFonts w:asciiTheme="minorHAnsi" w:hAnsiTheme="minorHAnsi" w:cs="Arial"/>
          <w:bCs/>
          <w:snapToGrid w:val="0"/>
        </w:rPr>
        <w:t xml:space="preserve">age </w:t>
      </w:r>
      <w:r w:rsidR="00B62366" w:rsidRPr="001B7756">
        <w:rPr>
          <w:rFonts w:asciiTheme="minorHAnsi" w:hAnsiTheme="minorHAnsi" w:cs="Arial"/>
          <w:bCs/>
          <w:snapToGrid w:val="0"/>
        </w:rPr>
        <w:t>cohort</w:t>
      </w:r>
      <w:r w:rsidR="00BD33A4">
        <w:rPr>
          <w:rFonts w:asciiTheme="minorHAnsi" w:hAnsiTheme="minorHAnsi" w:cs="Arial"/>
          <w:bCs/>
          <w:snapToGrid w:val="0"/>
        </w:rPr>
        <w:t xml:space="preserve">. </w:t>
      </w:r>
      <w:r w:rsidR="00905628" w:rsidRPr="001B7756">
        <w:rPr>
          <w:rFonts w:asciiTheme="minorHAnsi" w:hAnsiTheme="minorHAnsi" w:cs="Arial"/>
          <w:bCs/>
          <w:snapToGrid w:val="0"/>
        </w:rPr>
        <w:t xml:space="preserve">The PBAC </w:t>
      </w:r>
      <w:r w:rsidR="007B647F" w:rsidRPr="001B7756">
        <w:rPr>
          <w:rFonts w:asciiTheme="minorHAnsi" w:hAnsiTheme="minorHAnsi" w:cs="Arial"/>
          <w:bCs/>
          <w:snapToGrid w:val="0"/>
        </w:rPr>
        <w:t xml:space="preserve">also </w:t>
      </w:r>
      <w:r w:rsidR="00905628" w:rsidRPr="001B7756">
        <w:rPr>
          <w:rFonts w:asciiTheme="minorHAnsi" w:hAnsiTheme="minorHAnsi" w:cs="Arial"/>
          <w:bCs/>
          <w:snapToGrid w:val="0"/>
        </w:rPr>
        <w:t xml:space="preserve">considered that the clinical place for </w:t>
      </w:r>
      <w:proofErr w:type="spellStart"/>
      <w:r w:rsidR="00905628" w:rsidRPr="001B7756">
        <w:rPr>
          <w:rFonts w:asciiTheme="minorHAnsi" w:hAnsiTheme="minorHAnsi" w:cs="Arial"/>
          <w:bCs/>
          <w:snapToGrid w:val="0"/>
        </w:rPr>
        <w:t>FluQuadri</w:t>
      </w:r>
      <w:proofErr w:type="spellEnd"/>
      <w:r w:rsidR="00905628" w:rsidRPr="001B7756">
        <w:rPr>
          <w:rFonts w:asciiTheme="minorHAnsi" w:hAnsiTheme="minorHAnsi" w:cs="Arial"/>
          <w:bCs/>
          <w:snapToGrid w:val="0"/>
        </w:rPr>
        <w:t xml:space="preserve"> Junior and </w:t>
      </w:r>
      <w:proofErr w:type="spellStart"/>
      <w:r w:rsidR="00905628" w:rsidRPr="001B7756">
        <w:rPr>
          <w:rFonts w:asciiTheme="minorHAnsi" w:hAnsiTheme="minorHAnsi" w:cs="Arial"/>
          <w:bCs/>
          <w:snapToGrid w:val="0"/>
        </w:rPr>
        <w:t>Fluarix</w:t>
      </w:r>
      <w:proofErr w:type="spellEnd"/>
      <w:r w:rsidR="00905628" w:rsidRPr="001B7756">
        <w:rPr>
          <w:rFonts w:asciiTheme="minorHAnsi" w:hAnsiTheme="minorHAnsi" w:cs="Arial"/>
          <w:bCs/>
          <w:snapToGrid w:val="0"/>
        </w:rPr>
        <w:t xml:space="preserve"> Tetra was appropriate.</w:t>
      </w:r>
    </w:p>
    <w:p w:rsidR="00AD1599" w:rsidRPr="00BD33A4" w:rsidRDefault="00DF6701" w:rsidP="005F3B0E">
      <w:pPr>
        <w:pStyle w:val="ListParagraph"/>
        <w:widowControl/>
        <w:numPr>
          <w:ilvl w:val="1"/>
          <w:numId w:val="14"/>
        </w:numPr>
        <w:spacing w:before="120" w:after="120"/>
        <w:rPr>
          <w:rFonts w:asciiTheme="minorHAnsi" w:eastAsiaTheme="minorHAnsi" w:hAnsiTheme="minorHAnsi" w:cstheme="minorHAnsi"/>
          <w:snapToGrid/>
          <w:sz w:val="24"/>
          <w:szCs w:val="24"/>
        </w:rPr>
      </w:pPr>
      <w:r w:rsidRPr="001B7756">
        <w:rPr>
          <w:rFonts w:asciiTheme="minorHAnsi" w:hAnsiTheme="minorHAnsi"/>
          <w:bCs/>
          <w:sz w:val="24"/>
          <w:szCs w:val="24"/>
        </w:rPr>
        <w:t xml:space="preserve">The PBAC noted </w:t>
      </w:r>
      <w:r w:rsidR="00CF1E2D" w:rsidRPr="001B7756">
        <w:rPr>
          <w:rFonts w:asciiTheme="minorHAnsi" w:hAnsiTheme="minorHAnsi"/>
          <w:bCs/>
          <w:sz w:val="24"/>
          <w:szCs w:val="24"/>
        </w:rPr>
        <w:t>the</w:t>
      </w:r>
      <w:r w:rsidR="00065675" w:rsidRPr="001B7756">
        <w:rPr>
          <w:rFonts w:asciiTheme="minorHAnsi" w:hAnsiTheme="minorHAnsi"/>
          <w:bCs/>
          <w:sz w:val="24"/>
          <w:szCs w:val="24"/>
        </w:rPr>
        <w:t xml:space="preserve"> </w:t>
      </w:r>
      <w:r w:rsidR="00905628" w:rsidRPr="001B7756">
        <w:rPr>
          <w:rFonts w:asciiTheme="minorHAnsi" w:hAnsiTheme="minorHAnsi"/>
          <w:bCs/>
          <w:sz w:val="24"/>
          <w:szCs w:val="24"/>
        </w:rPr>
        <w:t xml:space="preserve">submission claimed non-inferior comparative effectiveness and safety </w:t>
      </w:r>
      <w:r w:rsidR="00E74DC7" w:rsidRPr="001B7756">
        <w:rPr>
          <w:rFonts w:asciiTheme="minorHAnsi" w:hAnsiTheme="minorHAnsi"/>
          <w:bCs/>
          <w:sz w:val="24"/>
          <w:szCs w:val="24"/>
        </w:rPr>
        <w:t xml:space="preserve">to the comparator. The PBAC noted the results of </w:t>
      </w:r>
      <w:r w:rsidR="00862703" w:rsidRPr="001B7756">
        <w:rPr>
          <w:rFonts w:asciiTheme="minorHAnsi" w:hAnsiTheme="minorHAnsi"/>
          <w:bCs/>
          <w:sz w:val="24"/>
          <w:szCs w:val="24"/>
        </w:rPr>
        <w:t>D-QIV-</w:t>
      </w:r>
      <w:proofErr w:type="gramStart"/>
      <w:r w:rsidR="00862703" w:rsidRPr="001B7756">
        <w:rPr>
          <w:rFonts w:asciiTheme="minorHAnsi" w:hAnsiTheme="minorHAnsi"/>
          <w:bCs/>
          <w:sz w:val="24"/>
          <w:szCs w:val="24"/>
        </w:rPr>
        <w:t>004</w:t>
      </w:r>
      <w:r w:rsidR="00E74DC7" w:rsidRPr="001B7756">
        <w:rPr>
          <w:rFonts w:asciiTheme="minorHAnsi" w:hAnsiTheme="minorHAnsi"/>
          <w:bCs/>
          <w:sz w:val="24"/>
          <w:szCs w:val="24"/>
        </w:rPr>
        <w:t>,</w:t>
      </w:r>
      <w:proofErr w:type="gramEnd"/>
      <w:r w:rsidR="00862703" w:rsidRPr="001B7756">
        <w:rPr>
          <w:rFonts w:asciiTheme="minorHAnsi" w:hAnsiTheme="minorHAnsi"/>
          <w:bCs/>
          <w:sz w:val="24"/>
          <w:szCs w:val="24"/>
        </w:rPr>
        <w:t xml:space="preserve"> demonstrating </w:t>
      </w:r>
      <w:r w:rsidR="00E74DC7" w:rsidRPr="001B7756">
        <w:rPr>
          <w:rFonts w:asciiTheme="minorHAnsi" w:hAnsiTheme="minorHAnsi"/>
          <w:bCs/>
          <w:sz w:val="24"/>
          <w:szCs w:val="24"/>
        </w:rPr>
        <w:t xml:space="preserve">vaccine efficacy (VE) against PCR confirmed influenza of 49.8% in any influenza and 63.2% in moderate to severe influenza, </w:t>
      </w:r>
      <w:r w:rsidR="007B647F" w:rsidRPr="001B7756">
        <w:rPr>
          <w:rFonts w:asciiTheme="minorHAnsi" w:hAnsiTheme="minorHAnsi"/>
          <w:bCs/>
          <w:sz w:val="24"/>
          <w:szCs w:val="24"/>
        </w:rPr>
        <w:t xml:space="preserve">results </w:t>
      </w:r>
      <w:r w:rsidR="00E74DC7" w:rsidRPr="001B7756">
        <w:rPr>
          <w:rFonts w:asciiTheme="minorHAnsi" w:hAnsiTheme="minorHAnsi"/>
          <w:bCs/>
          <w:sz w:val="24"/>
          <w:szCs w:val="24"/>
        </w:rPr>
        <w:t>which the PBAC considered to be</w:t>
      </w:r>
      <w:r w:rsidR="00862703" w:rsidRPr="001B7756">
        <w:rPr>
          <w:rFonts w:asciiTheme="minorHAnsi" w:hAnsiTheme="minorHAnsi"/>
          <w:bCs/>
          <w:sz w:val="24"/>
          <w:szCs w:val="24"/>
        </w:rPr>
        <w:t xml:space="preserve"> similar to</w:t>
      </w:r>
      <w:r w:rsidR="00E74DC7" w:rsidRPr="001B7756">
        <w:rPr>
          <w:rFonts w:asciiTheme="minorHAnsi" w:hAnsiTheme="minorHAnsi"/>
          <w:bCs/>
          <w:sz w:val="24"/>
          <w:szCs w:val="24"/>
        </w:rPr>
        <w:t xml:space="preserve"> that observed</w:t>
      </w:r>
      <w:r w:rsidR="00862703" w:rsidRPr="001B7756">
        <w:rPr>
          <w:rFonts w:asciiTheme="minorHAnsi" w:hAnsiTheme="minorHAnsi"/>
          <w:bCs/>
          <w:sz w:val="24"/>
          <w:szCs w:val="24"/>
        </w:rPr>
        <w:t xml:space="preserve"> </w:t>
      </w:r>
      <w:r w:rsidR="007B647F" w:rsidRPr="001B7756">
        <w:rPr>
          <w:rFonts w:asciiTheme="minorHAnsi" w:hAnsiTheme="minorHAnsi"/>
          <w:bCs/>
          <w:sz w:val="24"/>
          <w:szCs w:val="24"/>
        </w:rPr>
        <w:t xml:space="preserve">in </w:t>
      </w:r>
      <w:r w:rsidR="00862703" w:rsidRPr="001B7756">
        <w:rPr>
          <w:rFonts w:asciiTheme="minorHAnsi" w:hAnsiTheme="minorHAnsi"/>
          <w:bCs/>
          <w:sz w:val="24"/>
          <w:szCs w:val="24"/>
        </w:rPr>
        <w:t>other influenza vaccines</w:t>
      </w:r>
      <w:r w:rsidR="00BD33A4">
        <w:rPr>
          <w:rFonts w:asciiTheme="minorHAnsi" w:hAnsiTheme="minorHAnsi"/>
          <w:bCs/>
          <w:sz w:val="24"/>
          <w:szCs w:val="24"/>
        </w:rPr>
        <w:t xml:space="preserve">. </w:t>
      </w:r>
      <w:r w:rsidR="00E74DC7" w:rsidRPr="001B7756">
        <w:rPr>
          <w:rFonts w:asciiTheme="minorHAnsi" w:hAnsiTheme="minorHAnsi"/>
          <w:bCs/>
          <w:sz w:val="24"/>
          <w:szCs w:val="24"/>
        </w:rPr>
        <w:t xml:space="preserve">The </w:t>
      </w:r>
      <w:r w:rsidR="007B647F" w:rsidRPr="001B7756">
        <w:rPr>
          <w:rFonts w:asciiTheme="minorHAnsi" w:hAnsiTheme="minorHAnsi"/>
          <w:bCs/>
          <w:sz w:val="24"/>
          <w:szCs w:val="24"/>
        </w:rPr>
        <w:t>submission</w:t>
      </w:r>
      <w:r w:rsidR="00E74DC7" w:rsidRPr="001B7756">
        <w:rPr>
          <w:rFonts w:asciiTheme="minorHAnsi" w:hAnsiTheme="minorHAnsi"/>
          <w:bCs/>
          <w:sz w:val="24"/>
          <w:szCs w:val="24"/>
        </w:rPr>
        <w:t xml:space="preserve"> also included a direct head-to-head trial, FLU-Q-QIV-022, to compare </w:t>
      </w:r>
      <w:proofErr w:type="spellStart"/>
      <w:r w:rsidR="00E74DC7" w:rsidRPr="001B7756">
        <w:rPr>
          <w:rFonts w:asciiTheme="minorHAnsi" w:hAnsiTheme="minorHAnsi"/>
          <w:bCs/>
          <w:sz w:val="24"/>
          <w:szCs w:val="24"/>
        </w:rPr>
        <w:t>Fluarix</w:t>
      </w:r>
      <w:proofErr w:type="spellEnd"/>
      <w:r w:rsidR="00E74DC7" w:rsidRPr="001B7756">
        <w:rPr>
          <w:rFonts w:asciiTheme="minorHAnsi" w:hAnsiTheme="minorHAnsi"/>
          <w:bCs/>
          <w:sz w:val="24"/>
          <w:szCs w:val="24"/>
        </w:rPr>
        <w:t xml:space="preserve"> Tetra and </w:t>
      </w:r>
      <w:proofErr w:type="spellStart"/>
      <w:r w:rsidR="00E74DC7" w:rsidRPr="001B7756">
        <w:rPr>
          <w:rFonts w:asciiTheme="minorHAnsi" w:hAnsiTheme="minorHAnsi"/>
          <w:bCs/>
          <w:sz w:val="24"/>
          <w:szCs w:val="24"/>
        </w:rPr>
        <w:t>FluQuadri</w:t>
      </w:r>
      <w:proofErr w:type="spellEnd"/>
      <w:r w:rsidR="00E74DC7" w:rsidRPr="001B7756">
        <w:rPr>
          <w:rFonts w:asciiTheme="minorHAnsi" w:hAnsiTheme="minorHAnsi"/>
          <w:bCs/>
          <w:sz w:val="24"/>
          <w:szCs w:val="24"/>
        </w:rPr>
        <w:t xml:space="preserve"> Junior using two surrogate vaccines, using vaccine efficacy endpoints</w:t>
      </w:r>
      <w:r w:rsidR="00BD33A4">
        <w:rPr>
          <w:rFonts w:asciiTheme="minorHAnsi" w:hAnsiTheme="minorHAnsi"/>
          <w:bCs/>
          <w:sz w:val="24"/>
          <w:szCs w:val="24"/>
        </w:rPr>
        <w:t xml:space="preserve">. </w:t>
      </w:r>
      <w:r w:rsidR="00905628" w:rsidRPr="001B7756">
        <w:rPr>
          <w:rFonts w:asciiTheme="minorHAnsi" w:hAnsiTheme="minorHAnsi"/>
          <w:bCs/>
          <w:sz w:val="24"/>
          <w:szCs w:val="24"/>
        </w:rPr>
        <w:t>The PBAC considered the surrogacy was reasonable</w:t>
      </w:r>
      <w:r w:rsidR="00CF1E2D" w:rsidRPr="001B7756">
        <w:rPr>
          <w:rFonts w:asciiTheme="minorHAnsi" w:hAnsiTheme="minorHAnsi"/>
          <w:bCs/>
          <w:sz w:val="24"/>
          <w:szCs w:val="24"/>
        </w:rPr>
        <w:t xml:space="preserve"> due to the </w:t>
      </w:r>
      <w:r w:rsidR="00C62049" w:rsidRPr="001B7756">
        <w:rPr>
          <w:rFonts w:asciiTheme="minorHAnsi" w:hAnsiTheme="minorHAnsi"/>
          <w:bCs/>
          <w:sz w:val="24"/>
          <w:szCs w:val="24"/>
        </w:rPr>
        <w:t xml:space="preserve">antigen content </w:t>
      </w:r>
      <w:r w:rsidR="00CF1E2D" w:rsidRPr="001B7756">
        <w:rPr>
          <w:rFonts w:asciiTheme="minorHAnsi" w:hAnsiTheme="minorHAnsi"/>
          <w:bCs/>
          <w:sz w:val="24"/>
          <w:szCs w:val="24"/>
        </w:rPr>
        <w:t>being equivalent between the target vaccines and the surrogate</w:t>
      </w:r>
      <w:r w:rsidR="007B647F" w:rsidRPr="001B7756">
        <w:rPr>
          <w:rFonts w:asciiTheme="minorHAnsi" w:hAnsiTheme="minorHAnsi"/>
          <w:bCs/>
          <w:sz w:val="24"/>
          <w:szCs w:val="24"/>
        </w:rPr>
        <w:t xml:space="preserve"> vaccines</w:t>
      </w:r>
      <w:r w:rsidR="00CF1E2D" w:rsidRPr="001B7756">
        <w:rPr>
          <w:rFonts w:asciiTheme="minorHAnsi" w:hAnsiTheme="minorHAnsi"/>
          <w:bCs/>
          <w:sz w:val="24"/>
          <w:szCs w:val="24"/>
        </w:rPr>
        <w:t xml:space="preserve">. </w:t>
      </w:r>
      <w:r w:rsidR="002318D0" w:rsidRPr="00BD33A4">
        <w:rPr>
          <w:rFonts w:asciiTheme="minorHAnsi" w:eastAsiaTheme="minorHAnsi" w:hAnsiTheme="minorHAnsi" w:cstheme="minorBidi"/>
          <w:snapToGrid/>
          <w:sz w:val="24"/>
          <w:szCs w:val="24"/>
        </w:rPr>
        <w:t xml:space="preserve">The PBAC noted that </w:t>
      </w:r>
      <w:r w:rsidR="00B63348" w:rsidRPr="00BD33A4">
        <w:rPr>
          <w:rFonts w:asciiTheme="minorHAnsi" w:eastAsiaTheme="minorHAnsi" w:hAnsiTheme="minorHAnsi" w:cstheme="minorBidi"/>
          <w:snapToGrid/>
          <w:sz w:val="24"/>
          <w:szCs w:val="24"/>
        </w:rPr>
        <w:t xml:space="preserve">the literature search </w:t>
      </w:r>
      <w:r w:rsidR="007B647F" w:rsidRPr="00BD33A4">
        <w:rPr>
          <w:rFonts w:asciiTheme="minorHAnsi" w:eastAsiaTheme="minorHAnsi" w:hAnsiTheme="minorHAnsi" w:cstheme="minorBidi"/>
          <w:snapToGrid/>
          <w:sz w:val="24"/>
          <w:szCs w:val="24"/>
        </w:rPr>
        <w:t xml:space="preserve">in the submission </w:t>
      </w:r>
      <w:r w:rsidR="00B63348" w:rsidRPr="00BD33A4">
        <w:rPr>
          <w:rFonts w:asciiTheme="minorHAnsi" w:eastAsiaTheme="minorHAnsi" w:hAnsiTheme="minorHAnsi" w:cstheme="minorBidi"/>
          <w:snapToGrid/>
          <w:sz w:val="24"/>
          <w:szCs w:val="24"/>
        </w:rPr>
        <w:t>specifically mentioned healthy infants and children, which may</w:t>
      </w:r>
      <w:r w:rsidR="002318D0" w:rsidRPr="00BD33A4">
        <w:rPr>
          <w:rFonts w:asciiTheme="minorHAnsi" w:eastAsiaTheme="minorHAnsi" w:hAnsiTheme="minorHAnsi" w:cstheme="minorBidi"/>
          <w:snapToGrid/>
          <w:sz w:val="24"/>
          <w:szCs w:val="24"/>
        </w:rPr>
        <w:t xml:space="preserve"> not cover the entire proposed cohort for the proposed listing. The PBAC </w:t>
      </w:r>
      <w:r w:rsidR="00B63348" w:rsidRPr="00BD33A4">
        <w:rPr>
          <w:rFonts w:asciiTheme="minorHAnsi" w:eastAsiaTheme="minorHAnsi" w:hAnsiTheme="minorHAnsi" w:cstheme="minorBidi"/>
          <w:snapToGrid/>
          <w:sz w:val="24"/>
          <w:szCs w:val="24"/>
        </w:rPr>
        <w:t>considered</w:t>
      </w:r>
      <w:r w:rsidR="002318D0" w:rsidRPr="00BD33A4">
        <w:rPr>
          <w:rFonts w:asciiTheme="minorHAnsi" w:eastAsiaTheme="minorHAnsi" w:hAnsiTheme="minorHAnsi" w:cstheme="minorBidi"/>
          <w:snapToGrid/>
          <w:sz w:val="24"/>
          <w:szCs w:val="24"/>
        </w:rPr>
        <w:t xml:space="preserve"> that while this is a limitation, it </w:t>
      </w:r>
      <w:proofErr w:type="gramStart"/>
      <w:r w:rsidR="002318D0" w:rsidRPr="00BD33A4">
        <w:rPr>
          <w:rFonts w:asciiTheme="minorHAnsi" w:eastAsiaTheme="minorHAnsi" w:hAnsiTheme="minorHAnsi" w:cstheme="minorBidi"/>
          <w:snapToGrid/>
          <w:sz w:val="24"/>
          <w:szCs w:val="24"/>
        </w:rPr>
        <w:t>may</w:t>
      </w:r>
      <w:proofErr w:type="gramEnd"/>
      <w:r w:rsidR="002318D0" w:rsidRPr="00BD33A4">
        <w:rPr>
          <w:rFonts w:asciiTheme="minorHAnsi" w:eastAsiaTheme="minorHAnsi" w:hAnsiTheme="minorHAnsi" w:cstheme="minorBidi"/>
          <w:snapToGrid/>
          <w:sz w:val="24"/>
          <w:szCs w:val="24"/>
        </w:rPr>
        <w:t xml:space="preserve"> be reasonable to expect that the clinical outcomes in sub-populations are unlikely to vary significantly, or to vary between the proposed listing and the comparator which is already used in this cohort</w:t>
      </w:r>
      <w:r w:rsidR="00BD33A4">
        <w:rPr>
          <w:rFonts w:asciiTheme="minorHAnsi" w:eastAsiaTheme="minorHAnsi" w:hAnsiTheme="minorHAnsi" w:cstheme="minorBidi"/>
          <w:snapToGrid/>
          <w:sz w:val="24"/>
          <w:szCs w:val="24"/>
        </w:rPr>
        <w:t xml:space="preserve">. </w:t>
      </w:r>
    </w:p>
    <w:p w:rsidR="00DF6701" w:rsidRPr="001B7756" w:rsidRDefault="00B63348" w:rsidP="005F3B0E">
      <w:pPr>
        <w:pStyle w:val="ListParagraph"/>
        <w:widowControl/>
        <w:numPr>
          <w:ilvl w:val="1"/>
          <w:numId w:val="14"/>
        </w:numPr>
        <w:spacing w:before="120" w:after="120"/>
        <w:rPr>
          <w:rFonts w:asciiTheme="minorHAnsi" w:hAnsiTheme="minorHAnsi" w:cstheme="minorHAnsi"/>
          <w:bCs/>
        </w:rPr>
      </w:pPr>
      <w:proofErr w:type="gramStart"/>
      <w:r w:rsidRPr="00BD33A4">
        <w:rPr>
          <w:rFonts w:asciiTheme="minorHAnsi" w:eastAsiaTheme="minorHAnsi" w:hAnsiTheme="minorHAnsi" w:cstheme="minorHAnsi"/>
          <w:sz w:val="24"/>
          <w:szCs w:val="24"/>
        </w:rPr>
        <w:t xml:space="preserve">The PBAC noted the ATAGI advice that based on the VE results of FLU-Q-QIV-022, the VE of </w:t>
      </w:r>
      <w:proofErr w:type="spellStart"/>
      <w:r w:rsidRPr="00BD33A4">
        <w:rPr>
          <w:rFonts w:asciiTheme="minorHAnsi" w:eastAsiaTheme="minorHAnsi" w:hAnsiTheme="minorHAnsi" w:cstheme="minorHAnsi"/>
          <w:sz w:val="24"/>
          <w:szCs w:val="24"/>
        </w:rPr>
        <w:t>FluQuadri</w:t>
      </w:r>
      <w:proofErr w:type="spellEnd"/>
      <w:r w:rsidRPr="00BD33A4">
        <w:rPr>
          <w:rFonts w:asciiTheme="minorHAnsi" w:eastAsiaTheme="minorHAnsi" w:hAnsiTheme="minorHAnsi" w:cstheme="minorHAnsi"/>
          <w:sz w:val="24"/>
          <w:szCs w:val="24"/>
        </w:rPr>
        <w:t xml:space="preserve"> Junior to </w:t>
      </w:r>
      <w:proofErr w:type="spellStart"/>
      <w:r w:rsidRPr="00BD33A4">
        <w:rPr>
          <w:rFonts w:asciiTheme="minorHAnsi" w:eastAsiaTheme="minorHAnsi" w:hAnsiTheme="minorHAnsi" w:cstheme="minorHAnsi"/>
          <w:sz w:val="24"/>
          <w:szCs w:val="24"/>
        </w:rPr>
        <w:t>Fluarix</w:t>
      </w:r>
      <w:proofErr w:type="spellEnd"/>
      <w:r w:rsidRPr="00BD33A4">
        <w:rPr>
          <w:rFonts w:asciiTheme="minorHAnsi" w:eastAsiaTheme="minorHAnsi" w:hAnsiTheme="minorHAnsi" w:cstheme="minorHAnsi"/>
          <w:sz w:val="24"/>
          <w:szCs w:val="24"/>
        </w:rPr>
        <w:t xml:space="preserve"> Tetra was likely to be equivalent in the proposed cohort; and that vaccine efficacy against influenza is a more appropriate endpoint for determining protection provided by influenza vaccine than immunogenicity data, particularly in children aged 6 - 35 months (Pre-PBAC Advice)</w:t>
      </w:r>
      <w:r w:rsidR="00BD33A4">
        <w:rPr>
          <w:rFonts w:asciiTheme="minorHAnsi" w:eastAsiaTheme="minorHAnsi" w:hAnsiTheme="minorHAnsi" w:cstheme="minorHAnsi"/>
          <w:sz w:val="24"/>
          <w:szCs w:val="24"/>
        </w:rPr>
        <w:t>.</w:t>
      </w:r>
      <w:proofErr w:type="gramEnd"/>
      <w:r w:rsidR="00BD33A4">
        <w:rPr>
          <w:rFonts w:asciiTheme="minorHAnsi" w:eastAsiaTheme="minorHAnsi" w:hAnsiTheme="minorHAnsi" w:cstheme="minorHAnsi"/>
          <w:sz w:val="24"/>
          <w:szCs w:val="24"/>
        </w:rPr>
        <w:t xml:space="preserve"> </w:t>
      </w:r>
      <w:r w:rsidR="00121ED8" w:rsidRPr="001B7756">
        <w:rPr>
          <w:rFonts w:asciiTheme="minorHAnsi" w:hAnsiTheme="minorHAnsi" w:cstheme="minorHAnsi"/>
          <w:bCs/>
          <w:sz w:val="24"/>
          <w:szCs w:val="24"/>
        </w:rPr>
        <w:t xml:space="preserve">The PBAC </w:t>
      </w:r>
      <w:r w:rsidR="00AD1599" w:rsidRPr="001B7756">
        <w:rPr>
          <w:rFonts w:asciiTheme="minorHAnsi" w:hAnsiTheme="minorHAnsi" w:cstheme="minorHAnsi"/>
          <w:bCs/>
          <w:sz w:val="24"/>
          <w:szCs w:val="24"/>
        </w:rPr>
        <w:t xml:space="preserve">also </w:t>
      </w:r>
      <w:r w:rsidR="00121ED8" w:rsidRPr="001B7756">
        <w:rPr>
          <w:rFonts w:asciiTheme="minorHAnsi" w:hAnsiTheme="minorHAnsi" w:cstheme="minorHAnsi"/>
          <w:bCs/>
          <w:sz w:val="24"/>
          <w:szCs w:val="24"/>
        </w:rPr>
        <w:t xml:space="preserve">noted ATAGI’s advice (Pre-Submission Advice, p6-7) that the key uncertainties relating to the submission were around the lack of a direct comparison between </w:t>
      </w:r>
      <w:proofErr w:type="spellStart"/>
      <w:r w:rsidR="00121ED8" w:rsidRPr="001B7756">
        <w:rPr>
          <w:rFonts w:asciiTheme="minorHAnsi" w:hAnsiTheme="minorHAnsi" w:cstheme="minorHAnsi"/>
          <w:bCs/>
          <w:sz w:val="24"/>
          <w:szCs w:val="24"/>
        </w:rPr>
        <w:t>Fluarix</w:t>
      </w:r>
      <w:proofErr w:type="spellEnd"/>
      <w:r w:rsidR="00121ED8" w:rsidRPr="001B7756">
        <w:rPr>
          <w:rFonts w:asciiTheme="minorHAnsi" w:hAnsiTheme="minorHAnsi" w:cstheme="minorHAnsi"/>
          <w:bCs/>
          <w:sz w:val="24"/>
          <w:szCs w:val="24"/>
        </w:rPr>
        <w:t xml:space="preserve"> Tetra and </w:t>
      </w:r>
      <w:proofErr w:type="spellStart"/>
      <w:r w:rsidR="00121ED8" w:rsidRPr="001B7756">
        <w:rPr>
          <w:rFonts w:asciiTheme="minorHAnsi" w:hAnsiTheme="minorHAnsi" w:cstheme="minorHAnsi"/>
          <w:bCs/>
          <w:sz w:val="24"/>
          <w:szCs w:val="24"/>
        </w:rPr>
        <w:t>FluQuadri</w:t>
      </w:r>
      <w:proofErr w:type="spellEnd"/>
      <w:r w:rsidR="00121ED8" w:rsidRPr="001B7756">
        <w:rPr>
          <w:rFonts w:asciiTheme="minorHAnsi" w:hAnsiTheme="minorHAnsi" w:cstheme="minorHAnsi"/>
          <w:bCs/>
          <w:sz w:val="24"/>
          <w:szCs w:val="24"/>
        </w:rPr>
        <w:t xml:space="preserve"> Junior and uncertainty around the safety and effectiveness of </w:t>
      </w:r>
      <w:proofErr w:type="spellStart"/>
      <w:r w:rsidR="00121ED8" w:rsidRPr="001B7756">
        <w:rPr>
          <w:rFonts w:asciiTheme="minorHAnsi" w:hAnsiTheme="minorHAnsi" w:cstheme="minorHAnsi"/>
          <w:bCs/>
          <w:sz w:val="24"/>
          <w:szCs w:val="24"/>
        </w:rPr>
        <w:t>Fluarix</w:t>
      </w:r>
      <w:proofErr w:type="spellEnd"/>
      <w:r w:rsidR="00121ED8" w:rsidRPr="001B7756">
        <w:rPr>
          <w:rFonts w:asciiTheme="minorHAnsi" w:hAnsiTheme="minorHAnsi" w:cstheme="minorHAnsi"/>
          <w:bCs/>
          <w:sz w:val="24"/>
          <w:szCs w:val="24"/>
        </w:rPr>
        <w:t xml:space="preserve"> Tetra in children with underlying medical risk factors. </w:t>
      </w:r>
      <w:r w:rsidR="00BD33A4" w:rsidRPr="00BD33A4">
        <w:rPr>
          <w:rFonts w:asciiTheme="minorHAnsi" w:hAnsiTheme="minorHAnsi" w:cstheme="minorHAnsi"/>
          <w:bCs/>
          <w:sz w:val="24"/>
          <w:szCs w:val="24"/>
        </w:rPr>
        <w:t>Overall,</w:t>
      </w:r>
      <w:r w:rsidR="00C62049" w:rsidRPr="001B7756">
        <w:rPr>
          <w:rFonts w:asciiTheme="minorHAnsi" w:hAnsiTheme="minorHAnsi" w:cstheme="minorHAnsi"/>
          <w:bCs/>
          <w:sz w:val="24"/>
          <w:szCs w:val="24"/>
        </w:rPr>
        <w:t xml:space="preserve"> the PBAC considered the clinical evidence demonstrated that 0.5 mL </w:t>
      </w:r>
      <w:r w:rsidR="00B36BC6" w:rsidRPr="001B7756">
        <w:rPr>
          <w:rFonts w:asciiTheme="minorHAnsi" w:hAnsiTheme="minorHAnsi" w:cstheme="minorHAnsi"/>
          <w:bCs/>
          <w:sz w:val="24"/>
          <w:szCs w:val="24"/>
        </w:rPr>
        <w:t>(</w:t>
      </w:r>
      <w:r w:rsidR="00C62049" w:rsidRPr="001B7756">
        <w:rPr>
          <w:rFonts w:asciiTheme="minorHAnsi" w:hAnsiTheme="minorHAnsi" w:cstheme="minorHAnsi"/>
          <w:bCs/>
          <w:sz w:val="24"/>
          <w:szCs w:val="24"/>
        </w:rPr>
        <w:t xml:space="preserve">containing </w:t>
      </w:r>
      <w:proofErr w:type="gramStart"/>
      <w:r w:rsidR="00C62049" w:rsidRPr="001B7756">
        <w:rPr>
          <w:rFonts w:asciiTheme="minorHAnsi" w:hAnsiTheme="minorHAnsi" w:cstheme="minorHAnsi"/>
          <w:bCs/>
          <w:sz w:val="24"/>
          <w:szCs w:val="24"/>
        </w:rPr>
        <w:t>60 mcg</w:t>
      </w:r>
      <w:proofErr w:type="gramEnd"/>
      <w:r w:rsidR="00C62049" w:rsidRPr="001B7756">
        <w:rPr>
          <w:rFonts w:asciiTheme="minorHAnsi" w:hAnsiTheme="minorHAnsi" w:cstheme="minorHAnsi"/>
          <w:bCs/>
          <w:sz w:val="24"/>
          <w:szCs w:val="24"/>
        </w:rPr>
        <w:t xml:space="preserve"> </w:t>
      </w:r>
      <w:proofErr w:type="spellStart"/>
      <w:r w:rsidR="00C62049" w:rsidRPr="001B7756">
        <w:rPr>
          <w:rFonts w:asciiTheme="minorHAnsi" w:hAnsiTheme="minorHAnsi" w:cstheme="minorHAnsi"/>
          <w:bCs/>
          <w:sz w:val="24"/>
          <w:szCs w:val="24"/>
        </w:rPr>
        <w:t>haemagglut</w:t>
      </w:r>
      <w:r w:rsidR="00B36BC6" w:rsidRPr="001B7756">
        <w:rPr>
          <w:rFonts w:asciiTheme="minorHAnsi" w:hAnsiTheme="minorHAnsi" w:cstheme="minorHAnsi"/>
          <w:bCs/>
          <w:sz w:val="24"/>
          <w:szCs w:val="24"/>
        </w:rPr>
        <w:t>i</w:t>
      </w:r>
      <w:r w:rsidR="00C62049" w:rsidRPr="001B7756">
        <w:rPr>
          <w:rFonts w:asciiTheme="minorHAnsi" w:hAnsiTheme="minorHAnsi" w:cstheme="minorHAnsi"/>
          <w:bCs/>
          <w:sz w:val="24"/>
          <w:szCs w:val="24"/>
        </w:rPr>
        <w:t>nin</w:t>
      </w:r>
      <w:proofErr w:type="spellEnd"/>
      <w:r w:rsidR="00B36BC6" w:rsidRPr="001B7756">
        <w:rPr>
          <w:rFonts w:asciiTheme="minorHAnsi" w:hAnsiTheme="minorHAnsi" w:cstheme="minorHAnsi"/>
          <w:bCs/>
          <w:sz w:val="24"/>
          <w:szCs w:val="24"/>
        </w:rPr>
        <w:t>)</w:t>
      </w:r>
      <w:r w:rsidR="00C62049" w:rsidRPr="001B7756">
        <w:rPr>
          <w:rFonts w:asciiTheme="minorHAnsi" w:hAnsiTheme="minorHAnsi" w:cstheme="minorHAnsi"/>
          <w:bCs/>
          <w:sz w:val="24"/>
          <w:szCs w:val="24"/>
        </w:rPr>
        <w:t xml:space="preserve"> of </w:t>
      </w:r>
      <w:proofErr w:type="spellStart"/>
      <w:r w:rsidR="00C62049" w:rsidRPr="001B7756">
        <w:rPr>
          <w:rFonts w:asciiTheme="minorHAnsi" w:hAnsiTheme="minorHAnsi" w:cstheme="minorHAnsi"/>
          <w:bCs/>
          <w:sz w:val="24"/>
          <w:szCs w:val="24"/>
        </w:rPr>
        <w:t>Fluarix</w:t>
      </w:r>
      <w:proofErr w:type="spellEnd"/>
      <w:r w:rsidR="00C62049" w:rsidRPr="001B7756">
        <w:rPr>
          <w:rFonts w:asciiTheme="minorHAnsi" w:hAnsiTheme="minorHAnsi" w:cstheme="minorHAnsi"/>
          <w:bCs/>
          <w:sz w:val="24"/>
          <w:szCs w:val="24"/>
        </w:rPr>
        <w:t xml:space="preserve"> Tetra was non-inferior</w:t>
      </w:r>
      <w:r w:rsidR="00CF1E2D" w:rsidRPr="001B7756">
        <w:rPr>
          <w:rFonts w:asciiTheme="minorHAnsi" w:hAnsiTheme="minorHAnsi" w:cstheme="minorHAnsi"/>
          <w:bCs/>
          <w:sz w:val="24"/>
          <w:szCs w:val="24"/>
        </w:rPr>
        <w:t xml:space="preserve"> in terms of efficacy and safety</w:t>
      </w:r>
      <w:r w:rsidR="00C62049" w:rsidRPr="001B7756">
        <w:rPr>
          <w:rFonts w:asciiTheme="minorHAnsi" w:hAnsiTheme="minorHAnsi" w:cstheme="minorHAnsi"/>
          <w:bCs/>
          <w:sz w:val="24"/>
          <w:szCs w:val="24"/>
        </w:rPr>
        <w:t xml:space="preserve"> to 0.25mL </w:t>
      </w:r>
      <w:r w:rsidR="00B36BC6" w:rsidRPr="001B7756">
        <w:rPr>
          <w:rFonts w:asciiTheme="minorHAnsi" w:hAnsiTheme="minorHAnsi" w:cstheme="minorHAnsi"/>
          <w:bCs/>
          <w:sz w:val="24"/>
          <w:szCs w:val="24"/>
        </w:rPr>
        <w:t>(</w:t>
      </w:r>
      <w:r w:rsidR="00C62049" w:rsidRPr="001B7756">
        <w:rPr>
          <w:rFonts w:asciiTheme="minorHAnsi" w:hAnsiTheme="minorHAnsi" w:cstheme="minorHAnsi"/>
          <w:bCs/>
          <w:sz w:val="24"/>
          <w:szCs w:val="24"/>
        </w:rPr>
        <w:t xml:space="preserve">containing 30 mcg </w:t>
      </w:r>
      <w:proofErr w:type="spellStart"/>
      <w:r w:rsidR="00C62049" w:rsidRPr="001B7756">
        <w:rPr>
          <w:rFonts w:asciiTheme="minorHAnsi" w:hAnsiTheme="minorHAnsi" w:cstheme="minorHAnsi"/>
          <w:bCs/>
          <w:sz w:val="24"/>
          <w:szCs w:val="24"/>
        </w:rPr>
        <w:t>haemagglut</w:t>
      </w:r>
      <w:r w:rsidR="00B36BC6" w:rsidRPr="001B7756">
        <w:rPr>
          <w:rFonts w:asciiTheme="minorHAnsi" w:hAnsiTheme="minorHAnsi" w:cstheme="minorHAnsi"/>
          <w:bCs/>
          <w:sz w:val="24"/>
          <w:szCs w:val="24"/>
        </w:rPr>
        <w:t>i</w:t>
      </w:r>
      <w:r w:rsidR="00C62049" w:rsidRPr="001B7756">
        <w:rPr>
          <w:rFonts w:asciiTheme="minorHAnsi" w:hAnsiTheme="minorHAnsi" w:cstheme="minorHAnsi"/>
          <w:bCs/>
          <w:sz w:val="24"/>
          <w:szCs w:val="24"/>
        </w:rPr>
        <w:t>nin</w:t>
      </w:r>
      <w:proofErr w:type="spellEnd"/>
      <w:r w:rsidR="00B36BC6" w:rsidRPr="001B7756">
        <w:rPr>
          <w:rFonts w:asciiTheme="minorHAnsi" w:hAnsiTheme="minorHAnsi" w:cstheme="minorHAnsi"/>
          <w:bCs/>
          <w:sz w:val="24"/>
          <w:szCs w:val="24"/>
        </w:rPr>
        <w:t>)</w:t>
      </w:r>
      <w:r w:rsidR="00C62049" w:rsidRPr="001B7756">
        <w:rPr>
          <w:rFonts w:asciiTheme="minorHAnsi" w:hAnsiTheme="minorHAnsi" w:cstheme="minorHAnsi"/>
          <w:bCs/>
          <w:sz w:val="24"/>
          <w:szCs w:val="24"/>
        </w:rPr>
        <w:t xml:space="preserve"> of </w:t>
      </w:r>
      <w:proofErr w:type="spellStart"/>
      <w:r w:rsidR="00C62049" w:rsidRPr="001B7756">
        <w:rPr>
          <w:rFonts w:asciiTheme="minorHAnsi" w:hAnsiTheme="minorHAnsi" w:cstheme="minorHAnsi"/>
          <w:bCs/>
          <w:sz w:val="24"/>
          <w:szCs w:val="24"/>
        </w:rPr>
        <w:t>FluQuadri</w:t>
      </w:r>
      <w:proofErr w:type="spellEnd"/>
      <w:r w:rsidR="00C62049" w:rsidRPr="001B7756">
        <w:rPr>
          <w:rFonts w:asciiTheme="minorHAnsi" w:hAnsiTheme="minorHAnsi" w:cstheme="minorHAnsi"/>
          <w:bCs/>
          <w:sz w:val="24"/>
          <w:szCs w:val="24"/>
        </w:rPr>
        <w:t xml:space="preserve"> Junior for the 6 to 35 month age group.</w:t>
      </w:r>
    </w:p>
    <w:p w:rsidR="00DD592A" w:rsidRPr="001B7756" w:rsidRDefault="00E74DC7" w:rsidP="005F3B0E">
      <w:pPr>
        <w:widowControl w:val="0"/>
        <w:numPr>
          <w:ilvl w:val="1"/>
          <w:numId w:val="5"/>
        </w:numPr>
        <w:spacing w:before="120" w:after="120"/>
        <w:jc w:val="both"/>
        <w:rPr>
          <w:rFonts w:asciiTheme="minorHAnsi" w:hAnsiTheme="minorHAnsi" w:cs="Arial"/>
          <w:bCs/>
          <w:snapToGrid w:val="0"/>
        </w:rPr>
      </w:pPr>
      <w:r w:rsidRPr="001B7756">
        <w:rPr>
          <w:rFonts w:asciiTheme="minorHAnsi" w:hAnsiTheme="minorHAnsi" w:cs="Arial"/>
          <w:bCs/>
          <w:snapToGrid w:val="0"/>
        </w:rPr>
        <w:t xml:space="preserve">The PBAC </w:t>
      </w:r>
      <w:r w:rsidR="006C12BD" w:rsidRPr="001B7756">
        <w:rPr>
          <w:rFonts w:asciiTheme="minorHAnsi" w:hAnsiTheme="minorHAnsi" w:cs="Arial"/>
          <w:bCs/>
          <w:snapToGrid w:val="0"/>
        </w:rPr>
        <w:t>considered that</w:t>
      </w:r>
      <w:r w:rsidRPr="001B7756">
        <w:rPr>
          <w:rFonts w:asciiTheme="minorHAnsi" w:hAnsiTheme="minorHAnsi" w:cs="Arial"/>
          <w:bCs/>
          <w:snapToGrid w:val="0"/>
        </w:rPr>
        <w:t xml:space="preserve"> the incidence of solicited fever was </w:t>
      </w:r>
      <w:r w:rsidR="006C12BD" w:rsidRPr="001B7756">
        <w:rPr>
          <w:rFonts w:asciiTheme="minorHAnsi" w:hAnsiTheme="minorHAnsi" w:cs="Arial"/>
          <w:bCs/>
          <w:snapToGrid w:val="0"/>
        </w:rPr>
        <w:t>comparable to other influenza vaccines and</w:t>
      </w:r>
      <w:r w:rsidR="00DD592A" w:rsidRPr="001B7756">
        <w:rPr>
          <w:rFonts w:asciiTheme="minorHAnsi" w:hAnsiTheme="minorHAnsi" w:cs="Arial"/>
          <w:bCs/>
          <w:snapToGrid w:val="0"/>
        </w:rPr>
        <w:t xml:space="preserve"> noted there was a lack of available data on concomitant use of </w:t>
      </w:r>
      <w:proofErr w:type="spellStart"/>
      <w:r w:rsidR="00DD592A" w:rsidRPr="001B7756">
        <w:rPr>
          <w:rFonts w:asciiTheme="minorHAnsi" w:hAnsiTheme="minorHAnsi" w:cs="Arial"/>
          <w:bCs/>
          <w:snapToGrid w:val="0"/>
        </w:rPr>
        <w:t>Fluarix</w:t>
      </w:r>
      <w:proofErr w:type="spellEnd"/>
      <w:r w:rsidR="00DD592A" w:rsidRPr="001B7756">
        <w:rPr>
          <w:rFonts w:asciiTheme="minorHAnsi" w:hAnsiTheme="minorHAnsi" w:cs="Arial"/>
          <w:bCs/>
          <w:snapToGrid w:val="0"/>
        </w:rPr>
        <w:t xml:space="preserve"> Tetra with other vaccines in patients aged 6 to 35 months. </w:t>
      </w:r>
      <w:r w:rsidR="006C12BD" w:rsidRPr="001B7756">
        <w:rPr>
          <w:rFonts w:asciiTheme="minorHAnsi" w:hAnsiTheme="minorHAnsi" w:cs="Arial"/>
          <w:bCs/>
          <w:snapToGrid w:val="0"/>
        </w:rPr>
        <w:t xml:space="preserve">The PBAC </w:t>
      </w:r>
      <w:r w:rsidR="00DD592A" w:rsidRPr="001B7756">
        <w:rPr>
          <w:rFonts w:asciiTheme="minorHAnsi" w:hAnsiTheme="minorHAnsi" w:cs="Arial"/>
          <w:bCs/>
          <w:snapToGrid w:val="0"/>
        </w:rPr>
        <w:t xml:space="preserve">also noted that </w:t>
      </w:r>
      <w:r w:rsidR="00B62366" w:rsidRPr="001B7756">
        <w:rPr>
          <w:rFonts w:asciiTheme="minorHAnsi" w:hAnsiTheme="minorHAnsi" w:cs="Arial"/>
          <w:bCs/>
          <w:snapToGrid w:val="0"/>
        </w:rPr>
        <w:t xml:space="preserve">the </w:t>
      </w:r>
      <w:r w:rsidR="00DD592A" w:rsidRPr="001B7756">
        <w:rPr>
          <w:rFonts w:asciiTheme="minorHAnsi" w:hAnsiTheme="minorHAnsi" w:cs="Arial"/>
          <w:bCs/>
          <w:snapToGrid w:val="0"/>
        </w:rPr>
        <w:t xml:space="preserve">ATAGI Pre-Submission Advice </w:t>
      </w:r>
      <w:r w:rsidR="006C12BD" w:rsidRPr="001B7756">
        <w:rPr>
          <w:rFonts w:asciiTheme="minorHAnsi" w:hAnsiTheme="minorHAnsi" w:cs="Arial"/>
          <w:bCs/>
          <w:snapToGrid w:val="0"/>
        </w:rPr>
        <w:t>(p4</w:t>
      </w:r>
      <w:r w:rsidR="00B62366" w:rsidRPr="001B7756">
        <w:rPr>
          <w:rFonts w:asciiTheme="minorHAnsi" w:hAnsiTheme="minorHAnsi" w:cs="Arial"/>
          <w:bCs/>
          <w:snapToGrid w:val="0"/>
        </w:rPr>
        <w:t xml:space="preserve">) </w:t>
      </w:r>
      <w:r w:rsidR="00DD592A" w:rsidRPr="001B7756">
        <w:rPr>
          <w:rFonts w:asciiTheme="minorHAnsi" w:hAnsiTheme="minorHAnsi" w:cs="Arial"/>
          <w:bCs/>
          <w:snapToGrid w:val="0"/>
        </w:rPr>
        <w:t>concluded there w</w:t>
      </w:r>
      <w:r w:rsidR="00B62366" w:rsidRPr="001B7756">
        <w:rPr>
          <w:rFonts w:asciiTheme="minorHAnsi" w:hAnsiTheme="minorHAnsi" w:cs="Arial"/>
          <w:bCs/>
          <w:snapToGrid w:val="0"/>
        </w:rPr>
        <w:t>ere</w:t>
      </w:r>
      <w:r w:rsidR="00DD592A" w:rsidRPr="001B7756">
        <w:rPr>
          <w:rFonts w:asciiTheme="minorHAnsi" w:hAnsiTheme="minorHAnsi" w:cs="Arial"/>
          <w:bCs/>
          <w:snapToGrid w:val="0"/>
        </w:rPr>
        <w:t xml:space="preserve"> no substantial concerns regarding co-administration of </w:t>
      </w:r>
      <w:proofErr w:type="spellStart"/>
      <w:r w:rsidR="00DD592A" w:rsidRPr="001B7756">
        <w:rPr>
          <w:rFonts w:asciiTheme="minorHAnsi" w:hAnsiTheme="minorHAnsi" w:cs="Arial"/>
          <w:bCs/>
          <w:snapToGrid w:val="0"/>
        </w:rPr>
        <w:t>Fluarix</w:t>
      </w:r>
      <w:proofErr w:type="spellEnd"/>
      <w:r w:rsidR="00DD592A" w:rsidRPr="001B7756">
        <w:rPr>
          <w:rFonts w:asciiTheme="minorHAnsi" w:hAnsiTheme="minorHAnsi" w:cs="Arial"/>
          <w:bCs/>
          <w:snapToGrid w:val="0"/>
        </w:rPr>
        <w:t xml:space="preserve"> Tetra with other routine childhood vaccinations in children aged 6–35 months</w:t>
      </w:r>
      <w:r w:rsidR="006C12BD" w:rsidRPr="001B7756">
        <w:rPr>
          <w:rFonts w:asciiTheme="minorHAnsi" w:hAnsiTheme="minorHAnsi" w:cs="Arial"/>
          <w:bCs/>
          <w:snapToGrid w:val="0"/>
        </w:rPr>
        <w:t>, and the PBAC further noted</w:t>
      </w:r>
      <w:r w:rsidR="00B253A7" w:rsidRPr="001B7756">
        <w:rPr>
          <w:rFonts w:asciiTheme="minorHAnsi" w:hAnsiTheme="minorHAnsi" w:cs="Arial"/>
          <w:bCs/>
          <w:snapToGrid w:val="0"/>
        </w:rPr>
        <w:t xml:space="preserve"> </w:t>
      </w:r>
      <w:proofErr w:type="gramStart"/>
      <w:r w:rsidR="00DD592A" w:rsidRPr="001B7756">
        <w:rPr>
          <w:rFonts w:asciiTheme="minorHAnsi" w:hAnsiTheme="minorHAnsi" w:cs="Arial"/>
          <w:bCs/>
          <w:snapToGrid w:val="0"/>
        </w:rPr>
        <w:t>evidence demonstrating</w:t>
      </w:r>
      <w:proofErr w:type="gramEnd"/>
      <w:r w:rsidR="00DD592A" w:rsidRPr="001B7756">
        <w:rPr>
          <w:rFonts w:asciiTheme="minorHAnsi" w:hAnsiTheme="minorHAnsi" w:cs="Arial"/>
          <w:bCs/>
          <w:snapToGrid w:val="0"/>
        </w:rPr>
        <w:t xml:space="preserve"> co-administration of </w:t>
      </w:r>
      <w:proofErr w:type="spellStart"/>
      <w:r w:rsidR="00DD592A" w:rsidRPr="001B7756">
        <w:rPr>
          <w:rFonts w:asciiTheme="minorHAnsi" w:hAnsiTheme="minorHAnsi" w:cs="Arial"/>
          <w:bCs/>
          <w:snapToGrid w:val="0"/>
        </w:rPr>
        <w:t>Fluarix</w:t>
      </w:r>
      <w:proofErr w:type="spellEnd"/>
      <w:r w:rsidR="00DD592A" w:rsidRPr="001B7756">
        <w:rPr>
          <w:rFonts w:asciiTheme="minorHAnsi" w:hAnsiTheme="minorHAnsi" w:cs="Arial"/>
          <w:bCs/>
          <w:snapToGrid w:val="0"/>
        </w:rPr>
        <w:t xml:space="preserve"> Tetra with other vaccines in adults </w:t>
      </w:r>
      <w:r w:rsidR="00B253A7" w:rsidRPr="001B7756">
        <w:rPr>
          <w:rFonts w:asciiTheme="minorHAnsi" w:hAnsiTheme="minorHAnsi" w:cs="Arial"/>
          <w:bCs/>
          <w:snapToGrid w:val="0"/>
        </w:rPr>
        <w:t>did not raise any concerns</w:t>
      </w:r>
      <w:r w:rsidR="00DD592A" w:rsidRPr="001B7756">
        <w:rPr>
          <w:rFonts w:asciiTheme="minorHAnsi" w:hAnsiTheme="minorHAnsi" w:cs="Arial"/>
          <w:bCs/>
          <w:snapToGrid w:val="0"/>
        </w:rPr>
        <w:t xml:space="preserve">. </w:t>
      </w:r>
      <w:r w:rsidR="00BD33A4" w:rsidRPr="00BD33A4">
        <w:rPr>
          <w:rFonts w:asciiTheme="minorHAnsi" w:hAnsiTheme="minorHAnsi" w:cs="Arial"/>
          <w:bCs/>
          <w:snapToGrid w:val="0"/>
        </w:rPr>
        <w:t>Overall,</w:t>
      </w:r>
      <w:r w:rsidR="00DD592A" w:rsidRPr="001B7756">
        <w:rPr>
          <w:rFonts w:asciiTheme="minorHAnsi" w:hAnsiTheme="minorHAnsi" w:cs="Arial"/>
          <w:bCs/>
          <w:snapToGrid w:val="0"/>
        </w:rPr>
        <w:t xml:space="preserve"> the PBAC did not consider co-administration of </w:t>
      </w:r>
      <w:proofErr w:type="spellStart"/>
      <w:r w:rsidR="00DD592A" w:rsidRPr="001B7756">
        <w:rPr>
          <w:rFonts w:asciiTheme="minorHAnsi" w:hAnsiTheme="minorHAnsi" w:cs="Arial"/>
          <w:bCs/>
          <w:snapToGrid w:val="0"/>
        </w:rPr>
        <w:t>Fluarix</w:t>
      </w:r>
      <w:proofErr w:type="spellEnd"/>
      <w:r w:rsidR="00DD592A" w:rsidRPr="001B7756">
        <w:rPr>
          <w:rFonts w:asciiTheme="minorHAnsi" w:hAnsiTheme="minorHAnsi" w:cs="Arial"/>
          <w:bCs/>
          <w:snapToGrid w:val="0"/>
        </w:rPr>
        <w:t xml:space="preserve"> Tetra with routine childhood vaccines to be </w:t>
      </w:r>
      <w:r w:rsidR="0002091E" w:rsidRPr="001B7756">
        <w:rPr>
          <w:rFonts w:asciiTheme="minorHAnsi" w:hAnsiTheme="minorHAnsi" w:cs="Arial"/>
          <w:bCs/>
          <w:snapToGrid w:val="0"/>
        </w:rPr>
        <w:t>a significant risk</w:t>
      </w:r>
      <w:r w:rsidRPr="001B7756">
        <w:rPr>
          <w:rFonts w:asciiTheme="minorHAnsi" w:hAnsiTheme="minorHAnsi" w:cs="Arial"/>
          <w:bCs/>
          <w:snapToGrid w:val="0"/>
        </w:rPr>
        <w:t xml:space="preserve"> and considered </w:t>
      </w:r>
      <w:proofErr w:type="spellStart"/>
      <w:r w:rsidRPr="001B7756">
        <w:rPr>
          <w:rFonts w:asciiTheme="minorHAnsi" w:hAnsiTheme="minorHAnsi" w:cs="Arial"/>
          <w:bCs/>
          <w:snapToGrid w:val="0"/>
        </w:rPr>
        <w:t>Fluarix</w:t>
      </w:r>
      <w:proofErr w:type="spellEnd"/>
      <w:r w:rsidRPr="001B7756">
        <w:rPr>
          <w:rFonts w:asciiTheme="minorHAnsi" w:hAnsiTheme="minorHAnsi" w:cs="Arial"/>
          <w:bCs/>
          <w:snapToGrid w:val="0"/>
        </w:rPr>
        <w:t xml:space="preserve"> Tetra </w:t>
      </w:r>
      <w:proofErr w:type="gramStart"/>
      <w:r w:rsidRPr="001B7756">
        <w:rPr>
          <w:rFonts w:asciiTheme="minorHAnsi" w:hAnsiTheme="minorHAnsi" w:cs="Arial"/>
          <w:bCs/>
          <w:snapToGrid w:val="0"/>
        </w:rPr>
        <w:t>to be non</w:t>
      </w:r>
      <w:proofErr w:type="gramEnd"/>
      <w:r w:rsidRPr="001B7756">
        <w:rPr>
          <w:rFonts w:asciiTheme="minorHAnsi" w:hAnsiTheme="minorHAnsi" w:cs="Arial"/>
          <w:bCs/>
          <w:snapToGrid w:val="0"/>
        </w:rPr>
        <w:t xml:space="preserve">-inferior to </w:t>
      </w:r>
      <w:proofErr w:type="spellStart"/>
      <w:r w:rsidRPr="001B7756">
        <w:rPr>
          <w:rFonts w:asciiTheme="minorHAnsi" w:hAnsiTheme="minorHAnsi" w:cs="Arial"/>
          <w:bCs/>
          <w:snapToGrid w:val="0"/>
        </w:rPr>
        <w:t>FluQuadri</w:t>
      </w:r>
      <w:proofErr w:type="spellEnd"/>
      <w:r w:rsidRPr="001B7756">
        <w:rPr>
          <w:rFonts w:asciiTheme="minorHAnsi" w:hAnsiTheme="minorHAnsi" w:cs="Arial"/>
          <w:bCs/>
          <w:snapToGrid w:val="0"/>
        </w:rPr>
        <w:t xml:space="preserve"> Junior with regards to safety.</w:t>
      </w:r>
    </w:p>
    <w:p w:rsidR="00A42E3F" w:rsidRPr="001B7756" w:rsidRDefault="00A42E3F" w:rsidP="005F3B0E">
      <w:pPr>
        <w:widowControl w:val="0"/>
        <w:numPr>
          <w:ilvl w:val="1"/>
          <w:numId w:val="5"/>
        </w:numPr>
        <w:spacing w:before="120" w:after="120"/>
        <w:jc w:val="both"/>
        <w:rPr>
          <w:rFonts w:asciiTheme="minorHAnsi" w:hAnsiTheme="minorHAnsi" w:cs="Arial"/>
          <w:bCs/>
          <w:snapToGrid w:val="0"/>
        </w:rPr>
      </w:pPr>
      <w:r w:rsidRPr="001B7756">
        <w:rPr>
          <w:rFonts w:asciiTheme="minorHAnsi" w:hAnsiTheme="minorHAnsi" w:cs="Arial"/>
          <w:bCs/>
          <w:snapToGrid w:val="0"/>
        </w:rPr>
        <w:lastRenderedPageBreak/>
        <w:t xml:space="preserve">The PBAC noted the dose of </w:t>
      </w:r>
      <w:proofErr w:type="spellStart"/>
      <w:r w:rsidRPr="001B7756">
        <w:rPr>
          <w:rFonts w:asciiTheme="minorHAnsi" w:hAnsiTheme="minorHAnsi" w:cs="Arial"/>
          <w:bCs/>
          <w:snapToGrid w:val="0"/>
        </w:rPr>
        <w:t>Fluarix</w:t>
      </w:r>
      <w:proofErr w:type="spellEnd"/>
      <w:r w:rsidRPr="001B7756">
        <w:rPr>
          <w:rFonts w:asciiTheme="minorHAnsi" w:hAnsiTheme="minorHAnsi" w:cs="Arial"/>
          <w:bCs/>
          <w:snapToGrid w:val="0"/>
        </w:rPr>
        <w:t xml:space="preserve"> Tetra is twice that of the comparator, w</w:t>
      </w:r>
      <w:r w:rsidR="00DF3D66" w:rsidRPr="001B7756">
        <w:rPr>
          <w:rFonts w:asciiTheme="minorHAnsi" w:hAnsiTheme="minorHAnsi" w:cs="Arial"/>
          <w:bCs/>
          <w:snapToGrid w:val="0"/>
        </w:rPr>
        <w:t>hich increases</w:t>
      </w:r>
      <w:r w:rsidRPr="001B7756">
        <w:rPr>
          <w:rFonts w:asciiTheme="minorHAnsi" w:hAnsiTheme="minorHAnsi" w:cs="Arial"/>
          <w:bCs/>
          <w:snapToGrid w:val="0"/>
        </w:rPr>
        <w:t xml:space="preserve"> </w:t>
      </w:r>
      <w:r w:rsidR="00DF3D66" w:rsidRPr="001B7756">
        <w:rPr>
          <w:rFonts w:asciiTheme="minorHAnsi" w:hAnsiTheme="minorHAnsi" w:cs="Arial"/>
          <w:bCs/>
          <w:snapToGrid w:val="0"/>
        </w:rPr>
        <w:t xml:space="preserve">the </w:t>
      </w:r>
      <w:r w:rsidRPr="001B7756">
        <w:rPr>
          <w:rFonts w:asciiTheme="minorHAnsi" w:hAnsiTheme="minorHAnsi" w:cs="Arial"/>
          <w:bCs/>
          <w:snapToGrid w:val="0"/>
        </w:rPr>
        <w:t xml:space="preserve">risk </w:t>
      </w:r>
      <w:r w:rsidR="00DF3D66" w:rsidRPr="001B7756">
        <w:rPr>
          <w:rFonts w:asciiTheme="minorHAnsi" w:hAnsiTheme="minorHAnsi" w:cs="Arial"/>
          <w:bCs/>
          <w:snapToGrid w:val="0"/>
        </w:rPr>
        <w:t xml:space="preserve">of </w:t>
      </w:r>
      <w:r w:rsidRPr="001B7756">
        <w:rPr>
          <w:rFonts w:asciiTheme="minorHAnsi" w:hAnsiTheme="minorHAnsi" w:cs="Arial"/>
          <w:bCs/>
          <w:snapToGrid w:val="0"/>
        </w:rPr>
        <w:t>incorrect dos</w:t>
      </w:r>
      <w:r w:rsidR="00DF3D66" w:rsidRPr="001B7756">
        <w:rPr>
          <w:rFonts w:asciiTheme="minorHAnsi" w:hAnsiTheme="minorHAnsi" w:cs="Arial"/>
          <w:bCs/>
          <w:snapToGrid w:val="0"/>
        </w:rPr>
        <w:t xml:space="preserve">ing in children. It also noted the Pre-PBAC </w:t>
      </w:r>
      <w:proofErr w:type="gramStart"/>
      <w:r w:rsidR="00DF3D66" w:rsidRPr="001B7756">
        <w:rPr>
          <w:rFonts w:asciiTheme="minorHAnsi" w:hAnsiTheme="minorHAnsi" w:cs="Arial"/>
          <w:bCs/>
          <w:snapToGrid w:val="0"/>
        </w:rPr>
        <w:t>R</w:t>
      </w:r>
      <w:r w:rsidRPr="001B7756">
        <w:rPr>
          <w:rFonts w:asciiTheme="minorHAnsi" w:hAnsiTheme="minorHAnsi" w:cs="Arial"/>
          <w:bCs/>
          <w:snapToGrid w:val="0"/>
        </w:rPr>
        <w:t xml:space="preserve">esponse </w:t>
      </w:r>
      <w:r w:rsidR="00DF3D66" w:rsidRPr="001B7756">
        <w:rPr>
          <w:rFonts w:asciiTheme="minorHAnsi" w:hAnsiTheme="minorHAnsi" w:cs="Arial"/>
          <w:bCs/>
          <w:snapToGrid w:val="0"/>
        </w:rPr>
        <w:t>which</w:t>
      </w:r>
      <w:proofErr w:type="gramEnd"/>
      <w:r w:rsidR="00DF3D66" w:rsidRPr="001B7756">
        <w:rPr>
          <w:rFonts w:asciiTheme="minorHAnsi" w:hAnsiTheme="minorHAnsi" w:cs="Arial"/>
          <w:bCs/>
          <w:snapToGrid w:val="0"/>
        </w:rPr>
        <w:t xml:space="preserve"> </w:t>
      </w:r>
      <w:r w:rsidRPr="001B7756">
        <w:rPr>
          <w:rFonts w:asciiTheme="minorHAnsi" w:hAnsiTheme="minorHAnsi" w:cs="Arial"/>
          <w:bCs/>
          <w:snapToGrid w:val="0"/>
        </w:rPr>
        <w:t xml:space="preserve">acknowledged this risk and </w:t>
      </w:r>
      <w:r w:rsidR="00DF3D66" w:rsidRPr="001B7756">
        <w:rPr>
          <w:rFonts w:asciiTheme="minorHAnsi" w:hAnsiTheme="minorHAnsi" w:cs="Arial"/>
          <w:bCs/>
          <w:snapToGrid w:val="0"/>
        </w:rPr>
        <w:t>outlined a risk management strategy including communication with, and education of, general practitioners and vaccine providers</w:t>
      </w:r>
      <w:r w:rsidR="00B253A7" w:rsidRPr="001B7756">
        <w:rPr>
          <w:rFonts w:asciiTheme="minorHAnsi" w:hAnsiTheme="minorHAnsi" w:cs="Arial"/>
          <w:bCs/>
          <w:snapToGrid w:val="0"/>
        </w:rPr>
        <w:t>;</w:t>
      </w:r>
      <w:r w:rsidR="00B36BC6" w:rsidRPr="001B7756">
        <w:rPr>
          <w:rFonts w:asciiTheme="minorHAnsi" w:hAnsiTheme="minorHAnsi" w:cs="Arial"/>
          <w:bCs/>
          <w:snapToGrid w:val="0"/>
        </w:rPr>
        <w:t xml:space="preserve"> and</w:t>
      </w:r>
      <w:r w:rsidR="00B62366" w:rsidRPr="001B7756">
        <w:rPr>
          <w:rFonts w:asciiTheme="minorHAnsi" w:hAnsiTheme="minorHAnsi" w:cs="Arial"/>
          <w:bCs/>
          <w:snapToGrid w:val="0"/>
        </w:rPr>
        <w:t xml:space="preserve"> </w:t>
      </w:r>
      <w:r w:rsidR="00B36BC6" w:rsidRPr="001B7756">
        <w:rPr>
          <w:rFonts w:asciiTheme="minorHAnsi" w:hAnsiTheme="minorHAnsi" w:cs="Arial"/>
          <w:bCs/>
          <w:snapToGrid w:val="0"/>
        </w:rPr>
        <w:t>provide</w:t>
      </w:r>
      <w:r w:rsidR="00B62366" w:rsidRPr="001B7756">
        <w:rPr>
          <w:rFonts w:asciiTheme="minorHAnsi" w:hAnsiTheme="minorHAnsi" w:cs="Arial"/>
          <w:bCs/>
          <w:snapToGrid w:val="0"/>
        </w:rPr>
        <w:t>d</w:t>
      </w:r>
      <w:r w:rsidR="00B36BC6" w:rsidRPr="001B7756">
        <w:rPr>
          <w:rFonts w:asciiTheme="minorHAnsi" w:hAnsiTheme="minorHAnsi" w:cs="Arial"/>
          <w:bCs/>
          <w:snapToGrid w:val="0"/>
        </w:rPr>
        <w:t xml:space="preserve"> a sample flyer to be distributed with vaccines outlining correct administration</w:t>
      </w:r>
      <w:r w:rsidR="00DF3D66" w:rsidRPr="001B7756">
        <w:rPr>
          <w:rFonts w:asciiTheme="minorHAnsi" w:hAnsiTheme="minorHAnsi" w:cs="Arial"/>
          <w:bCs/>
          <w:snapToGrid w:val="0"/>
        </w:rPr>
        <w:t>. The PBAC considered the risk management strategy to be appropriate.</w:t>
      </w:r>
    </w:p>
    <w:p w:rsidR="00A42E3F" w:rsidRPr="003A589B" w:rsidRDefault="00A42E3F" w:rsidP="005F3B0E">
      <w:pPr>
        <w:widowControl w:val="0"/>
        <w:numPr>
          <w:ilvl w:val="1"/>
          <w:numId w:val="5"/>
        </w:numPr>
        <w:spacing w:before="120" w:after="120"/>
        <w:jc w:val="both"/>
        <w:rPr>
          <w:rFonts w:asciiTheme="minorHAnsi" w:hAnsiTheme="minorHAnsi" w:cs="Arial"/>
          <w:bCs/>
          <w:snapToGrid w:val="0"/>
        </w:rPr>
      </w:pPr>
      <w:r w:rsidRPr="001B7756">
        <w:rPr>
          <w:rFonts w:asciiTheme="minorHAnsi" w:hAnsiTheme="minorHAnsi" w:cs="Arial"/>
          <w:bCs/>
          <w:snapToGrid w:val="0"/>
        </w:rPr>
        <w:t xml:space="preserve">The PBAC </w:t>
      </w:r>
      <w:r w:rsidR="005C2180" w:rsidRPr="001B7756">
        <w:rPr>
          <w:rFonts w:asciiTheme="minorHAnsi" w:hAnsiTheme="minorHAnsi" w:cs="Arial"/>
          <w:bCs/>
          <w:snapToGrid w:val="0"/>
        </w:rPr>
        <w:t>noted</w:t>
      </w:r>
      <w:r w:rsidR="00B62366" w:rsidRPr="001B7756">
        <w:rPr>
          <w:rFonts w:asciiTheme="minorHAnsi" w:hAnsiTheme="minorHAnsi" w:cs="Arial"/>
          <w:bCs/>
          <w:snapToGrid w:val="0"/>
        </w:rPr>
        <w:t xml:space="preserve"> that </w:t>
      </w:r>
      <w:r w:rsidR="005C2180" w:rsidRPr="001B7756">
        <w:rPr>
          <w:rFonts w:asciiTheme="minorHAnsi" w:hAnsiTheme="minorHAnsi" w:cs="Arial"/>
          <w:bCs/>
          <w:snapToGrid w:val="0"/>
        </w:rPr>
        <w:t xml:space="preserve">the submission was </w:t>
      </w:r>
      <w:proofErr w:type="gramStart"/>
      <w:r w:rsidR="005C2180" w:rsidRPr="001B7756">
        <w:rPr>
          <w:rFonts w:asciiTheme="minorHAnsi" w:hAnsiTheme="minorHAnsi" w:cs="Arial"/>
          <w:bCs/>
          <w:snapToGrid w:val="0"/>
        </w:rPr>
        <w:t>expected to be cost</w:t>
      </w:r>
      <w:proofErr w:type="gramEnd"/>
      <w:r w:rsidR="005C2180" w:rsidRPr="001B7756">
        <w:rPr>
          <w:rFonts w:asciiTheme="minorHAnsi" w:hAnsiTheme="minorHAnsi" w:cs="Arial"/>
          <w:bCs/>
          <w:snapToGrid w:val="0"/>
        </w:rPr>
        <w:t xml:space="preserve"> neutral to the NIP, based on cost-minimisation to the nationally negotiated price, and noted that the tender price on the NIP may </w:t>
      </w:r>
      <w:r w:rsidR="00E8517B" w:rsidRPr="001B7756">
        <w:rPr>
          <w:rFonts w:asciiTheme="minorHAnsi" w:hAnsiTheme="minorHAnsi" w:cs="Arial"/>
          <w:bCs/>
          <w:snapToGrid w:val="0"/>
        </w:rPr>
        <w:t>be lower than</w:t>
      </w:r>
      <w:r w:rsidR="00005BF9">
        <w:rPr>
          <w:rFonts w:asciiTheme="minorHAnsi" w:hAnsiTheme="minorHAnsi" w:cs="Arial"/>
          <w:bCs/>
          <w:snapToGrid w:val="0"/>
        </w:rPr>
        <w:t xml:space="preserve"> </w:t>
      </w:r>
      <w:r w:rsidR="005C2180" w:rsidRPr="001B7756">
        <w:rPr>
          <w:rFonts w:asciiTheme="minorHAnsi" w:hAnsiTheme="minorHAnsi" w:cs="Arial"/>
          <w:bCs/>
          <w:snapToGrid w:val="0"/>
        </w:rPr>
        <w:t xml:space="preserve">the nationally negotiated price. </w:t>
      </w:r>
      <w:r w:rsidRPr="001B7756">
        <w:rPr>
          <w:rFonts w:asciiTheme="minorHAnsi" w:hAnsiTheme="minorHAnsi" w:cs="Arial"/>
          <w:bCs/>
          <w:snapToGrid w:val="0"/>
        </w:rPr>
        <w:t xml:space="preserve">The PBAC </w:t>
      </w:r>
      <w:r w:rsidR="00D466A1" w:rsidRPr="001B7756">
        <w:rPr>
          <w:rFonts w:asciiTheme="minorHAnsi" w:hAnsiTheme="minorHAnsi" w:cs="Arial"/>
          <w:bCs/>
          <w:snapToGrid w:val="0"/>
        </w:rPr>
        <w:t xml:space="preserve">noted that </w:t>
      </w:r>
      <w:r w:rsidR="00E8517B" w:rsidRPr="001B7756">
        <w:rPr>
          <w:rFonts w:asciiTheme="minorHAnsi" w:hAnsiTheme="minorHAnsi" w:cs="Arial"/>
          <w:bCs/>
          <w:snapToGrid w:val="0"/>
        </w:rPr>
        <w:t xml:space="preserve">should </w:t>
      </w:r>
      <w:r w:rsidR="00D466A1" w:rsidRPr="001B7756">
        <w:rPr>
          <w:rFonts w:asciiTheme="minorHAnsi" w:hAnsiTheme="minorHAnsi" w:cs="Arial"/>
          <w:bCs/>
          <w:snapToGrid w:val="0"/>
        </w:rPr>
        <w:t xml:space="preserve">both </w:t>
      </w:r>
      <w:r w:rsidR="00E8517B" w:rsidRPr="001B7756">
        <w:rPr>
          <w:rFonts w:asciiTheme="minorHAnsi" w:hAnsiTheme="minorHAnsi" w:cs="Arial"/>
          <w:bCs/>
          <w:snapToGrid w:val="0"/>
        </w:rPr>
        <w:t xml:space="preserve">the </w:t>
      </w:r>
      <w:proofErr w:type="spellStart"/>
      <w:r w:rsidR="00E8517B" w:rsidRPr="001B7756">
        <w:rPr>
          <w:rFonts w:asciiTheme="minorHAnsi" w:hAnsiTheme="minorHAnsi" w:cs="Arial"/>
          <w:bCs/>
          <w:snapToGrid w:val="0"/>
        </w:rPr>
        <w:t>Fluarix</w:t>
      </w:r>
      <w:proofErr w:type="spellEnd"/>
      <w:r w:rsidR="00E8517B" w:rsidRPr="001B7756">
        <w:rPr>
          <w:rFonts w:asciiTheme="minorHAnsi" w:hAnsiTheme="minorHAnsi" w:cs="Arial"/>
          <w:bCs/>
          <w:snapToGrid w:val="0"/>
        </w:rPr>
        <w:t xml:space="preserve"> Tetra and </w:t>
      </w:r>
      <w:proofErr w:type="spellStart"/>
      <w:r w:rsidR="00E8517B" w:rsidRPr="001B7756">
        <w:rPr>
          <w:rFonts w:asciiTheme="minorHAnsi" w:hAnsiTheme="minorHAnsi" w:cs="Arial"/>
          <w:bCs/>
          <w:snapToGrid w:val="0"/>
        </w:rPr>
        <w:t>FluQuadri</w:t>
      </w:r>
      <w:proofErr w:type="spellEnd"/>
      <w:r w:rsidR="00E8517B" w:rsidRPr="001B7756">
        <w:rPr>
          <w:rFonts w:asciiTheme="minorHAnsi" w:hAnsiTheme="minorHAnsi" w:cs="Arial"/>
          <w:bCs/>
          <w:snapToGrid w:val="0"/>
        </w:rPr>
        <w:t xml:space="preserve"> Junior </w:t>
      </w:r>
      <w:r w:rsidR="00BD33A4" w:rsidRPr="00BD33A4">
        <w:rPr>
          <w:rFonts w:asciiTheme="minorHAnsi" w:hAnsiTheme="minorHAnsi" w:cs="Arial"/>
          <w:bCs/>
          <w:snapToGrid w:val="0"/>
        </w:rPr>
        <w:t>vaccines remain</w:t>
      </w:r>
      <w:r w:rsidR="00D466A1" w:rsidRPr="001B7756">
        <w:rPr>
          <w:rFonts w:asciiTheme="minorHAnsi" w:hAnsiTheme="minorHAnsi" w:cs="Arial"/>
          <w:bCs/>
          <w:snapToGrid w:val="0"/>
        </w:rPr>
        <w:t xml:space="preserve"> on the NIP, </w:t>
      </w:r>
      <w:proofErr w:type="spellStart"/>
      <w:r w:rsidRPr="001B7756">
        <w:rPr>
          <w:rFonts w:asciiTheme="minorHAnsi" w:hAnsiTheme="minorHAnsi" w:cs="Arial"/>
          <w:bCs/>
          <w:snapToGrid w:val="0"/>
        </w:rPr>
        <w:t>Fluarix</w:t>
      </w:r>
      <w:proofErr w:type="spellEnd"/>
      <w:r w:rsidRPr="001B7756">
        <w:rPr>
          <w:rFonts w:asciiTheme="minorHAnsi" w:hAnsiTheme="minorHAnsi" w:cs="Arial"/>
          <w:bCs/>
          <w:snapToGrid w:val="0"/>
        </w:rPr>
        <w:t xml:space="preserve"> Tetra would likely </w:t>
      </w:r>
      <w:r w:rsidR="00811C6C">
        <w:rPr>
          <w:rFonts w:asciiTheme="minorHAnsi" w:hAnsiTheme="minorHAnsi" w:cs="Arial"/>
          <w:bCs/>
          <w:snapToGrid w:val="0"/>
        </w:rPr>
        <w:t>be preferred by immunisation providers over</w:t>
      </w:r>
      <w:r w:rsidRPr="001B7756">
        <w:rPr>
          <w:rFonts w:asciiTheme="minorHAnsi" w:hAnsiTheme="minorHAnsi" w:cs="Arial"/>
          <w:bCs/>
          <w:snapToGrid w:val="0"/>
        </w:rPr>
        <w:t xml:space="preserve"> </w:t>
      </w:r>
      <w:proofErr w:type="spellStart"/>
      <w:r w:rsidRPr="001B7756">
        <w:rPr>
          <w:rFonts w:asciiTheme="minorHAnsi" w:hAnsiTheme="minorHAnsi" w:cs="Arial"/>
          <w:bCs/>
          <w:snapToGrid w:val="0"/>
        </w:rPr>
        <w:t>FluQuadri</w:t>
      </w:r>
      <w:proofErr w:type="spellEnd"/>
      <w:r w:rsidRPr="001B7756">
        <w:rPr>
          <w:rFonts w:asciiTheme="minorHAnsi" w:hAnsiTheme="minorHAnsi" w:cs="Arial"/>
          <w:bCs/>
          <w:snapToGrid w:val="0"/>
        </w:rPr>
        <w:t xml:space="preserve"> Junior</w:t>
      </w:r>
      <w:r w:rsidR="00BB5D4A" w:rsidRPr="001B7756">
        <w:rPr>
          <w:rFonts w:asciiTheme="minorHAnsi" w:hAnsiTheme="minorHAnsi" w:cs="Arial"/>
          <w:bCs/>
          <w:snapToGrid w:val="0"/>
        </w:rPr>
        <w:t xml:space="preserve"> </w:t>
      </w:r>
      <w:r w:rsidR="00B253A7" w:rsidRPr="001B7756">
        <w:rPr>
          <w:rFonts w:asciiTheme="minorHAnsi" w:hAnsiTheme="minorHAnsi" w:cs="Arial"/>
          <w:bCs/>
          <w:snapToGrid w:val="0"/>
        </w:rPr>
        <w:t>because</w:t>
      </w:r>
      <w:r w:rsidRPr="001B7756">
        <w:rPr>
          <w:rFonts w:asciiTheme="minorHAnsi" w:hAnsiTheme="minorHAnsi" w:cs="Arial"/>
          <w:bCs/>
          <w:snapToGrid w:val="0"/>
        </w:rPr>
        <w:t xml:space="preserve"> the v</w:t>
      </w:r>
      <w:r w:rsidR="00BB5D4A" w:rsidRPr="001B7756">
        <w:rPr>
          <w:rFonts w:asciiTheme="minorHAnsi" w:hAnsiTheme="minorHAnsi" w:cs="Arial"/>
          <w:bCs/>
          <w:snapToGrid w:val="0"/>
        </w:rPr>
        <w:t xml:space="preserve">accine </w:t>
      </w:r>
      <w:r w:rsidR="00B253A7" w:rsidRPr="001B7756">
        <w:rPr>
          <w:rFonts w:asciiTheme="minorHAnsi" w:hAnsiTheme="minorHAnsi" w:cs="Arial"/>
          <w:bCs/>
          <w:snapToGrid w:val="0"/>
        </w:rPr>
        <w:t xml:space="preserve">covers </w:t>
      </w:r>
      <w:r w:rsidRPr="001B7756">
        <w:rPr>
          <w:rFonts w:asciiTheme="minorHAnsi" w:hAnsiTheme="minorHAnsi" w:cs="Arial"/>
          <w:bCs/>
          <w:snapToGrid w:val="0"/>
        </w:rPr>
        <w:t xml:space="preserve">both </w:t>
      </w:r>
      <w:r w:rsidR="00B253A7" w:rsidRPr="001B7756">
        <w:rPr>
          <w:rFonts w:asciiTheme="minorHAnsi" w:hAnsiTheme="minorHAnsi" w:cs="Arial"/>
          <w:bCs/>
          <w:snapToGrid w:val="0"/>
        </w:rPr>
        <w:t>a</w:t>
      </w:r>
      <w:r w:rsidRPr="001B7756">
        <w:rPr>
          <w:rFonts w:asciiTheme="minorHAnsi" w:hAnsiTheme="minorHAnsi" w:cs="Arial"/>
          <w:bCs/>
          <w:snapToGrid w:val="0"/>
        </w:rPr>
        <w:t xml:space="preserve">dults and </w:t>
      </w:r>
      <w:r w:rsidR="00B253A7" w:rsidRPr="001B7756">
        <w:rPr>
          <w:rFonts w:asciiTheme="minorHAnsi" w:hAnsiTheme="minorHAnsi" w:cs="Arial"/>
          <w:bCs/>
          <w:snapToGrid w:val="0"/>
        </w:rPr>
        <w:t>c</w:t>
      </w:r>
      <w:r w:rsidRPr="001B7756">
        <w:rPr>
          <w:rFonts w:asciiTheme="minorHAnsi" w:hAnsiTheme="minorHAnsi" w:cs="Arial"/>
          <w:bCs/>
          <w:snapToGrid w:val="0"/>
        </w:rPr>
        <w:t>hildren, and</w:t>
      </w:r>
      <w:r w:rsidR="00E8517B" w:rsidRPr="001B7756">
        <w:rPr>
          <w:rFonts w:asciiTheme="minorHAnsi" w:hAnsiTheme="minorHAnsi" w:cs="Arial"/>
          <w:bCs/>
          <w:snapToGrid w:val="0"/>
        </w:rPr>
        <w:t xml:space="preserve"> would likely simplify</w:t>
      </w:r>
      <w:r w:rsidRPr="001B7756">
        <w:rPr>
          <w:rFonts w:asciiTheme="minorHAnsi" w:hAnsiTheme="minorHAnsi" w:cs="Arial"/>
          <w:bCs/>
          <w:snapToGrid w:val="0"/>
        </w:rPr>
        <w:t xml:space="preserve"> </w:t>
      </w:r>
      <w:r w:rsidR="00E8517B" w:rsidRPr="001B7756">
        <w:rPr>
          <w:rFonts w:asciiTheme="minorHAnsi" w:hAnsiTheme="minorHAnsi" w:cs="Arial"/>
          <w:bCs/>
          <w:snapToGrid w:val="0"/>
        </w:rPr>
        <w:t>administration and storage arrangements in practice</w:t>
      </w:r>
      <w:r w:rsidR="00BD33A4">
        <w:rPr>
          <w:rFonts w:asciiTheme="minorHAnsi" w:hAnsiTheme="minorHAnsi" w:cs="Arial"/>
          <w:bCs/>
          <w:snapToGrid w:val="0"/>
        </w:rPr>
        <w:t>.</w:t>
      </w:r>
    </w:p>
    <w:p w:rsidR="009241D3" w:rsidRPr="001B7756" w:rsidRDefault="009241D3" w:rsidP="005F3B0E">
      <w:pPr>
        <w:numPr>
          <w:ilvl w:val="1"/>
          <w:numId w:val="5"/>
        </w:numPr>
        <w:spacing w:before="120" w:after="120"/>
        <w:jc w:val="both"/>
        <w:rPr>
          <w:rFonts w:asciiTheme="minorHAnsi" w:hAnsiTheme="minorHAnsi"/>
          <w:bCs/>
        </w:rPr>
      </w:pPr>
      <w:r w:rsidRPr="001B7756">
        <w:rPr>
          <w:rFonts w:asciiTheme="minorHAnsi" w:hAnsiTheme="minorHAnsi"/>
          <w:bCs/>
        </w:rPr>
        <w:t>The PBAC noted that this submission is not eligible for an Independent Review</w:t>
      </w:r>
      <w:r w:rsidRPr="00BD33A4">
        <w:t xml:space="preserve"> </w:t>
      </w:r>
      <w:r w:rsidRPr="001B7756">
        <w:rPr>
          <w:rFonts w:asciiTheme="minorHAnsi" w:hAnsiTheme="minorHAnsi"/>
          <w:bCs/>
        </w:rPr>
        <w:t>because Independent Review is only relevant to submissions seeking PBS listing.</w:t>
      </w:r>
    </w:p>
    <w:p w:rsidR="00081224" w:rsidRPr="00FD7D60" w:rsidRDefault="00081224" w:rsidP="005F3B0E">
      <w:pPr>
        <w:spacing w:before="120" w:after="120"/>
        <w:rPr>
          <w:rFonts w:asciiTheme="minorHAnsi" w:hAnsiTheme="minorHAnsi" w:cstheme="minorHAnsi"/>
          <w:b/>
          <w:snapToGrid w:val="0"/>
        </w:rPr>
      </w:pPr>
      <w:r w:rsidRPr="00FD7D60">
        <w:rPr>
          <w:rFonts w:asciiTheme="minorHAnsi" w:hAnsiTheme="minorHAnsi" w:cstheme="minorHAnsi"/>
          <w:b/>
          <w:snapToGrid w:val="0"/>
        </w:rPr>
        <w:t>Outcome:</w:t>
      </w:r>
    </w:p>
    <w:p w:rsidR="00081224" w:rsidRPr="001B7756" w:rsidRDefault="008D5007" w:rsidP="005F3B0E">
      <w:pPr>
        <w:spacing w:before="120" w:after="120"/>
        <w:jc w:val="both"/>
        <w:rPr>
          <w:rFonts w:asciiTheme="minorHAnsi" w:hAnsiTheme="minorHAnsi" w:cs="Arial"/>
          <w:bCs/>
          <w:snapToGrid w:val="0"/>
        </w:rPr>
      </w:pPr>
      <w:r w:rsidRPr="001B7756">
        <w:rPr>
          <w:rFonts w:asciiTheme="minorHAnsi" w:hAnsiTheme="minorHAnsi" w:cs="Arial"/>
          <w:bCs/>
          <w:snapToGrid w:val="0"/>
        </w:rPr>
        <w:t>Recommended</w:t>
      </w:r>
    </w:p>
    <w:p w:rsidR="00081224" w:rsidRPr="001B7756" w:rsidRDefault="00081224" w:rsidP="005F3B0E">
      <w:pPr>
        <w:pStyle w:val="Heading1"/>
        <w:keepNext/>
        <w:keepLines/>
        <w:widowControl/>
        <w:numPr>
          <w:ilvl w:val="0"/>
          <w:numId w:val="14"/>
        </w:numPr>
        <w:spacing w:before="120" w:after="120"/>
        <w:ind w:left="709" w:hanging="709"/>
        <w:jc w:val="left"/>
        <w:rPr>
          <w:i/>
        </w:rPr>
      </w:pPr>
      <w:r w:rsidRPr="00BD33A4">
        <w:rPr>
          <w:rFonts w:asciiTheme="minorHAnsi" w:hAnsiTheme="minorHAnsi"/>
          <w:sz w:val="32"/>
          <w:szCs w:val="32"/>
        </w:rPr>
        <w:t>Recommended listing</w:t>
      </w:r>
    </w:p>
    <w:p w:rsidR="00081224" w:rsidRPr="00BD33A4" w:rsidRDefault="00081224" w:rsidP="005F3B0E">
      <w:pPr>
        <w:widowControl w:val="0"/>
        <w:spacing w:before="120" w:after="120"/>
        <w:ind w:firstLine="720"/>
        <w:jc w:val="both"/>
        <w:rPr>
          <w:rFonts w:asciiTheme="minorHAnsi" w:hAnsiTheme="minorHAnsi" w:cs="Arial"/>
          <w:bCs/>
          <w:snapToGrid w:val="0"/>
        </w:rPr>
      </w:pPr>
      <w:r w:rsidRPr="00BD33A4">
        <w:rPr>
          <w:rFonts w:asciiTheme="minorHAnsi" w:hAnsiTheme="minorHAnsi" w:cs="Arial"/>
          <w:bCs/>
          <w:snapToGrid w:val="0"/>
        </w:rPr>
        <w:t xml:space="preserve">Amend existing/recommended </w:t>
      </w:r>
      <w:r w:rsidR="00CF1F0A" w:rsidRPr="00BD33A4">
        <w:rPr>
          <w:rFonts w:asciiTheme="minorHAnsi" w:hAnsiTheme="minorHAnsi" w:cs="Arial"/>
          <w:bCs/>
          <w:snapToGrid w:val="0"/>
        </w:rPr>
        <w:t xml:space="preserve">Determination </w:t>
      </w:r>
      <w:r w:rsidRPr="00BD33A4">
        <w:rPr>
          <w:rFonts w:asciiTheme="minorHAnsi" w:hAnsiTheme="minorHAnsi" w:cs="Arial"/>
          <w:bCs/>
          <w:snapToGrid w:val="0"/>
        </w:rPr>
        <w:t>listing as follows:</w:t>
      </w:r>
    </w:p>
    <w:tbl>
      <w:tblPr>
        <w:tblW w:w="4915" w:type="pct"/>
        <w:tblBorders>
          <w:top w:val="single" w:sz="4" w:space="0" w:color="auto"/>
          <w:bottom w:val="single" w:sz="4" w:space="0" w:color="auto"/>
          <w:insideH w:val="single" w:sz="4" w:space="0" w:color="auto"/>
        </w:tblBorders>
        <w:tblLook w:val="0000" w:firstRow="0" w:lastRow="0" w:firstColumn="0" w:lastColumn="0" w:noHBand="0" w:noVBand="0"/>
      </w:tblPr>
      <w:tblGrid>
        <w:gridCol w:w="3293"/>
        <w:gridCol w:w="735"/>
        <w:gridCol w:w="884"/>
        <w:gridCol w:w="1688"/>
        <w:gridCol w:w="710"/>
        <w:gridCol w:w="1563"/>
      </w:tblGrid>
      <w:tr w:rsidR="00C73281" w:rsidRPr="00BD33A4" w:rsidTr="000F4975">
        <w:trPr>
          <w:cantSplit/>
          <w:trHeight w:val="465"/>
        </w:trPr>
        <w:tc>
          <w:tcPr>
            <w:tcW w:w="1856" w:type="pct"/>
          </w:tcPr>
          <w:p w:rsidR="00C73281" w:rsidRPr="00BD33A4" w:rsidRDefault="00C73281" w:rsidP="0004170F">
            <w:pPr>
              <w:keepNext/>
              <w:spacing w:before="40" w:after="40"/>
              <w:rPr>
                <w:rFonts w:ascii="Arial Narrow" w:hAnsi="Arial Narrow" w:cs="Arial"/>
                <w:b/>
                <w:sz w:val="20"/>
                <w:szCs w:val="20"/>
              </w:rPr>
            </w:pPr>
            <w:r w:rsidRPr="00BD33A4">
              <w:rPr>
                <w:rFonts w:ascii="Arial Narrow" w:hAnsi="Arial Narrow" w:cs="Arial"/>
                <w:b/>
                <w:sz w:val="20"/>
                <w:szCs w:val="20"/>
              </w:rPr>
              <w:t>Name, Restriction,</w:t>
            </w:r>
          </w:p>
          <w:p w:rsidR="00C73281" w:rsidRPr="00BD33A4" w:rsidRDefault="00C73281" w:rsidP="0004170F">
            <w:pPr>
              <w:keepNext/>
              <w:spacing w:before="40" w:after="40"/>
              <w:rPr>
                <w:rFonts w:ascii="Arial Narrow" w:hAnsi="Arial Narrow" w:cs="Arial"/>
                <w:b/>
                <w:sz w:val="20"/>
                <w:szCs w:val="20"/>
              </w:rPr>
            </w:pPr>
            <w:r w:rsidRPr="00BD33A4">
              <w:rPr>
                <w:rFonts w:ascii="Arial Narrow" w:hAnsi="Arial Narrow" w:cs="Arial"/>
                <w:b/>
                <w:sz w:val="20"/>
                <w:szCs w:val="20"/>
              </w:rPr>
              <w:t>Manner of administration and form</w:t>
            </w:r>
          </w:p>
        </w:tc>
        <w:tc>
          <w:tcPr>
            <w:tcW w:w="414" w:type="pct"/>
          </w:tcPr>
          <w:p w:rsidR="00C73281" w:rsidRPr="00BD33A4" w:rsidRDefault="00C73281" w:rsidP="0004170F">
            <w:pPr>
              <w:keepNext/>
              <w:spacing w:before="40" w:after="40"/>
              <w:rPr>
                <w:rFonts w:ascii="Arial Narrow" w:hAnsi="Arial Narrow" w:cs="Arial"/>
                <w:b/>
                <w:sz w:val="20"/>
                <w:szCs w:val="20"/>
              </w:rPr>
            </w:pPr>
            <w:r w:rsidRPr="00BD33A4">
              <w:rPr>
                <w:rFonts w:ascii="Arial Narrow" w:hAnsi="Arial Narrow" w:cs="Arial"/>
                <w:b/>
                <w:sz w:val="20"/>
                <w:szCs w:val="20"/>
              </w:rPr>
              <w:t>Max.</w:t>
            </w:r>
          </w:p>
          <w:p w:rsidR="00C73281" w:rsidRPr="00BD33A4" w:rsidRDefault="00C73281" w:rsidP="0004170F">
            <w:pPr>
              <w:keepNext/>
              <w:spacing w:before="40" w:after="40"/>
              <w:rPr>
                <w:rFonts w:ascii="Arial Narrow" w:hAnsi="Arial Narrow" w:cs="Arial"/>
                <w:b/>
                <w:sz w:val="20"/>
                <w:szCs w:val="20"/>
              </w:rPr>
            </w:pPr>
            <w:proofErr w:type="spellStart"/>
            <w:r w:rsidRPr="00BD33A4">
              <w:rPr>
                <w:rFonts w:ascii="Arial Narrow" w:hAnsi="Arial Narrow" w:cs="Arial"/>
                <w:b/>
                <w:sz w:val="20"/>
                <w:szCs w:val="20"/>
              </w:rPr>
              <w:t>Qty</w:t>
            </w:r>
            <w:proofErr w:type="spellEnd"/>
          </w:p>
        </w:tc>
        <w:tc>
          <w:tcPr>
            <w:tcW w:w="498" w:type="pct"/>
          </w:tcPr>
          <w:p w:rsidR="00C73281" w:rsidRPr="00BD33A4" w:rsidRDefault="00C73281" w:rsidP="0004170F">
            <w:pPr>
              <w:keepNext/>
              <w:spacing w:before="40" w:after="40"/>
              <w:rPr>
                <w:rFonts w:ascii="Arial Narrow" w:hAnsi="Arial Narrow" w:cs="Arial"/>
                <w:b/>
                <w:sz w:val="20"/>
                <w:szCs w:val="20"/>
              </w:rPr>
            </w:pPr>
            <w:r w:rsidRPr="00BD33A4">
              <w:rPr>
                <w:rFonts w:ascii="Arial Narrow" w:hAnsi="Arial Narrow" w:cs="Arial"/>
                <w:b/>
                <w:sz w:val="20"/>
                <w:szCs w:val="20"/>
              </w:rPr>
              <w:t>№.of</w:t>
            </w:r>
          </w:p>
          <w:p w:rsidR="00C73281" w:rsidRPr="00BD33A4" w:rsidRDefault="00C73281" w:rsidP="0004170F">
            <w:pPr>
              <w:keepNext/>
              <w:spacing w:before="40" w:after="40"/>
              <w:rPr>
                <w:rFonts w:ascii="Arial Narrow" w:hAnsi="Arial Narrow" w:cs="Arial"/>
                <w:b/>
                <w:sz w:val="20"/>
                <w:szCs w:val="20"/>
              </w:rPr>
            </w:pPr>
            <w:proofErr w:type="spellStart"/>
            <w:r w:rsidRPr="00BD33A4">
              <w:rPr>
                <w:rFonts w:ascii="Arial Narrow" w:hAnsi="Arial Narrow" w:cs="Arial"/>
                <w:b/>
                <w:sz w:val="20"/>
                <w:szCs w:val="20"/>
              </w:rPr>
              <w:t>Rpts</w:t>
            </w:r>
            <w:proofErr w:type="spellEnd"/>
          </w:p>
        </w:tc>
        <w:tc>
          <w:tcPr>
            <w:tcW w:w="951" w:type="pct"/>
          </w:tcPr>
          <w:p w:rsidR="00C73281" w:rsidRPr="00BD33A4" w:rsidRDefault="00C73281" w:rsidP="0004170F">
            <w:pPr>
              <w:keepNext/>
              <w:spacing w:before="40" w:after="40"/>
              <w:rPr>
                <w:rFonts w:ascii="Arial Narrow" w:hAnsi="Arial Narrow" w:cs="Arial"/>
                <w:b/>
                <w:sz w:val="20"/>
                <w:szCs w:val="20"/>
              </w:rPr>
            </w:pPr>
          </w:p>
        </w:tc>
        <w:tc>
          <w:tcPr>
            <w:tcW w:w="1283" w:type="pct"/>
            <w:gridSpan w:val="2"/>
          </w:tcPr>
          <w:p w:rsidR="00C73281" w:rsidRPr="001B7756" w:rsidRDefault="00C73281" w:rsidP="0004170F">
            <w:pPr>
              <w:keepNext/>
              <w:spacing w:before="40" w:after="40"/>
              <w:rPr>
                <w:rFonts w:ascii="Arial Narrow" w:hAnsi="Arial Narrow" w:cs="Arial"/>
                <w:b/>
                <w:sz w:val="20"/>
                <w:szCs w:val="20"/>
              </w:rPr>
            </w:pPr>
            <w:r w:rsidRPr="00BD33A4">
              <w:rPr>
                <w:rFonts w:ascii="Arial Narrow" w:hAnsi="Arial Narrow" w:cs="Arial"/>
                <w:b/>
                <w:sz w:val="20"/>
                <w:szCs w:val="20"/>
              </w:rPr>
              <w:t>Proprietary Name and Manufacturer</w:t>
            </w:r>
          </w:p>
        </w:tc>
      </w:tr>
      <w:tr w:rsidR="00C73281" w:rsidRPr="00BD33A4" w:rsidTr="000F4975">
        <w:trPr>
          <w:cantSplit/>
          <w:trHeight w:val="567"/>
        </w:trPr>
        <w:tc>
          <w:tcPr>
            <w:tcW w:w="1856" w:type="pct"/>
          </w:tcPr>
          <w:p w:rsidR="00C73281" w:rsidRPr="00BD33A4" w:rsidRDefault="00C73281" w:rsidP="0004170F">
            <w:pPr>
              <w:keepNext/>
              <w:spacing w:before="40" w:after="40"/>
              <w:jc w:val="both"/>
              <w:rPr>
                <w:rFonts w:ascii="Arial Narrow" w:hAnsi="Arial Narrow" w:cs="Arial"/>
                <w:smallCaps/>
                <w:sz w:val="20"/>
                <w:szCs w:val="20"/>
              </w:rPr>
            </w:pPr>
            <w:r w:rsidRPr="00BD33A4">
              <w:rPr>
                <w:rFonts w:ascii="Arial Narrow" w:hAnsi="Arial Narrow" w:cs="Arial"/>
                <w:smallCaps/>
                <w:sz w:val="20"/>
                <w:szCs w:val="20"/>
              </w:rPr>
              <w:t>QUADRIVALENT INFLUENZA VACCINE  (SPLIT VIRION, INACTIVATED)</w:t>
            </w:r>
          </w:p>
          <w:p w:rsidR="00C73281" w:rsidRPr="00BD33A4" w:rsidRDefault="00C73281" w:rsidP="0004170F">
            <w:pPr>
              <w:keepNext/>
              <w:spacing w:before="40" w:after="40"/>
              <w:jc w:val="both"/>
              <w:rPr>
                <w:rFonts w:ascii="Arial Narrow" w:hAnsi="Arial Narrow" w:cs="Arial"/>
                <w:sz w:val="20"/>
                <w:szCs w:val="20"/>
              </w:rPr>
            </w:pPr>
            <w:r w:rsidRPr="00BD33A4">
              <w:rPr>
                <w:rFonts w:ascii="Arial Narrow" w:hAnsi="Arial Narrow" w:cs="Arial"/>
                <w:smallCaps/>
                <w:sz w:val="20"/>
                <w:szCs w:val="20"/>
              </w:rPr>
              <w:t>Prefilled syringe, 0.5 mL</w:t>
            </w:r>
          </w:p>
        </w:tc>
        <w:tc>
          <w:tcPr>
            <w:tcW w:w="414" w:type="pct"/>
          </w:tcPr>
          <w:p w:rsidR="00C73281" w:rsidRPr="00BD33A4" w:rsidRDefault="00C73281" w:rsidP="0004170F">
            <w:pPr>
              <w:keepNext/>
              <w:spacing w:before="40" w:after="40"/>
              <w:jc w:val="both"/>
              <w:rPr>
                <w:rFonts w:ascii="Arial Narrow" w:hAnsi="Arial Narrow" w:cs="Arial"/>
                <w:sz w:val="20"/>
                <w:szCs w:val="20"/>
              </w:rPr>
            </w:pPr>
          </w:p>
          <w:p w:rsidR="00C73281" w:rsidRPr="00BD33A4" w:rsidRDefault="00C73281" w:rsidP="0004170F">
            <w:pPr>
              <w:keepNext/>
              <w:spacing w:before="40" w:after="40"/>
              <w:jc w:val="both"/>
              <w:rPr>
                <w:rFonts w:ascii="Arial Narrow" w:hAnsi="Arial Narrow" w:cs="Arial"/>
                <w:sz w:val="20"/>
                <w:szCs w:val="20"/>
              </w:rPr>
            </w:pPr>
            <w:r w:rsidRPr="00BD33A4">
              <w:rPr>
                <w:rFonts w:ascii="Arial Narrow" w:hAnsi="Arial Narrow" w:cs="Arial"/>
                <w:sz w:val="20"/>
                <w:szCs w:val="20"/>
              </w:rPr>
              <w:t>1</w:t>
            </w:r>
          </w:p>
        </w:tc>
        <w:tc>
          <w:tcPr>
            <w:tcW w:w="498" w:type="pct"/>
          </w:tcPr>
          <w:p w:rsidR="00C73281" w:rsidRPr="00BD33A4" w:rsidRDefault="00C73281" w:rsidP="0004170F">
            <w:pPr>
              <w:keepNext/>
              <w:spacing w:before="40" w:after="40"/>
              <w:jc w:val="both"/>
              <w:rPr>
                <w:rFonts w:ascii="Arial Narrow" w:hAnsi="Arial Narrow" w:cs="Arial"/>
                <w:sz w:val="20"/>
                <w:szCs w:val="20"/>
              </w:rPr>
            </w:pPr>
          </w:p>
          <w:p w:rsidR="00C73281" w:rsidRPr="00BD33A4" w:rsidRDefault="00C73281" w:rsidP="0004170F">
            <w:pPr>
              <w:keepNext/>
              <w:spacing w:before="40" w:after="40"/>
              <w:jc w:val="both"/>
              <w:rPr>
                <w:rFonts w:ascii="Arial Narrow" w:hAnsi="Arial Narrow" w:cs="Arial"/>
                <w:sz w:val="20"/>
                <w:szCs w:val="20"/>
              </w:rPr>
            </w:pPr>
            <w:r w:rsidRPr="00BD33A4">
              <w:rPr>
                <w:rFonts w:ascii="Arial Narrow" w:hAnsi="Arial Narrow" w:cs="Arial"/>
                <w:sz w:val="20"/>
                <w:szCs w:val="20"/>
              </w:rPr>
              <w:t>0*</w:t>
            </w:r>
          </w:p>
        </w:tc>
        <w:tc>
          <w:tcPr>
            <w:tcW w:w="951" w:type="pct"/>
          </w:tcPr>
          <w:p w:rsidR="00C73281" w:rsidRPr="00BD33A4" w:rsidRDefault="00C73281" w:rsidP="0004170F">
            <w:pPr>
              <w:keepNext/>
              <w:spacing w:before="40" w:after="40"/>
              <w:jc w:val="both"/>
              <w:rPr>
                <w:rFonts w:ascii="Arial Narrow" w:hAnsi="Arial Narrow" w:cs="Arial"/>
                <w:sz w:val="20"/>
                <w:szCs w:val="20"/>
              </w:rPr>
            </w:pPr>
          </w:p>
        </w:tc>
        <w:tc>
          <w:tcPr>
            <w:tcW w:w="400" w:type="pct"/>
          </w:tcPr>
          <w:p w:rsidR="00C73281" w:rsidRPr="00BD33A4" w:rsidRDefault="00C73281" w:rsidP="0004170F">
            <w:pPr>
              <w:keepNext/>
              <w:spacing w:before="40" w:after="40"/>
              <w:jc w:val="both"/>
              <w:rPr>
                <w:rFonts w:ascii="Arial Narrow" w:hAnsi="Arial Narrow" w:cs="Arial"/>
                <w:sz w:val="20"/>
                <w:szCs w:val="20"/>
              </w:rPr>
            </w:pPr>
          </w:p>
          <w:p w:rsidR="00C73281" w:rsidRPr="00BD33A4" w:rsidRDefault="00C73281" w:rsidP="0004170F">
            <w:pPr>
              <w:keepNext/>
              <w:spacing w:before="40" w:after="40"/>
              <w:jc w:val="both"/>
              <w:rPr>
                <w:rFonts w:ascii="Arial Narrow" w:hAnsi="Arial Narrow" w:cs="Arial"/>
                <w:sz w:val="20"/>
                <w:szCs w:val="20"/>
              </w:rPr>
            </w:pPr>
            <w:proofErr w:type="spellStart"/>
            <w:r w:rsidRPr="00BD33A4">
              <w:rPr>
                <w:rFonts w:ascii="Arial Narrow" w:hAnsi="Arial Narrow" w:cs="Arial"/>
                <w:sz w:val="20"/>
                <w:szCs w:val="20"/>
              </w:rPr>
              <w:t>Fluarix</w:t>
            </w:r>
            <w:proofErr w:type="spellEnd"/>
            <w:r w:rsidRPr="00BD33A4">
              <w:rPr>
                <w:rFonts w:ascii="Arial Narrow" w:hAnsi="Arial Narrow" w:cs="Arial"/>
                <w:sz w:val="20"/>
                <w:szCs w:val="20"/>
              </w:rPr>
              <w:t xml:space="preserve"> Tetra</w:t>
            </w:r>
          </w:p>
        </w:tc>
        <w:tc>
          <w:tcPr>
            <w:tcW w:w="883" w:type="pct"/>
          </w:tcPr>
          <w:p w:rsidR="00C73281" w:rsidRPr="00BD33A4" w:rsidRDefault="00C73281" w:rsidP="0004170F">
            <w:pPr>
              <w:keepNext/>
              <w:spacing w:before="40" w:after="40"/>
              <w:jc w:val="both"/>
              <w:rPr>
                <w:rFonts w:ascii="Arial Narrow" w:hAnsi="Arial Narrow" w:cs="Arial"/>
                <w:sz w:val="20"/>
                <w:szCs w:val="20"/>
              </w:rPr>
            </w:pPr>
          </w:p>
          <w:p w:rsidR="00C73281" w:rsidRPr="00BD33A4" w:rsidRDefault="00C73281" w:rsidP="0004170F">
            <w:pPr>
              <w:keepNext/>
              <w:spacing w:before="40" w:after="40"/>
              <w:jc w:val="both"/>
              <w:rPr>
                <w:rFonts w:ascii="Arial Narrow" w:hAnsi="Arial Narrow" w:cs="Arial"/>
                <w:sz w:val="20"/>
                <w:szCs w:val="20"/>
              </w:rPr>
            </w:pPr>
            <w:r w:rsidRPr="00BD33A4">
              <w:rPr>
                <w:rFonts w:ascii="Arial Narrow" w:hAnsi="Arial Narrow" w:cs="Arial"/>
                <w:sz w:val="20"/>
                <w:szCs w:val="20"/>
              </w:rPr>
              <w:t>GlaxoSmithKline Australia Pty Ltd</w:t>
            </w:r>
          </w:p>
        </w:tc>
      </w:tr>
    </w:tbl>
    <w:p w:rsidR="00C73281" w:rsidRPr="00BD33A4" w:rsidRDefault="00C73281" w:rsidP="00C73281">
      <w:pPr>
        <w:rPr>
          <w:rFonts w:ascii="Arial Narrow" w:hAnsi="Arial Narrow" w:cs="Arial"/>
          <w:color w:val="000000"/>
          <w:sz w:val="20"/>
          <w:szCs w:val="20"/>
          <w:shd w:val="clear" w:color="auto" w:fill="FFFFFF"/>
        </w:rPr>
      </w:pPr>
      <w:r w:rsidRPr="00BD33A4">
        <w:rPr>
          <w:rFonts w:ascii="Arial Narrow" w:hAnsi="Arial Narrow"/>
          <w:sz w:val="20"/>
          <w:szCs w:val="20"/>
        </w:rPr>
        <w:t>*</w:t>
      </w:r>
      <w:r w:rsidRPr="00BD33A4">
        <w:rPr>
          <w:rFonts w:ascii="Arial Narrow" w:hAnsi="Arial Narrow" w:cs="Arial"/>
          <w:color w:val="000000"/>
          <w:sz w:val="20"/>
          <w:szCs w:val="20"/>
          <w:shd w:val="clear" w:color="auto" w:fill="FFFFFF"/>
        </w:rPr>
        <w:t xml:space="preserve"> For children 6 months</w:t>
      </w:r>
      <w:r w:rsidRPr="00BD33A4">
        <w:rPr>
          <w:rFonts w:ascii="Arial Narrow" w:hAnsi="Arial Narrow" w:cs="Arial"/>
          <w:i/>
          <w:color w:val="000000"/>
          <w:sz w:val="20"/>
          <w:szCs w:val="20"/>
          <w:shd w:val="clear" w:color="auto" w:fill="FFFFFF"/>
        </w:rPr>
        <w:t xml:space="preserve"> </w:t>
      </w:r>
      <w:r w:rsidRPr="00BD33A4">
        <w:rPr>
          <w:rFonts w:ascii="Arial Narrow" w:hAnsi="Arial Narrow" w:cs="Arial"/>
          <w:color w:val="000000"/>
          <w:sz w:val="20"/>
          <w:szCs w:val="20"/>
          <w:shd w:val="clear" w:color="auto" w:fill="FFFFFF"/>
        </w:rPr>
        <w:t>and older but less than 9 years, 2 doses at least 1 month apart are required for the first vaccination, as per the Determination listing and the recommendations in the Australian Immunisation Handbook.</w:t>
      </w:r>
    </w:p>
    <w:p w:rsidR="00C73281" w:rsidRPr="00BD33A4" w:rsidRDefault="00C73281" w:rsidP="00081224">
      <w:pPr>
        <w:spacing w:after="120"/>
        <w:rPr>
          <w:rFonts w:asciiTheme="minorHAnsi" w:hAnsiTheme="minorHAnsi"/>
        </w:rPr>
      </w:pPr>
    </w:p>
    <w:p w:rsidR="006D1400" w:rsidRPr="00BD33A4" w:rsidRDefault="006D1400" w:rsidP="007F6CE8">
      <w:pPr>
        <w:pStyle w:val="ListParagraph"/>
        <w:widowControl/>
        <w:spacing w:after="120"/>
        <w:ind w:left="709"/>
        <w:rPr>
          <w:rFonts w:asciiTheme="minorHAnsi" w:hAnsiTheme="minorHAnsi"/>
          <w:sz w:val="24"/>
          <w:szCs w:val="24"/>
        </w:rPr>
      </w:pPr>
    </w:p>
    <w:p w:rsidR="006D1400" w:rsidRPr="00BD33A4" w:rsidRDefault="006D1400" w:rsidP="007F6CE8">
      <w:pPr>
        <w:pStyle w:val="ListParagraph"/>
        <w:widowControl/>
        <w:spacing w:after="120"/>
        <w:ind w:left="709"/>
        <w:jc w:val="center"/>
        <w:rPr>
          <w:rFonts w:asciiTheme="minorHAnsi" w:hAnsiTheme="minorHAnsi"/>
          <w:b/>
          <w:i/>
          <w:sz w:val="24"/>
          <w:szCs w:val="24"/>
          <w:u w:val="single"/>
        </w:rPr>
      </w:pPr>
      <w:r w:rsidRPr="00BD33A4">
        <w:rPr>
          <w:rFonts w:asciiTheme="minorHAnsi" w:hAnsiTheme="minorHAnsi"/>
          <w:b/>
          <w:i/>
          <w:sz w:val="24"/>
          <w:szCs w:val="24"/>
          <w:u w:val="single"/>
        </w:rPr>
        <w:t>Committee-in-Confidence information</w:t>
      </w:r>
    </w:p>
    <w:p w:rsidR="006D1400" w:rsidRPr="00BD33A4" w:rsidRDefault="006D1400" w:rsidP="007F6CE8">
      <w:pPr>
        <w:pStyle w:val="ListParagraph"/>
        <w:widowControl/>
        <w:spacing w:after="120"/>
        <w:ind w:left="709"/>
        <w:rPr>
          <w:rFonts w:asciiTheme="minorHAnsi" w:hAnsiTheme="minorHAnsi"/>
          <w:sz w:val="24"/>
          <w:szCs w:val="24"/>
        </w:rPr>
      </w:pPr>
      <w:r w:rsidRPr="00BD33A4">
        <w:rPr>
          <w:rFonts w:asciiTheme="minorHAnsi" w:hAnsiTheme="minorHAnsi"/>
          <w:sz w:val="24"/>
          <w:szCs w:val="24"/>
        </w:rPr>
        <w:t xml:space="preserve">The NIP tender price for </w:t>
      </w:r>
      <w:proofErr w:type="spellStart"/>
      <w:r w:rsidRPr="00BD33A4">
        <w:rPr>
          <w:rFonts w:asciiTheme="minorHAnsi" w:hAnsiTheme="minorHAnsi"/>
          <w:sz w:val="24"/>
          <w:szCs w:val="24"/>
        </w:rPr>
        <w:t>Fluarix</w:t>
      </w:r>
      <w:proofErr w:type="spellEnd"/>
      <w:r w:rsidRPr="00BD33A4">
        <w:rPr>
          <w:rFonts w:asciiTheme="minorHAnsi" w:hAnsiTheme="minorHAnsi"/>
          <w:sz w:val="24"/>
          <w:szCs w:val="24"/>
        </w:rPr>
        <w:t xml:space="preserve"> Tetra is $</w:t>
      </w:r>
      <w:r w:rsidR="00BF216E">
        <w:rPr>
          <w:rFonts w:asciiTheme="minorHAnsi" w:hAnsiTheme="minorHAnsi"/>
          <w:noProof/>
          <w:color w:val="000000"/>
          <w:sz w:val="24"/>
          <w:szCs w:val="24"/>
          <w:highlight w:val="black"/>
        </w:rPr>
        <w:t>''''''''</w:t>
      </w:r>
    </w:p>
    <w:p w:rsidR="006D1400" w:rsidRPr="003A589B" w:rsidRDefault="003A589B" w:rsidP="007F6CE8">
      <w:pPr>
        <w:pStyle w:val="ListParagraph"/>
        <w:widowControl/>
        <w:spacing w:after="120"/>
        <w:ind w:left="709"/>
        <w:rPr>
          <w:rFonts w:asciiTheme="minorHAnsi" w:hAnsiTheme="minorHAnsi"/>
          <w:sz w:val="24"/>
          <w:szCs w:val="24"/>
          <w:highlight w:val="black"/>
        </w:rPr>
      </w:pPr>
      <w:r>
        <w:rPr>
          <w:rFonts w:asciiTheme="minorHAnsi" w:hAnsiTheme="minorHAnsi"/>
          <w:noProof/>
          <w:color w:val="000000"/>
          <w:sz w:val="24"/>
          <w:szCs w:val="24"/>
          <w:highlight w:val="black"/>
        </w:rPr>
        <w:t>''''''' '''''''' '''''''''''''' '''''''''' '''''' ''''''''''''''''''' ''''''''''' ''' ''''''''''</w:t>
      </w:r>
    </w:p>
    <w:p w:rsidR="006D1400" w:rsidRPr="00BD33A4" w:rsidRDefault="006D1400" w:rsidP="007F6CE8">
      <w:pPr>
        <w:spacing w:after="120"/>
        <w:ind w:firstLine="709"/>
        <w:jc w:val="center"/>
        <w:rPr>
          <w:rFonts w:asciiTheme="minorHAnsi" w:hAnsiTheme="minorHAnsi"/>
          <w:b/>
          <w:i/>
          <w:color w:val="FF00FF"/>
          <w:u w:val="single"/>
        </w:rPr>
      </w:pPr>
      <w:r w:rsidRPr="00BD33A4">
        <w:rPr>
          <w:rFonts w:asciiTheme="minorHAnsi" w:hAnsiTheme="minorHAnsi" w:cs="Arial"/>
          <w:b/>
          <w:i/>
          <w:snapToGrid w:val="0"/>
          <w:u w:val="single"/>
          <w:lang w:eastAsia="en-US"/>
        </w:rPr>
        <w:t>End Committee-in-Confidence information</w:t>
      </w:r>
    </w:p>
    <w:p w:rsidR="00AB326B" w:rsidRPr="00AB326B" w:rsidRDefault="00AB326B" w:rsidP="005F3B0E">
      <w:pPr>
        <w:pStyle w:val="Heading1"/>
        <w:keepNext/>
        <w:keepLines/>
        <w:widowControl/>
        <w:numPr>
          <w:ilvl w:val="0"/>
          <w:numId w:val="14"/>
        </w:numPr>
        <w:spacing w:before="120" w:after="120"/>
        <w:ind w:left="709" w:hanging="709"/>
        <w:jc w:val="left"/>
        <w:rPr>
          <w:rFonts w:asciiTheme="minorHAnsi" w:hAnsiTheme="minorHAnsi"/>
          <w:sz w:val="32"/>
          <w:szCs w:val="32"/>
        </w:rPr>
      </w:pPr>
      <w:r w:rsidRPr="00AB326B">
        <w:rPr>
          <w:rFonts w:asciiTheme="minorHAnsi" w:hAnsiTheme="minorHAnsi"/>
          <w:sz w:val="32"/>
          <w:szCs w:val="32"/>
        </w:rPr>
        <w:t>Context for Decision</w:t>
      </w:r>
    </w:p>
    <w:p w:rsidR="00AB326B" w:rsidRPr="00AB326B" w:rsidRDefault="00AB326B" w:rsidP="005F3B0E">
      <w:pPr>
        <w:spacing w:before="120" w:after="120"/>
        <w:ind w:left="426"/>
        <w:jc w:val="both"/>
        <w:rPr>
          <w:rFonts w:asciiTheme="minorHAnsi" w:eastAsiaTheme="minorHAnsi" w:hAnsiTheme="minorHAnsi" w:cs="Arial"/>
          <w:szCs w:val="22"/>
          <w:lang w:eastAsia="en-US"/>
        </w:rPr>
      </w:pPr>
      <w:r w:rsidRPr="00AB326B">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B326B" w:rsidRPr="00AB326B" w:rsidRDefault="00AB326B" w:rsidP="005F3B0E">
      <w:pPr>
        <w:pStyle w:val="Heading1"/>
        <w:keepNext/>
        <w:keepLines/>
        <w:widowControl/>
        <w:numPr>
          <w:ilvl w:val="0"/>
          <w:numId w:val="14"/>
        </w:numPr>
        <w:spacing w:before="120" w:after="120"/>
        <w:ind w:left="709" w:hanging="709"/>
        <w:jc w:val="left"/>
        <w:rPr>
          <w:rFonts w:asciiTheme="minorHAnsi" w:hAnsiTheme="minorHAnsi"/>
          <w:sz w:val="32"/>
          <w:szCs w:val="32"/>
        </w:rPr>
      </w:pPr>
      <w:r w:rsidRPr="00AB326B">
        <w:rPr>
          <w:rFonts w:asciiTheme="minorHAnsi" w:hAnsiTheme="minorHAnsi"/>
          <w:sz w:val="32"/>
          <w:szCs w:val="32"/>
        </w:rPr>
        <w:lastRenderedPageBreak/>
        <w:t>Sponsor’s Comment</w:t>
      </w:r>
    </w:p>
    <w:p w:rsidR="00AB326B" w:rsidRPr="000F4975" w:rsidRDefault="008B1A5B" w:rsidP="005F3B0E">
      <w:pPr>
        <w:spacing w:before="120" w:after="120"/>
        <w:ind w:left="426"/>
        <w:jc w:val="both"/>
        <w:rPr>
          <w:rFonts w:asciiTheme="minorHAnsi" w:eastAsiaTheme="minorHAnsi" w:hAnsiTheme="minorHAnsi" w:cs="Arial"/>
          <w:szCs w:val="22"/>
          <w:lang w:eastAsia="en-US"/>
        </w:rPr>
      </w:pPr>
      <w:r w:rsidRPr="00F670C2">
        <w:rPr>
          <w:rFonts w:asciiTheme="minorHAnsi" w:eastAsiaTheme="minorHAnsi" w:hAnsiTheme="minorHAnsi" w:cs="Arial"/>
          <w:szCs w:val="22"/>
          <w:lang w:eastAsia="en-US"/>
        </w:rPr>
        <w:t xml:space="preserve">GSK welcomes the PBAC positive recommendation for inclusion of </w:t>
      </w:r>
      <w:proofErr w:type="spellStart"/>
      <w:r w:rsidRPr="00F670C2">
        <w:rPr>
          <w:rFonts w:asciiTheme="minorHAnsi" w:eastAsiaTheme="minorHAnsi" w:hAnsiTheme="minorHAnsi" w:cs="Arial"/>
          <w:szCs w:val="22"/>
          <w:lang w:eastAsia="en-US"/>
        </w:rPr>
        <w:t>Fluarix</w:t>
      </w:r>
      <w:proofErr w:type="spellEnd"/>
      <w:r w:rsidRPr="00F670C2">
        <w:rPr>
          <w:rFonts w:asciiTheme="minorHAnsi" w:eastAsiaTheme="minorHAnsi" w:hAnsiTheme="minorHAnsi" w:cs="Arial"/>
          <w:szCs w:val="22"/>
          <w:lang w:eastAsia="en-US"/>
        </w:rPr>
        <w:t xml:space="preserve"> Tetra on the NIP for eligible infants and children aged 6 – 35 months of age</w:t>
      </w:r>
      <w:r>
        <w:rPr>
          <w:rFonts w:asciiTheme="minorHAnsi" w:eastAsiaTheme="minorHAnsi" w:hAnsiTheme="minorHAnsi" w:cs="Arial"/>
          <w:szCs w:val="22"/>
          <w:lang w:eastAsia="en-US"/>
        </w:rPr>
        <w:t>.</w:t>
      </w:r>
    </w:p>
    <w:p w:rsidR="00F64CC1" w:rsidRPr="00BD33A4" w:rsidRDefault="00F64CC1" w:rsidP="00297C4B">
      <w:pPr>
        <w:jc w:val="both"/>
        <w:rPr>
          <w:rFonts w:asciiTheme="minorHAnsi" w:hAnsiTheme="minorHAnsi"/>
          <w:sz w:val="22"/>
          <w:szCs w:val="22"/>
        </w:rPr>
      </w:pPr>
    </w:p>
    <w:sectPr w:rsidR="00F64CC1" w:rsidRPr="00BD33A4"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16E" w:rsidRDefault="00BF216E">
      <w:r>
        <w:separator/>
      </w:r>
    </w:p>
    <w:p w:rsidR="00BF216E" w:rsidRDefault="00BF216E"/>
  </w:endnote>
  <w:endnote w:type="continuationSeparator" w:id="0">
    <w:p w:rsidR="00BF216E" w:rsidRDefault="00BF216E">
      <w:r>
        <w:continuationSeparator/>
      </w:r>
    </w:p>
    <w:p w:rsidR="00BF216E" w:rsidRDefault="00BF2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4170F" w:rsidTr="005A3173">
      <w:trPr>
        <w:trHeight w:val="151"/>
      </w:trPr>
      <w:tc>
        <w:tcPr>
          <w:tcW w:w="2250" w:type="pct"/>
          <w:tcBorders>
            <w:top w:val="nil"/>
            <w:left w:val="nil"/>
            <w:bottom w:val="single" w:sz="4" w:space="0" w:color="4F81BD"/>
            <w:right w:val="nil"/>
          </w:tcBorders>
        </w:tcPr>
        <w:p w:rsidR="0004170F" w:rsidRPr="005A3173" w:rsidRDefault="0004170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170F" w:rsidRPr="005A3173" w:rsidRDefault="000417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170F" w:rsidRPr="005A3173" w:rsidRDefault="0004170F" w:rsidP="005A3173">
          <w:pPr>
            <w:pStyle w:val="Header"/>
            <w:spacing w:line="276" w:lineRule="auto"/>
            <w:rPr>
              <w:rFonts w:ascii="Calibri" w:eastAsia="MS Gothic" w:hAnsi="Calibri"/>
              <w:b/>
              <w:bCs/>
              <w:color w:val="4F81BD"/>
            </w:rPr>
          </w:pPr>
        </w:p>
      </w:tc>
    </w:tr>
    <w:tr w:rsidR="0004170F" w:rsidTr="005A3173">
      <w:trPr>
        <w:trHeight w:val="150"/>
      </w:trPr>
      <w:tc>
        <w:tcPr>
          <w:tcW w:w="2250" w:type="pct"/>
          <w:tcBorders>
            <w:top w:val="single" w:sz="4" w:space="0" w:color="4F81BD"/>
            <w:left w:val="nil"/>
            <w:bottom w:val="nil"/>
            <w:right w:val="nil"/>
          </w:tcBorders>
        </w:tcPr>
        <w:p w:rsidR="0004170F" w:rsidRPr="005A3173" w:rsidRDefault="0004170F" w:rsidP="005A3173">
          <w:pPr>
            <w:pStyle w:val="Header"/>
            <w:spacing w:line="276" w:lineRule="auto"/>
            <w:rPr>
              <w:rFonts w:ascii="Calibri" w:eastAsia="MS Gothic" w:hAnsi="Calibri"/>
              <w:b/>
              <w:bCs/>
              <w:color w:val="4F81BD"/>
            </w:rPr>
          </w:pPr>
        </w:p>
      </w:tc>
      <w:tc>
        <w:tcPr>
          <w:tcW w:w="0" w:type="auto"/>
          <w:vMerge/>
          <w:vAlign w:val="center"/>
          <w:hideMark/>
        </w:tcPr>
        <w:p w:rsidR="0004170F" w:rsidRPr="005A3173" w:rsidRDefault="0004170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170F" w:rsidRPr="005A3173" w:rsidRDefault="0004170F" w:rsidP="005A3173">
          <w:pPr>
            <w:pStyle w:val="Header"/>
            <w:spacing w:line="276" w:lineRule="auto"/>
            <w:rPr>
              <w:rFonts w:ascii="Calibri" w:eastAsia="MS Gothic" w:hAnsi="Calibri"/>
              <w:b/>
              <w:bCs/>
              <w:color w:val="4F81BD"/>
            </w:rPr>
          </w:pPr>
        </w:p>
      </w:tc>
    </w:tr>
  </w:tbl>
  <w:p w:rsidR="0004170F" w:rsidRDefault="0004170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170F" w:rsidRDefault="0004170F">
    <w:pPr>
      <w:pStyle w:val="Footer"/>
    </w:pPr>
  </w:p>
  <w:p w:rsidR="0004170F" w:rsidRDefault="000417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407747"/>
      <w:docPartObj>
        <w:docPartGallery w:val="Page Numbers (Bottom of Page)"/>
        <w:docPartUnique/>
      </w:docPartObj>
    </w:sdtPr>
    <w:sdtEndPr>
      <w:rPr>
        <w:rFonts w:ascii="Calibri" w:hAnsi="Calibri" w:cs="Calibri"/>
        <w:b/>
        <w:noProof/>
        <w:szCs w:val="22"/>
      </w:rPr>
    </w:sdtEndPr>
    <w:sdtContent>
      <w:p w:rsidR="0004170F" w:rsidRPr="00FD7D60" w:rsidRDefault="0004170F">
        <w:pPr>
          <w:pStyle w:val="Footer"/>
          <w:jc w:val="center"/>
          <w:rPr>
            <w:rFonts w:ascii="Calibri" w:hAnsi="Calibri" w:cs="Calibri"/>
            <w:b/>
            <w:szCs w:val="22"/>
          </w:rPr>
        </w:pPr>
        <w:r w:rsidRPr="00FD7D60">
          <w:rPr>
            <w:rFonts w:ascii="Calibri" w:hAnsi="Calibri" w:cs="Calibri"/>
            <w:b/>
            <w:szCs w:val="22"/>
          </w:rPr>
          <w:fldChar w:fldCharType="begin"/>
        </w:r>
        <w:r w:rsidRPr="00FD7D60">
          <w:rPr>
            <w:rFonts w:ascii="Calibri" w:hAnsi="Calibri" w:cs="Calibri"/>
            <w:b/>
            <w:szCs w:val="22"/>
          </w:rPr>
          <w:instrText xml:space="preserve"> PAGE   \* MERGEFORMAT </w:instrText>
        </w:r>
        <w:r w:rsidRPr="00FD7D60">
          <w:rPr>
            <w:rFonts w:ascii="Calibri" w:hAnsi="Calibri" w:cs="Calibri"/>
            <w:b/>
            <w:szCs w:val="22"/>
          </w:rPr>
          <w:fldChar w:fldCharType="separate"/>
        </w:r>
        <w:r w:rsidR="002A1F36">
          <w:rPr>
            <w:rFonts w:ascii="Calibri" w:hAnsi="Calibri" w:cs="Calibri"/>
            <w:b/>
            <w:noProof/>
            <w:szCs w:val="22"/>
          </w:rPr>
          <w:t>2</w:t>
        </w:r>
        <w:r w:rsidRPr="00FD7D60">
          <w:rPr>
            <w:rFonts w:ascii="Calibri" w:hAnsi="Calibri" w:cs="Calibri"/>
            <w:b/>
            <w:noProof/>
            <w:szCs w:val="22"/>
          </w:rPr>
          <w:fldChar w:fldCharType="end"/>
        </w:r>
      </w:p>
    </w:sdtContent>
  </w:sdt>
  <w:p w:rsidR="0004170F" w:rsidRDefault="0004170F" w:rsidP="00EF44A0">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4170F" w:rsidTr="005A3173">
      <w:trPr>
        <w:trHeight w:val="151"/>
      </w:trPr>
      <w:tc>
        <w:tcPr>
          <w:tcW w:w="2250" w:type="pct"/>
          <w:tcBorders>
            <w:top w:val="nil"/>
            <w:left w:val="nil"/>
            <w:bottom w:val="single" w:sz="4" w:space="0" w:color="4F81BD"/>
            <w:right w:val="nil"/>
          </w:tcBorders>
        </w:tcPr>
        <w:p w:rsidR="0004170F" w:rsidRPr="005A3173" w:rsidRDefault="0004170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170F" w:rsidRPr="005A3173" w:rsidRDefault="000417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170F" w:rsidRPr="005A3173" w:rsidRDefault="0004170F" w:rsidP="005A3173">
          <w:pPr>
            <w:pStyle w:val="Header"/>
            <w:spacing w:line="276" w:lineRule="auto"/>
            <w:rPr>
              <w:rFonts w:ascii="Calibri" w:eastAsia="MS Gothic" w:hAnsi="Calibri"/>
              <w:b/>
              <w:bCs/>
              <w:color w:val="4F81BD"/>
            </w:rPr>
          </w:pPr>
        </w:p>
      </w:tc>
    </w:tr>
    <w:tr w:rsidR="0004170F" w:rsidTr="005A3173">
      <w:trPr>
        <w:trHeight w:val="150"/>
      </w:trPr>
      <w:tc>
        <w:tcPr>
          <w:tcW w:w="2250" w:type="pct"/>
          <w:tcBorders>
            <w:top w:val="single" w:sz="4" w:space="0" w:color="4F81BD"/>
            <w:left w:val="nil"/>
            <w:bottom w:val="nil"/>
            <w:right w:val="nil"/>
          </w:tcBorders>
        </w:tcPr>
        <w:p w:rsidR="0004170F" w:rsidRPr="005A3173" w:rsidRDefault="0004170F" w:rsidP="005A3173">
          <w:pPr>
            <w:pStyle w:val="Header"/>
            <w:spacing w:line="276" w:lineRule="auto"/>
            <w:rPr>
              <w:rFonts w:ascii="Calibri" w:eastAsia="MS Gothic" w:hAnsi="Calibri"/>
              <w:b/>
              <w:bCs/>
              <w:color w:val="4F81BD"/>
            </w:rPr>
          </w:pPr>
        </w:p>
      </w:tc>
      <w:tc>
        <w:tcPr>
          <w:tcW w:w="0" w:type="auto"/>
          <w:vMerge/>
          <w:vAlign w:val="center"/>
          <w:hideMark/>
        </w:tcPr>
        <w:p w:rsidR="0004170F" w:rsidRPr="005A3173" w:rsidRDefault="0004170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170F" w:rsidRPr="005A3173" w:rsidRDefault="0004170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4170F" w:rsidTr="005A3173">
      <w:trPr>
        <w:trHeight w:val="151"/>
      </w:trPr>
      <w:tc>
        <w:tcPr>
          <w:tcW w:w="2250" w:type="pct"/>
          <w:tcBorders>
            <w:top w:val="nil"/>
            <w:left w:val="nil"/>
            <w:bottom w:val="single" w:sz="4" w:space="0" w:color="4F81BD"/>
            <w:right w:val="nil"/>
          </w:tcBorders>
        </w:tcPr>
        <w:p w:rsidR="0004170F" w:rsidRPr="005A3173" w:rsidRDefault="0004170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4170F" w:rsidRPr="005A3173" w:rsidRDefault="0004170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4170F" w:rsidRPr="005A3173" w:rsidRDefault="0004170F" w:rsidP="005A3173">
          <w:pPr>
            <w:pStyle w:val="Header"/>
            <w:spacing w:line="276" w:lineRule="auto"/>
            <w:rPr>
              <w:rFonts w:ascii="Calibri" w:eastAsia="MS Gothic" w:hAnsi="Calibri"/>
              <w:b/>
              <w:bCs/>
              <w:color w:val="4F81BD"/>
            </w:rPr>
          </w:pPr>
        </w:p>
      </w:tc>
    </w:tr>
    <w:tr w:rsidR="0004170F" w:rsidTr="005A3173">
      <w:trPr>
        <w:trHeight w:val="150"/>
      </w:trPr>
      <w:tc>
        <w:tcPr>
          <w:tcW w:w="2250" w:type="pct"/>
          <w:tcBorders>
            <w:top w:val="single" w:sz="4" w:space="0" w:color="4F81BD"/>
            <w:left w:val="nil"/>
            <w:bottom w:val="nil"/>
            <w:right w:val="nil"/>
          </w:tcBorders>
        </w:tcPr>
        <w:p w:rsidR="0004170F" w:rsidRPr="005A3173" w:rsidRDefault="0004170F" w:rsidP="005A3173">
          <w:pPr>
            <w:pStyle w:val="Header"/>
            <w:spacing w:line="276" w:lineRule="auto"/>
            <w:rPr>
              <w:rFonts w:ascii="Calibri" w:eastAsia="MS Gothic" w:hAnsi="Calibri"/>
              <w:b/>
              <w:bCs/>
              <w:color w:val="4F81BD"/>
            </w:rPr>
          </w:pPr>
        </w:p>
      </w:tc>
      <w:tc>
        <w:tcPr>
          <w:tcW w:w="0" w:type="auto"/>
          <w:vMerge/>
          <w:vAlign w:val="center"/>
          <w:hideMark/>
        </w:tcPr>
        <w:p w:rsidR="0004170F" w:rsidRPr="005A3173" w:rsidRDefault="0004170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4170F" w:rsidRPr="005A3173" w:rsidRDefault="0004170F" w:rsidP="005A3173">
          <w:pPr>
            <w:pStyle w:val="Header"/>
            <w:spacing w:line="276" w:lineRule="auto"/>
            <w:rPr>
              <w:rFonts w:ascii="Calibri" w:eastAsia="MS Gothic" w:hAnsi="Calibri"/>
              <w:b/>
              <w:bCs/>
              <w:color w:val="4F81BD"/>
            </w:rPr>
          </w:pPr>
        </w:p>
      </w:tc>
    </w:tr>
  </w:tbl>
  <w:p w:rsidR="0004170F" w:rsidRPr="007C0F57" w:rsidRDefault="0004170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4170F" w:rsidRPr="007C0F57" w:rsidRDefault="0004170F" w:rsidP="007C0F57">
    <w:pPr>
      <w:pStyle w:val="Footer"/>
      <w:jc w:val="center"/>
      <w:rPr>
        <w:b/>
        <w:i/>
        <w:sz w:val="20"/>
        <w:szCs w:val="20"/>
      </w:rPr>
    </w:pPr>
    <w:r w:rsidRPr="007C0F57">
      <w:rPr>
        <w:b/>
        <w:i/>
        <w:sz w:val="20"/>
        <w:szCs w:val="20"/>
      </w:rPr>
      <w:t>Commercial-in-Confidence</w:t>
    </w:r>
  </w:p>
  <w:p w:rsidR="0004170F" w:rsidRDefault="000417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16E" w:rsidRDefault="00BF216E">
      <w:r>
        <w:separator/>
      </w:r>
    </w:p>
    <w:p w:rsidR="00BF216E" w:rsidRDefault="00BF216E"/>
  </w:footnote>
  <w:footnote w:type="continuationSeparator" w:id="0">
    <w:p w:rsidR="00BF216E" w:rsidRDefault="00BF216E">
      <w:r>
        <w:continuationSeparator/>
      </w:r>
    </w:p>
    <w:p w:rsidR="00BF216E" w:rsidRDefault="00BF21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4170F" w:rsidRPr="008E0D90" w:rsidTr="00A06225">
      <w:trPr>
        <w:trHeight w:val="151"/>
      </w:trPr>
      <w:tc>
        <w:tcPr>
          <w:tcW w:w="2389" w:type="pct"/>
          <w:tcBorders>
            <w:top w:val="nil"/>
            <w:left w:val="nil"/>
            <w:bottom w:val="single" w:sz="4" w:space="0" w:color="4F81BD"/>
            <w:right w:val="nil"/>
          </w:tcBorders>
        </w:tcPr>
        <w:p w:rsidR="0004170F" w:rsidRPr="00A06225" w:rsidRDefault="0004170F">
          <w:pPr>
            <w:pStyle w:val="Header"/>
            <w:spacing w:line="276" w:lineRule="auto"/>
            <w:rPr>
              <w:rFonts w:ascii="Cambria" w:eastAsia="MS Gothic" w:hAnsi="Cambria"/>
              <w:b/>
              <w:bCs/>
              <w:color w:val="4F81BD"/>
            </w:rPr>
          </w:pPr>
        </w:p>
      </w:tc>
      <w:tc>
        <w:tcPr>
          <w:tcW w:w="333" w:type="pct"/>
          <w:vMerge w:val="restart"/>
          <w:noWrap/>
          <w:vAlign w:val="center"/>
          <w:hideMark/>
        </w:tcPr>
        <w:p w:rsidR="0004170F" w:rsidRPr="00A06225" w:rsidRDefault="0004170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4170F" w:rsidRPr="00A06225" w:rsidRDefault="0004170F">
          <w:pPr>
            <w:pStyle w:val="Header"/>
            <w:spacing w:line="276" w:lineRule="auto"/>
            <w:rPr>
              <w:rFonts w:ascii="Cambria" w:eastAsia="MS Gothic" w:hAnsi="Cambria"/>
              <w:b/>
              <w:bCs/>
              <w:color w:val="4F81BD"/>
            </w:rPr>
          </w:pPr>
        </w:p>
      </w:tc>
    </w:tr>
    <w:tr w:rsidR="0004170F" w:rsidRPr="008E0D90" w:rsidTr="00A06225">
      <w:trPr>
        <w:trHeight w:val="150"/>
      </w:trPr>
      <w:tc>
        <w:tcPr>
          <w:tcW w:w="2389" w:type="pct"/>
          <w:tcBorders>
            <w:top w:val="single" w:sz="4" w:space="0" w:color="4F81BD"/>
            <w:left w:val="nil"/>
            <w:bottom w:val="nil"/>
            <w:right w:val="nil"/>
          </w:tcBorders>
        </w:tcPr>
        <w:p w:rsidR="0004170F" w:rsidRPr="00A06225" w:rsidRDefault="0004170F">
          <w:pPr>
            <w:pStyle w:val="Header"/>
            <w:spacing w:line="276" w:lineRule="auto"/>
            <w:rPr>
              <w:rFonts w:ascii="Cambria" w:eastAsia="MS Gothic" w:hAnsi="Cambria"/>
              <w:b/>
              <w:bCs/>
              <w:color w:val="4F81BD"/>
            </w:rPr>
          </w:pPr>
        </w:p>
      </w:tc>
      <w:tc>
        <w:tcPr>
          <w:tcW w:w="0" w:type="auto"/>
          <w:vMerge/>
          <w:vAlign w:val="center"/>
          <w:hideMark/>
        </w:tcPr>
        <w:p w:rsidR="0004170F" w:rsidRPr="00A06225" w:rsidRDefault="0004170F">
          <w:pPr>
            <w:rPr>
              <w:rFonts w:ascii="Cambria" w:hAnsi="Cambria"/>
              <w:color w:val="4F81BD"/>
              <w:sz w:val="22"/>
              <w:szCs w:val="22"/>
            </w:rPr>
          </w:pPr>
        </w:p>
      </w:tc>
      <w:tc>
        <w:tcPr>
          <w:tcW w:w="2278" w:type="pct"/>
          <w:tcBorders>
            <w:top w:val="single" w:sz="4" w:space="0" w:color="4F81BD"/>
            <w:left w:val="nil"/>
            <w:bottom w:val="nil"/>
            <w:right w:val="nil"/>
          </w:tcBorders>
        </w:tcPr>
        <w:p w:rsidR="0004170F" w:rsidRPr="00A06225" w:rsidRDefault="0004170F">
          <w:pPr>
            <w:pStyle w:val="Header"/>
            <w:spacing w:line="276" w:lineRule="auto"/>
            <w:rPr>
              <w:rFonts w:ascii="Cambria" w:eastAsia="MS Gothic" w:hAnsi="Cambria"/>
              <w:b/>
              <w:bCs/>
              <w:color w:val="4F81BD"/>
            </w:rPr>
          </w:pPr>
        </w:p>
      </w:tc>
    </w:tr>
  </w:tbl>
  <w:p w:rsidR="0004170F" w:rsidRDefault="0004170F">
    <w:pPr>
      <w:pStyle w:val="Header"/>
    </w:pPr>
  </w:p>
  <w:p w:rsidR="0004170F" w:rsidRDefault="000417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26B" w:rsidRPr="00AB326B" w:rsidRDefault="00AB326B" w:rsidP="00AB326B">
    <w:pPr>
      <w:tabs>
        <w:tab w:val="center" w:pos="4513"/>
        <w:tab w:val="right" w:pos="9026"/>
      </w:tabs>
      <w:jc w:val="center"/>
      <w:rPr>
        <w:rFonts w:asciiTheme="minorHAnsi" w:eastAsiaTheme="minorHAnsi" w:hAnsiTheme="minorHAnsi" w:cstheme="minorHAnsi"/>
        <w:i/>
        <w:color w:val="808080"/>
        <w:szCs w:val="22"/>
        <w:lang w:eastAsia="en-US"/>
      </w:rPr>
    </w:pPr>
    <w:r w:rsidRPr="00AB326B">
      <w:rPr>
        <w:rFonts w:asciiTheme="minorHAnsi" w:eastAsiaTheme="minorHAnsi" w:hAnsiTheme="minorHAnsi" w:cstheme="minorHAnsi"/>
        <w:i/>
        <w:color w:val="808080"/>
        <w:szCs w:val="22"/>
        <w:lang w:eastAsia="en-US"/>
      </w:rPr>
      <w:t>Publ</w:t>
    </w:r>
    <w:r w:rsidRPr="00DE0637">
      <w:rPr>
        <w:rFonts w:asciiTheme="minorHAnsi" w:eastAsiaTheme="minorHAnsi" w:hAnsiTheme="minorHAnsi" w:cstheme="minorHAnsi"/>
        <w:i/>
        <w:color w:val="808080"/>
        <w:szCs w:val="22"/>
        <w:lang w:eastAsia="en-US"/>
      </w:rPr>
      <w:t>ic Summary Document – March 2019</w:t>
    </w:r>
    <w:r w:rsidRPr="00AB326B">
      <w:rPr>
        <w:rFonts w:asciiTheme="minorHAnsi" w:eastAsiaTheme="minorHAnsi" w:hAnsiTheme="minorHAnsi" w:cstheme="minorHAnsi"/>
        <w:i/>
        <w:color w:val="808080"/>
        <w:szCs w:val="22"/>
        <w:lang w:eastAsia="en-US"/>
      </w:rPr>
      <w:t xml:space="preserve"> PBAC Meeting</w:t>
    </w:r>
  </w:p>
  <w:p w:rsidR="0004170F" w:rsidRDefault="0004170F"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F5F6C"/>
    <w:multiLevelType w:val="hybridMultilevel"/>
    <w:tmpl w:val="6D6C3A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746F25"/>
    <w:multiLevelType w:val="hybridMultilevel"/>
    <w:tmpl w:val="AE488E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B2F6C59"/>
    <w:multiLevelType w:val="hybridMultilevel"/>
    <w:tmpl w:val="C9E873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210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AD49FE"/>
    <w:multiLevelType w:val="hybridMultilevel"/>
    <w:tmpl w:val="3C84E2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5FF14B5"/>
    <w:multiLevelType w:val="hybridMultilevel"/>
    <w:tmpl w:val="D5326DE4"/>
    <w:lvl w:ilvl="0" w:tplc="F96C6DF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D02F3E"/>
    <w:multiLevelType w:val="hybridMultilevel"/>
    <w:tmpl w:val="4A400B2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57B46A69"/>
    <w:multiLevelType w:val="hybridMultilevel"/>
    <w:tmpl w:val="063CA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6D7A18"/>
    <w:multiLevelType w:val="hybridMultilevel"/>
    <w:tmpl w:val="747421E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6F525BE1"/>
    <w:multiLevelType w:val="hybridMultilevel"/>
    <w:tmpl w:val="EFFC5F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84D033C"/>
    <w:multiLevelType w:val="multilevel"/>
    <w:tmpl w:val="1D1C03E0"/>
    <w:lvl w:ilvl="0">
      <w:start w:val="1"/>
      <w:numFmt w:val="decimal"/>
      <w:pStyle w:val="PBACHeading1"/>
      <w:lvlText w:val="%1"/>
      <w:lvlJc w:val="left"/>
      <w:pPr>
        <w:ind w:left="1004" w:hanging="720"/>
      </w:pPr>
      <w:rPr>
        <w:rFonts w:asciiTheme="minorHAnsi" w:hAnsiTheme="minorHAnsi" w:cstheme="minorHAnsi" w:hint="default"/>
        <w:b/>
        <w:i w:val="0"/>
        <w:sz w:val="32"/>
        <w:szCs w:val="32"/>
      </w:rPr>
    </w:lvl>
    <w:lvl w:ilvl="1">
      <w:start w:val="1"/>
      <w:numFmt w:val="decimal"/>
      <w:lvlText w:val="%1.%2"/>
      <w:lvlJc w:val="left"/>
      <w:pPr>
        <w:ind w:left="720" w:hanging="720"/>
      </w:pPr>
      <w:rPr>
        <w:rFonts w:asciiTheme="minorHAnsi" w:hAnsiTheme="minorHAnsi" w:cstheme="minorHAnsi" w:hint="default"/>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20"/>
  </w:num>
  <w:num w:numId="5">
    <w:abstractNumId w:val="27"/>
  </w:num>
  <w:num w:numId="6">
    <w:abstractNumId w:val="8"/>
  </w:num>
  <w:num w:numId="7">
    <w:abstractNumId w:val="16"/>
  </w:num>
  <w:num w:numId="8">
    <w:abstractNumId w:val="4"/>
  </w:num>
  <w:num w:numId="9">
    <w:abstractNumId w:val="15"/>
  </w:num>
  <w:num w:numId="10">
    <w:abstractNumId w:val="14"/>
  </w:num>
  <w:num w:numId="11">
    <w:abstractNumId w:val="13"/>
  </w:num>
  <w:num w:numId="12">
    <w:abstractNumId w:val="1"/>
  </w:num>
  <w:num w:numId="13">
    <w:abstractNumId w:val="0"/>
  </w:num>
  <w:num w:numId="14">
    <w:abstractNumId w:val="27"/>
  </w:num>
  <w:num w:numId="15">
    <w:abstractNumId w:val="26"/>
  </w:num>
  <w:num w:numId="16">
    <w:abstractNumId w:val="11"/>
  </w:num>
  <w:num w:numId="17">
    <w:abstractNumId w:val="18"/>
  </w:num>
  <w:num w:numId="18">
    <w:abstractNumId w:val="17"/>
  </w:num>
  <w:num w:numId="19">
    <w:abstractNumId w:val="25"/>
  </w:num>
  <w:num w:numId="20">
    <w:abstractNumId w:val="23"/>
  </w:num>
  <w:num w:numId="21">
    <w:abstractNumId w:val="7"/>
  </w:num>
  <w:num w:numId="22">
    <w:abstractNumId w:val="27"/>
  </w:num>
  <w:num w:numId="23">
    <w:abstractNumId w:val="24"/>
  </w:num>
  <w:num w:numId="24">
    <w:abstractNumId w:val="12"/>
  </w:num>
  <w:num w:numId="25">
    <w:abstractNumId w:val="19"/>
  </w:num>
  <w:num w:numId="26">
    <w:abstractNumId w:val="21"/>
  </w:num>
  <w:num w:numId="27">
    <w:abstractNumId w:val="22"/>
  </w:num>
  <w:num w:numId="28">
    <w:abstractNumId w:val="5"/>
  </w:num>
  <w:num w:numId="29">
    <w:abstractNumId w:val="2"/>
  </w:num>
  <w:num w:numId="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A91"/>
    <w:rsid w:val="00005BF9"/>
    <w:rsid w:val="0000777D"/>
    <w:rsid w:val="0002091E"/>
    <w:rsid w:val="00021788"/>
    <w:rsid w:val="0002464A"/>
    <w:rsid w:val="00025530"/>
    <w:rsid w:val="0003106B"/>
    <w:rsid w:val="0004170F"/>
    <w:rsid w:val="00041B6D"/>
    <w:rsid w:val="000421A1"/>
    <w:rsid w:val="0004240E"/>
    <w:rsid w:val="00043C14"/>
    <w:rsid w:val="00045E26"/>
    <w:rsid w:val="000514B5"/>
    <w:rsid w:val="00055AE3"/>
    <w:rsid w:val="0005782A"/>
    <w:rsid w:val="00060E64"/>
    <w:rsid w:val="00063B39"/>
    <w:rsid w:val="00065675"/>
    <w:rsid w:val="00065E01"/>
    <w:rsid w:val="00066755"/>
    <w:rsid w:val="00077143"/>
    <w:rsid w:val="00081224"/>
    <w:rsid w:val="00082169"/>
    <w:rsid w:val="000969AD"/>
    <w:rsid w:val="000A111C"/>
    <w:rsid w:val="000A4B14"/>
    <w:rsid w:val="000B558D"/>
    <w:rsid w:val="000B5B38"/>
    <w:rsid w:val="000C6996"/>
    <w:rsid w:val="000D23BA"/>
    <w:rsid w:val="000D4B15"/>
    <w:rsid w:val="000D6D5C"/>
    <w:rsid w:val="000E681E"/>
    <w:rsid w:val="000F0003"/>
    <w:rsid w:val="000F0CD8"/>
    <w:rsid w:val="000F4975"/>
    <w:rsid w:val="000F4E6A"/>
    <w:rsid w:val="00104227"/>
    <w:rsid w:val="001107BF"/>
    <w:rsid w:val="00121ED8"/>
    <w:rsid w:val="0012417C"/>
    <w:rsid w:val="001324BD"/>
    <w:rsid w:val="0013292A"/>
    <w:rsid w:val="00142395"/>
    <w:rsid w:val="00142714"/>
    <w:rsid w:val="001452ED"/>
    <w:rsid w:val="00150355"/>
    <w:rsid w:val="001567CE"/>
    <w:rsid w:val="00163329"/>
    <w:rsid w:val="00163514"/>
    <w:rsid w:val="00164623"/>
    <w:rsid w:val="001651ED"/>
    <w:rsid w:val="00165B64"/>
    <w:rsid w:val="00170768"/>
    <w:rsid w:val="00180713"/>
    <w:rsid w:val="001830CE"/>
    <w:rsid w:val="00183C8A"/>
    <w:rsid w:val="0018643B"/>
    <w:rsid w:val="001929AE"/>
    <w:rsid w:val="00196307"/>
    <w:rsid w:val="001A33EA"/>
    <w:rsid w:val="001B017F"/>
    <w:rsid w:val="001B2BBC"/>
    <w:rsid w:val="001B5129"/>
    <w:rsid w:val="001B7756"/>
    <w:rsid w:val="001C1195"/>
    <w:rsid w:val="001C2DF3"/>
    <w:rsid w:val="001E7E3C"/>
    <w:rsid w:val="001F1850"/>
    <w:rsid w:val="001F72E5"/>
    <w:rsid w:val="002015E2"/>
    <w:rsid w:val="00203FAC"/>
    <w:rsid w:val="00206D09"/>
    <w:rsid w:val="00207B39"/>
    <w:rsid w:val="00213CFB"/>
    <w:rsid w:val="00217BE1"/>
    <w:rsid w:val="002226E7"/>
    <w:rsid w:val="002318D0"/>
    <w:rsid w:val="0025000D"/>
    <w:rsid w:val="0025535E"/>
    <w:rsid w:val="002553D8"/>
    <w:rsid w:val="0027008D"/>
    <w:rsid w:val="00271BA1"/>
    <w:rsid w:val="002762FA"/>
    <w:rsid w:val="00277505"/>
    <w:rsid w:val="0029458F"/>
    <w:rsid w:val="00296EBD"/>
    <w:rsid w:val="00297C4B"/>
    <w:rsid w:val="002A104C"/>
    <w:rsid w:val="002A1F36"/>
    <w:rsid w:val="002A41B8"/>
    <w:rsid w:val="002A4960"/>
    <w:rsid w:val="002B1AE6"/>
    <w:rsid w:val="002B2DE8"/>
    <w:rsid w:val="002B30F8"/>
    <w:rsid w:val="002B5596"/>
    <w:rsid w:val="002B72CC"/>
    <w:rsid w:val="002C212F"/>
    <w:rsid w:val="002C5130"/>
    <w:rsid w:val="002D4543"/>
    <w:rsid w:val="002E3153"/>
    <w:rsid w:val="002E72CA"/>
    <w:rsid w:val="002F600D"/>
    <w:rsid w:val="00300AD6"/>
    <w:rsid w:val="003018CC"/>
    <w:rsid w:val="00307C5B"/>
    <w:rsid w:val="00317C6C"/>
    <w:rsid w:val="00322E0F"/>
    <w:rsid w:val="00326E79"/>
    <w:rsid w:val="00330C7D"/>
    <w:rsid w:val="0033518A"/>
    <w:rsid w:val="003367EF"/>
    <w:rsid w:val="00340731"/>
    <w:rsid w:val="00340DAE"/>
    <w:rsid w:val="00341AE4"/>
    <w:rsid w:val="00383499"/>
    <w:rsid w:val="003851D8"/>
    <w:rsid w:val="003872CF"/>
    <w:rsid w:val="0039782C"/>
    <w:rsid w:val="003A1F0B"/>
    <w:rsid w:val="003A4206"/>
    <w:rsid w:val="003A589B"/>
    <w:rsid w:val="003A5B4A"/>
    <w:rsid w:val="003A7657"/>
    <w:rsid w:val="003B23C5"/>
    <w:rsid w:val="003B2A75"/>
    <w:rsid w:val="003B6124"/>
    <w:rsid w:val="003C2FB5"/>
    <w:rsid w:val="003C3E46"/>
    <w:rsid w:val="003C4A17"/>
    <w:rsid w:val="003C6C95"/>
    <w:rsid w:val="003D2AB0"/>
    <w:rsid w:val="003D4AC4"/>
    <w:rsid w:val="003D63B7"/>
    <w:rsid w:val="003D71DC"/>
    <w:rsid w:val="003E091D"/>
    <w:rsid w:val="003E468B"/>
    <w:rsid w:val="003F3228"/>
    <w:rsid w:val="003F5C8C"/>
    <w:rsid w:val="00407AC8"/>
    <w:rsid w:val="00410D1C"/>
    <w:rsid w:val="0042037E"/>
    <w:rsid w:val="004252EC"/>
    <w:rsid w:val="00435283"/>
    <w:rsid w:val="004465BD"/>
    <w:rsid w:val="004562A0"/>
    <w:rsid w:val="0046177A"/>
    <w:rsid w:val="00466ADA"/>
    <w:rsid w:val="00471FF3"/>
    <w:rsid w:val="00476245"/>
    <w:rsid w:val="00483035"/>
    <w:rsid w:val="00485940"/>
    <w:rsid w:val="00493856"/>
    <w:rsid w:val="004A2484"/>
    <w:rsid w:val="004A5A85"/>
    <w:rsid w:val="004A71D1"/>
    <w:rsid w:val="004B09F1"/>
    <w:rsid w:val="004B143A"/>
    <w:rsid w:val="004B3A7F"/>
    <w:rsid w:val="004B5640"/>
    <w:rsid w:val="004C0BBF"/>
    <w:rsid w:val="004C1BD7"/>
    <w:rsid w:val="004C31FE"/>
    <w:rsid w:val="004C691D"/>
    <w:rsid w:val="004C6C07"/>
    <w:rsid w:val="004D7052"/>
    <w:rsid w:val="004E4B10"/>
    <w:rsid w:val="004E692D"/>
    <w:rsid w:val="0050069F"/>
    <w:rsid w:val="00501554"/>
    <w:rsid w:val="00514CD7"/>
    <w:rsid w:val="005313E1"/>
    <w:rsid w:val="005319B2"/>
    <w:rsid w:val="00532402"/>
    <w:rsid w:val="00532C74"/>
    <w:rsid w:val="00534E2E"/>
    <w:rsid w:val="00535F89"/>
    <w:rsid w:val="0053647C"/>
    <w:rsid w:val="00542806"/>
    <w:rsid w:val="00544552"/>
    <w:rsid w:val="0055419F"/>
    <w:rsid w:val="005556D9"/>
    <w:rsid w:val="00564280"/>
    <w:rsid w:val="00564B8D"/>
    <w:rsid w:val="00577C4D"/>
    <w:rsid w:val="00581932"/>
    <w:rsid w:val="005850BB"/>
    <w:rsid w:val="005963BB"/>
    <w:rsid w:val="005A3173"/>
    <w:rsid w:val="005A3223"/>
    <w:rsid w:val="005A3DA3"/>
    <w:rsid w:val="005A52C4"/>
    <w:rsid w:val="005A790A"/>
    <w:rsid w:val="005B15E0"/>
    <w:rsid w:val="005B2EB0"/>
    <w:rsid w:val="005C2180"/>
    <w:rsid w:val="005C5F6B"/>
    <w:rsid w:val="005D0107"/>
    <w:rsid w:val="005D03AB"/>
    <w:rsid w:val="005D5017"/>
    <w:rsid w:val="005E1333"/>
    <w:rsid w:val="005F3B0E"/>
    <w:rsid w:val="00601A91"/>
    <w:rsid w:val="00602BA3"/>
    <w:rsid w:val="00606EED"/>
    <w:rsid w:val="0060714A"/>
    <w:rsid w:val="00612E34"/>
    <w:rsid w:val="00614159"/>
    <w:rsid w:val="00617C00"/>
    <w:rsid w:val="00622059"/>
    <w:rsid w:val="00623385"/>
    <w:rsid w:val="0062518A"/>
    <w:rsid w:val="006263BF"/>
    <w:rsid w:val="0062748A"/>
    <w:rsid w:val="00630A2C"/>
    <w:rsid w:val="0063682E"/>
    <w:rsid w:val="006436CD"/>
    <w:rsid w:val="00651169"/>
    <w:rsid w:val="00653D69"/>
    <w:rsid w:val="006659D1"/>
    <w:rsid w:val="006670BE"/>
    <w:rsid w:val="00670A76"/>
    <w:rsid w:val="006711AA"/>
    <w:rsid w:val="00672B57"/>
    <w:rsid w:val="00674064"/>
    <w:rsid w:val="00675622"/>
    <w:rsid w:val="0067747D"/>
    <w:rsid w:val="006906DB"/>
    <w:rsid w:val="00691E6C"/>
    <w:rsid w:val="00692A7F"/>
    <w:rsid w:val="0069373D"/>
    <w:rsid w:val="0069443C"/>
    <w:rsid w:val="00696129"/>
    <w:rsid w:val="00697CF2"/>
    <w:rsid w:val="006A12A5"/>
    <w:rsid w:val="006A2379"/>
    <w:rsid w:val="006B0D94"/>
    <w:rsid w:val="006B3B70"/>
    <w:rsid w:val="006B4544"/>
    <w:rsid w:val="006B485D"/>
    <w:rsid w:val="006C12BD"/>
    <w:rsid w:val="006C12C2"/>
    <w:rsid w:val="006C708E"/>
    <w:rsid w:val="006D00A4"/>
    <w:rsid w:val="006D1400"/>
    <w:rsid w:val="006D14E7"/>
    <w:rsid w:val="006D6493"/>
    <w:rsid w:val="006D6EC7"/>
    <w:rsid w:val="006E1BCD"/>
    <w:rsid w:val="006F5125"/>
    <w:rsid w:val="006F5F58"/>
    <w:rsid w:val="006F7E40"/>
    <w:rsid w:val="00702B6F"/>
    <w:rsid w:val="0071340B"/>
    <w:rsid w:val="00714946"/>
    <w:rsid w:val="007174BB"/>
    <w:rsid w:val="0072025D"/>
    <w:rsid w:val="007327B7"/>
    <w:rsid w:val="007353D3"/>
    <w:rsid w:val="007416FA"/>
    <w:rsid w:val="00747001"/>
    <w:rsid w:val="00753370"/>
    <w:rsid w:val="00756E33"/>
    <w:rsid w:val="00763ACE"/>
    <w:rsid w:val="0076420C"/>
    <w:rsid w:val="007753C2"/>
    <w:rsid w:val="00776199"/>
    <w:rsid w:val="00780A43"/>
    <w:rsid w:val="007838B8"/>
    <w:rsid w:val="0078576B"/>
    <w:rsid w:val="00790FB6"/>
    <w:rsid w:val="007A0F2D"/>
    <w:rsid w:val="007B647F"/>
    <w:rsid w:val="007C0F57"/>
    <w:rsid w:val="007C40B6"/>
    <w:rsid w:val="007C729F"/>
    <w:rsid w:val="007E1D28"/>
    <w:rsid w:val="007F2641"/>
    <w:rsid w:val="007F6CE8"/>
    <w:rsid w:val="007F7C36"/>
    <w:rsid w:val="00801DBE"/>
    <w:rsid w:val="00806796"/>
    <w:rsid w:val="008115B0"/>
    <w:rsid w:val="00811C6C"/>
    <w:rsid w:val="008151D6"/>
    <w:rsid w:val="00825D1F"/>
    <w:rsid w:val="00826F6D"/>
    <w:rsid w:val="008306F3"/>
    <w:rsid w:val="00856DDD"/>
    <w:rsid w:val="00862703"/>
    <w:rsid w:val="00863E68"/>
    <w:rsid w:val="00870F93"/>
    <w:rsid w:val="00877712"/>
    <w:rsid w:val="00882085"/>
    <w:rsid w:val="00883188"/>
    <w:rsid w:val="008945EC"/>
    <w:rsid w:val="0089601B"/>
    <w:rsid w:val="00897D58"/>
    <w:rsid w:val="00897F22"/>
    <w:rsid w:val="008A1956"/>
    <w:rsid w:val="008A4937"/>
    <w:rsid w:val="008A50F1"/>
    <w:rsid w:val="008B175E"/>
    <w:rsid w:val="008B1A5B"/>
    <w:rsid w:val="008C0A10"/>
    <w:rsid w:val="008D1B5C"/>
    <w:rsid w:val="008D3C82"/>
    <w:rsid w:val="008D447E"/>
    <w:rsid w:val="008D5007"/>
    <w:rsid w:val="008D5EF8"/>
    <w:rsid w:val="008D7A41"/>
    <w:rsid w:val="008E3680"/>
    <w:rsid w:val="008E5870"/>
    <w:rsid w:val="008E7365"/>
    <w:rsid w:val="008F1434"/>
    <w:rsid w:val="008F37DA"/>
    <w:rsid w:val="008F7355"/>
    <w:rsid w:val="00905628"/>
    <w:rsid w:val="00905902"/>
    <w:rsid w:val="009067B7"/>
    <w:rsid w:val="0090680B"/>
    <w:rsid w:val="009241D3"/>
    <w:rsid w:val="00930937"/>
    <w:rsid w:val="00933E6C"/>
    <w:rsid w:val="00936364"/>
    <w:rsid w:val="00937958"/>
    <w:rsid w:val="00942160"/>
    <w:rsid w:val="0095146F"/>
    <w:rsid w:val="00951E85"/>
    <w:rsid w:val="009602C5"/>
    <w:rsid w:val="00962223"/>
    <w:rsid w:val="0096323B"/>
    <w:rsid w:val="00966D0D"/>
    <w:rsid w:val="00974C21"/>
    <w:rsid w:val="00975E32"/>
    <w:rsid w:val="00985196"/>
    <w:rsid w:val="00990F9D"/>
    <w:rsid w:val="009A1E98"/>
    <w:rsid w:val="009A2543"/>
    <w:rsid w:val="009B0F67"/>
    <w:rsid w:val="009B24A0"/>
    <w:rsid w:val="009C1BD5"/>
    <w:rsid w:val="009C703C"/>
    <w:rsid w:val="009D3CAA"/>
    <w:rsid w:val="009E40E1"/>
    <w:rsid w:val="009F3366"/>
    <w:rsid w:val="009F4E46"/>
    <w:rsid w:val="009F5B65"/>
    <w:rsid w:val="009F5F2E"/>
    <w:rsid w:val="009F7D57"/>
    <w:rsid w:val="00A06225"/>
    <w:rsid w:val="00A128E6"/>
    <w:rsid w:val="00A34E6C"/>
    <w:rsid w:val="00A372A8"/>
    <w:rsid w:val="00A37C8D"/>
    <w:rsid w:val="00A42E3F"/>
    <w:rsid w:val="00A456AE"/>
    <w:rsid w:val="00A5273B"/>
    <w:rsid w:val="00A53A9D"/>
    <w:rsid w:val="00A55FEE"/>
    <w:rsid w:val="00A62C1A"/>
    <w:rsid w:val="00A63218"/>
    <w:rsid w:val="00A6426D"/>
    <w:rsid w:val="00A665C1"/>
    <w:rsid w:val="00A70622"/>
    <w:rsid w:val="00A70977"/>
    <w:rsid w:val="00A75170"/>
    <w:rsid w:val="00A77613"/>
    <w:rsid w:val="00A8390C"/>
    <w:rsid w:val="00A928BD"/>
    <w:rsid w:val="00A964F5"/>
    <w:rsid w:val="00AA4255"/>
    <w:rsid w:val="00AA4D1C"/>
    <w:rsid w:val="00AB326B"/>
    <w:rsid w:val="00AC193C"/>
    <w:rsid w:val="00AC2B7B"/>
    <w:rsid w:val="00AC5206"/>
    <w:rsid w:val="00AD1599"/>
    <w:rsid w:val="00AE11A5"/>
    <w:rsid w:val="00AE13E2"/>
    <w:rsid w:val="00AE22D3"/>
    <w:rsid w:val="00AE4035"/>
    <w:rsid w:val="00AF62DF"/>
    <w:rsid w:val="00AF68CC"/>
    <w:rsid w:val="00B1059E"/>
    <w:rsid w:val="00B176C8"/>
    <w:rsid w:val="00B17BE4"/>
    <w:rsid w:val="00B205AA"/>
    <w:rsid w:val="00B22E84"/>
    <w:rsid w:val="00B253A7"/>
    <w:rsid w:val="00B25F75"/>
    <w:rsid w:val="00B26B3F"/>
    <w:rsid w:val="00B36BC6"/>
    <w:rsid w:val="00B43E90"/>
    <w:rsid w:val="00B467DC"/>
    <w:rsid w:val="00B56118"/>
    <w:rsid w:val="00B57144"/>
    <w:rsid w:val="00B573C5"/>
    <w:rsid w:val="00B62366"/>
    <w:rsid w:val="00B63348"/>
    <w:rsid w:val="00B6773F"/>
    <w:rsid w:val="00B73BAA"/>
    <w:rsid w:val="00B801BA"/>
    <w:rsid w:val="00B84D5C"/>
    <w:rsid w:val="00BA436C"/>
    <w:rsid w:val="00BB01F4"/>
    <w:rsid w:val="00BB0D81"/>
    <w:rsid w:val="00BB3191"/>
    <w:rsid w:val="00BB4A67"/>
    <w:rsid w:val="00BB5D4A"/>
    <w:rsid w:val="00BB69F5"/>
    <w:rsid w:val="00BB7EC3"/>
    <w:rsid w:val="00BC224D"/>
    <w:rsid w:val="00BC4B9A"/>
    <w:rsid w:val="00BD33A4"/>
    <w:rsid w:val="00BD784C"/>
    <w:rsid w:val="00BF216E"/>
    <w:rsid w:val="00BF28CC"/>
    <w:rsid w:val="00BF4B6B"/>
    <w:rsid w:val="00BF4CB6"/>
    <w:rsid w:val="00C00DA7"/>
    <w:rsid w:val="00C01CD5"/>
    <w:rsid w:val="00C12768"/>
    <w:rsid w:val="00C2404E"/>
    <w:rsid w:val="00C24AB4"/>
    <w:rsid w:val="00C27B58"/>
    <w:rsid w:val="00C35996"/>
    <w:rsid w:val="00C4747E"/>
    <w:rsid w:val="00C5342C"/>
    <w:rsid w:val="00C603D4"/>
    <w:rsid w:val="00C62049"/>
    <w:rsid w:val="00C6256A"/>
    <w:rsid w:val="00C62BAC"/>
    <w:rsid w:val="00C73281"/>
    <w:rsid w:val="00C77891"/>
    <w:rsid w:val="00C91449"/>
    <w:rsid w:val="00C92429"/>
    <w:rsid w:val="00C92B2E"/>
    <w:rsid w:val="00C92D10"/>
    <w:rsid w:val="00C946D0"/>
    <w:rsid w:val="00CB11CD"/>
    <w:rsid w:val="00CC6F8C"/>
    <w:rsid w:val="00CD357D"/>
    <w:rsid w:val="00CE10C4"/>
    <w:rsid w:val="00CE27B5"/>
    <w:rsid w:val="00CF0797"/>
    <w:rsid w:val="00CF1E2D"/>
    <w:rsid w:val="00CF1F0A"/>
    <w:rsid w:val="00D008A5"/>
    <w:rsid w:val="00D026DD"/>
    <w:rsid w:val="00D0321E"/>
    <w:rsid w:val="00D0630E"/>
    <w:rsid w:val="00D1081C"/>
    <w:rsid w:val="00D1455A"/>
    <w:rsid w:val="00D31150"/>
    <w:rsid w:val="00D3138B"/>
    <w:rsid w:val="00D3280C"/>
    <w:rsid w:val="00D3406A"/>
    <w:rsid w:val="00D44561"/>
    <w:rsid w:val="00D4572C"/>
    <w:rsid w:val="00D466A1"/>
    <w:rsid w:val="00D469B2"/>
    <w:rsid w:val="00D617E1"/>
    <w:rsid w:val="00D62176"/>
    <w:rsid w:val="00D631A3"/>
    <w:rsid w:val="00D649D0"/>
    <w:rsid w:val="00D741EB"/>
    <w:rsid w:val="00D83605"/>
    <w:rsid w:val="00D84934"/>
    <w:rsid w:val="00D91271"/>
    <w:rsid w:val="00D919F5"/>
    <w:rsid w:val="00D94F03"/>
    <w:rsid w:val="00D96EED"/>
    <w:rsid w:val="00DA2CB5"/>
    <w:rsid w:val="00DA4BAC"/>
    <w:rsid w:val="00DB47BE"/>
    <w:rsid w:val="00DD3896"/>
    <w:rsid w:val="00DD4D9C"/>
    <w:rsid w:val="00DD592A"/>
    <w:rsid w:val="00DE0637"/>
    <w:rsid w:val="00DE6D27"/>
    <w:rsid w:val="00DF217D"/>
    <w:rsid w:val="00DF26A7"/>
    <w:rsid w:val="00DF3D66"/>
    <w:rsid w:val="00DF6530"/>
    <w:rsid w:val="00DF6701"/>
    <w:rsid w:val="00E10ADF"/>
    <w:rsid w:val="00E1119F"/>
    <w:rsid w:val="00E15627"/>
    <w:rsid w:val="00E164B3"/>
    <w:rsid w:val="00E16910"/>
    <w:rsid w:val="00E410F2"/>
    <w:rsid w:val="00E42BDB"/>
    <w:rsid w:val="00E45FAD"/>
    <w:rsid w:val="00E57EEB"/>
    <w:rsid w:val="00E62D94"/>
    <w:rsid w:val="00E65E54"/>
    <w:rsid w:val="00E74DC7"/>
    <w:rsid w:val="00E76413"/>
    <w:rsid w:val="00E80155"/>
    <w:rsid w:val="00E81F28"/>
    <w:rsid w:val="00E83B6A"/>
    <w:rsid w:val="00E848C0"/>
    <w:rsid w:val="00E8517B"/>
    <w:rsid w:val="00E91B96"/>
    <w:rsid w:val="00E941A1"/>
    <w:rsid w:val="00E95CE3"/>
    <w:rsid w:val="00EA0B67"/>
    <w:rsid w:val="00EA2825"/>
    <w:rsid w:val="00EA5B8D"/>
    <w:rsid w:val="00EB0B63"/>
    <w:rsid w:val="00EB1936"/>
    <w:rsid w:val="00EB5088"/>
    <w:rsid w:val="00EC4DCA"/>
    <w:rsid w:val="00ED1644"/>
    <w:rsid w:val="00ED2593"/>
    <w:rsid w:val="00ED7D9C"/>
    <w:rsid w:val="00EE18FB"/>
    <w:rsid w:val="00EF44A0"/>
    <w:rsid w:val="00EF4FED"/>
    <w:rsid w:val="00F050BD"/>
    <w:rsid w:val="00F05657"/>
    <w:rsid w:val="00F12B10"/>
    <w:rsid w:val="00F16126"/>
    <w:rsid w:val="00F25578"/>
    <w:rsid w:val="00F258E5"/>
    <w:rsid w:val="00F276D4"/>
    <w:rsid w:val="00F300BC"/>
    <w:rsid w:val="00F319C6"/>
    <w:rsid w:val="00F32188"/>
    <w:rsid w:val="00F3334E"/>
    <w:rsid w:val="00F354DC"/>
    <w:rsid w:val="00F36CCB"/>
    <w:rsid w:val="00F371A5"/>
    <w:rsid w:val="00F374E5"/>
    <w:rsid w:val="00F43AF2"/>
    <w:rsid w:val="00F5007E"/>
    <w:rsid w:val="00F50EC4"/>
    <w:rsid w:val="00F550CF"/>
    <w:rsid w:val="00F57A6D"/>
    <w:rsid w:val="00F638CC"/>
    <w:rsid w:val="00F64A61"/>
    <w:rsid w:val="00F64CC1"/>
    <w:rsid w:val="00F72317"/>
    <w:rsid w:val="00F7777D"/>
    <w:rsid w:val="00F80475"/>
    <w:rsid w:val="00F8247A"/>
    <w:rsid w:val="00F95A78"/>
    <w:rsid w:val="00F9629A"/>
    <w:rsid w:val="00F97EFC"/>
    <w:rsid w:val="00FA5883"/>
    <w:rsid w:val="00FA6055"/>
    <w:rsid w:val="00FB322F"/>
    <w:rsid w:val="00FB442F"/>
    <w:rsid w:val="00FC1929"/>
    <w:rsid w:val="00FC5B46"/>
    <w:rsid w:val="00FD5BB2"/>
    <w:rsid w:val="00FD6D8E"/>
    <w:rsid w:val="00FD7D60"/>
    <w:rsid w:val="00FE0E94"/>
    <w:rsid w:val="00FE3725"/>
    <w:rsid w:val="00FF00BD"/>
    <w:rsid w:val="00FF1ED4"/>
    <w:rsid w:val="00FF2801"/>
    <w:rsid w:val="00FF4137"/>
    <w:rsid w:val="00FF6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B6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L,Bullet Point,Bulletr List Paragraph,Content descriptions,FooterText,List Bullet 1,List Paragraph2,List Paragraph21,Listeafsnit1,リスト段落"/>
    <w:basedOn w:val="Normal"/>
    <w:link w:val="ListParagraphChar"/>
    <w:uiPriority w:val="34"/>
    <w:qFormat/>
    <w:rsid w:val="00150355"/>
    <w:pPr>
      <w:widowControl w:val="0"/>
      <w:ind w:left="720"/>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L Char,Bullet Point Char,Bulletr List Paragraph Char,Content descriptions Char,FooterText Char"/>
    <w:basedOn w:val="DefaultParagraphFont"/>
    <w:link w:val="ListParagraph"/>
    <w:uiPriority w:val="72"/>
    <w:qFormat/>
    <w:rsid w:val="00150355"/>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semiHidden/>
    <w:unhideWhenUsed/>
    <w:rsid w:val="00F371A5"/>
    <w:rPr>
      <w:sz w:val="20"/>
      <w:szCs w:val="20"/>
    </w:rPr>
  </w:style>
  <w:style w:type="character" w:customStyle="1" w:styleId="FootnoteTextChar">
    <w:name w:val="Footnote Text Char"/>
    <w:basedOn w:val="DefaultParagraphFont"/>
    <w:link w:val="FootnoteText"/>
    <w:semiHidden/>
    <w:rsid w:val="00F371A5"/>
  </w:style>
  <w:style w:type="character" w:styleId="FootnoteReference">
    <w:name w:val="footnote reference"/>
    <w:basedOn w:val="DefaultParagraphFont"/>
    <w:semiHidden/>
    <w:unhideWhenUsed/>
    <w:rsid w:val="00F371A5"/>
    <w:rPr>
      <w:vertAlign w:val="superscript"/>
    </w:rPr>
  </w:style>
  <w:style w:type="paragraph" w:customStyle="1" w:styleId="Default">
    <w:name w:val="Default"/>
    <w:rsid w:val="00307C5B"/>
    <w:pPr>
      <w:autoSpaceDE w:val="0"/>
      <w:autoSpaceDN w:val="0"/>
      <w:adjustRightInd w:val="0"/>
    </w:pPr>
    <w:rPr>
      <w:color w:val="000000"/>
      <w:sz w:val="24"/>
      <w:szCs w:val="24"/>
    </w:rPr>
  </w:style>
  <w:style w:type="paragraph" w:styleId="Caption">
    <w:name w:val="caption"/>
    <w:aliases w:val="Caption Char1,Caption Char Char"/>
    <w:basedOn w:val="Normal"/>
    <w:next w:val="Normal"/>
    <w:link w:val="CaptionChar"/>
    <w:uiPriority w:val="35"/>
    <w:unhideWhenUsed/>
    <w:qFormat/>
    <w:rsid w:val="00F354DC"/>
    <w:pPr>
      <w:spacing w:after="200"/>
      <w:contextualSpacing/>
    </w:pPr>
    <w:rPr>
      <w:rFonts w:ascii="Calibri" w:hAnsi="Calibri"/>
      <w:i/>
      <w:iCs/>
      <w:color w:val="000000" w:themeColor="text1"/>
      <w:sz w:val="18"/>
      <w:szCs w:val="18"/>
    </w:rPr>
  </w:style>
  <w:style w:type="character" w:customStyle="1" w:styleId="Superscript">
    <w:name w:val="Superscript"/>
    <w:basedOn w:val="DefaultParagraphFont"/>
    <w:uiPriority w:val="1"/>
    <w:qFormat/>
    <w:rsid w:val="00E83B6A"/>
    <w:rPr>
      <w:rFonts w:ascii="Candara" w:hAnsi="Candara"/>
      <w:sz w:val="24"/>
      <w:vertAlign w:val="superscript"/>
    </w:rPr>
  </w:style>
  <w:style w:type="paragraph" w:customStyle="1" w:styleId="Tableheading0">
    <w:name w:val="Table heading"/>
    <w:basedOn w:val="Caption"/>
    <w:link w:val="TableheadingChar"/>
    <w:qFormat/>
    <w:rsid w:val="00F354DC"/>
    <w:pPr>
      <w:spacing w:after="120"/>
    </w:pPr>
    <w:rPr>
      <w:rFonts w:ascii="Arial" w:eastAsiaTheme="majorEastAsia" w:hAnsi="Arial" w:cstheme="majorBidi"/>
      <w:bCs/>
      <w:i w:val="0"/>
      <w:iCs w:val="0"/>
      <w:color w:val="auto"/>
      <w:spacing w:val="5"/>
      <w:sz w:val="20"/>
      <w:szCs w:val="24"/>
      <w:lang w:eastAsia="en-US" w:bidi="en-US"/>
    </w:rPr>
  </w:style>
  <w:style w:type="character" w:customStyle="1" w:styleId="TableheadingChar">
    <w:name w:val="Table heading Char"/>
    <w:basedOn w:val="DefaultParagraphFont"/>
    <w:link w:val="Tableheading0"/>
    <w:rsid w:val="00F354DC"/>
    <w:rPr>
      <w:rFonts w:ascii="Arial" w:eastAsiaTheme="majorEastAsia" w:hAnsi="Arial" w:cstheme="majorBidi"/>
      <w:bCs/>
      <w:spacing w:val="5"/>
      <w:szCs w:val="24"/>
      <w:lang w:eastAsia="en-US" w:bidi="en-US"/>
    </w:rPr>
  </w:style>
  <w:style w:type="character" w:customStyle="1" w:styleId="TableText0">
    <w:name w:val="Table Text"/>
    <w:basedOn w:val="DefaultParagraphFont"/>
    <w:uiPriority w:val="4"/>
    <w:qFormat/>
    <w:rsid w:val="00170768"/>
    <w:rPr>
      <w:rFonts w:ascii="Arial Narrow" w:hAnsi="Arial Narrow"/>
      <w:sz w:val="20"/>
    </w:rPr>
  </w:style>
  <w:style w:type="paragraph" w:customStyle="1" w:styleId="TableParagraph">
    <w:name w:val="Table Paragraph"/>
    <w:basedOn w:val="Normal"/>
    <w:uiPriority w:val="1"/>
    <w:qFormat/>
    <w:rsid w:val="00170768"/>
    <w:pPr>
      <w:autoSpaceDE w:val="0"/>
      <w:autoSpaceDN w:val="0"/>
      <w:adjustRightInd w:val="0"/>
    </w:pPr>
    <w:rPr>
      <w:rFonts w:eastAsiaTheme="minorHAnsi"/>
      <w:lang w:eastAsia="en-US"/>
    </w:rPr>
  </w:style>
  <w:style w:type="paragraph" w:customStyle="1" w:styleId="tablecolhead">
    <w:name w:val="tablecolhead"/>
    <w:basedOn w:val="Normal"/>
    <w:rsid w:val="003A1F0B"/>
    <w:pPr>
      <w:spacing w:before="100" w:beforeAutospacing="1" w:after="100" w:afterAutospacing="1"/>
    </w:pPr>
  </w:style>
  <w:style w:type="paragraph" w:customStyle="1" w:styleId="tabletext1">
    <w:name w:val="tabletext"/>
    <w:basedOn w:val="Normal"/>
    <w:rsid w:val="003A1F0B"/>
    <w:pPr>
      <w:spacing w:before="100" w:beforeAutospacing="1" w:after="100" w:afterAutospacing="1"/>
    </w:pPr>
  </w:style>
  <w:style w:type="paragraph" w:customStyle="1" w:styleId="tablep1a">
    <w:name w:val="tablep1a"/>
    <w:basedOn w:val="Normal"/>
    <w:rsid w:val="003A1F0B"/>
    <w:pPr>
      <w:spacing w:before="100" w:beforeAutospacing="1" w:after="100" w:afterAutospacing="1"/>
    </w:pPr>
  </w:style>
  <w:style w:type="character" w:customStyle="1" w:styleId="CaptionChar">
    <w:name w:val="Caption Char"/>
    <w:aliases w:val="Caption Char1 Char,Caption Char Char Char"/>
    <w:link w:val="Caption"/>
    <w:uiPriority w:val="35"/>
    <w:rsid w:val="003A1F0B"/>
    <w:rPr>
      <w:rFonts w:ascii="Calibri" w:hAnsi="Calibri"/>
      <w:i/>
      <w:iCs/>
      <w:color w:val="000000" w:themeColor="text1"/>
      <w:sz w:val="18"/>
      <w:szCs w:val="18"/>
    </w:rPr>
  </w:style>
  <w:style w:type="paragraph" w:styleId="Revision">
    <w:name w:val="Revision"/>
    <w:hidden/>
    <w:uiPriority w:val="71"/>
    <w:semiHidden/>
    <w:rsid w:val="0069373D"/>
    <w:rPr>
      <w:sz w:val="24"/>
      <w:szCs w:val="24"/>
    </w:rPr>
  </w:style>
  <w:style w:type="character" w:styleId="FollowedHyperlink">
    <w:name w:val="FollowedHyperlink"/>
    <w:basedOn w:val="DefaultParagraphFont"/>
    <w:semiHidden/>
    <w:unhideWhenUsed/>
    <w:rsid w:val="00924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37763156">
      <w:bodyDiv w:val="1"/>
      <w:marLeft w:val="0"/>
      <w:marRight w:val="0"/>
      <w:marTop w:val="0"/>
      <w:marBottom w:val="0"/>
      <w:divBdr>
        <w:top w:val="none" w:sz="0" w:space="0" w:color="auto"/>
        <w:left w:val="none" w:sz="0" w:space="0" w:color="auto"/>
        <w:bottom w:val="none" w:sz="0" w:space="0" w:color="auto"/>
        <w:right w:val="none" w:sz="0" w:space="0" w:color="auto"/>
      </w:divBdr>
    </w:div>
    <w:div w:id="72988921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39601609">
      <w:bodyDiv w:val="1"/>
      <w:marLeft w:val="0"/>
      <w:marRight w:val="0"/>
      <w:marTop w:val="0"/>
      <w:marBottom w:val="0"/>
      <w:divBdr>
        <w:top w:val="none" w:sz="0" w:space="0" w:color="auto"/>
        <w:left w:val="none" w:sz="0" w:space="0" w:color="auto"/>
        <w:bottom w:val="none" w:sz="0" w:space="0" w:color="auto"/>
        <w:right w:val="none" w:sz="0" w:space="0" w:color="auto"/>
      </w:divBdr>
    </w:div>
    <w:div w:id="1059087012">
      <w:bodyDiv w:val="1"/>
      <w:marLeft w:val="0"/>
      <w:marRight w:val="0"/>
      <w:marTop w:val="0"/>
      <w:marBottom w:val="0"/>
      <w:divBdr>
        <w:top w:val="none" w:sz="0" w:space="0" w:color="auto"/>
        <w:left w:val="none" w:sz="0" w:space="0" w:color="auto"/>
        <w:bottom w:val="none" w:sz="0" w:space="0" w:color="auto"/>
        <w:right w:val="none" w:sz="0" w:space="0" w:color="auto"/>
      </w:divBdr>
    </w:div>
    <w:div w:id="1386836845">
      <w:bodyDiv w:val="1"/>
      <w:marLeft w:val="0"/>
      <w:marRight w:val="0"/>
      <w:marTop w:val="0"/>
      <w:marBottom w:val="0"/>
      <w:divBdr>
        <w:top w:val="none" w:sz="0" w:space="0" w:color="auto"/>
        <w:left w:val="none" w:sz="0" w:space="0" w:color="auto"/>
        <w:bottom w:val="none" w:sz="0" w:space="0" w:color="auto"/>
        <w:right w:val="none" w:sz="0" w:space="0" w:color="auto"/>
      </w:divBdr>
    </w:div>
    <w:div w:id="14636902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4253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1727-DED6-4A70-9576-AA948324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3730</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2019-06-26T00:40:00Z</dcterms:created>
  <dcterms:modified xsi:type="dcterms:W3CDTF">2019-07-01T04:10:00Z</dcterms:modified>
</cp:coreProperties>
</file>