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C43" w:rsidRPr="00AD4948" w:rsidRDefault="008E5F2A" w:rsidP="006D6493">
      <w:pPr>
        <w:pStyle w:val="Title"/>
        <w:spacing w:before="120" w:after="160"/>
        <w:ind w:left="720" w:hanging="720"/>
        <w:rPr>
          <w:rFonts w:asciiTheme="minorHAnsi" w:hAnsiTheme="minorHAnsi"/>
          <w:sz w:val="36"/>
          <w:szCs w:val="36"/>
        </w:rPr>
      </w:pPr>
      <w:r w:rsidRPr="00AD4948">
        <w:rPr>
          <w:rFonts w:asciiTheme="minorHAnsi" w:hAnsiTheme="minorHAnsi"/>
          <w:sz w:val="36"/>
          <w:szCs w:val="36"/>
        </w:rPr>
        <w:t>6.15</w:t>
      </w:r>
      <w:r w:rsidR="006D6493" w:rsidRPr="00AD4948">
        <w:rPr>
          <w:rFonts w:asciiTheme="minorHAnsi" w:hAnsiTheme="minorHAnsi"/>
          <w:sz w:val="36"/>
          <w:szCs w:val="36"/>
        </w:rPr>
        <w:tab/>
      </w:r>
      <w:r w:rsidR="001D6C43" w:rsidRPr="00AD4948">
        <w:rPr>
          <w:rFonts w:asciiTheme="minorHAnsi" w:hAnsiTheme="minorHAnsi"/>
          <w:sz w:val="36"/>
          <w:szCs w:val="36"/>
        </w:rPr>
        <w:t>PEGVISOMANT</w:t>
      </w:r>
      <w:r w:rsidR="006D6493" w:rsidRPr="00AD4948">
        <w:rPr>
          <w:rFonts w:asciiTheme="minorHAnsi" w:hAnsiTheme="minorHAnsi"/>
          <w:sz w:val="36"/>
          <w:szCs w:val="36"/>
        </w:rPr>
        <w:t xml:space="preserve"> </w:t>
      </w:r>
      <w:r w:rsidR="006D6493" w:rsidRPr="00AD4948">
        <w:rPr>
          <w:rFonts w:asciiTheme="minorHAnsi" w:hAnsiTheme="minorHAnsi"/>
          <w:sz w:val="36"/>
          <w:szCs w:val="36"/>
        </w:rPr>
        <w:br/>
      </w:r>
      <w:r w:rsidR="001D6C43" w:rsidRPr="00AD4948">
        <w:rPr>
          <w:rFonts w:asciiTheme="minorHAnsi" w:hAnsiTheme="minorHAnsi"/>
          <w:sz w:val="36"/>
          <w:szCs w:val="36"/>
        </w:rPr>
        <w:t xml:space="preserve">Injection set containing powder for injection 10 mg, 30 and diluent, 30, </w:t>
      </w:r>
    </w:p>
    <w:p w:rsidR="001D6C43" w:rsidRPr="00AD4948" w:rsidRDefault="001D6C43" w:rsidP="001D6C43">
      <w:pPr>
        <w:pStyle w:val="Title"/>
        <w:spacing w:before="120" w:after="160"/>
        <w:ind w:left="720" w:hanging="11"/>
        <w:rPr>
          <w:rFonts w:asciiTheme="minorHAnsi" w:hAnsiTheme="minorHAnsi"/>
          <w:sz w:val="36"/>
          <w:szCs w:val="36"/>
        </w:rPr>
      </w:pPr>
      <w:r w:rsidRPr="00AD4948">
        <w:rPr>
          <w:rFonts w:asciiTheme="minorHAnsi" w:hAnsiTheme="minorHAnsi"/>
          <w:sz w:val="36"/>
          <w:szCs w:val="36"/>
        </w:rPr>
        <w:t xml:space="preserve">Injection set containing powder for injection 15 mg, 30 and diluent, 30, </w:t>
      </w:r>
    </w:p>
    <w:p w:rsidR="001D6C43" w:rsidRPr="00AD4948" w:rsidRDefault="001D6C43" w:rsidP="001D6C43">
      <w:pPr>
        <w:pStyle w:val="Title"/>
        <w:spacing w:before="120" w:after="160"/>
        <w:ind w:left="720" w:hanging="11"/>
        <w:rPr>
          <w:rFonts w:asciiTheme="minorHAnsi" w:hAnsiTheme="minorHAnsi"/>
          <w:sz w:val="36"/>
          <w:szCs w:val="36"/>
        </w:rPr>
      </w:pPr>
      <w:r w:rsidRPr="00AD4948">
        <w:rPr>
          <w:rFonts w:asciiTheme="minorHAnsi" w:hAnsiTheme="minorHAnsi"/>
          <w:sz w:val="36"/>
          <w:szCs w:val="36"/>
        </w:rPr>
        <w:t xml:space="preserve">Injection set containing powder for injection 20 mg, 30 and diluent, 30, </w:t>
      </w:r>
    </w:p>
    <w:p w:rsidR="006D6493" w:rsidRPr="00AD4948" w:rsidRDefault="001D6C43" w:rsidP="001D6C43">
      <w:pPr>
        <w:pStyle w:val="Title"/>
        <w:spacing w:before="120" w:after="160"/>
        <w:ind w:left="720" w:hanging="11"/>
        <w:rPr>
          <w:rFonts w:asciiTheme="minorHAnsi" w:hAnsiTheme="minorHAnsi"/>
          <w:sz w:val="36"/>
          <w:szCs w:val="36"/>
        </w:rPr>
      </w:pPr>
      <w:r w:rsidRPr="00AD4948">
        <w:rPr>
          <w:rFonts w:asciiTheme="minorHAnsi" w:hAnsiTheme="minorHAnsi"/>
          <w:sz w:val="36"/>
          <w:szCs w:val="36"/>
        </w:rPr>
        <w:t xml:space="preserve">Injection set containing powder for injection 20 mg, 1 and diluent, 1, </w:t>
      </w:r>
      <w:r w:rsidRPr="00AD4948">
        <w:rPr>
          <w:rFonts w:asciiTheme="minorHAnsi" w:hAnsiTheme="minorHAnsi"/>
          <w:sz w:val="36"/>
          <w:szCs w:val="36"/>
        </w:rPr>
        <w:br/>
      </w:r>
      <w:proofErr w:type="spellStart"/>
      <w:r w:rsidRPr="00AD4948">
        <w:rPr>
          <w:rFonts w:asciiTheme="minorHAnsi" w:hAnsiTheme="minorHAnsi"/>
          <w:sz w:val="36"/>
          <w:szCs w:val="36"/>
        </w:rPr>
        <w:t>Somavert</w:t>
      </w:r>
      <w:proofErr w:type="spellEnd"/>
      <w:r w:rsidRPr="00AD4948">
        <w:rPr>
          <w:rFonts w:asciiTheme="minorHAnsi" w:hAnsiTheme="minorHAnsi"/>
          <w:sz w:val="36"/>
          <w:szCs w:val="36"/>
        </w:rPr>
        <w:t>®, Pfizer Australia</w:t>
      </w:r>
      <w:r w:rsidR="004D1CB0" w:rsidRPr="00AD4948">
        <w:rPr>
          <w:rFonts w:asciiTheme="minorHAnsi" w:hAnsiTheme="minorHAnsi"/>
          <w:sz w:val="36"/>
          <w:szCs w:val="36"/>
        </w:rPr>
        <w:t xml:space="preserve"> Pty Ltd</w:t>
      </w:r>
    </w:p>
    <w:p w:rsidR="008A50F1" w:rsidRPr="00AD4948" w:rsidRDefault="00CE10C4" w:rsidP="000E7F34">
      <w:pPr>
        <w:pStyle w:val="PBACHeading1"/>
        <w:spacing w:before="120" w:after="120"/>
        <w:ind w:left="709" w:hanging="709"/>
        <w:rPr>
          <w:rFonts w:asciiTheme="minorHAnsi" w:hAnsiTheme="minorHAnsi"/>
          <w:sz w:val="32"/>
          <w:szCs w:val="32"/>
        </w:rPr>
      </w:pPr>
      <w:r w:rsidRPr="00AD4948">
        <w:rPr>
          <w:rFonts w:asciiTheme="minorHAnsi" w:hAnsiTheme="minorHAnsi"/>
          <w:sz w:val="32"/>
          <w:szCs w:val="32"/>
        </w:rPr>
        <w:t xml:space="preserve">Purpose of </w:t>
      </w:r>
      <w:r w:rsidR="0004240E" w:rsidRPr="00AD4948">
        <w:rPr>
          <w:rFonts w:asciiTheme="minorHAnsi" w:hAnsiTheme="minorHAnsi"/>
          <w:sz w:val="32"/>
          <w:szCs w:val="32"/>
        </w:rPr>
        <w:t>Application</w:t>
      </w:r>
    </w:p>
    <w:p w:rsidR="00FE2FA7" w:rsidRPr="00AD4948" w:rsidRDefault="0055355E" w:rsidP="000E7F34">
      <w:pPr>
        <w:pStyle w:val="ListParagraph"/>
        <w:widowControl/>
        <w:numPr>
          <w:ilvl w:val="1"/>
          <w:numId w:val="5"/>
        </w:numPr>
        <w:spacing w:before="120" w:after="120"/>
        <w:contextualSpacing w:val="0"/>
        <w:rPr>
          <w:rFonts w:asciiTheme="minorHAnsi" w:hAnsiTheme="minorHAnsi"/>
          <w:sz w:val="24"/>
          <w:szCs w:val="24"/>
        </w:rPr>
      </w:pPr>
      <w:r w:rsidRPr="00AD4948">
        <w:rPr>
          <w:rFonts w:asciiTheme="minorHAnsi" w:eastAsiaTheme="minorHAnsi" w:hAnsiTheme="minorHAnsi" w:cstheme="minorBidi"/>
          <w:snapToGrid/>
          <w:sz w:val="24"/>
          <w:szCs w:val="22"/>
        </w:rPr>
        <w:t>The minor submission requested</w:t>
      </w:r>
      <w:r w:rsidR="006A4A74" w:rsidRPr="00AD4948">
        <w:rPr>
          <w:rFonts w:asciiTheme="minorHAnsi" w:eastAsiaTheme="minorHAnsi" w:hAnsiTheme="minorHAnsi" w:cstheme="minorBidi"/>
          <w:snapToGrid/>
          <w:sz w:val="24"/>
          <w:szCs w:val="22"/>
        </w:rPr>
        <w:t xml:space="preserve"> </w:t>
      </w:r>
      <w:r w:rsidR="005D1731" w:rsidRPr="00AD4948">
        <w:rPr>
          <w:rFonts w:asciiTheme="minorHAnsi" w:eastAsiaTheme="minorHAnsi" w:hAnsiTheme="minorHAnsi" w:cstheme="minorBidi"/>
          <w:snapToGrid/>
          <w:sz w:val="24"/>
          <w:szCs w:val="22"/>
        </w:rPr>
        <w:t>the following</w:t>
      </w:r>
      <w:r w:rsidR="00BB71E3" w:rsidRPr="00AD4948">
        <w:rPr>
          <w:rFonts w:asciiTheme="minorHAnsi" w:eastAsiaTheme="minorHAnsi" w:hAnsiTheme="minorHAnsi" w:cstheme="minorBidi"/>
          <w:snapToGrid/>
          <w:sz w:val="24"/>
          <w:szCs w:val="22"/>
        </w:rPr>
        <w:t xml:space="preserve"> </w:t>
      </w:r>
      <w:r w:rsidR="0049333D" w:rsidRPr="00AD4948">
        <w:rPr>
          <w:rFonts w:asciiTheme="minorHAnsi" w:eastAsiaTheme="minorHAnsi" w:hAnsiTheme="minorHAnsi" w:cstheme="minorBidi"/>
          <w:snapToGrid/>
          <w:sz w:val="24"/>
          <w:szCs w:val="22"/>
        </w:rPr>
        <w:t xml:space="preserve">changes to </w:t>
      </w:r>
      <w:r w:rsidR="006A4A74" w:rsidRPr="00AD4948">
        <w:rPr>
          <w:rFonts w:asciiTheme="minorHAnsi" w:eastAsiaTheme="minorHAnsi" w:hAnsiTheme="minorHAnsi" w:cstheme="minorBidi"/>
          <w:snapToGrid/>
          <w:sz w:val="24"/>
          <w:szCs w:val="22"/>
        </w:rPr>
        <w:t xml:space="preserve">the definition of failure to achieve biochemical control in the current </w:t>
      </w:r>
      <w:r w:rsidR="00735DBB" w:rsidRPr="00AD4948">
        <w:rPr>
          <w:rFonts w:asciiTheme="minorHAnsi" w:eastAsiaTheme="minorHAnsi" w:hAnsiTheme="minorHAnsi" w:cstheme="minorBidi"/>
          <w:snapToGrid/>
          <w:sz w:val="24"/>
          <w:szCs w:val="22"/>
        </w:rPr>
        <w:t xml:space="preserve">initial </w:t>
      </w:r>
      <w:r w:rsidR="006A4A74" w:rsidRPr="00AD4948">
        <w:rPr>
          <w:rFonts w:asciiTheme="minorHAnsi" w:eastAsiaTheme="minorHAnsi" w:hAnsiTheme="minorHAnsi" w:cstheme="minorBidi"/>
          <w:snapToGrid/>
          <w:sz w:val="24"/>
          <w:szCs w:val="22"/>
        </w:rPr>
        <w:t xml:space="preserve">PBS restriction for </w:t>
      </w:r>
      <w:proofErr w:type="spellStart"/>
      <w:r w:rsidR="006A4A74" w:rsidRPr="00AD4948">
        <w:rPr>
          <w:rFonts w:asciiTheme="minorHAnsi" w:eastAsiaTheme="minorHAnsi" w:hAnsiTheme="minorHAnsi" w:cstheme="minorBidi"/>
          <w:snapToGrid/>
          <w:sz w:val="24"/>
          <w:szCs w:val="22"/>
        </w:rPr>
        <w:t>pegvisomant</w:t>
      </w:r>
      <w:proofErr w:type="spellEnd"/>
      <w:r w:rsidR="00F46D80" w:rsidRPr="00AD4948">
        <w:rPr>
          <w:rFonts w:asciiTheme="minorHAnsi" w:eastAsiaTheme="minorHAnsi" w:hAnsiTheme="minorHAnsi" w:cstheme="minorBidi"/>
          <w:snapToGrid/>
          <w:sz w:val="24"/>
          <w:szCs w:val="22"/>
        </w:rPr>
        <w:t>:</w:t>
      </w:r>
      <w:r w:rsidR="006A4A74" w:rsidRPr="00AD4948">
        <w:rPr>
          <w:rFonts w:asciiTheme="minorHAnsi" w:eastAsiaTheme="minorHAnsi" w:hAnsiTheme="minorHAnsi" w:cstheme="minorBidi"/>
          <w:snapToGrid/>
          <w:sz w:val="24"/>
          <w:szCs w:val="22"/>
        </w:rPr>
        <w:t xml:space="preserve"> </w:t>
      </w:r>
    </w:p>
    <w:p w:rsidR="00B640A7" w:rsidRPr="00AD4948" w:rsidRDefault="00735DBB" w:rsidP="000E7F34">
      <w:pPr>
        <w:pStyle w:val="ListParagraph"/>
        <w:widowControl/>
        <w:numPr>
          <w:ilvl w:val="0"/>
          <w:numId w:val="31"/>
        </w:numPr>
        <w:spacing w:before="120" w:after="120"/>
        <w:contextualSpacing w:val="0"/>
        <w:rPr>
          <w:rFonts w:asciiTheme="minorHAnsi" w:hAnsiTheme="minorHAnsi"/>
          <w:sz w:val="24"/>
          <w:szCs w:val="24"/>
        </w:rPr>
      </w:pPr>
      <w:r w:rsidRPr="00AD4948">
        <w:rPr>
          <w:rFonts w:asciiTheme="minorHAnsi" w:hAnsiTheme="minorHAnsi"/>
          <w:sz w:val="24"/>
          <w:szCs w:val="24"/>
        </w:rPr>
        <w:t xml:space="preserve">A </w:t>
      </w:r>
      <w:r w:rsidR="00B640A7" w:rsidRPr="00AD4948">
        <w:rPr>
          <w:rFonts w:asciiTheme="minorHAnsi" w:hAnsiTheme="minorHAnsi"/>
          <w:sz w:val="24"/>
          <w:szCs w:val="24"/>
        </w:rPr>
        <w:t xml:space="preserve">reduction to the level </w:t>
      </w:r>
      <w:r w:rsidRPr="00AD4948">
        <w:rPr>
          <w:rFonts w:asciiTheme="minorHAnsi" w:hAnsiTheme="minorHAnsi"/>
          <w:sz w:val="24"/>
          <w:szCs w:val="24"/>
        </w:rPr>
        <w:t>of growth hormone (GH) from 2.5 mcg/L</w:t>
      </w:r>
      <w:r w:rsidR="00B640A7" w:rsidRPr="00AD4948">
        <w:rPr>
          <w:rFonts w:asciiTheme="minorHAnsi" w:hAnsiTheme="minorHAnsi"/>
          <w:sz w:val="24"/>
          <w:szCs w:val="24"/>
        </w:rPr>
        <w:t xml:space="preserve"> to 1 mcg/L</w:t>
      </w:r>
      <w:r w:rsidR="005D1731" w:rsidRPr="00AD4948">
        <w:rPr>
          <w:rFonts w:asciiTheme="minorHAnsi" w:hAnsiTheme="minorHAnsi"/>
          <w:sz w:val="24"/>
          <w:szCs w:val="24"/>
        </w:rPr>
        <w:t>;</w:t>
      </w:r>
    </w:p>
    <w:p w:rsidR="00735DBB" w:rsidRPr="00AD4948" w:rsidRDefault="00B640A7" w:rsidP="000E7F34">
      <w:pPr>
        <w:pStyle w:val="ListParagraph"/>
        <w:widowControl/>
        <w:numPr>
          <w:ilvl w:val="0"/>
          <w:numId w:val="31"/>
        </w:numPr>
        <w:spacing w:before="120" w:after="120"/>
        <w:contextualSpacing w:val="0"/>
        <w:rPr>
          <w:rFonts w:asciiTheme="minorHAnsi" w:hAnsiTheme="minorHAnsi"/>
          <w:sz w:val="24"/>
          <w:szCs w:val="24"/>
        </w:rPr>
      </w:pPr>
      <w:r w:rsidRPr="00AD4948">
        <w:rPr>
          <w:rFonts w:asciiTheme="minorHAnsi" w:hAnsiTheme="minorHAnsi"/>
          <w:sz w:val="24"/>
          <w:szCs w:val="24"/>
        </w:rPr>
        <w:t xml:space="preserve">A reduction to the level of </w:t>
      </w:r>
      <w:r w:rsidR="00216BE3" w:rsidRPr="00AD4948">
        <w:rPr>
          <w:rFonts w:asciiTheme="minorHAnsi" w:hAnsiTheme="minorHAnsi"/>
          <w:sz w:val="24"/>
          <w:szCs w:val="24"/>
        </w:rPr>
        <w:t>insulin-like growth factor 1 (</w:t>
      </w:r>
      <w:r w:rsidRPr="00AD4948">
        <w:rPr>
          <w:rFonts w:asciiTheme="minorHAnsi" w:hAnsiTheme="minorHAnsi"/>
          <w:sz w:val="24"/>
          <w:szCs w:val="24"/>
        </w:rPr>
        <w:t>IGF-1</w:t>
      </w:r>
      <w:r w:rsidR="00216BE3" w:rsidRPr="00AD4948">
        <w:rPr>
          <w:rFonts w:asciiTheme="minorHAnsi" w:hAnsiTheme="minorHAnsi"/>
          <w:sz w:val="24"/>
          <w:szCs w:val="24"/>
        </w:rPr>
        <w:t>)</w:t>
      </w:r>
      <w:r w:rsidRPr="00AD4948">
        <w:rPr>
          <w:rFonts w:asciiTheme="minorHAnsi" w:hAnsiTheme="minorHAnsi"/>
          <w:sz w:val="24"/>
          <w:szCs w:val="24"/>
        </w:rPr>
        <w:t xml:space="preserve"> from </w:t>
      </w:r>
      <w:r w:rsidR="00F46D80" w:rsidRPr="00AD4948">
        <w:rPr>
          <w:rFonts w:asciiTheme="minorHAnsi" w:hAnsiTheme="minorHAnsi"/>
          <w:sz w:val="24"/>
          <w:szCs w:val="24"/>
        </w:rPr>
        <w:t xml:space="preserve">greater than </w:t>
      </w:r>
      <w:r w:rsidRPr="00AD4948">
        <w:rPr>
          <w:rFonts w:asciiTheme="minorHAnsi" w:hAnsiTheme="minorHAnsi"/>
          <w:sz w:val="24"/>
          <w:szCs w:val="24"/>
        </w:rPr>
        <w:t>1.3 times the age- and sex-adjusted upper limit of normal (ULN) to greater than the age- and sex-adjusted ULN</w:t>
      </w:r>
      <w:r w:rsidR="005D1731" w:rsidRPr="00AD4948">
        <w:rPr>
          <w:rFonts w:asciiTheme="minorHAnsi" w:hAnsiTheme="minorHAnsi"/>
          <w:sz w:val="24"/>
          <w:szCs w:val="24"/>
        </w:rPr>
        <w:t>;</w:t>
      </w:r>
      <w:r w:rsidRPr="00AD4948">
        <w:rPr>
          <w:rFonts w:asciiTheme="minorHAnsi" w:hAnsiTheme="minorHAnsi"/>
          <w:sz w:val="24"/>
          <w:szCs w:val="24"/>
        </w:rPr>
        <w:t xml:space="preserve"> </w:t>
      </w:r>
    </w:p>
    <w:p w:rsidR="00B640A7" w:rsidRPr="00AD4948" w:rsidRDefault="00B640A7" w:rsidP="000E7F34">
      <w:pPr>
        <w:pStyle w:val="ListParagraph"/>
        <w:widowControl/>
        <w:numPr>
          <w:ilvl w:val="0"/>
          <w:numId w:val="31"/>
        </w:numPr>
        <w:spacing w:before="120" w:after="120"/>
        <w:contextualSpacing w:val="0"/>
        <w:rPr>
          <w:rFonts w:asciiTheme="minorHAnsi" w:hAnsiTheme="minorHAnsi"/>
          <w:sz w:val="24"/>
          <w:szCs w:val="24"/>
        </w:rPr>
      </w:pPr>
      <w:r w:rsidRPr="00AD4948">
        <w:rPr>
          <w:rFonts w:asciiTheme="minorHAnsi" w:hAnsiTheme="minorHAnsi"/>
          <w:sz w:val="24"/>
          <w:szCs w:val="24"/>
        </w:rPr>
        <w:t>A change from</w:t>
      </w:r>
      <w:r w:rsidR="00F46D80" w:rsidRPr="00AD4948">
        <w:rPr>
          <w:rFonts w:asciiTheme="minorHAnsi" w:hAnsiTheme="minorHAnsi"/>
          <w:sz w:val="24"/>
          <w:szCs w:val="24"/>
        </w:rPr>
        <w:t xml:space="preserve"> using </w:t>
      </w:r>
      <w:r w:rsidR="00C63F08" w:rsidRPr="00AD4948">
        <w:rPr>
          <w:rFonts w:asciiTheme="minorHAnsi" w:hAnsiTheme="minorHAnsi"/>
          <w:sz w:val="24"/>
          <w:szCs w:val="24"/>
        </w:rPr>
        <w:t>both the GH and IGF-1 criteria</w:t>
      </w:r>
      <w:r w:rsidR="00F46D80" w:rsidRPr="00AD4948">
        <w:rPr>
          <w:rFonts w:asciiTheme="minorHAnsi" w:hAnsiTheme="minorHAnsi"/>
          <w:sz w:val="24"/>
          <w:szCs w:val="24"/>
        </w:rPr>
        <w:t xml:space="preserve"> to define failure </w:t>
      </w:r>
      <w:r w:rsidR="00C63F08" w:rsidRPr="00AD4948">
        <w:rPr>
          <w:rFonts w:asciiTheme="minorHAnsi" w:hAnsiTheme="minorHAnsi"/>
          <w:sz w:val="24"/>
          <w:szCs w:val="24"/>
        </w:rPr>
        <w:t xml:space="preserve">to </w:t>
      </w:r>
      <w:r w:rsidR="00F46D80" w:rsidRPr="00AD4948">
        <w:rPr>
          <w:rFonts w:asciiTheme="minorHAnsi" w:hAnsiTheme="minorHAnsi"/>
          <w:sz w:val="24"/>
          <w:szCs w:val="24"/>
        </w:rPr>
        <w:t xml:space="preserve">using </w:t>
      </w:r>
      <w:r w:rsidR="00C63F08" w:rsidRPr="00AD4948">
        <w:rPr>
          <w:rFonts w:asciiTheme="minorHAnsi" w:hAnsiTheme="minorHAnsi"/>
          <w:sz w:val="24"/>
          <w:szCs w:val="24"/>
        </w:rPr>
        <w:t xml:space="preserve">either </w:t>
      </w:r>
      <w:r w:rsidRPr="00AD4948">
        <w:rPr>
          <w:rFonts w:asciiTheme="minorHAnsi" w:hAnsiTheme="minorHAnsi"/>
          <w:sz w:val="24"/>
          <w:szCs w:val="24"/>
        </w:rPr>
        <w:t>of these</w:t>
      </w:r>
      <w:r w:rsidR="00C63F08" w:rsidRPr="00AD4948">
        <w:rPr>
          <w:rFonts w:asciiTheme="minorHAnsi" w:hAnsiTheme="minorHAnsi"/>
          <w:sz w:val="24"/>
          <w:szCs w:val="24"/>
        </w:rPr>
        <w:t xml:space="preserve"> criteria</w:t>
      </w:r>
      <w:r w:rsidR="005D1731" w:rsidRPr="00AD4948">
        <w:rPr>
          <w:rFonts w:asciiTheme="minorHAnsi" w:hAnsiTheme="minorHAnsi"/>
          <w:sz w:val="24"/>
          <w:szCs w:val="24"/>
        </w:rPr>
        <w:t>; and</w:t>
      </w:r>
    </w:p>
    <w:p w:rsidR="00BB71E3" w:rsidRPr="00AD4948" w:rsidRDefault="00216BE3" w:rsidP="000E7F34">
      <w:pPr>
        <w:pStyle w:val="ListParagraph"/>
        <w:widowControl/>
        <w:numPr>
          <w:ilvl w:val="0"/>
          <w:numId w:val="31"/>
        </w:numPr>
        <w:spacing w:before="120" w:after="120"/>
        <w:contextualSpacing w:val="0"/>
        <w:rPr>
          <w:rFonts w:asciiTheme="minorHAnsi" w:hAnsiTheme="minorHAnsi"/>
          <w:sz w:val="24"/>
          <w:szCs w:val="24"/>
        </w:rPr>
      </w:pPr>
      <w:r w:rsidRPr="00AD4948">
        <w:rPr>
          <w:rFonts w:asciiTheme="minorHAnsi" w:hAnsiTheme="minorHAnsi"/>
          <w:sz w:val="24"/>
          <w:szCs w:val="24"/>
        </w:rPr>
        <w:t>T</w:t>
      </w:r>
      <w:r w:rsidR="004A2A72" w:rsidRPr="00AD4948">
        <w:rPr>
          <w:rFonts w:asciiTheme="minorHAnsi" w:hAnsiTheme="minorHAnsi"/>
          <w:sz w:val="24"/>
          <w:szCs w:val="24"/>
        </w:rPr>
        <w:t xml:space="preserve">o </w:t>
      </w:r>
      <w:r w:rsidR="00551A49" w:rsidRPr="00AD4948">
        <w:rPr>
          <w:rFonts w:asciiTheme="minorHAnsi" w:hAnsiTheme="minorHAnsi"/>
          <w:sz w:val="24"/>
          <w:szCs w:val="24"/>
        </w:rPr>
        <w:t>include GH levels in both mcg/</w:t>
      </w:r>
      <w:r w:rsidR="00BB71E3" w:rsidRPr="00AD4948">
        <w:rPr>
          <w:rFonts w:asciiTheme="minorHAnsi" w:hAnsiTheme="minorHAnsi"/>
          <w:sz w:val="24"/>
          <w:szCs w:val="24"/>
        </w:rPr>
        <w:t xml:space="preserve">L and </w:t>
      </w:r>
      <w:proofErr w:type="spellStart"/>
      <w:r w:rsidR="00BB71E3" w:rsidRPr="00AD4948">
        <w:rPr>
          <w:rFonts w:asciiTheme="minorHAnsi" w:hAnsiTheme="minorHAnsi"/>
          <w:sz w:val="24"/>
          <w:szCs w:val="24"/>
        </w:rPr>
        <w:t>mIU</w:t>
      </w:r>
      <w:proofErr w:type="spellEnd"/>
      <w:r w:rsidR="00BB71E3" w:rsidRPr="00AD4948">
        <w:rPr>
          <w:rFonts w:asciiTheme="minorHAnsi" w:hAnsiTheme="minorHAnsi"/>
          <w:sz w:val="24"/>
          <w:szCs w:val="24"/>
        </w:rPr>
        <w:t>/L</w:t>
      </w:r>
      <w:r w:rsidR="00AD4948">
        <w:rPr>
          <w:rFonts w:asciiTheme="minorHAnsi" w:hAnsiTheme="minorHAnsi"/>
          <w:sz w:val="24"/>
          <w:szCs w:val="24"/>
        </w:rPr>
        <w:t xml:space="preserve">. </w:t>
      </w:r>
    </w:p>
    <w:p w:rsidR="006A12A5" w:rsidRPr="00AD4948" w:rsidRDefault="006A12A5" w:rsidP="000E7F34">
      <w:pPr>
        <w:pStyle w:val="PBACHeading1"/>
        <w:spacing w:before="120" w:after="120"/>
        <w:ind w:left="709" w:hanging="709"/>
        <w:rPr>
          <w:rFonts w:asciiTheme="minorHAnsi" w:hAnsiTheme="minorHAnsi"/>
          <w:sz w:val="32"/>
          <w:szCs w:val="32"/>
        </w:rPr>
      </w:pPr>
      <w:r w:rsidRPr="00AD4948">
        <w:rPr>
          <w:rFonts w:asciiTheme="minorHAnsi" w:hAnsiTheme="minorHAnsi"/>
          <w:sz w:val="32"/>
          <w:szCs w:val="32"/>
        </w:rPr>
        <w:t>Requested listing</w:t>
      </w:r>
    </w:p>
    <w:p w:rsidR="009F2CD7" w:rsidRPr="00AD4948" w:rsidRDefault="00F309C9" w:rsidP="000E7F34">
      <w:pPr>
        <w:pStyle w:val="ListParagraph"/>
        <w:widowControl/>
        <w:numPr>
          <w:ilvl w:val="1"/>
          <w:numId w:val="5"/>
        </w:numPr>
        <w:spacing w:before="120" w:after="120"/>
        <w:contextualSpacing w:val="0"/>
        <w:rPr>
          <w:rFonts w:asciiTheme="minorHAnsi" w:hAnsiTheme="minorHAnsi" w:cs="Times New Roman"/>
          <w:snapToGrid/>
          <w:sz w:val="24"/>
          <w:szCs w:val="24"/>
        </w:rPr>
      </w:pPr>
      <w:r w:rsidRPr="00AD4948">
        <w:rPr>
          <w:rFonts w:asciiTheme="minorHAnsi" w:hAnsiTheme="minorHAnsi"/>
          <w:sz w:val="24"/>
          <w:szCs w:val="24"/>
        </w:rPr>
        <w:t>The</w:t>
      </w:r>
      <w:r w:rsidR="0014113E" w:rsidRPr="00AD4948">
        <w:rPr>
          <w:rFonts w:asciiTheme="minorHAnsi" w:hAnsiTheme="minorHAnsi"/>
          <w:sz w:val="24"/>
          <w:szCs w:val="24"/>
        </w:rPr>
        <w:t xml:space="preserve"> </w:t>
      </w:r>
      <w:proofErr w:type="gramStart"/>
      <w:r w:rsidR="001E053D" w:rsidRPr="00AD4948">
        <w:rPr>
          <w:rFonts w:asciiTheme="minorHAnsi" w:hAnsiTheme="minorHAnsi"/>
          <w:sz w:val="24"/>
          <w:szCs w:val="24"/>
        </w:rPr>
        <w:t>sponsor’s</w:t>
      </w:r>
      <w:proofErr w:type="gramEnd"/>
      <w:r w:rsidR="001E053D" w:rsidRPr="00AD4948">
        <w:rPr>
          <w:rFonts w:asciiTheme="minorHAnsi" w:hAnsiTheme="minorHAnsi"/>
          <w:sz w:val="24"/>
          <w:szCs w:val="24"/>
        </w:rPr>
        <w:t xml:space="preserve"> </w:t>
      </w:r>
      <w:r w:rsidR="0014113E" w:rsidRPr="00AD4948">
        <w:rPr>
          <w:rFonts w:asciiTheme="minorHAnsi" w:hAnsiTheme="minorHAnsi"/>
          <w:sz w:val="24"/>
          <w:szCs w:val="24"/>
        </w:rPr>
        <w:t xml:space="preserve">proposed </w:t>
      </w:r>
      <w:r w:rsidR="006A4A74" w:rsidRPr="00AD4948">
        <w:rPr>
          <w:rFonts w:asciiTheme="minorHAnsi" w:hAnsiTheme="minorHAnsi"/>
          <w:sz w:val="24"/>
          <w:szCs w:val="24"/>
        </w:rPr>
        <w:t xml:space="preserve">changes to the </w:t>
      </w:r>
      <w:proofErr w:type="spellStart"/>
      <w:r w:rsidR="006A4A74" w:rsidRPr="00AD4948">
        <w:rPr>
          <w:rFonts w:asciiTheme="minorHAnsi" w:hAnsiTheme="minorHAnsi"/>
          <w:sz w:val="24"/>
          <w:szCs w:val="24"/>
        </w:rPr>
        <w:t>pegvisomant</w:t>
      </w:r>
      <w:proofErr w:type="spellEnd"/>
      <w:r w:rsidR="004D1CB0" w:rsidRPr="00AD4948">
        <w:rPr>
          <w:rFonts w:asciiTheme="minorHAnsi" w:hAnsiTheme="minorHAnsi"/>
          <w:sz w:val="24"/>
          <w:szCs w:val="24"/>
        </w:rPr>
        <w:t xml:space="preserve"> listing are presented below with additions in</w:t>
      </w:r>
      <w:r w:rsidR="004D1CB0" w:rsidRPr="00AD4948">
        <w:rPr>
          <w:rFonts w:asciiTheme="minorHAnsi" w:hAnsiTheme="minorHAnsi"/>
          <w:i/>
          <w:sz w:val="24"/>
          <w:szCs w:val="24"/>
        </w:rPr>
        <w:t xml:space="preserve"> italics </w:t>
      </w:r>
      <w:r w:rsidR="004D1CB0" w:rsidRPr="00AD4948">
        <w:rPr>
          <w:rFonts w:asciiTheme="minorHAnsi" w:hAnsiTheme="minorHAnsi"/>
          <w:sz w:val="24"/>
          <w:szCs w:val="24"/>
        </w:rPr>
        <w:t xml:space="preserve">and </w:t>
      </w:r>
      <w:r w:rsidR="004D1CB0" w:rsidRPr="00AD4948">
        <w:rPr>
          <w:rFonts w:asciiTheme="minorHAnsi" w:hAnsiTheme="minorHAnsi"/>
          <w:strike/>
          <w:sz w:val="24"/>
          <w:szCs w:val="24"/>
        </w:rPr>
        <w:t>strikethrough</w:t>
      </w:r>
      <w:r w:rsidR="004D1CB0" w:rsidRPr="00AD4948">
        <w:rPr>
          <w:rFonts w:asciiTheme="minorHAnsi" w:hAnsiTheme="minorHAnsi"/>
          <w:sz w:val="24"/>
          <w:szCs w:val="24"/>
        </w:rPr>
        <w:t xml:space="preserve"> for deletions.</w:t>
      </w:r>
    </w:p>
    <w:tbl>
      <w:tblPr>
        <w:tblW w:w="5000" w:type="pct"/>
        <w:tblInd w:w="709" w:type="dxa"/>
        <w:tblLayout w:type="fixed"/>
        <w:tblLook w:val="0000" w:firstRow="0" w:lastRow="0" w:firstColumn="0" w:lastColumn="0" w:noHBand="0" w:noVBand="0"/>
      </w:tblPr>
      <w:tblGrid>
        <w:gridCol w:w="1775"/>
        <w:gridCol w:w="1577"/>
        <w:gridCol w:w="914"/>
        <w:gridCol w:w="915"/>
        <w:gridCol w:w="1167"/>
        <w:gridCol w:w="2528"/>
        <w:gridCol w:w="94"/>
        <w:gridCol w:w="56"/>
      </w:tblGrid>
      <w:tr w:rsidR="00670415" w:rsidRPr="00AD4948" w:rsidTr="000D32FA">
        <w:trPr>
          <w:gridAfter w:val="2"/>
          <w:wAfter w:w="142" w:type="dxa"/>
          <w:trHeight w:val="471"/>
        </w:trPr>
        <w:tc>
          <w:tcPr>
            <w:tcW w:w="3158" w:type="dxa"/>
            <w:gridSpan w:val="2"/>
            <w:tcBorders>
              <w:bottom w:val="single" w:sz="4" w:space="0" w:color="auto"/>
            </w:tcBorders>
          </w:tcPr>
          <w:p w:rsidR="00670415" w:rsidRPr="00AD4948" w:rsidRDefault="00670415" w:rsidP="007347A7">
            <w:pPr>
              <w:keepNext/>
              <w:ind w:left="-108"/>
              <w:rPr>
                <w:rFonts w:ascii="Arial Narrow" w:hAnsi="Arial Narrow"/>
                <w:b/>
                <w:sz w:val="20"/>
              </w:rPr>
            </w:pPr>
            <w:r w:rsidRPr="00AD4948">
              <w:rPr>
                <w:rFonts w:ascii="Arial Narrow" w:hAnsi="Arial Narrow"/>
                <w:b/>
                <w:sz w:val="20"/>
              </w:rPr>
              <w:t>Name, Restriction,</w:t>
            </w:r>
          </w:p>
          <w:p w:rsidR="00670415" w:rsidRPr="00AD4948" w:rsidRDefault="00670415" w:rsidP="007347A7">
            <w:pPr>
              <w:keepNext/>
              <w:ind w:left="-108"/>
              <w:rPr>
                <w:rFonts w:ascii="Arial Narrow" w:hAnsi="Arial Narrow"/>
                <w:b/>
                <w:sz w:val="20"/>
              </w:rPr>
            </w:pPr>
            <w:r w:rsidRPr="00AD4948">
              <w:rPr>
                <w:rFonts w:ascii="Arial Narrow" w:hAnsi="Arial Narrow"/>
                <w:b/>
                <w:sz w:val="20"/>
              </w:rPr>
              <w:t>Manner of administration and form</w:t>
            </w:r>
          </w:p>
        </w:tc>
        <w:tc>
          <w:tcPr>
            <w:tcW w:w="861" w:type="dxa"/>
            <w:tcBorders>
              <w:bottom w:val="single" w:sz="4" w:space="0" w:color="auto"/>
            </w:tcBorders>
          </w:tcPr>
          <w:p w:rsidR="00670415" w:rsidRPr="00AD4948" w:rsidRDefault="00670415" w:rsidP="007347A7">
            <w:pPr>
              <w:keepNext/>
              <w:ind w:left="-108"/>
              <w:rPr>
                <w:rFonts w:ascii="Arial Narrow" w:hAnsi="Arial Narrow"/>
                <w:b/>
                <w:sz w:val="20"/>
              </w:rPr>
            </w:pPr>
            <w:r w:rsidRPr="00AD4948">
              <w:rPr>
                <w:rFonts w:ascii="Arial Narrow" w:hAnsi="Arial Narrow"/>
                <w:b/>
                <w:sz w:val="20"/>
              </w:rPr>
              <w:t>Max.</w:t>
            </w:r>
          </w:p>
          <w:p w:rsidR="00670415" w:rsidRPr="00AD4948" w:rsidRDefault="00670415" w:rsidP="007347A7">
            <w:pPr>
              <w:keepNext/>
              <w:ind w:left="-108"/>
              <w:rPr>
                <w:rFonts w:ascii="Arial Narrow" w:hAnsi="Arial Narrow"/>
                <w:b/>
                <w:sz w:val="20"/>
              </w:rPr>
            </w:pPr>
            <w:proofErr w:type="spellStart"/>
            <w:r w:rsidRPr="00AD4948">
              <w:rPr>
                <w:rFonts w:ascii="Arial Narrow" w:hAnsi="Arial Narrow"/>
                <w:b/>
                <w:sz w:val="20"/>
              </w:rPr>
              <w:t>Qty</w:t>
            </w:r>
            <w:proofErr w:type="spellEnd"/>
          </w:p>
        </w:tc>
        <w:tc>
          <w:tcPr>
            <w:tcW w:w="862" w:type="dxa"/>
            <w:tcBorders>
              <w:bottom w:val="single" w:sz="4" w:space="0" w:color="auto"/>
            </w:tcBorders>
          </w:tcPr>
          <w:p w:rsidR="00670415" w:rsidRPr="00AD4948" w:rsidRDefault="00670415" w:rsidP="007347A7">
            <w:pPr>
              <w:keepNext/>
              <w:ind w:left="-108"/>
              <w:rPr>
                <w:rFonts w:ascii="Arial Narrow" w:hAnsi="Arial Narrow"/>
                <w:b/>
                <w:sz w:val="20"/>
              </w:rPr>
            </w:pPr>
            <w:r w:rsidRPr="00AD4948">
              <w:rPr>
                <w:rFonts w:ascii="Arial Narrow" w:hAnsi="Arial Narrow"/>
                <w:b/>
                <w:sz w:val="20"/>
              </w:rPr>
              <w:t>№.of</w:t>
            </w:r>
          </w:p>
          <w:p w:rsidR="00670415" w:rsidRPr="00AD4948" w:rsidRDefault="00670415" w:rsidP="007347A7">
            <w:pPr>
              <w:keepNext/>
              <w:ind w:left="-108"/>
              <w:rPr>
                <w:rFonts w:ascii="Arial Narrow" w:hAnsi="Arial Narrow"/>
                <w:b/>
                <w:sz w:val="20"/>
              </w:rPr>
            </w:pPr>
            <w:proofErr w:type="spellStart"/>
            <w:r w:rsidRPr="00AD4948">
              <w:rPr>
                <w:rFonts w:ascii="Arial Narrow" w:hAnsi="Arial Narrow"/>
                <w:b/>
                <w:sz w:val="20"/>
              </w:rPr>
              <w:t>Rpts</w:t>
            </w:r>
            <w:proofErr w:type="spellEnd"/>
          </w:p>
        </w:tc>
        <w:tc>
          <w:tcPr>
            <w:tcW w:w="3482" w:type="dxa"/>
            <w:gridSpan w:val="2"/>
            <w:tcBorders>
              <w:bottom w:val="single" w:sz="4" w:space="0" w:color="auto"/>
            </w:tcBorders>
          </w:tcPr>
          <w:p w:rsidR="00670415" w:rsidRPr="00AD4948" w:rsidRDefault="00670415" w:rsidP="007347A7">
            <w:pPr>
              <w:keepNext/>
              <w:rPr>
                <w:rFonts w:ascii="Arial Narrow" w:hAnsi="Arial Narrow"/>
                <w:b/>
                <w:sz w:val="20"/>
              </w:rPr>
            </w:pPr>
            <w:r w:rsidRPr="00AD4948">
              <w:rPr>
                <w:rFonts w:ascii="Arial Narrow" w:hAnsi="Arial Narrow"/>
                <w:b/>
                <w:sz w:val="20"/>
              </w:rPr>
              <w:t>Proprietary Name and Manufacturer</w:t>
            </w:r>
          </w:p>
        </w:tc>
      </w:tr>
      <w:tr w:rsidR="00670415" w:rsidRPr="00AD4948" w:rsidTr="000D32FA">
        <w:trPr>
          <w:gridAfter w:val="2"/>
          <w:wAfter w:w="142" w:type="dxa"/>
          <w:trHeight w:val="750"/>
        </w:trPr>
        <w:tc>
          <w:tcPr>
            <w:tcW w:w="3158" w:type="dxa"/>
            <w:gridSpan w:val="2"/>
            <w:tcBorders>
              <w:top w:val="single" w:sz="4" w:space="0" w:color="auto"/>
            </w:tcBorders>
          </w:tcPr>
          <w:p w:rsidR="00670415" w:rsidRPr="00AD4948" w:rsidRDefault="00670415" w:rsidP="007347A7">
            <w:pPr>
              <w:keepNext/>
              <w:ind w:left="-108"/>
              <w:rPr>
                <w:rFonts w:ascii="Arial Narrow" w:hAnsi="Arial Narrow"/>
                <w:sz w:val="20"/>
              </w:rPr>
            </w:pPr>
            <w:r w:rsidRPr="00AD4948">
              <w:rPr>
                <w:rFonts w:ascii="Arial Narrow" w:hAnsi="Arial Narrow"/>
                <w:sz w:val="20"/>
              </w:rPr>
              <w:t xml:space="preserve">PEGVISOMANT </w:t>
            </w:r>
          </w:p>
          <w:p w:rsidR="00670415" w:rsidRPr="00AD4948" w:rsidRDefault="00670415" w:rsidP="007347A7">
            <w:pPr>
              <w:keepNext/>
              <w:ind w:left="-108"/>
              <w:rPr>
                <w:rFonts w:ascii="Arial Narrow" w:hAnsi="Arial Narrow"/>
                <w:sz w:val="20"/>
              </w:rPr>
            </w:pPr>
            <w:r w:rsidRPr="00AD4948">
              <w:rPr>
                <w:rFonts w:ascii="Arial Narrow" w:hAnsi="Arial Narrow"/>
                <w:sz w:val="20"/>
              </w:rPr>
              <w:t>10 mg, powder for injection, 30</w:t>
            </w:r>
          </w:p>
          <w:p w:rsidR="00670415" w:rsidRPr="00AD4948" w:rsidRDefault="00670415" w:rsidP="007347A7">
            <w:pPr>
              <w:keepNext/>
              <w:ind w:left="-108"/>
              <w:rPr>
                <w:rFonts w:ascii="Arial Narrow" w:hAnsi="Arial Narrow"/>
                <w:sz w:val="20"/>
              </w:rPr>
            </w:pPr>
          </w:p>
          <w:p w:rsidR="00670415" w:rsidRPr="00AD4948" w:rsidRDefault="00670415" w:rsidP="007347A7">
            <w:pPr>
              <w:keepNext/>
              <w:ind w:left="-108"/>
              <w:rPr>
                <w:rFonts w:ascii="Arial Narrow" w:hAnsi="Arial Narrow"/>
                <w:sz w:val="20"/>
              </w:rPr>
            </w:pPr>
            <w:r w:rsidRPr="00AD4948">
              <w:rPr>
                <w:rFonts w:ascii="Arial Narrow" w:hAnsi="Arial Narrow"/>
                <w:sz w:val="20"/>
              </w:rPr>
              <w:t>15 mg, powder for injection, 30</w:t>
            </w:r>
          </w:p>
          <w:p w:rsidR="00670415" w:rsidRPr="00AD4948" w:rsidRDefault="00670415" w:rsidP="007347A7">
            <w:pPr>
              <w:keepNext/>
              <w:ind w:left="-108"/>
              <w:rPr>
                <w:rFonts w:ascii="Arial Narrow" w:hAnsi="Arial Narrow"/>
                <w:sz w:val="20"/>
              </w:rPr>
            </w:pPr>
          </w:p>
          <w:p w:rsidR="00670415" w:rsidRPr="00AD4948" w:rsidRDefault="00670415" w:rsidP="007347A7">
            <w:pPr>
              <w:keepNext/>
              <w:ind w:left="-108"/>
              <w:rPr>
                <w:rFonts w:ascii="Arial Narrow" w:hAnsi="Arial Narrow"/>
                <w:sz w:val="20"/>
              </w:rPr>
            </w:pPr>
            <w:r w:rsidRPr="00AD4948">
              <w:rPr>
                <w:rFonts w:ascii="Arial Narrow" w:hAnsi="Arial Narrow"/>
                <w:sz w:val="20"/>
              </w:rPr>
              <w:t>20 mg, powder for injection, 30</w:t>
            </w:r>
          </w:p>
          <w:p w:rsidR="00670415" w:rsidRPr="00AD4948" w:rsidRDefault="00670415" w:rsidP="007347A7">
            <w:pPr>
              <w:keepNext/>
              <w:ind w:left="-108"/>
              <w:rPr>
                <w:rFonts w:ascii="Arial Narrow" w:hAnsi="Arial Narrow"/>
                <w:sz w:val="20"/>
              </w:rPr>
            </w:pPr>
          </w:p>
          <w:p w:rsidR="00670415" w:rsidRPr="00AD4948" w:rsidRDefault="00670415" w:rsidP="007347A7">
            <w:pPr>
              <w:keepNext/>
              <w:ind w:left="-108"/>
              <w:rPr>
                <w:rFonts w:ascii="Arial Narrow" w:hAnsi="Arial Narrow"/>
                <w:sz w:val="20"/>
              </w:rPr>
            </w:pPr>
            <w:r w:rsidRPr="00AD4948">
              <w:rPr>
                <w:rFonts w:ascii="Arial Narrow" w:hAnsi="Arial Narrow"/>
                <w:sz w:val="20"/>
              </w:rPr>
              <w:t>20 mg, powder for injection, 1</w:t>
            </w:r>
          </w:p>
          <w:p w:rsidR="00670415" w:rsidRPr="00AD4948" w:rsidRDefault="00670415" w:rsidP="007347A7">
            <w:pPr>
              <w:keepNext/>
              <w:ind w:left="-108"/>
              <w:rPr>
                <w:rFonts w:ascii="Arial Narrow" w:hAnsi="Arial Narrow"/>
                <w:sz w:val="20"/>
              </w:rPr>
            </w:pPr>
          </w:p>
        </w:tc>
        <w:tc>
          <w:tcPr>
            <w:tcW w:w="861" w:type="dxa"/>
            <w:tcBorders>
              <w:top w:val="single" w:sz="4" w:space="0" w:color="auto"/>
            </w:tcBorders>
          </w:tcPr>
          <w:p w:rsidR="00670415" w:rsidRPr="00AD4948" w:rsidRDefault="00670415" w:rsidP="007347A7">
            <w:pPr>
              <w:keepNext/>
              <w:rPr>
                <w:rFonts w:ascii="Arial Narrow" w:hAnsi="Arial Narrow"/>
                <w:sz w:val="20"/>
              </w:rPr>
            </w:pPr>
          </w:p>
          <w:p w:rsidR="00670415" w:rsidRPr="00AD4948" w:rsidRDefault="00670415" w:rsidP="007347A7">
            <w:pPr>
              <w:keepNext/>
              <w:rPr>
                <w:rFonts w:ascii="Arial Narrow" w:hAnsi="Arial Narrow"/>
                <w:sz w:val="20"/>
              </w:rPr>
            </w:pPr>
            <w:r w:rsidRPr="00AD4948">
              <w:rPr>
                <w:rFonts w:ascii="Arial Narrow" w:hAnsi="Arial Narrow"/>
                <w:sz w:val="20"/>
              </w:rPr>
              <w:t>1</w:t>
            </w:r>
          </w:p>
          <w:p w:rsidR="00670415" w:rsidRPr="00AD4948" w:rsidRDefault="00670415" w:rsidP="007347A7">
            <w:pPr>
              <w:keepNext/>
              <w:rPr>
                <w:rFonts w:ascii="Arial Narrow" w:hAnsi="Arial Narrow"/>
                <w:sz w:val="20"/>
              </w:rPr>
            </w:pPr>
          </w:p>
          <w:p w:rsidR="00670415" w:rsidRPr="00AD4948" w:rsidRDefault="00670415" w:rsidP="007347A7">
            <w:pPr>
              <w:keepNext/>
              <w:rPr>
                <w:rFonts w:ascii="Arial Narrow" w:hAnsi="Arial Narrow"/>
                <w:sz w:val="20"/>
              </w:rPr>
            </w:pPr>
            <w:r w:rsidRPr="00AD4948">
              <w:rPr>
                <w:rFonts w:ascii="Arial Narrow" w:hAnsi="Arial Narrow"/>
                <w:sz w:val="20"/>
              </w:rPr>
              <w:t>1</w:t>
            </w:r>
          </w:p>
          <w:p w:rsidR="00670415" w:rsidRPr="00AD4948" w:rsidRDefault="00670415" w:rsidP="007347A7">
            <w:pPr>
              <w:keepNext/>
              <w:rPr>
                <w:rFonts w:ascii="Arial Narrow" w:hAnsi="Arial Narrow"/>
                <w:sz w:val="20"/>
              </w:rPr>
            </w:pPr>
          </w:p>
          <w:p w:rsidR="00670415" w:rsidRPr="00AD4948" w:rsidRDefault="00670415" w:rsidP="007347A7">
            <w:pPr>
              <w:keepNext/>
              <w:rPr>
                <w:rFonts w:ascii="Arial Narrow" w:hAnsi="Arial Narrow"/>
                <w:sz w:val="20"/>
              </w:rPr>
            </w:pPr>
            <w:r w:rsidRPr="00AD4948">
              <w:rPr>
                <w:rFonts w:ascii="Arial Narrow" w:hAnsi="Arial Narrow"/>
                <w:sz w:val="20"/>
              </w:rPr>
              <w:t>1</w:t>
            </w:r>
          </w:p>
          <w:p w:rsidR="00670415" w:rsidRPr="00AD4948" w:rsidRDefault="00670415" w:rsidP="007347A7">
            <w:pPr>
              <w:keepNext/>
              <w:rPr>
                <w:rFonts w:ascii="Arial Narrow" w:hAnsi="Arial Narrow"/>
                <w:sz w:val="20"/>
              </w:rPr>
            </w:pPr>
          </w:p>
          <w:p w:rsidR="00670415" w:rsidRPr="00AD4948" w:rsidRDefault="00670415" w:rsidP="007347A7">
            <w:pPr>
              <w:keepNext/>
              <w:rPr>
                <w:rFonts w:ascii="Arial Narrow" w:hAnsi="Arial Narrow"/>
                <w:sz w:val="20"/>
              </w:rPr>
            </w:pPr>
            <w:r w:rsidRPr="00AD4948">
              <w:rPr>
                <w:rFonts w:ascii="Arial Narrow" w:hAnsi="Arial Narrow"/>
                <w:sz w:val="20"/>
              </w:rPr>
              <w:t>4</w:t>
            </w:r>
          </w:p>
        </w:tc>
        <w:tc>
          <w:tcPr>
            <w:tcW w:w="862" w:type="dxa"/>
            <w:tcBorders>
              <w:top w:val="single" w:sz="4" w:space="0" w:color="auto"/>
            </w:tcBorders>
          </w:tcPr>
          <w:p w:rsidR="00670415" w:rsidRPr="00AD4948" w:rsidRDefault="00670415" w:rsidP="007347A7">
            <w:pPr>
              <w:keepNext/>
              <w:ind w:left="-108"/>
              <w:rPr>
                <w:rFonts w:ascii="Arial Narrow" w:hAnsi="Arial Narrow"/>
                <w:sz w:val="20"/>
              </w:rPr>
            </w:pPr>
          </w:p>
          <w:p w:rsidR="00670415" w:rsidRPr="00AD4948" w:rsidRDefault="00670415" w:rsidP="007347A7">
            <w:pPr>
              <w:keepNext/>
              <w:ind w:left="-108"/>
              <w:rPr>
                <w:rFonts w:ascii="Arial Narrow" w:hAnsi="Arial Narrow"/>
                <w:sz w:val="20"/>
              </w:rPr>
            </w:pPr>
            <w:r w:rsidRPr="00AD4948">
              <w:rPr>
                <w:rFonts w:ascii="Arial Narrow" w:hAnsi="Arial Narrow"/>
                <w:sz w:val="20"/>
              </w:rPr>
              <w:t>5</w:t>
            </w:r>
          </w:p>
          <w:p w:rsidR="00670415" w:rsidRPr="00AD4948" w:rsidRDefault="00670415" w:rsidP="007347A7">
            <w:pPr>
              <w:keepNext/>
              <w:ind w:left="-108"/>
              <w:rPr>
                <w:rFonts w:ascii="Arial Narrow" w:hAnsi="Arial Narrow"/>
                <w:sz w:val="20"/>
              </w:rPr>
            </w:pPr>
          </w:p>
          <w:p w:rsidR="00670415" w:rsidRPr="00AD4948" w:rsidRDefault="00670415" w:rsidP="007347A7">
            <w:pPr>
              <w:keepNext/>
              <w:ind w:left="-108"/>
              <w:rPr>
                <w:rFonts w:ascii="Arial Narrow" w:hAnsi="Arial Narrow"/>
                <w:sz w:val="20"/>
              </w:rPr>
            </w:pPr>
            <w:r w:rsidRPr="00AD4948">
              <w:rPr>
                <w:rFonts w:ascii="Arial Narrow" w:hAnsi="Arial Narrow"/>
                <w:sz w:val="20"/>
              </w:rPr>
              <w:t>5</w:t>
            </w:r>
          </w:p>
          <w:p w:rsidR="00670415" w:rsidRPr="00AD4948" w:rsidRDefault="00670415" w:rsidP="007347A7">
            <w:pPr>
              <w:keepNext/>
              <w:ind w:left="-108"/>
              <w:rPr>
                <w:rFonts w:ascii="Arial Narrow" w:hAnsi="Arial Narrow"/>
                <w:sz w:val="20"/>
              </w:rPr>
            </w:pPr>
          </w:p>
          <w:p w:rsidR="00670415" w:rsidRPr="00AD4948" w:rsidRDefault="00670415" w:rsidP="007347A7">
            <w:pPr>
              <w:keepNext/>
              <w:ind w:left="-108"/>
              <w:rPr>
                <w:rFonts w:ascii="Arial Narrow" w:hAnsi="Arial Narrow"/>
                <w:sz w:val="20"/>
              </w:rPr>
            </w:pPr>
            <w:r w:rsidRPr="00AD4948">
              <w:rPr>
                <w:rFonts w:ascii="Arial Narrow" w:hAnsi="Arial Narrow"/>
                <w:sz w:val="20"/>
              </w:rPr>
              <w:t>5</w:t>
            </w:r>
          </w:p>
          <w:p w:rsidR="00670415" w:rsidRPr="00AD4948" w:rsidRDefault="00670415" w:rsidP="007347A7">
            <w:pPr>
              <w:keepNext/>
              <w:ind w:left="-108"/>
              <w:rPr>
                <w:rFonts w:ascii="Arial Narrow" w:hAnsi="Arial Narrow"/>
                <w:sz w:val="20"/>
              </w:rPr>
            </w:pPr>
          </w:p>
          <w:p w:rsidR="00670415" w:rsidRPr="00AD4948" w:rsidRDefault="00670415" w:rsidP="007347A7">
            <w:pPr>
              <w:keepNext/>
              <w:ind w:left="-108"/>
              <w:rPr>
                <w:rFonts w:ascii="Arial Narrow" w:hAnsi="Arial Narrow"/>
                <w:sz w:val="20"/>
              </w:rPr>
            </w:pPr>
            <w:r w:rsidRPr="00AD4948">
              <w:rPr>
                <w:rFonts w:ascii="Arial Narrow" w:hAnsi="Arial Narrow"/>
                <w:sz w:val="20"/>
              </w:rPr>
              <w:t>0</w:t>
            </w:r>
          </w:p>
        </w:tc>
        <w:tc>
          <w:tcPr>
            <w:tcW w:w="1100" w:type="dxa"/>
            <w:tcBorders>
              <w:top w:val="single" w:sz="4" w:space="0" w:color="auto"/>
            </w:tcBorders>
          </w:tcPr>
          <w:p w:rsidR="00670415" w:rsidRPr="00AD4948" w:rsidRDefault="00670415" w:rsidP="007347A7">
            <w:pPr>
              <w:keepNext/>
              <w:rPr>
                <w:rFonts w:ascii="Arial Narrow" w:hAnsi="Arial Narrow"/>
                <w:sz w:val="20"/>
              </w:rPr>
            </w:pPr>
            <w:proofErr w:type="spellStart"/>
            <w:r w:rsidRPr="00AD4948">
              <w:rPr>
                <w:rFonts w:ascii="Arial Narrow" w:hAnsi="Arial Narrow"/>
                <w:sz w:val="20"/>
              </w:rPr>
              <w:t>Somavert</w:t>
            </w:r>
            <w:proofErr w:type="spellEnd"/>
            <w:r w:rsidRPr="00AD4948">
              <w:rPr>
                <w:rFonts w:ascii="Arial Narrow" w:hAnsi="Arial Narrow"/>
                <w:sz w:val="20"/>
              </w:rPr>
              <w:t>®</w:t>
            </w:r>
          </w:p>
        </w:tc>
        <w:tc>
          <w:tcPr>
            <w:tcW w:w="2382" w:type="dxa"/>
            <w:tcBorders>
              <w:top w:val="single" w:sz="4" w:space="0" w:color="auto"/>
            </w:tcBorders>
          </w:tcPr>
          <w:p w:rsidR="00670415" w:rsidRPr="00AD4948" w:rsidRDefault="00670415" w:rsidP="007347A7">
            <w:pPr>
              <w:keepNext/>
              <w:rPr>
                <w:rFonts w:ascii="Arial Narrow" w:hAnsi="Arial Narrow"/>
                <w:sz w:val="20"/>
              </w:rPr>
            </w:pPr>
            <w:r w:rsidRPr="00AD4948">
              <w:rPr>
                <w:rFonts w:ascii="Arial Narrow" w:hAnsi="Arial Narrow"/>
                <w:sz w:val="20"/>
              </w:rPr>
              <w:t>Pfizer</w:t>
            </w:r>
          </w:p>
        </w:tc>
      </w:tr>
      <w:tr w:rsidR="001F4303" w:rsidRPr="00AD4948" w:rsidTr="000D32FA">
        <w:tblPrEx>
          <w:tblLook w:val="04A0" w:firstRow="1" w:lastRow="0" w:firstColumn="1" w:lastColumn="0" w:noHBand="0" w:noVBand="1"/>
        </w:tblPrEx>
        <w:trPr>
          <w:gridAfter w:val="1"/>
          <w:wAfter w:w="53" w:type="dxa"/>
          <w:trHeight w:val="360"/>
        </w:trPr>
        <w:tc>
          <w:tcPr>
            <w:tcW w:w="1672" w:type="dxa"/>
            <w:tcBorders>
              <w:top w:val="single" w:sz="4" w:space="0" w:color="auto"/>
              <w:left w:val="single" w:sz="4" w:space="0" w:color="auto"/>
              <w:bottom w:val="single" w:sz="4" w:space="0" w:color="auto"/>
              <w:right w:val="single" w:sz="4" w:space="0" w:color="auto"/>
            </w:tcBorders>
            <w:hideMark/>
          </w:tcPr>
          <w:p w:rsidR="001F4303" w:rsidRPr="00AD4948" w:rsidRDefault="001F4303" w:rsidP="007347A7">
            <w:pPr>
              <w:rPr>
                <w:rFonts w:ascii="Arial Narrow" w:hAnsi="Arial Narrow"/>
                <w:b/>
                <w:sz w:val="20"/>
              </w:rPr>
            </w:pPr>
            <w:r w:rsidRPr="00AD4948">
              <w:rPr>
                <w:rFonts w:ascii="Arial Narrow" w:hAnsi="Arial Narrow"/>
                <w:b/>
                <w:sz w:val="20"/>
              </w:rPr>
              <w:t xml:space="preserve">Category / </w:t>
            </w:r>
          </w:p>
          <w:p w:rsidR="001F4303" w:rsidRPr="00AD4948" w:rsidRDefault="001F4303" w:rsidP="007347A7">
            <w:pPr>
              <w:snapToGrid w:val="0"/>
              <w:rPr>
                <w:rFonts w:ascii="Arial Narrow" w:hAnsi="Arial Narrow"/>
                <w:b/>
                <w:sz w:val="20"/>
              </w:rPr>
            </w:pPr>
            <w:r w:rsidRPr="00AD4948">
              <w:rPr>
                <w:rFonts w:ascii="Arial Narrow" w:hAnsi="Arial Narrow"/>
                <w:b/>
                <w:sz w:val="20"/>
              </w:rPr>
              <w:t>Program</w:t>
            </w:r>
          </w:p>
        </w:tc>
        <w:tc>
          <w:tcPr>
            <w:tcW w:w="6780" w:type="dxa"/>
            <w:gridSpan w:val="6"/>
            <w:tcBorders>
              <w:top w:val="single" w:sz="4" w:space="0" w:color="auto"/>
              <w:left w:val="single" w:sz="4" w:space="0" w:color="auto"/>
              <w:bottom w:val="single" w:sz="4" w:space="0" w:color="auto"/>
              <w:right w:val="single" w:sz="4" w:space="0" w:color="auto"/>
            </w:tcBorders>
          </w:tcPr>
          <w:p w:rsidR="001F4303" w:rsidRPr="00AD4948" w:rsidRDefault="001F4303" w:rsidP="007347A7">
            <w:pPr>
              <w:rPr>
                <w:rFonts w:ascii="Arial Narrow" w:hAnsi="Arial Narrow"/>
                <w:sz w:val="20"/>
              </w:rPr>
            </w:pPr>
            <w:r w:rsidRPr="00AD4948">
              <w:rPr>
                <w:rFonts w:ascii="Arial Narrow" w:hAnsi="Arial Narrow"/>
                <w:sz w:val="20"/>
              </w:rPr>
              <w:t>Section 100 – Highly Specialised Drugs Program</w:t>
            </w:r>
          </w:p>
        </w:tc>
      </w:tr>
      <w:tr w:rsidR="001F4303" w:rsidRPr="00AD4948" w:rsidTr="000D32FA">
        <w:tblPrEx>
          <w:tblLook w:val="04A0" w:firstRow="1" w:lastRow="0" w:firstColumn="1" w:lastColumn="0" w:noHBand="0" w:noVBand="1"/>
        </w:tblPrEx>
        <w:trPr>
          <w:gridAfter w:val="1"/>
          <w:wAfter w:w="53" w:type="dxa"/>
          <w:trHeight w:val="360"/>
        </w:trPr>
        <w:tc>
          <w:tcPr>
            <w:tcW w:w="1672" w:type="dxa"/>
            <w:tcBorders>
              <w:top w:val="single" w:sz="4" w:space="0" w:color="auto"/>
              <w:left w:val="single" w:sz="4" w:space="0" w:color="auto"/>
              <w:bottom w:val="single" w:sz="4" w:space="0" w:color="auto"/>
              <w:right w:val="single" w:sz="4" w:space="0" w:color="auto"/>
            </w:tcBorders>
          </w:tcPr>
          <w:p w:rsidR="001F4303" w:rsidRPr="00AD4948" w:rsidRDefault="001F4303" w:rsidP="007347A7">
            <w:pPr>
              <w:rPr>
                <w:rFonts w:ascii="Arial Narrow" w:hAnsi="Arial Narrow"/>
                <w:b/>
                <w:sz w:val="20"/>
              </w:rPr>
            </w:pPr>
            <w:r w:rsidRPr="00AD4948">
              <w:rPr>
                <w:rFonts w:ascii="Arial Narrow" w:hAnsi="Arial Narrow"/>
                <w:b/>
                <w:sz w:val="20"/>
              </w:rPr>
              <w:lastRenderedPageBreak/>
              <w:t>Prescriber type:</w:t>
            </w:r>
          </w:p>
          <w:p w:rsidR="001F4303" w:rsidRPr="00AD4948" w:rsidRDefault="001F4303" w:rsidP="007347A7">
            <w:pPr>
              <w:snapToGrid w:val="0"/>
              <w:rPr>
                <w:rFonts w:ascii="Arial Narrow" w:hAnsi="Arial Narrow"/>
                <w:b/>
                <w:sz w:val="20"/>
              </w:rPr>
            </w:pPr>
          </w:p>
        </w:tc>
        <w:tc>
          <w:tcPr>
            <w:tcW w:w="6780" w:type="dxa"/>
            <w:gridSpan w:val="6"/>
            <w:tcBorders>
              <w:top w:val="single" w:sz="4" w:space="0" w:color="auto"/>
              <w:left w:val="single" w:sz="4" w:space="0" w:color="auto"/>
              <w:bottom w:val="single" w:sz="4" w:space="0" w:color="auto"/>
              <w:right w:val="single" w:sz="4" w:space="0" w:color="auto"/>
            </w:tcBorders>
          </w:tcPr>
          <w:p w:rsidR="001F4303" w:rsidRPr="00AD4948" w:rsidRDefault="001F4303" w:rsidP="007347A7">
            <w:pPr>
              <w:rPr>
                <w:rFonts w:ascii="Arial Narrow" w:hAnsi="Arial Narrow"/>
                <w:sz w:val="20"/>
              </w:rPr>
            </w:pPr>
            <w:r w:rsidRPr="00AD4948">
              <w:rPr>
                <w:rFonts w:ascii="Arial Narrow" w:hAnsi="Arial Narrow"/>
                <w:sz w:val="20"/>
              </w:rPr>
              <w:fldChar w:fldCharType="begin">
                <w:ffData>
                  <w:name w:val=""/>
                  <w:enabled/>
                  <w:calcOnExit w:val="0"/>
                  <w:checkBox>
                    <w:sizeAuto/>
                    <w:default w:val="1"/>
                  </w:checkBox>
                </w:ffData>
              </w:fldChar>
            </w:r>
            <w:r w:rsidRPr="00AD4948">
              <w:rPr>
                <w:rFonts w:ascii="Arial Narrow" w:hAnsi="Arial Narrow"/>
                <w:sz w:val="20"/>
              </w:rPr>
              <w:instrText xml:space="preserve"> FORMCHECKBOX </w:instrText>
            </w:r>
            <w:r w:rsidR="002E4B38">
              <w:rPr>
                <w:rFonts w:ascii="Arial Narrow" w:hAnsi="Arial Narrow"/>
                <w:sz w:val="20"/>
              </w:rPr>
            </w:r>
            <w:r w:rsidR="002E4B38">
              <w:rPr>
                <w:rFonts w:ascii="Arial Narrow" w:hAnsi="Arial Narrow"/>
                <w:sz w:val="20"/>
              </w:rPr>
              <w:fldChar w:fldCharType="separate"/>
            </w:r>
            <w:r w:rsidRPr="00AD4948">
              <w:rPr>
                <w:rFonts w:ascii="Arial Narrow" w:hAnsi="Arial Narrow"/>
                <w:sz w:val="20"/>
              </w:rPr>
              <w:fldChar w:fldCharType="end"/>
            </w:r>
            <w:r w:rsidRPr="00AD4948">
              <w:rPr>
                <w:rFonts w:ascii="Arial Narrow" w:hAnsi="Arial Narrow"/>
                <w:sz w:val="20"/>
              </w:rPr>
              <w:t xml:space="preserve">Medical Practitioners  </w:t>
            </w:r>
          </w:p>
        </w:tc>
      </w:tr>
      <w:tr w:rsidR="001F4303" w:rsidRPr="00AD4948" w:rsidTr="000D32FA">
        <w:tblPrEx>
          <w:tblLook w:val="04A0" w:firstRow="1" w:lastRow="0" w:firstColumn="1" w:lastColumn="0" w:noHBand="0" w:noVBand="1"/>
        </w:tblPrEx>
        <w:trPr>
          <w:gridAfter w:val="1"/>
          <w:wAfter w:w="53" w:type="dxa"/>
          <w:trHeight w:val="360"/>
        </w:trPr>
        <w:tc>
          <w:tcPr>
            <w:tcW w:w="1672" w:type="dxa"/>
            <w:tcBorders>
              <w:top w:val="single" w:sz="4" w:space="0" w:color="auto"/>
              <w:left w:val="single" w:sz="4" w:space="0" w:color="auto"/>
              <w:bottom w:val="single" w:sz="4" w:space="0" w:color="auto"/>
              <w:right w:val="single" w:sz="4" w:space="0" w:color="auto"/>
            </w:tcBorders>
            <w:hideMark/>
          </w:tcPr>
          <w:p w:rsidR="001F4303" w:rsidRPr="00AD4948" w:rsidRDefault="001F4303" w:rsidP="007347A7">
            <w:pPr>
              <w:snapToGrid w:val="0"/>
              <w:rPr>
                <w:rFonts w:ascii="Arial Narrow" w:hAnsi="Arial Narrow"/>
                <w:b/>
                <w:sz w:val="20"/>
              </w:rPr>
            </w:pPr>
            <w:r w:rsidRPr="00AD4948">
              <w:rPr>
                <w:rFonts w:ascii="Arial Narrow" w:hAnsi="Arial Narrow"/>
                <w:b/>
                <w:sz w:val="20"/>
              </w:rPr>
              <w:t>PBS Indication:</w:t>
            </w:r>
          </w:p>
        </w:tc>
        <w:tc>
          <w:tcPr>
            <w:tcW w:w="6780" w:type="dxa"/>
            <w:gridSpan w:val="6"/>
            <w:tcBorders>
              <w:top w:val="single" w:sz="4" w:space="0" w:color="auto"/>
              <w:left w:val="single" w:sz="4" w:space="0" w:color="auto"/>
              <w:bottom w:val="single" w:sz="4" w:space="0" w:color="auto"/>
              <w:right w:val="single" w:sz="4" w:space="0" w:color="auto"/>
            </w:tcBorders>
          </w:tcPr>
          <w:p w:rsidR="001F4303" w:rsidRPr="00AD4948" w:rsidRDefault="001F4303" w:rsidP="007347A7">
            <w:pPr>
              <w:snapToGrid w:val="0"/>
              <w:rPr>
                <w:rFonts w:ascii="Arial Narrow" w:hAnsi="Arial Narrow"/>
                <w:sz w:val="20"/>
              </w:rPr>
            </w:pPr>
            <w:r w:rsidRPr="00AD4948">
              <w:rPr>
                <w:rFonts w:ascii="Arial Narrow" w:hAnsi="Arial Narrow"/>
                <w:sz w:val="20"/>
              </w:rPr>
              <w:t>Acromegaly</w:t>
            </w:r>
          </w:p>
        </w:tc>
      </w:tr>
      <w:tr w:rsidR="001F4303" w:rsidRPr="00AD4948" w:rsidTr="000D32FA">
        <w:tblPrEx>
          <w:tblLook w:val="04A0" w:firstRow="1" w:lastRow="0" w:firstColumn="1" w:lastColumn="0" w:noHBand="0" w:noVBand="1"/>
        </w:tblPrEx>
        <w:trPr>
          <w:gridAfter w:val="1"/>
          <w:wAfter w:w="53" w:type="dxa"/>
          <w:trHeight w:val="360"/>
        </w:trPr>
        <w:tc>
          <w:tcPr>
            <w:tcW w:w="1672" w:type="dxa"/>
            <w:tcBorders>
              <w:top w:val="single" w:sz="4" w:space="0" w:color="auto"/>
              <w:left w:val="single" w:sz="4" w:space="0" w:color="auto"/>
              <w:bottom w:val="single" w:sz="4" w:space="0" w:color="auto"/>
              <w:right w:val="single" w:sz="4" w:space="0" w:color="auto"/>
            </w:tcBorders>
          </w:tcPr>
          <w:p w:rsidR="001F4303" w:rsidRPr="00AD4948" w:rsidRDefault="001F4303" w:rsidP="007347A7">
            <w:pPr>
              <w:rPr>
                <w:rFonts w:ascii="Arial Narrow" w:hAnsi="Arial Narrow"/>
                <w:b/>
                <w:sz w:val="20"/>
              </w:rPr>
            </w:pPr>
            <w:r w:rsidRPr="00AD4948">
              <w:rPr>
                <w:rFonts w:ascii="Arial Narrow" w:hAnsi="Arial Narrow"/>
                <w:b/>
                <w:sz w:val="20"/>
              </w:rPr>
              <w:t>Treatment phase:</w:t>
            </w:r>
          </w:p>
        </w:tc>
        <w:tc>
          <w:tcPr>
            <w:tcW w:w="6780" w:type="dxa"/>
            <w:gridSpan w:val="6"/>
            <w:tcBorders>
              <w:top w:val="single" w:sz="4" w:space="0" w:color="auto"/>
              <w:left w:val="single" w:sz="4" w:space="0" w:color="auto"/>
              <w:bottom w:val="single" w:sz="4" w:space="0" w:color="auto"/>
              <w:right w:val="single" w:sz="4" w:space="0" w:color="auto"/>
            </w:tcBorders>
          </w:tcPr>
          <w:p w:rsidR="001F4303" w:rsidRPr="00AD4948" w:rsidRDefault="001F4303" w:rsidP="007347A7">
            <w:pPr>
              <w:snapToGrid w:val="0"/>
              <w:rPr>
                <w:rFonts w:ascii="Arial Narrow" w:hAnsi="Arial Narrow"/>
                <w:sz w:val="20"/>
              </w:rPr>
            </w:pPr>
            <w:r w:rsidRPr="00AD4948">
              <w:rPr>
                <w:rFonts w:ascii="Arial Narrow" w:hAnsi="Arial Narrow"/>
                <w:sz w:val="20"/>
              </w:rPr>
              <w:t xml:space="preserve">Initial treatment </w:t>
            </w:r>
          </w:p>
        </w:tc>
      </w:tr>
      <w:tr w:rsidR="001F4303" w:rsidRPr="00AD4948" w:rsidTr="000D32FA">
        <w:tblPrEx>
          <w:tblLook w:val="04A0" w:firstRow="1" w:lastRow="0" w:firstColumn="1" w:lastColumn="0" w:noHBand="0" w:noVBand="1"/>
        </w:tblPrEx>
        <w:trPr>
          <w:gridAfter w:val="1"/>
          <w:wAfter w:w="53" w:type="dxa"/>
          <w:trHeight w:val="360"/>
        </w:trPr>
        <w:tc>
          <w:tcPr>
            <w:tcW w:w="1672" w:type="dxa"/>
            <w:tcBorders>
              <w:top w:val="single" w:sz="4" w:space="0" w:color="auto"/>
              <w:left w:val="single" w:sz="4" w:space="0" w:color="auto"/>
              <w:bottom w:val="single" w:sz="4" w:space="0" w:color="auto"/>
              <w:right w:val="single" w:sz="4" w:space="0" w:color="auto"/>
            </w:tcBorders>
          </w:tcPr>
          <w:p w:rsidR="001F4303" w:rsidRPr="00AD4948" w:rsidRDefault="001F4303" w:rsidP="007347A7">
            <w:pPr>
              <w:rPr>
                <w:rFonts w:ascii="Arial Narrow" w:hAnsi="Arial Narrow"/>
                <w:b/>
                <w:sz w:val="20"/>
              </w:rPr>
            </w:pPr>
            <w:r w:rsidRPr="00AD4948">
              <w:rPr>
                <w:rFonts w:ascii="Arial Narrow" w:hAnsi="Arial Narrow"/>
                <w:b/>
                <w:sz w:val="20"/>
              </w:rPr>
              <w:t>Restriction Level / Method:</w:t>
            </w:r>
          </w:p>
        </w:tc>
        <w:tc>
          <w:tcPr>
            <w:tcW w:w="6780" w:type="dxa"/>
            <w:gridSpan w:val="6"/>
            <w:tcBorders>
              <w:top w:val="single" w:sz="4" w:space="0" w:color="auto"/>
              <w:left w:val="single" w:sz="4" w:space="0" w:color="auto"/>
              <w:bottom w:val="single" w:sz="4" w:space="0" w:color="auto"/>
              <w:right w:val="single" w:sz="4" w:space="0" w:color="auto"/>
            </w:tcBorders>
          </w:tcPr>
          <w:p w:rsidR="001F4303" w:rsidRPr="00AD4948" w:rsidRDefault="001F4303" w:rsidP="007347A7">
            <w:pPr>
              <w:rPr>
                <w:rFonts w:ascii="Arial Narrow" w:hAnsi="Arial Narrow"/>
                <w:sz w:val="20"/>
              </w:rPr>
            </w:pPr>
            <w:r w:rsidRPr="00AD4948">
              <w:rPr>
                <w:rFonts w:ascii="Arial Narrow" w:hAnsi="Arial Narrow"/>
                <w:sz w:val="20"/>
              </w:rPr>
              <w:fldChar w:fldCharType="begin">
                <w:ffData>
                  <w:name w:val=""/>
                  <w:enabled/>
                  <w:calcOnExit w:val="0"/>
                  <w:checkBox>
                    <w:sizeAuto/>
                    <w:default w:val="1"/>
                  </w:checkBox>
                </w:ffData>
              </w:fldChar>
            </w:r>
            <w:r w:rsidRPr="00AD4948">
              <w:rPr>
                <w:rFonts w:ascii="Arial Narrow" w:hAnsi="Arial Narrow"/>
                <w:sz w:val="20"/>
              </w:rPr>
              <w:instrText xml:space="preserve"> FORMCHECKBOX </w:instrText>
            </w:r>
            <w:r w:rsidR="002E4B38">
              <w:rPr>
                <w:rFonts w:ascii="Arial Narrow" w:hAnsi="Arial Narrow"/>
                <w:sz w:val="20"/>
              </w:rPr>
            </w:r>
            <w:r w:rsidR="002E4B38">
              <w:rPr>
                <w:rFonts w:ascii="Arial Narrow" w:hAnsi="Arial Narrow"/>
                <w:sz w:val="20"/>
              </w:rPr>
              <w:fldChar w:fldCharType="separate"/>
            </w:r>
            <w:r w:rsidRPr="00AD4948">
              <w:rPr>
                <w:rFonts w:ascii="Arial Narrow" w:hAnsi="Arial Narrow"/>
                <w:sz w:val="20"/>
              </w:rPr>
              <w:fldChar w:fldCharType="end"/>
            </w:r>
            <w:r w:rsidRPr="00AD4948">
              <w:rPr>
                <w:rFonts w:ascii="Arial Narrow" w:hAnsi="Arial Narrow"/>
                <w:sz w:val="20"/>
              </w:rPr>
              <w:t>Authority Required - In Writing</w:t>
            </w:r>
          </w:p>
          <w:p w:rsidR="001F4303" w:rsidRPr="00AD4948" w:rsidRDefault="001F4303" w:rsidP="007347A7">
            <w:pPr>
              <w:snapToGrid w:val="0"/>
              <w:rPr>
                <w:rFonts w:ascii="Arial Narrow" w:hAnsi="Arial Narrow"/>
                <w:sz w:val="20"/>
              </w:rPr>
            </w:pPr>
          </w:p>
        </w:tc>
      </w:tr>
      <w:tr w:rsidR="001F4303" w:rsidRPr="00AD4948" w:rsidTr="000D32FA">
        <w:tblPrEx>
          <w:tblLook w:val="04A0" w:firstRow="1" w:lastRow="0" w:firstColumn="1" w:lastColumn="0" w:noHBand="0" w:noVBand="1"/>
        </w:tblPrEx>
        <w:trPr>
          <w:gridAfter w:val="1"/>
          <w:wAfter w:w="53" w:type="dxa"/>
          <w:trHeight w:val="360"/>
        </w:trPr>
        <w:tc>
          <w:tcPr>
            <w:tcW w:w="1672" w:type="dxa"/>
            <w:tcBorders>
              <w:top w:val="single" w:sz="4" w:space="0" w:color="auto"/>
              <w:left w:val="single" w:sz="4" w:space="0" w:color="auto"/>
              <w:bottom w:val="single" w:sz="4" w:space="0" w:color="auto"/>
              <w:right w:val="single" w:sz="4" w:space="0" w:color="auto"/>
            </w:tcBorders>
          </w:tcPr>
          <w:p w:rsidR="001F4303" w:rsidRPr="00AD4948" w:rsidRDefault="001F4303" w:rsidP="007347A7">
            <w:pPr>
              <w:rPr>
                <w:rFonts w:ascii="Arial Narrow" w:hAnsi="Arial Narrow"/>
                <w:b/>
                <w:sz w:val="20"/>
              </w:rPr>
            </w:pPr>
            <w:r w:rsidRPr="00AD4948">
              <w:rPr>
                <w:rFonts w:ascii="Arial Narrow" w:hAnsi="Arial Narrow"/>
                <w:b/>
                <w:sz w:val="20"/>
              </w:rPr>
              <w:t>Clinical criteria:</w:t>
            </w:r>
          </w:p>
          <w:p w:rsidR="001F4303" w:rsidRPr="00AD4948" w:rsidRDefault="001F4303" w:rsidP="007347A7">
            <w:pPr>
              <w:rPr>
                <w:rFonts w:ascii="Arial Narrow" w:hAnsi="Arial Narrow"/>
                <w:sz w:val="20"/>
              </w:rPr>
            </w:pPr>
          </w:p>
          <w:p w:rsidR="001F4303" w:rsidRPr="00AD4948" w:rsidRDefault="001F4303" w:rsidP="007347A7">
            <w:pPr>
              <w:snapToGrid w:val="0"/>
              <w:rPr>
                <w:rFonts w:ascii="Arial Narrow" w:hAnsi="Arial Narrow"/>
                <w:sz w:val="20"/>
              </w:rPr>
            </w:pPr>
          </w:p>
        </w:tc>
        <w:tc>
          <w:tcPr>
            <w:tcW w:w="6780" w:type="dxa"/>
            <w:gridSpan w:val="6"/>
            <w:tcBorders>
              <w:top w:val="single" w:sz="4" w:space="0" w:color="auto"/>
              <w:left w:val="single" w:sz="4" w:space="0" w:color="auto"/>
              <w:bottom w:val="single" w:sz="4" w:space="0" w:color="auto"/>
              <w:right w:val="single" w:sz="4" w:space="0" w:color="auto"/>
            </w:tcBorders>
          </w:tcPr>
          <w:p w:rsidR="001F4303" w:rsidRPr="00AD4948" w:rsidRDefault="001F4303" w:rsidP="007347A7">
            <w:pPr>
              <w:snapToGrid w:val="0"/>
              <w:rPr>
                <w:color w:val="222222"/>
                <w:sz w:val="21"/>
                <w:szCs w:val="21"/>
              </w:rPr>
            </w:pPr>
            <w:proofErr w:type="gramStart"/>
            <w:r w:rsidRPr="00AD4948">
              <w:rPr>
                <w:rFonts w:ascii="Arial Narrow" w:hAnsi="Arial Narrow"/>
                <w:sz w:val="20"/>
              </w:rPr>
              <w:t>Patient must not have previously received PBS-subsidised treatment with this drug for this condition</w:t>
            </w:r>
            <w:r w:rsidR="00670415" w:rsidRPr="00AD4948">
              <w:rPr>
                <w:rFonts w:ascii="Arial Narrow" w:hAnsi="Arial Narrow"/>
                <w:sz w:val="20"/>
              </w:rPr>
              <w:t>,</w:t>
            </w:r>
            <w:r w:rsidR="00670415" w:rsidRPr="00AD4948">
              <w:rPr>
                <w:rFonts w:ascii="Arial Narrow" w:hAnsi="Arial Narrow"/>
                <w:sz w:val="20"/>
              </w:rPr>
              <w:br/>
            </w:r>
            <w:r w:rsidRPr="00AD4948">
              <w:rPr>
                <w:rFonts w:ascii="Arial Narrow" w:hAnsi="Arial Narrow"/>
                <w:sz w:val="20"/>
              </w:rPr>
              <w:t>AND</w:t>
            </w:r>
            <w:r w:rsidR="00670415" w:rsidRPr="00AD4948">
              <w:rPr>
                <w:rFonts w:ascii="Arial Narrow" w:hAnsi="Arial Narrow"/>
                <w:sz w:val="20"/>
              </w:rPr>
              <w:br/>
            </w:r>
            <w:r w:rsidRPr="00AD4948">
              <w:rPr>
                <w:rFonts w:ascii="Arial Narrow" w:hAnsi="Arial Narrow"/>
                <w:sz w:val="20"/>
              </w:rPr>
              <w:t xml:space="preserve">Patient must have an age- and sex-adjusted insulin-like growth factor 1 (IGF-1) concentration greater than </w:t>
            </w:r>
            <w:r w:rsidRPr="00AD4948">
              <w:rPr>
                <w:rFonts w:ascii="Arial Narrow" w:hAnsi="Arial Narrow"/>
                <w:strike/>
                <w:sz w:val="20"/>
              </w:rPr>
              <w:t>1.3 ti</w:t>
            </w:r>
            <w:r w:rsidR="00670415" w:rsidRPr="00AD4948">
              <w:rPr>
                <w:rFonts w:ascii="Arial Narrow" w:hAnsi="Arial Narrow"/>
                <w:strike/>
                <w:sz w:val="20"/>
              </w:rPr>
              <w:t>mes</w:t>
            </w:r>
            <w:r w:rsidR="00670415" w:rsidRPr="00AD4948">
              <w:rPr>
                <w:rFonts w:ascii="Arial Narrow" w:hAnsi="Arial Narrow"/>
                <w:sz w:val="20"/>
              </w:rPr>
              <w:t xml:space="preserve"> </w:t>
            </w:r>
            <w:r w:rsidR="00EC46B4" w:rsidRPr="00AD4948">
              <w:rPr>
                <w:rFonts w:ascii="Arial Narrow" w:hAnsi="Arial Narrow"/>
                <w:i/>
                <w:sz w:val="20"/>
              </w:rPr>
              <w:t xml:space="preserve">the </w:t>
            </w:r>
            <w:r w:rsidR="00670415" w:rsidRPr="00AD4948">
              <w:rPr>
                <w:rFonts w:ascii="Arial Narrow" w:hAnsi="Arial Narrow"/>
                <w:sz w:val="20"/>
              </w:rPr>
              <w:t>upper limit of normal (ULN),</w:t>
            </w:r>
            <w:r w:rsidR="00EC46B4" w:rsidRPr="00AD4948">
              <w:rPr>
                <w:rFonts w:ascii="Arial Narrow" w:hAnsi="Arial Narrow"/>
                <w:sz w:val="20"/>
              </w:rPr>
              <w:br/>
            </w:r>
            <w:r w:rsidRPr="00AD4948">
              <w:rPr>
                <w:rFonts w:ascii="Arial Narrow" w:hAnsi="Arial Narrow"/>
                <w:sz w:val="20"/>
              </w:rPr>
              <w:t>AND</w:t>
            </w:r>
            <w:r w:rsidR="00670415" w:rsidRPr="00AD4948">
              <w:rPr>
                <w:rFonts w:ascii="Arial Narrow" w:hAnsi="Arial Narrow"/>
                <w:sz w:val="20"/>
              </w:rPr>
              <w:br/>
            </w:r>
            <w:r w:rsidRPr="00AD4948">
              <w:rPr>
                <w:rFonts w:ascii="Arial Narrow" w:hAnsi="Arial Narrow"/>
                <w:sz w:val="20"/>
              </w:rPr>
              <w:t xml:space="preserve">The treatment must be after failure to achieve biochemical control with a maximum indicated dose of either 30 mg octreotide LAR or 120 mg </w:t>
            </w:r>
            <w:proofErr w:type="spellStart"/>
            <w:r w:rsidRPr="00AD4948">
              <w:rPr>
                <w:rFonts w:ascii="Arial Narrow" w:hAnsi="Arial Narrow"/>
                <w:sz w:val="20"/>
              </w:rPr>
              <w:t>lanreotide</w:t>
            </w:r>
            <w:proofErr w:type="spellEnd"/>
            <w:r w:rsidRPr="00AD4948">
              <w:rPr>
                <w:rFonts w:ascii="Arial Narrow" w:hAnsi="Arial Narrow"/>
                <w:sz w:val="20"/>
              </w:rPr>
              <w:t xml:space="preserve"> ATG every 28 days for 24 weeks; unless contraindicated or not tolerated according to the TG</w:t>
            </w:r>
            <w:r w:rsidR="00670415" w:rsidRPr="00AD4948">
              <w:rPr>
                <w:rFonts w:ascii="Arial Narrow" w:hAnsi="Arial Narrow"/>
                <w:sz w:val="20"/>
              </w:rPr>
              <w:t>A approved Product Information,</w:t>
            </w:r>
            <w:r w:rsidR="00670415" w:rsidRPr="00AD4948">
              <w:rPr>
                <w:rFonts w:ascii="Arial Narrow" w:hAnsi="Arial Narrow"/>
                <w:sz w:val="20"/>
              </w:rPr>
              <w:br/>
            </w:r>
            <w:r w:rsidRPr="00AD4948">
              <w:rPr>
                <w:rFonts w:ascii="Arial Narrow" w:hAnsi="Arial Narrow"/>
                <w:sz w:val="20"/>
              </w:rPr>
              <w:t xml:space="preserve">AND </w:t>
            </w:r>
            <w:r w:rsidR="00670415" w:rsidRPr="00AD4948">
              <w:rPr>
                <w:rFonts w:ascii="Arial Narrow" w:hAnsi="Arial Narrow"/>
                <w:sz w:val="20"/>
              </w:rPr>
              <w:br/>
              <w:t>The t</w:t>
            </w:r>
            <w:r w:rsidRPr="00AD4948">
              <w:rPr>
                <w:rFonts w:ascii="Arial Narrow" w:hAnsi="Arial Narrow"/>
                <w:sz w:val="20"/>
              </w:rPr>
              <w:t>reatment must not be given concomitantly with a PBS-subsidised somatostatin analogue.</w:t>
            </w:r>
            <w:r w:rsidR="00670415" w:rsidRPr="00AD4948">
              <w:rPr>
                <w:rFonts w:ascii="Arial Narrow" w:hAnsi="Arial Narrow"/>
                <w:sz w:val="20"/>
              </w:rPr>
              <w:br/>
            </w:r>
            <w:proofErr w:type="gramEnd"/>
          </w:p>
        </w:tc>
      </w:tr>
      <w:tr w:rsidR="001F4303" w:rsidRPr="00AD4948" w:rsidTr="000D32FA">
        <w:tblPrEx>
          <w:tblLook w:val="04A0" w:firstRow="1" w:lastRow="0" w:firstColumn="1" w:lastColumn="0" w:noHBand="0" w:noVBand="1"/>
        </w:tblPrEx>
        <w:trPr>
          <w:gridAfter w:val="1"/>
          <w:wAfter w:w="53" w:type="dxa"/>
          <w:trHeight w:val="466"/>
        </w:trPr>
        <w:tc>
          <w:tcPr>
            <w:tcW w:w="1672" w:type="dxa"/>
            <w:tcBorders>
              <w:top w:val="single" w:sz="4" w:space="0" w:color="auto"/>
              <w:left w:val="single" w:sz="4" w:space="0" w:color="auto"/>
              <w:bottom w:val="single" w:sz="4" w:space="0" w:color="auto"/>
              <w:right w:val="single" w:sz="4" w:space="0" w:color="auto"/>
            </w:tcBorders>
          </w:tcPr>
          <w:p w:rsidR="001F4303" w:rsidRPr="00AD4948" w:rsidRDefault="001F4303" w:rsidP="007347A7">
            <w:pPr>
              <w:rPr>
                <w:rFonts w:ascii="Arial Narrow" w:hAnsi="Arial Narrow"/>
                <w:b/>
                <w:sz w:val="20"/>
              </w:rPr>
            </w:pPr>
            <w:r w:rsidRPr="00AD4948">
              <w:rPr>
                <w:rFonts w:ascii="Arial Narrow" w:hAnsi="Arial Narrow"/>
                <w:b/>
                <w:sz w:val="20"/>
              </w:rPr>
              <w:t>Prescriber Instruction</w:t>
            </w:r>
            <w:r w:rsidR="008F7096" w:rsidRPr="00AD4948">
              <w:rPr>
                <w:rFonts w:ascii="Arial Narrow" w:hAnsi="Arial Narrow"/>
                <w:b/>
                <w:sz w:val="20"/>
              </w:rPr>
              <w:t>s</w:t>
            </w:r>
          </w:p>
        </w:tc>
        <w:tc>
          <w:tcPr>
            <w:tcW w:w="6780" w:type="dxa"/>
            <w:gridSpan w:val="6"/>
            <w:tcBorders>
              <w:top w:val="single" w:sz="4" w:space="0" w:color="auto"/>
              <w:left w:val="single" w:sz="4" w:space="0" w:color="auto"/>
              <w:bottom w:val="single" w:sz="4" w:space="0" w:color="auto"/>
              <w:right w:val="single" w:sz="4" w:space="0" w:color="auto"/>
            </w:tcBorders>
          </w:tcPr>
          <w:p w:rsidR="001F4303" w:rsidRPr="00AD4948" w:rsidRDefault="001F4303" w:rsidP="001F4303">
            <w:pPr>
              <w:snapToGrid w:val="0"/>
              <w:rPr>
                <w:rFonts w:ascii="Arial Narrow" w:hAnsi="Arial Narrow"/>
                <w:sz w:val="20"/>
              </w:rPr>
            </w:pPr>
            <w:r w:rsidRPr="00AD4948">
              <w:rPr>
                <w:rFonts w:ascii="Arial Narrow" w:hAnsi="Arial Narrow"/>
                <w:sz w:val="20"/>
              </w:rPr>
              <w:t xml:space="preserve">Somatostatin analogues include octreotide, </w:t>
            </w:r>
            <w:proofErr w:type="spellStart"/>
            <w:r w:rsidRPr="00AD4948">
              <w:rPr>
                <w:rFonts w:ascii="Arial Narrow" w:hAnsi="Arial Narrow"/>
                <w:sz w:val="20"/>
              </w:rPr>
              <w:t>lanreotide</w:t>
            </w:r>
            <w:proofErr w:type="spellEnd"/>
            <w:r w:rsidRPr="00AD4948">
              <w:rPr>
                <w:rFonts w:ascii="Arial Narrow" w:hAnsi="Arial Narrow"/>
                <w:sz w:val="20"/>
              </w:rPr>
              <w:t xml:space="preserve"> and </w:t>
            </w:r>
            <w:proofErr w:type="spellStart"/>
            <w:r w:rsidRPr="00AD4948">
              <w:rPr>
                <w:rFonts w:ascii="Arial Narrow" w:hAnsi="Arial Narrow"/>
                <w:sz w:val="20"/>
              </w:rPr>
              <w:t>pasireotide</w:t>
            </w:r>
            <w:proofErr w:type="spellEnd"/>
          </w:p>
          <w:p w:rsidR="001F4303" w:rsidRPr="00AD4948" w:rsidRDefault="001F4303" w:rsidP="007347A7">
            <w:pPr>
              <w:snapToGrid w:val="0"/>
              <w:rPr>
                <w:rFonts w:ascii="Arial Narrow" w:hAnsi="Arial Narrow"/>
                <w:sz w:val="20"/>
              </w:rPr>
            </w:pPr>
          </w:p>
          <w:p w:rsidR="001F4303" w:rsidRPr="00AD4948" w:rsidRDefault="001F4303" w:rsidP="001F4303">
            <w:pPr>
              <w:snapToGrid w:val="0"/>
              <w:rPr>
                <w:rFonts w:ascii="Arial Narrow" w:hAnsi="Arial Narrow"/>
                <w:sz w:val="20"/>
              </w:rPr>
            </w:pPr>
            <w:r w:rsidRPr="00AD4948">
              <w:rPr>
                <w:rFonts w:ascii="Arial Narrow" w:hAnsi="Arial Narrow"/>
                <w:sz w:val="20"/>
              </w:rPr>
              <w:t>Failure to achieve biochemical control is defined as:</w:t>
            </w:r>
          </w:p>
          <w:p w:rsidR="001F4303" w:rsidRPr="00AD4948" w:rsidRDefault="001F4303" w:rsidP="001F4303">
            <w:pPr>
              <w:snapToGrid w:val="0"/>
              <w:rPr>
                <w:rFonts w:ascii="Arial Narrow" w:hAnsi="Arial Narrow"/>
                <w:i/>
                <w:sz w:val="20"/>
              </w:rPr>
            </w:pPr>
            <w:r w:rsidRPr="00AD4948">
              <w:rPr>
                <w:rFonts w:ascii="Arial Narrow" w:hAnsi="Arial Narrow"/>
                <w:sz w:val="20"/>
              </w:rPr>
              <w:t xml:space="preserve">1) Growth hormone level is greater than </w:t>
            </w:r>
            <w:r w:rsidRPr="00AD4948">
              <w:rPr>
                <w:rFonts w:ascii="Arial Narrow" w:hAnsi="Arial Narrow"/>
                <w:strike/>
                <w:sz w:val="20"/>
              </w:rPr>
              <w:t>2.5</w:t>
            </w:r>
            <w:r w:rsidRPr="00AD4948">
              <w:rPr>
                <w:rFonts w:ascii="Arial Narrow" w:hAnsi="Arial Narrow"/>
                <w:sz w:val="20"/>
              </w:rPr>
              <w:t xml:space="preserve"> </w:t>
            </w:r>
            <w:r w:rsidR="001E053D" w:rsidRPr="00AD4948">
              <w:rPr>
                <w:rFonts w:ascii="Arial Narrow" w:hAnsi="Arial Narrow"/>
                <w:i/>
                <w:sz w:val="20"/>
              </w:rPr>
              <w:t xml:space="preserve">1 </w:t>
            </w:r>
            <w:r w:rsidRPr="00AD4948">
              <w:rPr>
                <w:rFonts w:ascii="Arial Narrow" w:hAnsi="Arial Narrow"/>
                <w:sz w:val="20"/>
              </w:rPr>
              <w:t xml:space="preserve">mcg/L; </w:t>
            </w:r>
            <w:r w:rsidRPr="00AD4948">
              <w:rPr>
                <w:rFonts w:ascii="Arial Narrow" w:hAnsi="Arial Narrow"/>
                <w:strike/>
                <w:sz w:val="20"/>
              </w:rPr>
              <w:t>and</w:t>
            </w:r>
            <w:r w:rsidR="001E053D" w:rsidRPr="00AD4948">
              <w:rPr>
                <w:rFonts w:ascii="Arial Narrow" w:hAnsi="Arial Narrow"/>
                <w:sz w:val="20"/>
              </w:rPr>
              <w:t xml:space="preserve"> </w:t>
            </w:r>
            <w:r w:rsidR="001E053D" w:rsidRPr="00AD4948">
              <w:rPr>
                <w:rFonts w:ascii="Arial Narrow" w:hAnsi="Arial Narrow"/>
                <w:i/>
                <w:sz w:val="20"/>
              </w:rPr>
              <w:t>OR</w:t>
            </w:r>
          </w:p>
          <w:p w:rsidR="001F4303" w:rsidRPr="00AD4948" w:rsidRDefault="001F4303" w:rsidP="001F4303">
            <w:pPr>
              <w:snapToGrid w:val="0"/>
              <w:rPr>
                <w:rFonts w:ascii="Arial Narrow" w:hAnsi="Arial Narrow"/>
                <w:sz w:val="20"/>
              </w:rPr>
            </w:pPr>
            <w:r w:rsidRPr="00AD4948">
              <w:rPr>
                <w:rFonts w:ascii="Arial Narrow" w:hAnsi="Arial Narrow"/>
                <w:sz w:val="20"/>
              </w:rPr>
              <w:t xml:space="preserve">2) IGF-1 level is greater than </w:t>
            </w:r>
            <w:r w:rsidRPr="00AD4948">
              <w:rPr>
                <w:rFonts w:ascii="Arial Narrow" w:hAnsi="Arial Narrow"/>
                <w:strike/>
                <w:sz w:val="20"/>
              </w:rPr>
              <w:t>1.3 times</w:t>
            </w:r>
            <w:r w:rsidRPr="00AD4948">
              <w:rPr>
                <w:rFonts w:ascii="Arial Narrow" w:hAnsi="Arial Narrow"/>
                <w:sz w:val="20"/>
              </w:rPr>
              <w:t xml:space="preserve"> the age- and sex-adjusted ULN</w:t>
            </w:r>
          </w:p>
          <w:p w:rsidR="001F4303" w:rsidRPr="00AD4948" w:rsidRDefault="001F4303" w:rsidP="007347A7">
            <w:pPr>
              <w:snapToGrid w:val="0"/>
              <w:rPr>
                <w:rFonts w:ascii="Arial Narrow" w:hAnsi="Arial Narrow"/>
                <w:sz w:val="20"/>
              </w:rPr>
            </w:pPr>
          </w:p>
          <w:p w:rsidR="001F4303" w:rsidRPr="00AD4948" w:rsidRDefault="001F4303" w:rsidP="007347A7">
            <w:pPr>
              <w:snapToGrid w:val="0"/>
              <w:rPr>
                <w:rFonts w:ascii="Arial Narrow" w:hAnsi="Arial Narrow"/>
                <w:sz w:val="20"/>
              </w:rPr>
            </w:pPr>
            <w:r w:rsidRPr="00AD4948">
              <w:rPr>
                <w:rFonts w:ascii="Arial Narrow" w:hAnsi="Arial Narrow"/>
                <w:sz w:val="20"/>
              </w:rPr>
              <w:t xml:space="preserve">If treatment with octreotide or </w:t>
            </w:r>
            <w:proofErr w:type="spellStart"/>
            <w:r w:rsidRPr="00AD4948">
              <w:rPr>
                <w:rFonts w:ascii="Arial Narrow" w:hAnsi="Arial Narrow"/>
                <w:sz w:val="20"/>
              </w:rPr>
              <w:t>lanreotide</w:t>
            </w:r>
            <w:proofErr w:type="spellEnd"/>
            <w:r w:rsidRPr="00AD4948">
              <w:rPr>
                <w:rFonts w:ascii="Arial Narrow" w:hAnsi="Arial Narrow"/>
                <w:sz w:val="20"/>
              </w:rPr>
              <w:t xml:space="preserve"> </w:t>
            </w:r>
            <w:proofErr w:type="gramStart"/>
            <w:r w:rsidRPr="00AD4948">
              <w:rPr>
                <w:rFonts w:ascii="Arial Narrow" w:hAnsi="Arial Narrow"/>
                <w:sz w:val="20"/>
              </w:rPr>
              <w:t>is contraindicated</w:t>
            </w:r>
            <w:proofErr w:type="gramEnd"/>
            <w:r w:rsidRPr="00AD4948">
              <w:rPr>
                <w:rFonts w:ascii="Arial Narrow" w:hAnsi="Arial Narrow"/>
                <w:sz w:val="20"/>
              </w:rPr>
              <w:t xml:space="preserve"> according to the relevant TGA-approved Product Information, the application must provide details of contraindication.</w:t>
            </w:r>
          </w:p>
          <w:p w:rsidR="001F4303" w:rsidRPr="00AD4948" w:rsidRDefault="001F4303" w:rsidP="007347A7">
            <w:pPr>
              <w:snapToGrid w:val="0"/>
              <w:rPr>
                <w:rFonts w:ascii="Arial Narrow" w:hAnsi="Arial Narrow"/>
                <w:sz w:val="20"/>
              </w:rPr>
            </w:pPr>
          </w:p>
          <w:p w:rsidR="001F4303" w:rsidRPr="00AD4948" w:rsidRDefault="001F4303" w:rsidP="007347A7">
            <w:pPr>
              <w:snapToGrid w:val="0"/>
              <w:rPr>
                <w:rFonts w:ascii="Arial Narrow" w:hAnsi="Arial Narrow"/>
                <w:sz w:val="20"/>
              </w:rPr>
            </w:pPr>
            <w:r w:rsidRPr="00AD4948">
              <w:rPr>
                <w:rFonts w:ascii="Arial Narrow" w:hAnsi="Arial Narrow"/>
                <w:sz w:val="20"/>
              </w:rPr>
              <w:t xml:space="preserve">If intolerance to either octreotide or </w:t>
            </w:r>
            <w:proofErr w:type="spellStart"/>
            <w:r w:rsidRPr="00AD4948">
              <w:rPr>
                <w:rFonts w:ascii="Arial Narrow" w:hAnsi="Arial Narrow"/>
                <w:sz w:val="20"/>
              </w:rPr>
              <w:t>lanreotide</w:t>
            </w:r>
            <w:proofErr w:type="spellEnd"/>
            <w:r w:rsidRPr="00AD4948">
              <w:rPr>
                <w:rFonts w:ascii="Arial Narrow" w:hAnsi="Arial Narrow"/>
                <w:sz w:val="20"/>
              </w:rPr>
              <w:t xml:space="preserve"> treatment developed during the relevant period of use which is of a severity to necessitate withdrawal of the treatment, the application must provide details of the nature and severity of this intolerance. </w:t>
            </w:r>
          </w:p>
          <w:p w:rsidR="001F4303" w:rsidRPr="00AD4948" w:rsidRDefault="001F4303" w:rsidP="007347A7">
            <w:pPr>
              <w:snapToGrid w:val="0"/>
              <w:rPr>
                <w:rFonts w:ascii="Arial Narrow" w:hAnsi="Arial Narrow"/>
                <w:sz w:val="20"/>
              </w:rPr>
            </w:pPr>
          </w:p>
          <w:p w:rsidR="001F4303" w:rsidRPr="00AD4948" w:rsidRDefault="001F4303" w:rsidP="007347A7">
            <w:pPr>
              <w:rPr>
                <w:rFonts w:ascii="Arial Narrow" w:hAnsi="Arial Narrow"/>
                <w:sz w:val="20"/>
              </w:rPr>
            </w:pPr>
            <w:r w:rsidRPr="00AD4948">
              <w:rPr>
                <w:rFonts w:ascii="Arial Narrow" w:hAnsi="Arial Narrow"/>
                <w:sz w:val="20"/>
              </w:rPr>
              <w:t xml:space="preserve">In a patient treated with radiotherapy, </w:t>
            </w:r>
            <w:proofErr w:type="spellStart"/>
            <w:r w:rsidRPr="00AD4948">
              <w:rPr>
                <w:rFonts w:ascii="Arial Narrow" w:hAnsi="Arial Narrow"/>
                <w:sz w:val="20"/>
              </w:rPr>
              <w:t>pegvisomant</w:t>
            </w:r>
            <w:proofErr w:type="spellEnd"/>
            <w:r w:rsidRPr="00AD4948">
              <w:rPr>
                <w:rFonts w:ascii="Arial Narrow" w:hAnsi="Arial Narrow"/>
                <w:sz w:val="20"/>
              </w:rPr>
              <w:t xml:space="preserve"> </w:t>
            </w:r>
            <w:proofErr w:type="gramStart"/>
            <w:r w:rsidRPr="00AD4948">
              <w:rPr>
                <w:rFonts w:ascii="Arial Narrow" w:hAnsi="Arial Narrow"/>
                <w:sz w:val="20"/>
              </w:rPr>
              <w:t>should be withdrawn</w:t>
            </w:r>
            <w:proofErr w:type="gramEnd"/>
            <w:r w:rsidRPr="00AD4948">
              <w:rPr>
                <w:rFonts w:ascii="Arial Narrow" w:hAnsi="Arial Narrow"/>
                <w:sz w:val="20"/>
              </w:rPr>
              <w:t xml:space="preserve"> every 2 years in the 10 years after completion of radiotherapy for assessment of remission. </w:t>
            </w:r>
            <w:proofErr w:type="spellStart"/>
            <w:r w:rsidRPr="00AD4948">
              <w:rPr>
                <w:rFonts w:ascii="Arial Narrow" w:hAnsi="Arial Narrow"/>
                <w:sz w:val="20"/>
              </w:rPr>
              <w:t>Pegvisomant</w:t>
            </w:r>
            <w:proofErr w:type="spellEnd"/>
            <w:r w:rsidRPr="00AD4948">
              <w:rPr>
                <w:rFonts w:ascii="Arial Narrow" w:hAnsi="Arial Narrow"/>
                <w:sz w:val="20"/>
              </w:rPr>
              <w:t xml:space="preserve"> should be withdrawn at least 8 weeks prior to the assessment of remission. </w:t>
            </w:r>
          </w:p>
          <w:p w:rsidR="001F4303" w:rsidRPr="00AD4948" w:rsidRDefault="001F4303" w:rsidP="007347A7">
            <w:pPr>
              <w:rPr>
                <w:rFonts w:ascii="Arial Narrow" w:hAnsi="Arial Narrow"/>
                <w:sz w:val="20"/>
              </w:rPr>
            </w:pPr>
          </w:p>
          <w:p w:rsidR="001F4303" w:rsidRPr="00AD4948" w:rsidRDefault="001F4303" w:rsidP="007347A7">
            <w:pPr>
              <w:rPr>
                <w:rFonts w:ascii="Arial Narrow" w:hAnsi="Arial Narrow"/>
                <w:sz w:val="20"/>
              </w:rPr>
            </w:pPr>
            <w:r w:rsidRPr="00AD4948">
              <w:rPr>
                <w:rFonts w:ascii="Arial Narrow" w:hAnsi="Arial Narrow"/>
                <w:sz w:val="20"/>
              </w:rPr>
              <w:t>Biochemical evidence of remission is defined as normalisation of sex- and age- adjusted insulin-like growth factor 1 (IGF-1).</w:t>
            </w:r>
          </w:p>
          <w:p w:rsidR="001F4303" w:rsidRPr="00AD4948" w:rsidRDefault="001F4303" w:rsidP="007347A7">
            <w:pPr>
              <w:rPr>
                <w:rFonts w:ascii="Arial Narrow" w:hAnsi="Arial Narrow"/>
                <w:sz w:val="20"/>
              </w:rPr>
            </w:pPr>
          </w:p>
          <w:p w:rsidR="008F7096" w:rsidRPr="00AD4948" w:rsidRDefault="008F7096" w:rsidP="008F7096">
            <w:pPr>
              <w:pStyle w:val="NormalWeb"/>
              <w:spacing w:after="0"/>
              <w:rPr>
                <w:rFonts w:ascii="Arial Narrow" w:hAnsi="Arial Narrow" w:cs="Arial"/>
                <w:sz w:val="20"/>
                <w:szCs w:val="20"/>
              </w:rPr>
            </w:pPr>
            <w:r w:rsidRPr="00AD4948">
              <w:rPr>
                <w:rFonts w:ascii="Arial Narrow" w:hAnsi="Arial Narrow" w:cs="Arial"/>
                <w:sz w:val="20"/>
                <w:szCs w:val="20"/>
              </w:rPr>
              <w:t xml:space="preserve">Two completed authority prescriptions </w:t>
            </w:r>
            <w:proofErr w:type="gramStart"/>
            <w:r w:rsidRPr="00AD4948">
              <w:rPr>
                <w:rFonts w:ascii="Arial Narrow" w:hAnsi="Arial Narrow" w:cs="Arial"/>
                <w:sz w:val="20"/>
                <w:szCs w:val="20"/>
              </w:rPr>
              <w:t>should be submitted</w:t>
            </w:r>
            <w:proofErr w:type="gramEnd"/>
            <w:r w:rsidRPr="00AD4948">
              <w:rPr>
                <w:rFonts w:ascii="Arial Narrow" w:hAnsi="Arial Narrow" w:cs="Arial"/>
                <w:sz w:val="20"/>
                <w:szCs w:val="20"/>
              </w:rPr>
              <w:t xml:space="preserve"> with the initial application for this drug. One prescription should be for the loading dose of 80 mg for a quantity of 4 vials of 20 mg with no repeats. The second prescription should be for subsequent doses, starting from 10 mg daily, and allowing dose adjustments in increments of 5 mg based on serum IGF-1 levels measured every 4 to 6 weeks in order to maintain the serum IGF-1 level within the age-adjusted normal range based on the dosage recommendations in the TGA-approved Product Information. </w:t>
            </w:r>
          </w:p>
          <w:p w:rsidR="008F7096" w:rsidRPr="00AD4948" w:rsidRDefault="008F7096" w:rsidP="008F7096">
            <w:pPr>
              <w:pStyle w:val="NormalWeb"/>
              <w:spacing w:after="0"/>
              <w:rPr>
                <w:rFonts w:ascii="Arial Narrow" w:hAnsi="Arial Narrow" w:cs="Arial"/>
                <w:sz w:val="20"/>
                <w:szCs w:val="20"/>
              </w:rPr>
            </w:pPr>
          </w:p>
          <w:p w:rsidR="008F7096" w:rsidRPr="00AD4948" w:rsidRDefault="008F7096" w:rsidP="008F7096">
            <w:pPr>
              <w:pStyle w:val="NormalWeb"/>
              <w:spacing w:after="0"/>
              <w:rPr>
                <w:rFonts w:ascii="Arial Narrow" w:hAnsi="Arial Narrow" w:cs="Arial"/>
                <w:sz w:val="20"/>
                <w:szCs w:val="20"/>
              </w:rPr>
            </w:pPr>
            <w:r w:rsidRPr="00AD4948">
              <w:rPr>
                <w:rFonts w:ascii="Arial Narrow" w:hAnsi="Arial Narrow" w:cs="Arial"/>
                <w:sz w:val="20"/>
                <w:szCs w:val="20"/>
              </w:rPr>
              <w:t>The authority application must be made in writing and must include:</w:t>
            </w:r>
          </w:p>
          <w:p w:rsidR="008F7096" w:rsidRPr="00AD4948" w:rsidRDefault="008F7096" w:rsidP="008F7096">
            <w:pPr>
              <w:pStyle w:val="NormalWeb"/>
              <w:spacing w:after="0"/>
              <w:rPr>
                <w:rFonts w:ascii="Arial Narrow" w:hAnsi="Arial Narrow" w:cs="Arial"/>
                <w:sz w:val="20"/>
                <w:szCs w:val="20"/>
              </w:rPr>
            </w:pPr>
            <w:r w:rsidRPr="00AD4948">
              <w:rPr>
                <w:rFonts w:ascii="Arial Narrow" w:hAnsi="Arial Narrow" w:cs="Arial"/>
                <w:sz w:val="20"/>
                <w:szCs w:val="20"/>
              </w:rPr>
              <w:t>a) two completed authority prescription forms ; and</w:t>
            </w:r>
          </w:p>
          <w:p w:rsidR="008F7096" w:rsidRPr="00AD4948" w:rsidRDefault="008F7096" w:rsidP="008F7096">
            <w:pPr>
              <w:pStyle w:val="NormalWeb"/>
              <w:spacing w:after="0"/>
              <w:rPr>
                <w:rFonts w:ascii="Arial Narrow" w:hAnsi="Arial Narrow" w:cs="Arial"/>
                <w:sz w:val="20"/>
                <w:szCs w:val="20"/>
              </w:rPr>
            </w:pPr>
            <w:r w:rsidRPr="00AD4948">
              <w:rPr>
                <w:rFonts w:ascii="Arial Narrow" w:hAnsi="Arial Narrow" w:cs="Arial"/>
                <w:sz w:val="20"/>
                <w:szCs w:val="20"/>
              </w:rPr>
              <w:t xml:space="preserve">b) a completed Acromegaly </w:t>
            </w:r>
            <w:proofErr w:type="spellStart"/>
            <w:r w:rsidRPr="00AD4948">
              <w:rPr>
                <w:rFonts w:ascii="Arial Narrow" w:hAnsi="Arial Narrow" w:cs="Arial"/>
                <w:sz w:val="20"/>
                <w:szCs w:val="20"/>
              </w:rPr>
              <w:t>Pegvisomant</w:t>
            </w:r>
            <w:proofErr w:type="spellEnd"/>
            <w:r w:rsidRPr="00AD4948">
              <w:rPr>
                <w:rFonts w:ascii="Arial Narrow" w:hAnsi="Arial Narrow" w:cs="Arial"/>
                <w:sz w:val="20"/>
                <w:szCs w:val="20"/>
              </w:rPr>
              <w:t xml:space="preserve"> initial PBS Authority Application - Supporting Information Form; and </w:t>
            </w:r>
          </w:p>
          <w:p w:rsidR="008F7096" w:rsidRPr="00AD4948" w:rsidRDefault="008F7096" w:rsidP="008F7096">
            <w:pPr>
              <w:pStyle w:val="NormalWeb"/>
              <w:spacing w:after="0"/>
              <w:rPr>
                <w:rFonts w:ascii="Arial Narrow" w:hAnsi="Arial Narrow" w:cs="Arial"/>
                <w:sz w:val="20"/>
                <w:szCs w:val="20"/>
              </w:rPr>
            </w:pPr>
            <w:r w:rsidRPr="00AD4948">
              <w:rPr>
                <w:rFonts w:ascii="Arial Narrow" w:hAnsi="Arial Narrow" w:cs="Arial"/>
                <w:sz w:val="20"/>
                <w:szCs w:val="20"/>
              </w:rPr>
              <w:t xml:space="preserve">c) in a patient who has been previously treated with radiotherapy for this condition, the date of completion of radiotherapy, the date and result of IGF-1 levels taken at the most recent two yearly assessment in the 10 years after completion of radiotherapy; and </w:t>
            </w:r>
          </w:p>
          <w:p w:rsidR="008F7096" w:rsidRPr="00AD4948" w:rsidRDefault="008F7096" w:rsidP="008F7096">
            <w:pPr>
              <w:pStyle w:val="NormalWeb"/>
              <w:spacing w:after="0"/>
              <w:rPr>
                <w:rFonts w:ascii="Arial Narrow" w:hAnsi="Arial Narrow" w:cs="Arial"/>
                <w:sz w:val="20"/>
                <w:szCs w:val="20"/>
              </w:rPr>
            </w:pPr>
            <w:r w:rsidRPr="00AD4948">
              <w:rPr>
                <w:rFonts w:ascii="Arial Narrow" w:hAnsi="Arial Narrow" w:cs="Arial"/>
                <w:sz w:val="20"/>
                <w:szCs w:val="20"/>
              </w:rPr>
              <w:t>d) a recent result of the IGF-1 l</w:t>
            </w:r>
            <w:r w:rsidR="00EC46B4" w:rsidRPr="00AD4948">
              <w:rPr>
                <w:rFonts w:ascii="Arial Narrow" w:hAnsi="Arial Narrow" w:cs="Arial"/>
                <w:sz w:val="20"/>
                <w:szCs w:val="20"/>
              </w:rPr>
              <w:t>evel and the date of assessment</w:t>
            </w:r>
            <w:r w:rsidRPr="00AD4948">
              <w:rPr>
                <w:rFonts w:ascii="Arial Narrow" w:hAnsi="Arial Narrow" w:cs="Arial"/>
                <w:sz w:val="20"/>
                <w:szCs w:val="20"/>
              </w:rPr>
              <w:t>; and</w:t>
            </w:r>
          </w:p>
          <w:p w:rsidR="008F7096" w:rsidRPr="00AD4948" w:rsidRDefault="008F7096" w:rsidP="008F7096">
            <w:pPr>
              <w:rPr>
                <w:rFonts w:ascii="Arial Narrow" w:hAnsi="Arial Narrow" w:cs="Arial"/>
                <w:sz w:val="20"/>
                <w:szCs w:val="20"/>
              </w:rPr>
            </w:pPr>
            <w:r w:rsidRPr="00AD4948">
              <w:rPr>
                <w:rFonts w:ascii="Arial Narrow" w:hAnsi="Arial Narrow" w:cs="Arial"/>
                <w:sz w:val="20"/>
                <w:szCs w:val="20"/>
              </w:rPr>
              <w:lastRenderedPageBreak/>
              <w:t xml:space="preserve">e) demonstration of failure to achieve biochemical control after completion of a prior therapy with either octreotide or </w:t>
            </w:r>
            <w:proofErr w:type="spellStart"/>
            <w:r w:rsidRPr="00AD4948">
              <w:rPr>
                <w:rFonts w:ascii="Arial Narrow" w:hAnsi="Arial Narrow" w:cs="Arial"/>
                <w:sz w:val="20"/>
                <w:szCs w:val="20"/>
              </w:rPr>
              <w:t>lanreotide</w:t>
            </w:r>
            <w:proofErr w:type="spellEnd"/>
          </w:p>
        </w:tc>
      </w:tr>
      <w:tr w:rsidR="001F4303" w:rsidRPr="00AD4948" w:rsidTr="000D32FA">
        <w:tblPrEx>
          <w:tblLook w:val="04A0" w:firstRow="1" w:lastRow="0" w:firstColumn="1" w:lastColumn="0" w:noHBand="0" w:noVBand="1"/>
        </w:tblPrEx>
        <w:trPr>
          <w:trHeight w:val="489"/>
        </w:trPr>
        <w:tc>
          <w:tcPr>
            <w:tcW w:w="1672" w:type="dxa"/>
            <w:tcBorders>
              <w:top w:val="single" w:sz="4" w:space="0" w:color="auto"/>
              <w:left w:val="single" w:sz="4" w:space="0" w:color="auto"/>
              <w:bottom w:val="single" w:sz="4" w:space="0" w:color="auto"/>
              <w:right w:val="single" w:sz="4" w:space="0" w:color="auto"/>
            </w:tcBorders>
          </w:tcPr>
          <w:p w:rsidR="001F4303" w:rsidRPr="00AD4948" w:rsidRDefault="001F4303" w:rsidP="007347A7">
            <w:pPr>
              <w:rPr>
                <w:rFonts w:ascii="Arial Narrow" w:hAnsi="Arial Narrow"/>
                <w:b/>
                <w:sz w:val="20"/>
              </w:rPr>
            </w:pPr>
            <w:r w:rsidRPr="00AD4948">
              <w:rPr>
                <w:rFonts w:ascii="Arial Narrow" w:hAnsi="Arial Narrow"/>
                <w:b/>
                <w:sz w:val="20"/>
              </w:rPr>
              <w:lastRenderedPageBreak/>
              <w:t>Administrative advice</w:t>
            </w:r>
          </w:p>
        </w:tc>
        <w:tc>
          <w:tcPr>
            <w:tcW w:w="6833" w:type="dxa"/>
            <w:gridSpan w:val="7"/>
            <w:tcBorders>
              <w:top w:val="single" w:sz="4" w:space="0" w:color="auto"/>
              <w:left w:val="single" w:sz="4" w:space="0" w:color="auto"/>
              <w:bottom w:val="single" w:sz="4" w:space="0" w:color="auto"/>
              <w:right w:val="single" w:sz="4" w:space="0" w:color="auto"/>
            </w:tcBorders>
          </w:tcPr>
          <w:p w:rsidR="001F4303" w:rsidRPr="00AD4948" w:rsidRDefault="001F4303" w:rsidP="008F7096">
            <w:pPr>
              <w:snapToGrid w:val="0"/>
              <w:rPr>
                <w:rFonts w:ascii="Arial Narrow" w:hAnsi="Arial Narrow"/>
                <w:sz w:val="20"/>
              </w:rPr>
            </w:pPr>
            <w:r w:rsidRPr="00AD4948">
              <w:rPr>
                <w:rFonts w:ascii="Arial Narrow" w:hAnsi="Arial Narrow"/>
                <w:sz w:val="20"/>
              </w:rPr>
              <w:t>No increase in the maximum quantity or number of units may be authorised</w:t>
            </w:r>
            <w:r w:rsidR="008F7096" w:rsidRPr="00AD4948">
              <w:rPr>
                <w:rFonts w:ascii="Arial Narrow" w:hAnsi="Arial Narrow"/>
                <w:sz w:val="20"/>
              </w:rPr>
              <w:t xml:space="preserve"> for the loading dose.</w:t>
            </w:r>
            <w:r w:rsidR="008F7096" w:rsidRPr="00AD4948">
              <w:rPr>
                <w:rFonts w:ascii="Arial Narrow" w:hAnsi="Arial Narrow"/>
                <w:sz w:val="20"/>
              </w:rPr>
              <w:br/>
              <w:t xml:space="preserve"> </w:t>
            </w:r>
          </w:p>
        </w:tc>
      </w:tr>
    </w:tbl>
    <w:p w:rsidR="00DD24B5" w:rsidRPr="00AD4948" w:rsidRDefault="00527DBC" w:rsidP="000E7F34">
      <w:pPr>
        <w:pStyle w:val="ListParagraph"/>
        <w:widowControl/>
        <w:numPr>
          <w:ilvl w:val="1"/>
          <w:numId w:val="5"/>
        </w:numPr>
        <w:spacing w:before="120" w:after="120"/>
        <w:contextualSpacing w:val="0"/>
        <w:rPr>
          <w:rFonts w:asciiTheme="minorHAnsi" w:hAnsiTheme="minorHAnsi" w:cs="Times New Roman"/>
          <w:snapToGrid/>
          <w:sz w:val="24"/>
          <w:szCs w:val="24"/>
        </w:rPr>
      </w:pPr>
      <w:r w:rsidRPr="00AD4948">
        <w:rPr>
          <w:rFonts w:asciiTheme="minorHAnsi" w:hAnsiTheme="minorHAnsi" w:cstheme="minorHAnsi"/>
          <w:snapToGrid/>
          <w:sz w:val="24"/>
          <w:szCs w:val="24"/>
        </w:rPr>
        <w:t xml:space="preserve">The </w:t>
      </w:r>
      <w:r w:rsidR="00984BAD" w:rsidRPr="00AD4948">
        <w:rPr>
          <w:rFonts w:asciiTheme="minorHAnsi" w:hAnsiTheme="minorHAnsi" w:cstheme="minorHAnsi"/>
          <w:snapToGrid/>
          <w:sz w:val="24"/>
          <w:szCs w:val="24"/>
        </w:rPr>
        <w:t xml:space="preserve">PBAC </w:t>
      </w:r>
      <w:r w:rsidRPr="00AD4948">
        <w:rPr>
          <w:rFonts w:asciiTheme="minorHAnsi" w:hAnsiTheme="minorHAnsi" w:cstheme="minorHAnsi"/>
          <w:snapToGrid/>
          <w:sz w:val="24"/>
          <w:szCs w:val="24"/>
        </w:rPr>
        <w:t>noted</w:t>
      </w:r>
      <w:r w:rsidR="00DD24B5" w:rsidRPr="00AD4948">
        <w:rPr>
          <w:rFonts w:asciiTheme="minorHAnsi" w:hAnsiTheme="minorHAnsi" w:cstheme="minorHAnsi"/>
          <w:snapToGrid/>
          <w:sz w:val="24"/>
          <w:szCs w:val="24"/>
        </w:rPr>
        <w:t xml:space="preserve"> that changing the definition of failure </w:t>
      </w:r>
      <w:r w:rsidR="00FE4725" w:rsidRPr="00AD4948">
        <w:rPr>
          <w:rFonts w:asciiTheme="minorHAnsi" w:hAnsiTheme="minorHAnsi" w:cstheme="minorHAnsi"/>
          <w:snapToGrid/>
          <w:sz w:val="24"/>
          <w:szCs w:val="24"/>
        </w:rPr>
        <w:t xml:space="preserve">to </w:t>
      </w:r>
      <w:r w:rsidR="00DD24B5" w:rsidRPr="00AD4948">
        <w:rPr>
          <w:rFonts w:asciiTheme="minorHAnsi" w:hAnsiTheme="minorHAnsi" w:cstheme="minorHAnsi"/>
          <w:snapToGrid/>
          <w:sz w:val="24"/>
          <w:szCs w:val="24"/>
        </w:rPr>
        <w:t xml:space="preserve">achieve biochemical control to require meeting one of the GH or IGF-1 criteria </w:t>
      </w:r>
      <w:proofErr w:type="gramStart"/>
      <w:r w:rsidR="00DD24B5" w:rsidRPr="00AD4948">
        <w:rPr>
          <w:rFonts w:asciiTheme="minorHAnsi" w:hAnsiTheme="minorHAnsi" w:cstheme="minorHAnsi"/>
          <w:snapToGrid/>
          <w:sz w:val="24"/>
          <w:szCs w:val="24"/>
        </w:rPr>
        <w:t>may</w:t>
      </w:r>
      <w:proofErr w:type="gramEnd"/>
      <w:r w:rsidR="00DD24B5" w:rsidRPr="00AD4948">
        <w:rPr>
          <w:rFonts w:asciiTheme="minorHAnsi" w:hAnsiTheme="minorHAnsi" w:cstheme="minorHAnsi"/>
          <w:snapToGrid/>
          <w:sz w:val="24"/>
          <w:szCs w:val="24"/>
        </w:rPr>
        <w:t xml:space="preserve"> be inconsistent with the clinical criteria for </w:t>
      </w:r>
      <w:proofErr w:type="spellStart"/>
      <w:r w:rsidR="00DD24B5" w:rsidRPr="00AD4948">
        <w:rPr>
          <w:rFonts w:asciiTheme="minorHAnsi" w:hAnsiTheme="minorHAnsi" w:cstheme="minorHAnsi"/>
          <w:snapToGrid/>
          <w:sz w:val="24"/>
          <w:szCs w:val="24"/>
        </w:rPr>
        <w:t>pegvisomant</w:t>
      </w:r>
      <w:proofErr w:type="spellEnd"/>
      <w:r w:rsidR="00DD24B5" w:rsidRPr="00AD4948">
        <w:rPr>
          <w:rFonts w:asciiTheme="minorHAnsi" w:hAnsiTheme="minorHAnsi" w:cstheme="minorHAnsi"/>
          <w:snapToGrid/>
          <w:sz w:val="24"/>
          <w:szCs w:val="24"/>
        </w:rPr>
        <w:t xml:space="preserve"> which only specifies that IG</w:t>
      </w:r>
      <w:r w:rsidR="00FE4725" w:rsidRPr="00AD4948">
        <w:rPr>
          <w:rFonts w:asciiTheme="minorHAnsi" w:hAnsiTheme="minorHAnsi" w:cstheme="minorHAnsi"/>
          <w:snapToGrid/>
          <w:sz w:val="24"/>
          <w:szCs w:val="24"/>
        </w:rPr>
        <w:t>F</w:t>
      </w:r>
      <w:r w:rsidR="00DD24B5" w:rsidRPr="00AD4948">
        <w:rPr>
          <w:rFonts w:asciiTheme="minorHAnsi" w:hAnsiTheme="minorHAnsi" w:cstheme="minorHAnsi"/>
          <w:snapToGrid/>
          <w:sz w:val="24"/>
          <w:szCs w:val="24"/>
        </w:rPr>
        <w:t>-1 should be higher than the upper limit of normal</w:t>
      </w:r>
      <w:r w:rsidR="00AD4948">
        <w:rPr>
          <w:rFonts w:asciiTheme="minorHAnsi" w:hAnsiTheme="minorHAnsi" w:cstheme="minorHAnsi"/>
          <w:snapToGrid/>
          <w:sz w:val="24"/>
          <w:szCs w:val="24"/>
        </w:rPr>
        <w:t>.</w:t>
      </w:r>
      <w:r w:rsidR="00BC5B29">
        <w:rPr>
          <w:rFonts w:asciiTheme="minorHAnsi" w:hAnsiTheme="minorHAnsi" w:cstheme="minorHAnsi"/>
          <w:snapToGrid/>
          <w:sz w:val="24"/>
          <w:szCs w:val="24"/>
        </w:rPr>
        <w:t xml:space="preserve"> </w:t>
      </w:r>
    </w:p>
    <w:p w:rsidR="00B516A3" w:rsidRPr="00AD4948" w:rsidRDefault="00BB71E3" w:rsidP="000E7F34">
      <w:pPr>
        <w:pStyle w:val="ListParagraph"/>
        <w:widowControl/>
        <w:numPr>
          <w:ilvl w:val="1"/>
          <w:numId w:val="5"/>
        </w:numPr>
        <w:spacing w:before="120" w:after="120"/>
        <w:contextualSpacing w:val="0"/>
        <w:rPr>
          <w:rFonts w:asciiTheme="minorHAnsi" w:hAnsiTheme="minorHAnsi" w:cs="Times New Roman"/>
          <w:snapToGrid/>
          <w:sz w:val="24"/>
          <w:szCs w:val="24"/>
        </w:rPr>
      </w:pPr>
      <w:r w:rsidRPr="00AD4948">
        <w:rPr>
          <w:rFonts w:asciiTheme="minorHAnsi" w:hAnsiTheme="minorHAnsi"/>
          <w:sz w:val="24"/>
          <w:szCs w:val="24"/>
        </w:rPr>
        <w:t>T</w:t>
      </w:r>
      <w:r w:rsidR="006B22A0" w:rsidRPr="00AD4948">
        <w:rPr>
          <w:rFonts w:asciiTheme="minorHAnsi" w:hAnsiTheme="minorHAnsi"/>
          <w:sz w:val="24"/>
          <w:szCs w:val="24"/>
        </w:rPr>
        <w:t xml:space="preserve">he submission </w:t>
      </w:r>
      <w:r w:rsidR="00B516A3" w:rsidRPr="00AD4948">
        <w:rPr>
          <w:rFonts w:asciiTheme="minorHAnsi" w:hAnsiTheme="minorHAnsi"/>
          <w:sz w:val="24"/>
          <w:szCs w:val="24"/>
        </w:rPr>
        <w:t>noted that many laboratories reflect GH</w:t>
      </w:r>
      <w:r w:rsidR="00142CDC" w:rsidRPr="00AD4948">
        <w:rPr>
          <w:rFonts w:asciiTheme="minorHAnsi" w:hAnsiTheme="minorHAnsi"/>
          <w:sz w:val="24"/>
          <w:szCs w:val="24"/>
        </w:rPr>
        <w:t xml:space="preserve"> level</w:t>
      </w:r>
      <w:r w:rsidR="00B516A3" w:rsidRPr="00AD4948">
        <w:rPr>
          <w:rFonts w:asciiTheme="minorHAnsi" w:hAnsiTheme="minorHAnsi"/>
          <w:sz w:val="24"/>
          <w:szCs w:val="24"/>
        </w:rPr>
        <w:t xml:space="preserve"> as </w:t>
      </w:r>
      <w:proofErr w:type="spellStart"/>
      <w:r w:rsidR="00B516A3" w:rsidRPr="00AD4948">
        <w:rPr>
          <w:rFonts w:asciiTheme="minorHAnsi" w:hAnsiTheme="minorHAnsi"/>
          <w:sz w:val="24"/>
          <w:szCs w:val="24"/>
        </w:rPr>
        <w:t>mIU</w:t>
      </w:r>
      <w:proofErr w:type="spellEnd"/>
      <w:r w:rsidR="00B516A3" w:rsidRPr="00AD4948">
        <w:rPr>
          <w:rFonts w:asciiTheme="minorHAnsi" w:hAnsiTheme="minorHAnsi"/>
          <w:sz w:val="24"/>
          <w:szCs w:val="24"/>
        </w:rPr>
        <w:t xml:space="preserve">/mL and, as such, endocrinologists have requested that the definition of biochemical control include GH levels in both mcg/L and </w:t>
      </w:r>
      <w:proofErr w:type="spellStart"/>
      <w:r w:rsidR="00B516A3" w:rsidRPr="00AD4948">
        <w:rPr>
          <w:rFonts w:asciiTheme="minorHAnsi" w:hAnsiTheme="minorHAnsi"/>
          <w:sz w:val="24"/>
          <w:szCs w:val="24"/>
        </w:rPr>
        <w:t>mIU</w:t>
      </w:r>
      <w:proofErr w:type="spellEnd"/>
      <w:r w:rsidR="00B516A3" w:rsidRPr="00AD4948">
        <w:rPr>
          <w:rFonts w:asciiTheme="minorHAnsi" w:hAnsiTheme="minorHAnsi"/>
          <w:sz w:val="24"/>
          <w:szCs w:val="24"/>
        </w:rPr>
        <w:t>/L.</w:t>
      </w:r>
      <w:r w:rsidR="0006662D" w:rsidRPr="00AD4948">
        <w:rPr>
          <w:rFonts w:asciiTheme="minorHAnsi" w:hAnsiTheme="minorHAnsi"/>
          <w:sz w:val="24"/>
          <w:szCs w:val="24"/>
        </w:rPr>
        <w:t xml:space="preserve"> </w:t>
      </w:r>
      <w:r w:rsidR="00984BAD" w:rsidRPr="00AD4948">
        <w:rPr>
          <w:rFonts w:asciiTheme="minorHAnsi" w:hAnsiTheme="minorHAnsi"/>
          <w:sz w:val="24"/>
          <w:szCs w:val="24"/>
        </w:rPr>
        <w:t xml:space="preserve">The pre-PBAC response proposed a GH level of 1mcg/L or 3mIU/L as appropriate. </w:t>
      </w:r>
    </w:p>
    <w:p w:rsidR="00DD24B5" w:rsidRPr="00AD4948" w:rsidRDefault="00527DBC" w:rsidP="000E7F34">
      <w:pPr>
        <w:pStyle w:val="ListParagraph"/>
        <w:widowControl/>
        <w:numPr>
          <w:ilvl w:val="1"/>
          <w:numId w:val="5"/>
        </w:numPr>
        <w:spacing w:before="120" w:after="120"/>
        <w:contextualSpacing w:val="0"/>
        <w:rPr>
          <w:rFonts w:asciiTheme="minorHAnsi" w:hAnsiTheme="minorHAnsi" w:cstheme="minorHAnsi"/>
          <w:snapToGrid/>
          <w:sz w:val="24"/>
          <w:szCs w:val="24"/>
        </w:rPr>
      </w:pPr>
      <w:r w:rsidRPr="00AD4948">
        <w:rPr>
          <w:rFonts w:asciiTheme="minorHAnsi" w:hAnsiTheme="minorHAnsi" w:cstheme="minorHAnsi"/>
          <w:snapToGrid/>
          <w:sz w:val="24"/>
          <w:szCs w:val="24"/>
        </w:rPr>
        <w:t>The submission did</w:t>
      </w:r>
      <w:r w:rsidR="00DD24B5" w:rsidRPr="00AD4948">
        <w:rPr>
          <w:rFonts w:asciiTheme="minorHAnsi" w:hAnsiTheme="minorHAnsi" w:cstheme="minorHAnsi"/>
          <w:snapToGrid/>
          <w:sz w:val="24"/>
          <w:szCs w:val="24"/>
        </w:rPr>
        <w:t xml:space="preserve"> not state if the requested change should also apply to </w:t>
      </w:r>
      <w:proofErr w:type="spellStart"/>
      <w:r w:rsidR="00DD24B5" w:rsidRPr="00AD4948">
        <w:rPr>
          <w:rFonts w:asciiTheme="minorHAnsi" w:hAnsiTheme="minorHAnsi" w:cstheme="minorHAnsi"/>
          <w:snapToGrid/>
          <w:sz w:val="24"/>
          <w:szCs w:val="24"/>
        </w:rPr>
        <w:t>pasireotide</w:t>
      </w:r>
      <w:proofErr w:type="spellEnd"/>
      <w:r w:rsidR="00DD24B5" w:rsidRPr="00AD4948">
        <w:rPr>
          <w:rFonts w:asciiTheme="minorHAnsi" w:hAnsiTheme="minorHAnsi" w:cstheme="minorHAnsi"/>
          <w:snapToGrid/>
          <w:sz w:val="24"/>
          <w:szCs w:val="24"/>
        </w:rPr>
        <w:t>, the other second-line agent currently listed for the treatment of acromegaly</w:t>
      </w:r>
      <w:r w:rsidR="00984BAD" w:rsidRPr="00AD4948">
        <w:rPr>
          <w:rFonts w:asciiTheme="minorHAnsi" w:hAnsiTheme="minorHAnsi" w:cstheme="minorHAnsi"/>
          <w:snapToGrid/>
          <w:sz w:val="24"/>
          <w:szCs w:val="24"/>
        </w:rPr>
        <w:t xml:space="preserve">. The PBAC considered it would be appropriate for the </w:t>
      </w:r>
      <w:proofErr w:type="spellStart"/>
      <w:r w:rsidR="00984BAD" w:rsidRPr="00AD4948">
        <w:rPr>
          <w:rFonts w:asciiTheme="minorHAnsi" w:hAnsiTheme="minorHAnsi" w:cstheme="minorHAnsi"/>
          <w:snapToGrid/>
          <w:sz w:val="24"/>
          <w:szCs w:val="24"/>
        </w:rPr>
        <w:t>pegvisomant</w:t>
      </w:r>
      <w:proofErr w:type="spellEnd"/>
      <w:r w:rsidR="00984BAD" w:rsidRPr="00AD4948">
        <w:rPr>
          <w:rFonts w:asciiTheme="minorHAnsi" w:hAnsiTheme="minorHAnsi" w:cstheme="minorHAnsi"/>
          <w:snapToGrid/>
          <w:sz w:val="24"/>
          <w:szCs w:val="24"/>
        </w:rPr>
        <w:t xml:space="preserve"> and </w:t>
      </w:r>
      <w:proofErr w:type="spellStart"/>
      <w:r w:rsidR="00984BAD" w:rsidRPr="00AD4948">
        <w:rPr>
          <w:rFonts w:asciiTheme="minorHAnsi" w:hAnsiTheme="minorHAnsi" w:cstheme="minorHAnsi"/>
          <w:snapToGrid/>
          <w:sz w:val="24"/>
          <w:szCs w:val="24"/>
        </w:rPr>
        <w:t>pasireotide</w:t>
      </w:r>
      <w:proofErr w:type="spellEnd"/>
      <w:r w:rsidR="00984BAD" w:rsidRPr="00AD4948">
        <w:rPr>
          <w:rFonts w:asciiTheme="minorHAnsi" w:hAnsiTheme="minorHAnsi" w:cstheme="minorHAnsi"/>
          <w:snapToGrid/>
          <w:sz w:val="24"/>
          <w:szCs w:val="24"/>
        </w:rPr>
        <w:t xml:space="preserve"> restriction criteria to be consistent </w:t>
      </w:r>
    </w:p>
    <w:p w:rsidR="0076155E" w:rsidRPr="00803EB7" w:rsidRDefault="0076155E" w:rsidP="000E7F34">
      <w:pPr>
        <w:spacing w:before="120" w:after="120"/>
        <w:ind w:firstLine="709"/>
        <w:rPr>
          <w:rFonts w:asciiTheme="minorHAnsi" w:hAnsiTheme="minorHAnsi" w:cstheme="minorHAnsi"/>
          <w:i/>
        </w:rPr>
      </w:pPr>
      <w:r w:rsidRPr="00803EB7">
        <w:rPr>
          <w:rFonts w:asciiTheme="minorHAnsi" w:hAnsiTheme="minorHAnsi" w:cstheme="minorHAnsi"/>
          <w:i/>
        </w:rPr>
        <w:t>For more deta</w:t>
      </w:r>
      <w:r w:rsidR="00F80449" w:rsidRPr="00803EB7">
        <w:rPr>
          <w:rFonts w:asciiTheme="minorHAnsi" w:hAnsiTheme="minorHAnsi" w:cstheme="minorHAnsi"/>
          <w:i/>
        </w:rPr>
        <w:t>il on PBAC’s view, see section 5</w:t>
      </w:r>
      <w:r w:rsidRPr="00803EB7">
        <w:rPr>
          <w:rFonts w:asciiTheme="minorHAnsi" w:hAnsiTheme="minorHAnsi" w:cstheme="minorHAnsi"/>
          <w:i/>
        </w:rPr>
        <w:t xml:space="preserve"> PBAC outcome.</w:t>
      </w:r>
    </w:p>
    <w:p w:rsidR="00C603D4" w:rsidRPr="00AD4948" w:rsidRDefault="00CE10C4" w:rsidP="000E7F34">
      <w:pPr>
        <w:pStyle w:val="PBACHeading1"/>
        <w:spacing w:before="120" w:after="120"/>
        <w:ind w:left="709" w:hanging="709"/>
        <w:rPr>
          <w:rFonts w:asciiTheme="minorHAnsi" w:hAnsiTheme="minorHAnsi"/>
          <w:sz w:val="32"/>
          <w:szCs w:val="32"/>
        </w:rPr>
      </w:pPr>
      <w:r w:rsidRPr="00AD4948">
        <w:rPr>
          <w:rFonts w:asciiTheme="minorHAnsi" w:hAnsiTheme="minorHAnsi"/>
          <w:sz w:val="32"/>
          <w:szCs w:val="32"/>
        </w:rPr>
        <w:t>Background</w:t>
      </w:r>
    </w:p>
    <w:p w:rsidR="00276CE3" w:rsidRPr="00617CD1" w:rsidRDefault="006E6E58" w:rsidP="000E7F34">
      <w:pPr>
        <w:pStyle w:val="Heading2"/>
        <w:spacing w:before="120" w:after="120"/>
        <w:rPr>
          <w:rFonts w:asciiTheme="minorHAnsi" w:hAnsiTheme="minorHAnsi" w:cstheme="minorHAnsi"/>
          <w:snapToGrid w:val="0"/>
          <w:sz w:val="28"/>
        </w:rPr>
      </w:pPr>
      <w:r w:rsidRPr="00617CD1">
        <w:rPr>
          <w:rFonts w:asciiTheme="minorHAnsi" w:hAnsiTheme="minorHAnsi" w:cstheme="minorHAnsi"/>
          <w:snapToGrid w:val="0"/>
          <w:sz w:val="28"/>
        </w:rPr>
        <w:t>Clinical data previously considered by the PBAC</w:t>
      </w:r>
    </w:p>
    <w:p w:rsidR="00F142C2" w:rsidRPr="00AD4948" w:rsidRDefault="001F79C5" w:rsidP="000E7F34">
      <w:pPr>
        <w:pStyle w:val="ListParagraph"/>
        <w:numPr>
          <w:ilvl w:val="1"/>
          <w:numId w:val="14"/>
        </w:numPr>
        <w:spacing w:before="120" w:after="120"/>
        <w:contextualSpacing w:val="0"/>
        <w:rPr>
          <w:rFonts w:asciiTheme="minorHAnsi" w:hAnsiTheme="minorHAnsi"/>
          <w:sz w:val="24"/>
          <w:szCs w:val="24"/>
        </w:rPr>
      </w:pPr>
      <w:r w:rsidRPr="00AD4948">
        <w:rPr>
          <w:rFonts w:asciiTheme="minorHAnsi" w:hAnsiTheme="minorHAnsi"/>
          <w:sz w:val="24"/>
          <w:szCs w:val="24"/>
        </w:rPr>
        <w:t>At the N</w:t>
      </w:r>
      <w:r w:rsidR="00527DBC" w:rsidRPr="00AD4948">
        <w:rPr>
          <w:rFonts w:asciiTheme="minorHAnsi" w:hAnsiTheme="minorHAnsi"/>
          <w:sz w:val="24"/>
          <w:szCs w:val="24"/>
        </w:rPr>
        <w:t xml:space="preserve">ovember 2016 PBAC meeting, the </w:t>
      </w:r>
      <w:r w:rsidR="00A00993" w:rsidRPr="00AD4948">
        <w:rPr>
          <w:rFonts w:asciiTheme="minorHAnsi" w:hAnsiTheme="minorHAnsi"/>
          <w:sz w:val="24"/>
          <w:szCs w:val="24"/>
        </w:rPr>
        <w:t>PBAC</w:t>
      </w:r>
      <w:r w:rsidRPr="00AD4948">
        <w:rPr>
          <w:rFonts w:asciiTheme="minorHAnsi" w:hAnsiTheme="minorHAnsi"/>
          <w:sz w:val="24"/>
          <w:szCs w:val="24"/>
        </w:rPr>
        <w:t xml:space="preserve"> recommended the Authority Required (Section 100) listing of </w:t>
      </w:r>
      <w:proofErr w:type="spellStart"/>
      <w:r w:rsidRPr="00AD4948">
        <w:rPr>
          <w:rFonts w:asciiTheme="minorHAnsi" w:hAnsiTheme="minorHAnsi"/>
          <w:sz w:val="24"/>
          <w:szCs w:val="24"/>
        </w:rPr>
        <w:t>pegvisomant</w:t>
      </w:r>
      <w:proofErr w:type="spellEnd"/>
      <w:r w:rsidRPr="00AD4948">
        <w:rPr>
          <w:rFonts w:asciiTheme="minorHAnsi" w:hAnsiTheme="minorHAnsi"/>
          <w:sz w:val="24"/>
          <w:szCs w:val="24"/>
        </w:rPr>
        <w:t xml:space="preserve"> as a second-line therapy for the treatment of patients with acromegaly, </w:t>
      </w:r>
      <w:r w:rsidR="0017431B" w:rsidRPr="00AD4948">
        <w:rPr>
          <w:rFonts w:asciiTheme="minorHAnsi" w:hAnsiTheme="minorHAnsi"/>
          <w:sz w:val="24"/>
          <w:szCs w:val="24"/>
        </w:rPr>
        <w:t xml:space="preserve">on a </w:t>
      </w:r>
      <w:r w:rsidRPr="00AD4948">
        <w:rPr>
          <w:rFonts w:asciiTheme="minorHAnsi" w:hAnsiTheme="minorHAnsi"/>
          <w:sz w:val="24"/>
          <w:szCs w:val="24"/>
        </w:rPr>
        <w:t>cost-minimis</w:t>
      </w:r>
      <w:r w:rsidR="0017431B" w:rsidRPr="00AD4948">
        <w:rPr>
          <w:rFonts w:asciiTheme="minorHAnsi" w:hAnsiTheme="minorHAnsi"/>
          <w:sz w:val="24"/>
          <w:szCs w:val="24"/>
        </w:rPr>
        <w:t xml:space="preserve">ation basis </w:t>
      </w:r>
      <w:r w:rsidRPr="00AD4948">
        <w:rPr>
          <w:rFonts w:asciiTheme="minorHAnsi" w:hAnsiTheme="minorHAnsi"/>
          <w:sz w:val="24"/>
          <w:szCs w:val="24"/>
        </w:rPr>
        <w:t xml:space="preserve">to </w:t>
      </w:r>
      <w:proofErr w:type="spellStart"/>
      <w:r w:rsidRPr="00AD4948">
        <w:rPr>
          <w:rFonts w:asciiTheme="minorHAnsi" w:hAnsiTheme="minorHAnsi"/>
          <w:sz w:val="24"/>
          <w:szCs w:val="24"/>
        </w:rPr>
        <w:t>pasireotide</w:t>
      </w:r>
      <w:proofErr w:type="spellEnd"/>
      <w:r w:rsidRPr="00AD4948">
        <w:rPr>
          <w:rFonts w:asciiTheme="minorHAnsi" w:hAnsiTheme="minorHAnsi"/>
          <w:sz w:val="24"/>
          <w:szCs w:val="24"/>
        </w:rPr>
        <w:t>.</w:t>
      </w:r>
      <w:r w:rsidR="00706AB9" w:rsidRPr="00AD4948">
        <w:rPr>
          <w:rFonts w:asciiTheme="minorHAnsi" w:hAnsiTheme="minorHAnsi"/>
          <w:sz w:val="24"/>
          <w:szCs w:val="24"/>
        </w:rPr>
        <w:t xml:space="preserve"> </w:t>
      </w:r>
      <w:r w:rsidR="00F142C2" w:rsidRPr="00AD4948">
        <w:rPr>
          <w:rFonts w:asciiTheme="minorHAnsi" w:hAnsiTheme="minorHAnsi"/>
          <w:sz w:val="24"/>
          <w:szCs w:val="24"/>
        </w:rPr>
        <w:t xml:space="preserve">The PBAC accepted the requested clinical place of therapy as </w:t>
      </w:r>
      <w:r w:rsidR="00BF6EEE" w:rsidRPr="00AD4948">
        <w:rPr>
          <w:rFonts w:asciiTheme="minorHAnsi" w:hAnsiTheme="minorHAnsi"/>
          <w:sz w:val="24"/>
          <w:szCs w:val="24"/>
        </w:rPr>
        <w:t xml:space="preserve">a </w:t>
      </w:r>
      <w:r w:rsidR="00F142C2" w:rsidRPr="00AD4948">
        <w:rPr>
          <w:rFonts w:asciiTheme="minorHAnsi" w:hAnsiTheme="minorHAnsi"/>
          <w:sz w:val="24"/>
          <w:szCs w:val="24"/>
        </w:rPr>
        <w:t xml:space="preserve">second-line </w:t>
      </w:r>
      <w:r w:rsidR="00BF6EEE" w:rsidRPr="00AD4948">
        <w:rPr>
          <w:rFonts w:asciiTheme="minorHAnsi" w:hAnsiTheme="minorHAnsi"/>
          <w:sz w:val="24"/>
          <w:szCs w:val="24"/>
        </w:rPr>
        <w:t xml:space="preserve">treatment </w:t>
      </w:r>
      <w:r w:rsidR="00F142C2" w:rsidRPr="00AD4948">
        <w:rPr>
          <w:rFonts w:asciiTheme="minorHAnsi" w:hAnsiTheme="minorHAnsi"/>
          <w:sz w:val="24"/>
          <w:szCs w:val="24"/>
        </w:rPr>
        <w:t>for patients who had not achieved biochemical control using octreotide</w:t>
      </w:r>
      <w:r w:rsidR="00216BE3" w:rsidRPr="00AD4948">
        <w:rPr>
          <w:rFonts w:asciiTheme="minorHAnsi" w:hAnsiTheme="minorHAnsi"/>
          <w:sz w:val="24"/>
          <w:szCs w:val="24"/>
        </w:rPr>
        <w:t xml:space="preserve"> long acting repeatable (LAR) or </w:t>
      </w:r>
      <w:proofErr w:type="spellStart"/>
      <w:r w:rsidR="00F142C2" w:rsidRPr="00AD4948">
        <w:rPr>
          <w:rFonts w:asciiTheme="minorHAnsi" w:hAnsiTheme="minorHAnsi"/>
          <w:sz w:val="24"/>
          <w:szCs w:val="24"/>
        </w:rPr>
        <w:t>lanreotide</w:t>
      </w:r>
      <w:proofErr w:type="spellEnd"/>
      <w:r w:rsidR="00F142C2" w:rsidRPr="00AD4948">
        <w:rPr>
          <w:rFonts w:asciiTheme="minorHAnsi" w:hAnsiTheme="minorHAnsi"/>
          <w:sz w:val="24"/>
          <w:szCs w:val="24"/>
        </w:rPr>
        <w:t xml:space="preserve"> </w:t>
      </w:r>
      <w:proofErr w:type="spellStart"/>
      <w:r w:rsidR="00216BE3" w:rsidRPr="00AD4948">
        <w:rPr>
          <w:rFonts w:asciiTheme="minorHAnsi" w:hAnsiTheme="minorHAnsi"/>
          <w:sz w:val="24"/>
          <w:szCs w:val="24"/>
        </w:rPr>
        <w:t>autogel</w:t>
      </w:r>
      <w:proofErr w:type="spellEnd"/>
      <w:r w:rsidR="00216BE3" w:rsidRPr="00AD4948">
        <w:rPr>
          <w:rFonts w:asciiTheme="minorHAnsi" w:hAnsiTheme="minorHAnsi"/>
          <w:sz w:val="24"/>
          <w:szCs w:val="24"/>
        </w:rPr>
        <w:t xml:space="preserve"> (ATG) </w:t>
      </w:r>
      <w:r w:rsidR="00F142C2" w:rsidRPr="00AD4948">
        <w:rPr>
          <w:rFonts w:asciiTheme="minorHAnsi" w:hAnsiTheme="minorHAnsi"/>
          <w:sz w:val="24"/>
          <w:szCs w:val="24"/>
        </w:rPr>
        <w:t>(</w:t>
      </w:r>
      <w:proofErr w:type="spellStart"/>
      <w:r w:rsidR="009620D6">
        <w:rPr>
          <w:rFonts w:asciiTheme="minorHAnsi" w:hAnsiTheme="minorHAnsi"/>
          <w:sz w:val="24"/>
          <w:szCs w:val="24"/>
        </w:rPr>
        <w:t>Pegvisomant</w:t>
      </w:r>
      <w:proofErr w:type="spellEnd"/>
      <w:r w:rsidR="009620D6">
        <w:rPr>
          <w:rFonts w:asciiTheme="minorHAnsi" w:hAnsiTheme="minorHAnsi"/>
          <w:sz w:val="24"/>
          <w:szCs w:val="24"/>
        </w:rPr>
        <w:t xml:space="preserve"> </w:t>
      </w:r>
      <w:r w:rsidR="00BC5B29">
        <w:rPr>
          <w:rFonts w:asciiTheme="minorHAnsi" w:hAnsiTheme="minorHAnsi"/>
          <w:sz w:val="24"/>
          <w:szCs w:val="24"/>
        </w:rPr>
        <w:t>Public Summary Document</w:t>
      </w:r>
      <w:r w:rsidR="00F142C2" w:rsidRPr="00AD4948">
        <w:rPr>
          <w:rFonts w:asciiTheme="minorHAnsi" w:hAnsiTheme="minorHAnsi"/>
          <w:sz w:val="24"/>
          <w:szCs w:val="24"/>
        </w:rPr>
        <w:t xml:space="preserve">, November 2016 PBAC Meeting). </w:t>
      </w:r>
    </w:p>
    <w:p w:rsidR="003B4072" w:rsidRPr="00AD4948" w:rsidRDefault="008D6A01" w:rsidP="000E7F34">
      <w:pPr>
        <w:pStyle w:val="ListParagraph"/>
        <w:numPr>
          <w:ilvl w:val="1"/>
          <w:numId w:val="14"/>
        </w:numPr>
        <w:spacing w:before="120" w:after="120"/>
        <w:contextualSpacing w:val="0"/>
        <w:rPr>
          <w:rFonts w:asciiTheme="minorHAnsi" w:hAnsiTheme="minorHAnsi"/>
          <w:sz w:val="24"/>
          <w:szCs w:val="24"/>
        </w:rPr>
      </w:pPr>
      <w:r w:rsidRPr="00AD4948">
        <w:rPr>
          <w:rFonts w:asciiTheme="minorHAnsi" w:hAnsiTheme="minorHAnsi"/>
          <w:sz w:val="24"/>
          <w:szCs w:val="24"/>
        </w:rPr>
        <w:t xml:space="preserve">The submission considered in November 2016 </w:t>
      </w:r>
      <w:proofErr w:type="gramStart"/>
      <w:r w:rsidRPr="00AD4948">
        <w:rPr>
          <w:rFonts w:asciiTheme="minorHAnsi" w:hAnsiTheme="minorHAnsi"/>
          <w:sz w:val="24"/>
          <w:szCs w:val="24"/>
        </w:rPr>
        <w:t>was based</w:t>
      </w:r>
      <w:proofErr w:type="gramEnd"/>
      <w:r w:rsidRPr="00AD4948">
        <w:rPr>
          <w:rFonts w:asciiTheme="minorHAnsi" w:hAnsiTheme="minorHAnsi"/>
          <w:sz w:val="24"/>
          <w:szCs w:val="24"/>
        </w:rPr>
        <w:t xml:space="preserve"> on a naïve indirect comparison of a post hoc subgroup from one placebo-controlled </w:t>
      </w:r>
      <w:proofErr w:type="spellStart"/>
      <w:r w:rsidRPr="00AD4948">
        <w:rPr>
          <w:rFonts w:asciiTheme="minorHAnsi" w:hAnsiTheme="minorHAnsi"/>
          <w:sz w:val="24"/>
          <w:szCs w:val="24"/>
        </w:rPr>
        <w:t>pegvisomant</w:t>
      </w:r>
      <w:proofErr w:type="spellEnd"/>
      <w:r w:rsidRPr="00AD4948">
        <w:rPr>
          <w:rFonts w:asciiTheme="minorHAnsi" w:hAnsiTheme="minorHAnsi"/>
          <w:sz w:val="24"/>
          <w:szCs w:val="24"/>
        </w:rPr>
        <w:t xml:space="preserve"> trial (Trial 3614, </w:t>
      </w:r>
      <w:r w:rsidR="003B4072" w:rsidRPr="00AD4948">
        <w:rPr>
          <w:rFonts w:asciiTheme="minorHAnsi" w:hAnsiTheme="minorHAnsi"/>
          <w:sz w:val="24"/>
          <w:szCs w:val="24"/>
        </w:rPr>
        <w:t>Trainer 20</w:t>
      </w:r>
      <w:r w:rsidR="00B05322" w:rsidRPr="00AD4948">
        <w:rPr>
          <w:rFonts w:asciiTheme="minorHAnsi" w:hAnsiTheme="minorHAnsi"/>
          <w:sz w:val="24"/>
          <w:szCs w:val="24"/>
        </w:rPr>
        <w:t>00</w:t>
      </w:r>
      <w:r w:rsidRPr="00AD4948">
        <w:rPr>
          <w:rFonts w:asciiTheme="minorHAnsi" w:hAnsiTheme="minorHAnsi"/>
          <w:sz w:val="24"/>
          <w:szCs w:val="24"/>
        </w:rPr>
        <w:t>)</w:t>
      </w:r>
      <w:r w:rsidR="00B05322" w:rsidRPr="00AD4948">
        <w:rPr>
          <w:rStyle w:val="FootnoteReference"/>
          <w:rFonts w:asciiTheme="minorHAnsi" w:hAnsiTheme="minorHAnsi"/>
          <w:sz w:val="24"/>
          <w:szCs w:val="24"/>
        </w:rPr>
        <w:footnoteReference w:id="1"/>
      </w:r>
      <w:r w:rsidRPr="00AD4948">
        <w:rPr>
          <w:rFonts w:asciiTheme="minorHAnsi" w:hAnsiTheme="minorHAnsi"/>
          <w:sz w:val="24"/>
          <w:szCs w:val="24"/>
        </w:rPr>
        <w:t xml:space="preserve"> and one </w:t>
      </w:r>
      <w:r w:rsidR="00244BD2" w:rsidRPr="00AD4948">
        <w:rPr>
          <w:rFonts w:asciiTheme="minorHAnsi" w:hAnsiTheme="minorHAnsi"/>
          <w:sz w:val="24"/>
          <w:szCs w:val="24"/>
        </w:rPr>
        <w:t xml:space="preserve">active-controlled </w:t>
      </w:r>
      <w:proofErr w:type="spellStart"/>
      <w:r w:rsidRPr="00AD4948">
        <w:rPr>
          <w:rFonts w:asciiTheme="minorHAnsi" w:hAnsiTheme="minorHAnsi"/>
          <w:sz w:val="24"/>
          <w:szCs w:val="24"/>
        </w:rPr>
        <w:t>pasireotide</w:t>
      </w:r>
      <w:proofErr w:type="spellEnd"/>
      <w:r w:rsidRPr="00AD4948">
        <w:rPr>
          <w:rFonts w:asciiTheme="minorHAnsi" w:hAnsiTheme="minorHAnsi"/>
          <w:sz w:val="24"/>
          <w:szCs w:val="24"/>
        </w:rPr>
        <w:t xml:space="preserve"> </w:t>
      </w:r>
      <w:r w:rsidR="00244BD2" w:rsidRPr="00AD4948">
        <w:rPr>
          <w:rFonts w:asciiTheme="minorHAnsi" w:hAnsiTheme="minorHAnsi"/>
          <w:sz w:val="24"/>
          <w:szCs w:val="24"/>
        </w:rPr>
        <w:t xml:space="preserve">trial </w:t>
      </w:r>
      <w:r w:rsidRPr="00AD4948">
        <w:rPr>
          <w:rFonts w:asciiTheme="minorHAnsi" w:hAnsiTheme="minorHAnsi"/>
          <w:sz w:val="24"/>
          <w:szCs w:val="24"/>
        </w:rPr>
        <w:t>(Gadelha 2014)</w:t>
      </w:r>
      <w:r w:rsidR="00A00993" w:rsidRPr="00AD4948">
        <w:rPr>
          <w:rStyle w:val="FootnoteReference"/>
          <w:rFonts w:asciiTheme="minorHAnsi" w:hAnsiTheme="minorHAnsi"/>
          <w:sz w:val="24"/>
          <w:szCs w:val="24"/>
        </w:rPr>
        <w:footnoteReference w:id="2"/>
      </w:r>
      <w:r w:rsidRPr="00AD4948">
        <w:rPr>
          <w:rFonts w:asciiTheme="minorHAnsi" w:hAnsiTheme="minorHAnsi"/>
          <w:sz w:val="24"/>
          <w:szCs w:val="24"/>
        </w:rPr>
        <w:t>.</w:t>
      </w:r>
      <w:r w:rsidR="00FE4725" w:rsidRPr="00AD4948">
        <w:rPr>
          <w:rFonts w:asciiTheme="minorHAnsi" w:hAnsiTheme="minorHAnsi"/>
          <w:sz w:val="24"/>
          <w:szCs w:val="24"/>
        </w:rPr>
        <w:t xml:space="preserve"> </w:t>
      </w:r>
      <w:r w:rsidR="003B4072" w:rsidRPr="00AD4948">
        <w:rPr>
          <w:rFonts w:asciiTheme="minorHAnsi" w:hAnsiTheme="minorHAnsi"/>
          <w:sz w:val="24"/>
          <w:szCs w:val="24"/>
        </w:rPr>
        <w:t xml:space="preserve">Trial 3614 </w:t>
      </w:r>
      <w:r w:rsidRPr="00AD4948">
        <w:rPr>
          <w:rFonts w:asciiTheme="minorHAnsi" w:hAnsiTheme="minorHAnsi"/>
          <w:sz w:val="24"/>
          <w:szCs w:val="24"/>
        </w:rPr>
        <w:t xml:space="preserve">was a 12 week, randomised, </w:t>
      </w:r>
      <w:r w:rsidR="00AD4948" w:rsidRPr="00AD4948">
        <w:rPr>
          <w:rFonts w:asciiTheme="minorHAnsi" w:hAnsiTheme="minorHAnsi"/>
          <w:sz w:val="24"/>
          <w:szCs w:val="24"/>
        </w:rPr>
        <w:t>double blind</w:t>
      </w:r>
      <w:r w:rsidR="001D408C" w:rsidRPr="00AD4948">
        <w:rPr>
          <w:rFonts w:asciiTheme="minorHAnsi" w:hAnsiTheme="minorHAnsi"/>
          <w:sz w:val="24"/>
          <w:szCs w:val="24"/>
        </w:rPr>
        <w:t>, placebo-controlled</w:t>
      </w:r>
      <w:r w:rsidRPr="00AD4948">
        <w:rPr>
          <w:rFonts w:asciiTheme="minorHAnsi" w:hAnsiTheme="minorHAnsi"/>
          <w:sz w:val="24"/>
          <w:szCs w:val="24"/>
        </w:rPr>
        <w:t xml:space="preserve"> study of three different doses of </w:t>
      </w:r>
      <w:proofErr w:type="spellStart"/>
      <w:r w:rsidRPr="00AD4948">
        <w:rPr>
          <w:rFonts w:asciiTheme="minorHAnsi" w:hAnsiTheme="minorHAnsi"/>
          <w:sz w:val="24"/>
          <w:szCs w:val="24"/>
        </w:rPr>
        <w:t>pegvisomant</w:t>
      </w:r>
      <w:proofErr w:type="spellEnd"/>
      <w:r w:rsidR="001D408C" w:rsidRPr="00AD4948">
        <w:rPr>
          <w:rFonts w:asciiTheme="minorHAnsi" w:hAnsiTheme="minorHAnsi"/>
          <w:sz w:val="24"/>
          <w:szCs w:val="24"/>
        </w:rPr>
        <w:t xml:space="preserve"> in patients with uncontrolled acromegaly</w:t>
      </w:r>
      <w:r w:rsidR="003B4072" w:rsidRPr="00AD4948">
        <w:rPr>
          <w:rFonts w:asciiTheme="minorHAnsi" w:hAnsiTheme="minorHAnsi"/>
          <w:sz w:val="24"/>
          <w:szCs w:val="24"/>
        </w:rPr>
        <w:t xml:space="preserve">. </w:t>
      </w:r>
      <w:r w:rsidRPr="00AD4948">
        <w:rPr>
          <w:rFonts w:asciiTheme="minorHAnsi" w:hAnsiTheme="minorHAnsi"/>
          <w:sz w:val="24"/>
          <w:szCs w:val="24"/>
        </w:rPr>
        <w:t xml:space="preserve">The </w:t>
      </w:r>
      <w:r w:rsidR="006B22A0" w:rsidRPr="00AD4948">
        <w:rPr>
          <w:rFonts w:asciiTheme="minorHAnsi" w:hAnsiTheme="minorHAnsi"/>
          <w:sz w:val="24"/>
          <w:szCs w:val="24"/>
        </w:rPr>
        <w:t>PBAC</w:t>
      </w:r>
      <w:r w:rsidRPr="00AD4948">
        <w:rPr>
          <w:rFonts w:asciiTheme="minorHAnsi" w:hAnsiTheme="minorHAnsi"/>
          <w:sz w:val="24"/>
          <w:szCs w:val="24"/>
        </w:rPr>
        <w:t xml:space="preserve"> considered that the representativeness of the subgroup </w:t>
      </w:r>
      <w:r w:rsidR="00793949" w:rsidRPr="00AD4948">
        <w:rPr>
          <w:rFonts w:asciiTheme="minorHAnsi" w:hAnsiTheme="minorHAnsi"/>
          <w:sz w:val="24"/>
          <w:szCs w:val="24"/>
        </w:rPr>
        <w:t xml:space="preserve">in Trial 3614 </w:t>
      </w:r>
      <w:r w:rsidRPr="00AD4948">
        <w:rPr>
          <w:rFonts w:asciiTheme="minorHAnsi" w:hAnsiTheme="minorHAnsi"/>
          <w:sz w:val="24"/>
          <w:szCs w:val="24"/>
        </w:rPr>
        <w:t xml:space="preserve">to the requested </w:t>
      </w:r>
      <w:r w:rsidRPr="00AD4948">
        <w:rPr>
          <w:rFonts w:asciiTheme="minorHAnsi" w:hAnsiTheme="minorHAnsi"/>
          <w:sz w:val="24"/>
          <w:szCs w:val="24"/>
        </w:rPr>
        <w:lastRenderedPageBreak/>
        <w:t xml:space="preserve">PBS population </w:t>
      </w:r>
      <w:r w:rsidR="00A00993" w:rsidRPr="00AD4948">
        <w:rPr>
          <w:rFonts w:asciiTheme="minorHAnsi" w:hAnsiTheme="minorHAnsi"/>
          <w:sz w:val="24"/>
          <w:szCs w:val="24"/>
        </w:rPr>
        <w:t xml:space="preserve">was </w:t>
      </w:r>
      <w:r w:rsidRPr="00AD4948">
        <w:rPr>
          <w:rFonts w:asciiTheme="minorHAnsi" w:hAnsiTheme="minorHAnsi"/>
          <w:sz w:val="24"/>
          <w:szCs w:val="24"/>
        </w:rPr>
        <w:t>unclear.</w:t>
      </w:r>
      <w:r w:rsidR="003B4072" w:rsidRPr="00AD4948">
        <w:rPr>
          <w:rFonts w:asciiTheme="minorHAnsi" w:hAnsiTheme="minorHAnsi"/>
          <w:sz w:val="24"/>
          <w:szCs w:val="24"/>
        </w:rPr>
        <w:t xml:space="preserve"> Gadelha </w:t>
      </w:r>
      <w:r w:rsidR="001D408C" w:rsidRPr="00AD4948">
        <w:rPr>
          <w:rFonts w:asciiTheme="minorHAnsi" w:hAnsiTheme="minorHAnsi"/>
          <w:sz w:val="24"/>
          <w:szCs w:val="24"/>
        </w:rPr>
        <w:t>was a randomised, partially blinded, active controlled study in acromegaly patients inadequately controlled on octreotide</w:t>
      </w:r>
      <w:r w:rsidR="006B22A0" w:rsidRPr="00AD4948">
        <w:rPr>
          <w:rFonts w:asciiTheme="minorHAnsi" w:hAnsiTheme="minorHAnsi"/>
          <w:sz w:val="24"/>
          <w:szCs w:val="24"/>
        </w:rPr>
        <w:t xml:space="preserve"> LAR or </w:t>
      </w:r>
      <w:proofErr w:type="spellStart"/>
      <w:r w:rsidR="006B22A0" w:rsidRPr="00AD4948">
        <w:rPr>
          <w:rFonts w:asciiTheme="minorHAnsi" w:hAnsiTheme="minorHAnsi"/>
          <w:sz w:val="24"/>
          <w:szCs w:val="24"/>
        </w:rPr>
        <w:t>lanreotide</w:t>
      </w:r>
      <w:proofErr w:type="spellEnd"/>
      <w:r w:rsidR="006B22A0" w:rsidRPr="00AD4948">
        <w:rPr>
          <w:rFonts w:asciiTheme="minorHAnsi" w:hAnsiTheme="minorHAnsi"/>
          <w:sz w:val="24"/>
          <w:szCs w:val="24"/>
        </w:rPr>
        <w:t xml:space="preserve"> ATG. The PBAC </w:t>
      </w:r>
      <w:r w:rsidR="001D408C" w:rsidRPr="00AD4948">
        <w:rPr>
          <w:rFonts w:asciiTheme="minorHAnsi" w:hAnsiTheme="minorHAnsi"/>
          <w:sz w:val="24"/>
          <w:szCs w:val="24"/>
        </w:rPr>
        <w:t xml:space="preserve">considered the patient population in the </w:t>
      </w:r>
      <w:proofErr w:type="spellStart"/>
      <w:r w:rsidR="001D408C" w:rsidRPr="00AD4948">
        <w:rPr>
          <w:rFonts w:asciiTheme="minorHAnsi" w:hAnsiTheme="minorHAnsi"/>
          <w:sz w:val="24"/>
          <w:szCs w:val="24"/>
        </w:rPr>
        <w:t>pas</w:t>
      </w:r>
      <w:r w:rsidR="00216BE3" w:rsidRPr="00AD4948">
        <w:rPr>
          <w:rFonts w:asciiTheme="minorHAnsi" w:hAnsiTheme="minorHAnsi"/>
          <w:sz w:val="24"/>
          <w:szCs w:val="24"/>
        </w:rPr>
        <w:t>i</w:t>
      </w:r>
      <w:r w:rsidR="001D408C" w:rsidRPr="00AD4948">
        <w:rPr>
          <w:rFonts w:asciiTheme="minorHAnsi" w:hAnsiTheme="minorHAnsi"/>
          <w:sz w:val="24"/>
          <w:szCs w:val="24"/>
        </w:rPr>
        <w:t>reotide</w:t>
      </w:r>
      <w:proofErr w:type="spellEnd"/>
      <w:r w:rsidR="001D408C" w:rsidRPr="00AD4948">
        <w:rPr>
          <w:rFonts w:asciiTheme="minorHAnsi" w:hAnsiTheme="minorHAnsi"/>
          <w:sz w:val="24"/>
          <w:szCs w:val="24"/>
        </w:rPr>
        <w:t xml:space="preserve"> study was more consistent with the requested PBS restriction and the inclusion criteria of this study forms the basis of the current criteria for </w:t>
      </w:r>
      <w:proofErr w:type="spellStart"/>
      <w:r w:rsidR="001D408C" w:rsidRPr="00AD4948">
        <w:rPr>
          <w:rFonts w:asciiTheme="minorHAnsi" w:hAnsiTheme="minorHAnsi"/>
          <w:sz w:val="24"/>
          <w:szCs w:val="24"/>
        </w:rPr>
        <w:t>pegvisomant</w:t>
      </w:r>
      <w:proofErr w:type="spellEnd"/>
      <w:r w:rsidR="001D408C" w:rsidRPr="00AD4948">
        <w:rPr>
          <w:rFonts w:asciiTheme="minorHAnsi" w:hAnsiTheme="minorHAnsi"/>
          <w:sz w:val="24"/>
          <w:szCs w:val="24"/>
        </w:rPr>
        <w:t xml:space="preserve"> and </w:t>
      </w:r>
      <w:proofErr w:type="spellStart"/>
      <w:r w:rsidR="001D408C" w:rsidRPr="00AD4948">
        <w:rPr>
          <w:rFonts w:asciiTheme="minorHAnsi" w:hAnsiTheme="minorHAnsi"/>
          <w:sz w:val="24"/>
          <w:szCs w:val="24"/>
        </w:rPr>
        <w:t>pasireotide</w:t>
      </w:r>
      <w:proofErr w:type="spellEnd"/>
      <w:r w:rsidR="001D408C" w:rsidRPr="00AD4948">
        <w:rPr>
          <w:rFonts w:asciiTheme="minorHAnsi" w:hAnsiTheme="minorHAnsi"/>
          <w:sz w:val="24"/>
          <w:szCs w:val="24"/>
        </w:rPr>
        <w:t xml:space="preserve">. </w:t>
      </w:r>
    </w:p>
    <w:p w:rsidR="00D604C6" w:rsidRPr="00AD4948" w:rsidRDefault="00D16745" w:rsidP="000E7F34">
      <w:pPr>
        <w:pStyle w:val="ListParagraph"/>
        <w:widowControl/>
        <w:numPr>
          <w:ilvl w:val="1"/>
          <w:numId w:val="14"/>
        </w:numPr>
        <w:spacing w:before="120" w:after="120"/>
        <w:rPr>
          <w:rFonts w:asciiTheme="minorHAnsi" w:hAnsiTheme="minorHAnsi" w:cstheme="minorHAnsi"/>
          <w:sz w:val="24"/>
          <w:szCs w:val="24"/>
        </w:rPr>
      </w:pPr>
      <w:r w:rsidRPr="00AD4948">
        <w:rPr>
          <w:rFonts w:asciiTheme="minorHAnsi" w:hAnsiTheme="minorHAnsi" w:cstheme="minorHAnsi"/>
          <w:sz w:val="24"/>
          <w:szCs w:val="24"/>
        </w:rPr>
        <w:t>Table 1</w:t>
      </w:r>
      <w:r w:rsidR="00D604C6" w:rsidRPr="00AD4948">
        <w:rPr>
          <w:rFonts w:asciiTheme="minorHAnsi" w:hAnsiTheme="minorHAnsi" w:cstheme="minorHAnsi"/>
          <w:sz w:val="24"/>
          <w:szCs w:val="24"/>
        </w:rPr>
        <w:t xml:space="preserve"> </w:t>
      </w:r>
      <w:r w:rsidR="004A2A72" w:rsidRPr="00AD4948">
        <w:rPr>
          <w:rFonts w:asciiTheme="minorHAnsi" w:hAnsiTheme="minorHAnsi" w:cstheme="minorHAnsi"/>
          <w:sz w:val="24"/>
          <w:szCs w:val="24"/>
        </w:rPr>
        <w:t xml:space="preserve">presents the proportion of patients who achieved normalisation of IGF-1 concentrations in the overall population and PBS subgroup of Trial 3614 considered at the November 2016 PBAC meeting. </w:t>
      </w:r>
      <w:r w:rsidR="007C196D" w:rsidRPr="00AD4948">
        <w:rPr>
          <w:rFonts w:asciiTheme="minorHAnsi" w:hAnsiTheme="minorHAnsi" w:cstheme="minorHAnsi"/>
          <w:sz w:val="24"/>
          <w:szCs w:val="24"/>
        </w:rPr>
        <w:t xml:space="preserve">There were statistically significant differences between the placebo and </w:t>
      </w:r>
      <w:proofErr w:type="spellStart"/>
      <w:r w:rsidR="007C196D" w:rsidRPr="00AD4948">
        <w:rPr>
          <w:rFonts w:asciiTheme="minorHAnsi" w:hAnsiTheme="minorHAnsi" w:cstheme="minorHAnsi"/>
          <w:sz w:val="24"/>
          <w:szCs w:val="24"/>
        </w:rPr>
        <w:t>pegvisomant</w:t>
      </w:r>
      <w:proofErr w:type="spellEnd"/>
      <w:r w:rsidR="007C196D" w:rsidRPr="00AD4948">
        <w:rPr>
          <w:rFonts w:asciiTheme="minorHAnsi" w:hAnsiTheme="minorHAnsi" w:cstheme="minorHAnsi"/>
          <w:sz w:val="24"/>
          <w:szCs w:val="24"/>
        </w:rPr>
        <w:t xml:space="preserve"> 15 mg and 20 mg groups for both the overall population and the PBS subgroup in the number of patients with normalised IGF-1 levels at week 12. The difference between the placebo and </w:t>
      </w:r>
      <w:proofErr w:type="spellStart"/>
      <w:r w:rsidR="007C196D" w:rsidRPr="00AD4948">
        <w:rPr>
          <w:rFonts w:asciiTheme="minorHAnsi" w:hAnsiTheme="minorHAnsi" w:cstheme="minorHAnsi"/>
          <w:sz w:val="24"/>
          <w:szCs w:val="24"/>
        </w:rPr>
        <w:t>pegvisomant</w:t>
      </w:r>
      <w:proofErr w:type="spellEnd"/>
      <w:r w:rsidR="007C196D" w:rsidRPr="00AD4948">
        <w:rPr>
          <w:rFonts w:asciiTheme="minorHAnsi" w:hAnsiTheme="minorHAnsi" w:cstheme="minorHAnsi"/>
          <w:sz w:val="24"/>
          <w:szCs w:val="24"/>
        </w:rPr>
        <w:t xml:space="preserve"> 10 mg group </w:t>
      </w:r>
      <w:proofErr w:type="gramStart"/>
      <w:r w:rsidR="007C196D" w:rsidRPr="00AD4948">
        <w:rPr>
          <w:rFonts w:asciiTheme="minorHAnsi" w:hAnsiTheme="minorHAnsi" w:cstheme="minorHAnsi"/>
          <w:sz w:val="24"/>
          <w:szCs w:val="24"/>
        </w:rPr>
        <w:t>was found</w:t>
      </w:r>
      <w:proofErr w:type="gramEnd"/>
      <w:r w:rsidR="007C196D" w:rsidRPr="00AD4948">
        <w:rPr>
          <w:rFonts w:asciiTheme="minorHAnsi" w:hAnsiTheme="minorHAnsi" w:cstheme="minorHAnsi"/>
          <w:sz w:val="24"/>
          <w:szCs w:val="24"/>
        </w:rPr>
        <w:t xml:space="preserve"> to be statistically significant for the overall population </w:t>
      </w:r>
      <w:r w:rsidR="00A00993" w:rsidRPr="00AD4948">
        <w:rPr>
          <w:rFonts w:asciiTheme="minorHAnsi" w:hAnsiTheme="minorHAnsi" w:cstheme="minorHAnsi"/>
          <w:sz w:val="24"/>
          <w:szCs w:val="24"/>
        </w:rPr>
        <w:t>but</w:t>
      </w:r>
      <w:r w:rsidR="007C196D" w:rsidRPr="00AD4948">
        <w:rPr>
          <w:rFonts w:asciiTheme="minorHAnsi" w:hAnsiTheme="minorHAnsi" w:cstheme="minorHAnsi"/>
          <w:sz w:val="24"/>
          <w:szCs w:val="24"/>
        </w:rPr>
        <w:t xml:space="preserve"> not the PBS subgroup</w:t>
      </w:r>
      <w:r w:rsidR="006B22A0" w:rsidRPr="00AD4948">
        <w:rPr>
          <w:rFonts w:asciiTheme="minorHAnsi" w:hAnsiTheme="minorHAnsi" w:cstheme="minorHAnsi"/>
          <w:sz w:val="24"/>
          <w:szCs w:val="24"/>
        </w:rPr>
        <w:t>.</w:t>
      </w:r>
    </w:p>
    <w:p w:rsidR="00D604C6" w:rsidRPr="00AD4948" w:rsidRDefault="00D604C6" w:rsidP="00D604C6">
      <w:pPr>
        <w:ind w:left="709"/>
        <w:rPr>
          <w:rStyle w:val="CommentReference"/>
          <w:rFonts w:ascii="Arial Narrow" w:hAnsi="Arial Narrow"/>
          <w:b/>
          <w:sz w:val="20"/>
          <w:szCs w:val="20"/>
        </w:rPr>
      </w:pPr>
      <w:bookmarkStart w:id="0" w:name="_GoBack"/>
      <w:bookmarkEnd w:id="0"/>
      <w:r w:rsidRPr="00AD4948">
        <w:rPr>
          <w:rStyle w:val="CommentReference"/>
          <w:rFonts w:ascii="Arial Narrow" w:hAnsi="Arial Narrow"/>
          <w:b/>
          <w:sz w:val="20"/>
          <w:szCs w:val="20"/>
        </w:rPr>
        <w:t xml:space="preserve">Table </w:t>
      </w:r>
      <w:r w:rsidR="00D16745" w:rsidRPr="00AD4948">
        <w:rPr>
          <w:rStyle w:val="CommentReference"/>
          <w:rFonts w:ascii="Arial Narrow" w:hAnsi="Arial Narrow"/>
          <w:b/>
          <w:sz w:val="20"/>
          <w:szCs w:val="20"/>
        </w:rPr>
        <w:t>1</w:t>
      </w:r>
      <w:r w:rsidRPr="00AD4948">
        <w:rPr>
          <w:rStyle w:val="CommentReference"/>
          <w:rFonts w:ascii="Arial Narrow" w:hAnsi="Arial Narrow"/>
          <w:b/>
          <w:sz w:val="20"/>
          <w:szCs w:val="20"/>
        </w:rPr>
        <w:t>: Patients with IGF-1 normalisation at Week 12, Trial 3614 overall subjects and PBS subgroup</w:t>
      </w:r>
    </w:p>
    <w:tbl>
      <w:tblPr>
        <w:tblW w:w="8363" w:type="dxa"/>
        <w:tblInd w:w="729" w:type="dxa"/>
        <w:tblLayout w:type="fixed"/>
        <w:tblCellMar>
          <w:left w:w="0" w:type="dxa"/>
          <w:right w:w="0" w:type="dxa"/>
        </w:tblCellMar>
        <w:tblLook w:val="0000" w:firstRow="0" w:lastRow="0" w:firstColumn="0" w:lastColumn="0" w:noHBand="0" w:noVBand="0"/>
      </w:tblPr>
      <w:tblGrid>
        <w:gridCol w:w="2268"/>
        <w:gridCol w:w="1276"/>
        <w:gridCol w:w="1606"/>
        <w:gridCol w:w="1606"/>
        <w:gridCol w:w="1607"/>
      </w:tblGrid>
      <w:tr w:rsidR="00D604C6" w:rsidRPr="00AD4948" w:rsidTr="00AF7D50">
        <w:trPr>
          <w:cantSplit/>
          <w:tblHeader/>
        </w:trPr>
        <w:tc>
          <w:tcPr>
            <w:tcW w:w="2268" w:type="dxa"/>
            <w:vMerge w:val="restart"/>
            <w:tcBorders>
              <w:top w:val="single" w:sz="4" w:space="0" w:color="auto"/>
              <w:left w:val="single" w:sz="2" w:space="0" w:color="000000"/>
              <w:right w:val="nil"/>
            </w:tcBorders>
            <w:shd w:val="clear" w:color="auto" w:fill="auto"/>
            <w:tcMar>
              <w:left w:w="20" w:type="dxa"/>
              <w:right w:w="20" w:type="dxa"/>
            </w:tcMar>
            <w:vAlign w:val="center"/>
          </w:tcPr>
          <w:p w:rsidR="00D604C6" w:rsidRPr="00AD4948" w:rsidRDefault="00D604C6" w:rsidP="00AF7D50">
            <w:pPr>
              <w:rPr>
                <w:rFonts w:ascii="Arial Narrow" w:hAnsi="Arial Narrow"/>
                <w:b/>
                <w:sz w:val="20"/>
              </w:rPr>
            </w:pPr>
            <w:r w:rsidRPr="00AD4948">
              <w:rPr>
                <w:rFonts w:ascii="Arial Narrow" w:hAnsi="Arial Narrow"/>
                <w:b/>
                <w:sz w:val="20"/>
              </w:rPr>
              <w:t>IGF-1 normalisation</w:t>
            </w:r>
          </w:p>
        </w:tc>
        <w:tc>
          <w:tcPr>
            <w:tcW w:w="1276" w:type="dxa"/>
            <w:vMerge w:val="restart"/>
            <w:tcBorders>
              <w:top w:val="single" w:sz="4" w:space="0" w:color="auto"/>
              <w:left w:val="single" w:sz="2" w:space="0" w:color="000000"/>
              <w:right w:val="nil"/>
            </w:tcBorders>
            <w:shd w:val="clear" w:color="auto" w:fill="auto"/>
            <w:tcMar>
              <w:left w:w="20" w:type="dxa"/>
              <w:right w:w="20" w:type="dxa"/>
            </w:tcMar>
            <w:vAlign w:val="center"/>
          </w:tcPr>
          <w:p w:rsidR="00D604C6" w:rsidRPr="00AD4948" w:rsidRDefault="00D604C6" w:rsidP="00AF7D50">
            <w:pPr>
              <w:jc w:val="center"/>
              <w:rPr>
                <w:rFonts w:ascii="Arial Narrow" w:hAnsi="Arial Narrow"/>
                <w:b/>
                <w:sz w:val="20"/>
              </w:rPr>
            </w:pPr>
            <w:r w:rsidRPr="00AD4948">
              <w:rPr>
                <w:rFonts w:ascii="Arial Narrow" w:hAnsi="Arial Narrow"/>
                <w:b/>
                <w:sz w:val="20"/>
              </w:rPr>
              <w:t>Placebo</w:t>
            </w:r>
          </w:p>
        </w:tc>
        <w:tc>
          <w:tcPr>
            <w:tcW w:w="4819" w:type="dxa"/>
            <w:gridSpan w:val="3"/>
            <w:tcBorders>
              <w:top w:val="single" w:sz="4" w:space="0" w:color="auto"/>
              <w:left w:val="single" w:sz="2" w:space="0" w:color="000000"/>
              <w:bottom w:val="single" w:sz="2" w:space="0" w:color="000000"/>
              <w:right w:val="single" w:sz="2" w:space="0" w:color="000000"/>
            </w:tcBorders>
            <w:shd w:val="clear" w:color="auto" w:fill="auto"/>
            <w:tcMar>
              <w:left w:w="20" w:type="dxa"/>
              <w:right w:w="20" w:type="dxa"/>
            </w:tcMar>
            <w:vAlign w:val="center"/>
          </w:tcPr>
          <w:p w:rsidR="00D604C6" w:rsidRPr="00AD4948" w:rsidRDefault="00D604C6" w:rsidP="00AF7D50">
            <w:pPr>
              <w:jc w:val="center"/>
              <w:rPr>
                <w:rFonts w:ascii="Arial Narrow" w:hAnsi="Arial Narrow"/>
                <w:b/>
                <w:sz w:val="20"/>
              </w:rPr>
            </w:pPr>
            <w:proofErr w:type="spellStart"/>
            <w:r w:rsidRPr="00AD4948">
              <w:rPr>
                <w:rFonts w:ascii="Arial Narrow" w:hAnsi="Arial Narrow"/>
                <w:b/>
                <w:sz w:val="20"/>
              </w:rPr>
              <w:t>Pegvisomant</w:t>
            </w:r>
            <w:proofErr w:type="spellEnd"/>
          </w:p>
        </w:tc>
      </w:tr>
      <w:tr w:rsidR="00D604C6" w:rsidRPr="00AD4948" w:rsidTr="00AF7D50">
        <w:trPr>
          <w:cantSplit/>
          <w:tblHeader/>
        </w:trPr>
        <w:tc>
          <w:tcPr>
            <w:tcW w:w="2268" w:type="dxa"/>
            <w:vMerge/>
            <w:tcBorders>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rPr>
                <w:rFonts w:ascii="Arial Narrow" w:hAnsi="Arial Narrow"/>
                <w:b/>
                <w:sz w:val="20"/>
              </w:rPr>
            </w:pPr>
          </w:p>
        </w:tc>
        <w:tc>
          <w:tcPr>
            <w:tcW w:w="1276" w:type="dxa"/>
            <w:vMerge/>
            <w:tcBorders>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jc w:val="center"/>
              <w:rPr>
                <w:rFonts w:ascii="Arial Narrow" w:hAnsi="Arial Narrow"/>
                <w:b/>
                <w:sz w:val="20"/>
              </w:rPr>
            </w:pP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jc w:val="center"/>
              <w:rPr>
                <w:rFonts w:ascii="Arial Narrow" w:hAnsi="Arial Narrow"/>
                <w:b/>
                <w:sz w:val="20"/>
              </w:rPr>
            </w:pPr>
            <w:r w:rsidRPr="00AD4948">
              <w:rPr>
                <w:rFonts w:ascii="Arial Narrow" w:hAnsi="Arial Narrow"/>
                <w:b/>
                <w:sz w:val="20"/>
              </w:rPr>
              <w:t>10 mg/day</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jc w:val="center"/>
              <w:rPr>
                <w:rFonts w:ascii="Arial Narrow" w:hAnsi="Arial Narrow"/>
                <w:b/>
                <w:sz w:val="20"/>
              </w:rPr>
            </w:pPr>
            <w:r w:rsidRPr="00AD4948">
              <w:rPr>
                <w:rFonts w:ascii="Arial Narrow" w:hAnsi="Arial Narrow"/>
                <w:b/>
                <w:sz w:val="20"/>
              </w:rPr>
              <w:t>15 mg/day</w:t>
            </w:r>
          </w:p>
        </w:tc>
        <w:tc>
          <w:tcPr>
            <w:tcW w:w="1607" w:type="dxa"/>
            <w:tcBorders>
              <w:top w:val="nil"/>
              <w:left w:val="single" w:sz="2" w:space="0" w:color="000000"/>
              <w:bottom w:val="single" w:sz="2" w:space="0" w:color="000000"/>
              <w:right w:val="single" w:sz="2" w:space="0" w:color="000000"/>
            </w:tcBorders>
            <w:shd w:val="clear" w:color="auto" w:fill="auto"/>
            <w:tcMar>
              <w:left w:w="20" w:type="dxa"/>
              <w:right w:w="20" w:type="dxa"/>
            </w:tcMar>
            <w:vAlign w:val="center"/>
          </w:tcPr>
          <w:p w:rsidR="00D604C6" w:rsidRPr="00AD4948" w:rsidRDefault="00D604C6" w:rsidP="00AF7D50">
            <w:pPr>
              <w:jc w:val="center"/>
              <w:rPr>
                <w:rFonts w:ascii="Arial Narrow" w:hAnsi="Arial Narrow"/>
                <w:b/>
                <w:sz w:val="20"/>
              </w:rPr>
            </w:pPr>
            <w:r w:rsidRPr="00AD4948">
              <w:rPr>
                <w:rFonts w:ascii="Arial Narrow" w:hAnsi="Arial Narrow"/>
                <w:b/>
                <w:sz w:val="20"/>
              </w:rPr>
              <w:t>20 mg/day</w:t>
            </w:r>
          </w:p>
        </w:tc>
      </w:tr>
      <w:tr w:rsidR="00D604C6" w:rsidRPr="00AD4948" w:rsidTr="00AF7D50">
        <w:trPr>
          <w:cantSplit/>
        </w:trPr>
        <w:tc>
          <w:tcPr>
            <w:tcW w:w="8363" w:type="dxa"/>
            <w:gridSpan w:val="5"/>
            <w:tcBorders>
              <w:top w:val="nil"/>
              <w:left w:val="single" w:sz="2" w:space="0" w:color="000000"/>
              <w:bottom w:val="single" w:sz="2" w:space="0" w:color="000000"/>
              <w:right w:val="single" w:sz="4" w:space="0" w:color="auto"/>
            </w:tcBorders>
            <w:shd w:val="clear" w:color="auto" w:fill="auto"/>
            <w:tcMar>
              <w:left w:w="20" w:type="dxa"/>
              <w:right w:w="20" w:type="dxa"/>
            </w:tcMar>
            <w:vAlign w:val="center"/>
          </w:tcPr>
          <w:p w:rsidR="00D604C6" w:rsidRPr="00AD4948" w:rsidRDefault="00D604C6" w:rsidP="00AF7D50">
            <w:pPr>
              <w:rPr>
                <w:rFonts w:ascii="Arial Narrow" w:hAnsi="Arial Narrow"/>
                <w:sz w:val="20"/>
              </w:rPr>
            </w:pPr>
            <w:r w:rsidRPr="00AD4948">
              <w:rPr>
                <w:rFonts w:ascii="Arial Narrow" w:hAnsi="Arial Narrow"/>
                <w:b/>
                <w:sz w:val="20"/>
              </w:rPr>
              <w:t>Overall population (ITT)</w:t>
            </w:r>
          </w:p>
        </w:tc>
      </w:tr>
      <w:tr w:rsidR="00D604C6" w:rsidRPr="00AD4948" w:rsidTr="00AF7D50">
        <w:trPr>
          <w:cantSplit/>
        </w:trPr>
        <w:tc>
          <w:tcPr>
            <w:tcW w:w="2268"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rPr>
                <w:rFonts w:ascii="Arial Narrow" w:hAnsi="Arial Narrow"/>
                <w:sz w:val="20"/>
              </w:rPr>
            </w:pPr>
            <w:r w:rsidRPr="00AD4948">
              <w:rPr>
                <w:rFonts w:ascii="Arial Narrow" w:hAnsi="Arial Narrow"/>
                <w:sz w:val="20"/>
              </w:rPr>
              <w:t>At week 12, n/N (%)</w:t>
            </w:r>
          </w:p>
        </w:tc>
        <w:tc>
          <w:tcPr>
            <w:tcW w:w="1276"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jc w:val="center"/>
              <w:rPr>
                <w:rFonts w:ascii="Arial Narrow" w:hAnsi="Arial Narrow"/>
                <w:sz w:val="20"/>
              </w:rPr>
            </w:pPr>
            <w:r w:rsidRPr="00AD4948">
              <w:rPr>
                <w:rFonts w:ascii="Arial Narrow" w:hAnsi="Arial Narrow"/>
                <w:sz w:val="20"/>
              </w:rPr>
              <w:t>3/31 (9.7)</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jc w:val="center"/>
              <w:rPr>
                <w:rFonts w:ascii="Arial Narrow" w:hAnsi="Arial Narrow"/>
                <w:sz w:val="20"/>
              </w:rPr>
            </w:pPr>
            <w:r w:rsidRPr="00AD4948">
              <w:rPr>
                <w:rFonts w:ascii="Arial Narrow" w:hAnsi="Arial Narrow"/>
                <w:sz w:val="20"/>
              </w:rPr>
              <w:t>10/26 (38.5)</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jc w:val="center"/>
              <w:rPr>
                <w:rFonts w:ascii="Arial Narrow" w:hAnsi="Arial Narrow"/>
                <w:sz w:val="20"/>
              </w:rPr>
            </w:pPr>
            <w:r w:rsidRPr="00AD4948">
              <w:rPr>
                <w:rFonts w:ascii="Arial Narrow" w:hAnsi="Arial Narrow"/>
                <w:sz w:val="20"/>
              </w:rPr>
              <w:t>18/26 (75.0)</w:t>
            </w:r>
          </w:p>
        </w:tc>
        <w:tc>
          <w:tcPr>
            <w:tcW w:w="1607" w:type="dxa"/>
            <w:tcBorders>
              <w:top w:val="nil"/>
              <w:left w:val="single" w:sz="2" w:space="0" w:color="000000"/>
              <w:bottom w:val="single" w:sz="2" w:space="0" w:color="000000"/>
              <w:right w:val="single" w:sz="2" w:space="0" w:color="000000"/>
            </w:tcBorders>
            <w:shd w:val="clear" w:color="auto" w:fill="auto"/>
            <w:tcMar>
              <w:left w:w="20" w:type="dxa"/>
              <w:right w:w="20" w:type="dxa"/>
            </w:tcMar>
            <w:vAlign w:val="center"/>
          </w:tcPr>
          <w:p w:rsidR="00D604C6" w:rsidRPr="00AD4948" w:rsidRDefault="00D604C6" w:rsidP="00AF7D50">
            <w:pPr>
              <w:jc w:val="center"/>
              <w:rPr>
                <w:rFonts w:ascii="Arial Narrow" w:hAnsi="Arial Narrow"/>
                <w:sz w:val="20"/>
              </w:rPr>
            </w:pPr>
            <w:r w:rsidRPr="00AD4948">
              <w:rPr>
                <w:rFonts w:ascii="Arial Narrow" w:hAnsi="Arial Narrow"/>
                <w:sz w:val="20"/>
              </w:rPr>
              <w:t>23/28 (82.1)</w:t>
            </w:r>
          </w:p>
        </w:tc>
      </w:tr>
      <w:tr w:rsidR="00D604C6" w:rsidRPr="00AD4948" w:rsidTr="00AF7D50">
        <w:trPr>
          <w:cantSplit/>
        </w:trPr>
        <w:tc>
          <w:tcPr>
            <w:tcW w:w="2268"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rPr>
                <w:rFonts w:ascii="Arial Narrow" w:hAnsi="Arial Narrow"/>
                <w:sz w:val="20"/>
              </w:rPr>
            </w:pPr>
            <w:r w:rsidRPr="00AD4948">
              <w:rPr>
                <w:rFonts w:ascii="Arial Narrow" w:hAnsi="Arial Narrow"/>
                <w:sz w:val="20"/>
              </w:rPr>
              <w:t>P-value vs placebo</w:t>
            </w:r>
          </w:p>
        </w:tc>
        <w:tc>
          <w:tcPr>
            <w:tcW w:w="1276"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jc w:val="center"/>
              <w:rPr>
                <w:rFonts w:ascii="Arial Narrow" w:hAnsi="Arial Narrow"/>
                <w:sz w:val="20"/>
              </w:rPr>
            </w:pPr>
            <w:r w:rsidRPr="00AD4948">
              <w:rPr>
                <w:rFonts w:ascii="Arial Narrow" w:hAnsi="Arial Narrow"/>
                <w:sz w:val="20"/>
              </w:rPr>
              <w:t>-</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jc w:val="center"/>
              <w:rPr>
                <w:rFonts w:ascii="Arial Narrow" w:hAnsi="Arial Narrow"/>
                <w:sz w:val="20"/>
              </w:rPr>
            </w:pPr>
            <w:r w:rsidRPr="00AD4948">
              <w:rPr>
                <w:rFonts w:ascii="Arial Narrow" w:hAnsi="Arial Narrow"/>
                <w:sz w:val="20"/>
              </w:rPr>
              <w:t>p=0.0157</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jc w:val="center"/>
              <w:rPr>
                <w:rFonts w:ascii="Arial Narrow" w:hAnsi="Arial Narrow"/>
                <w:sz w:val="20"/>
              </w:rPr>
            </w:pPr>
            <w:r w:rsidRPr="00AD4948">
              <w:rPr>
                <w:rFonts w:ascii="Arial Narrow" w:hAnsi="Arial Narrow"/>
                <w:sz w:val="20"/>
              </w:rPr>
              <w:t>p=0.0001</w:t>
            </w:r>
          </w:p>
        </w:tc>
        <w:tc>
          <w:tcPr>
            <w:tcW w:w="1607" w:type="dxa"/>
            <w:tcBorders>
              <w:top w:val="nil"/>
              <w:left w:val="single" w:sz="2" w:space="0" w:color="000000"/>
              <w:bottom w:val="single" w:sz="2" w:space="0" w:color="000000"/>
              <w:right w:val="single" w:sz="2" w:space="0" w:color="000000"/>
            </w:tcBorders>
            <w:shd w:val="clear" w:color="auto" w:fill="auto"/>
            <w:tcMar>
              <w:left w:w="20" w:type="dxa"/>
              <w:right w:w="20" w:type="dxa"/>
            </w:tcMar>
            <w:vAlign w:val="center"/>
          </w:tcPr>
          <w:p w:rsidR="00D604C6" w:rsidRPr="00AD4948" w:rsidRDefault="00D604C6" w:rsidP="00AF7D50">
            <w:pPr>
              <w:jc w:val="center"/>
              <w:rPr>
                <w:rFonts w:ascii="Arial Narrow" w:hAnsi="Arial Narrow"/>
                <w:sz w:val="20"/>
              </w:rPr>
            </w:pPr>
            <w:r w:rsidRPr="00AD4948">
              <w:rPr>
                <w:rFonts w:ascii="Arial Narrow" w:hAnsi="Arial Narrow"/>
                <w:sz w:val="20"/>
              </w:rPr>
              <w:t>p=0.0001</w:t>
            </w:r>
          </w:p>
        </w:tc>
      </w:tr>
      <w:tr w:rsidR="00D604C6" w:rsidRPr="00AD4948" w:rsidTr="00AF7D50">
        <w:trPr>
          <w:cantSplit/>
        </w:trPr>
        <w:tc>
          <w:tcPr>
            <w:tcW w:w="8363" w:type="dxa"/>
            <w:gridSpan w:val="5"/>
            <w:tcBorders>
              <w:top w:val="nil"/>
              <w:left w:val="single" w:sz="2" w:space="0" w:color="000000"/>
              <w:bottom w:val="single" w:sz="2" w:space="0" w:color="000000"/>
              <w:right w:val="single" w:sz="4" w:space="0" w:color="auto"/>
            </w:tcBorders>
            <w:shd w:val="clear" w:color="auto" w:fill="auto"/>
            <w:tcMar>
              <w:left w:w="20" w:type="dxa"/>
              <w:right w:w="20" w:type="dxa"/>
            </w:tcMar>
            <w:vAlign w:val="center"/>
          </w:tcPr>
          <w:p w:rsidR="00D604C6" w:rsidRPr="00AD4948" w:rsidRDefault="00D604C6" w:rsidP="00AF7D50">
            <w:pPr>
              <w:rPr>
                <w:rFonts w:ascii="Arial Narrow" w:hAnsi="Arial Narrow"/>
                <w:b/>
                <w:sz w:val="20"/>
              </w:rPr>
            </w:pPr>
            <w:r w:rsidRPr="00AD4948">
              <w:rPr>
                <w:rFonts w:ascii="Arial Narrow" w:hAnsi="Arial Narrow"/>
                <w:b/>
                <w:sz w:val="20"/>
              </w:rPr>
              <w:t>PBS subgroup</w:t>
            </w:r>
          </w:p>
        </w:tc>
      </w:tr>
      <w:tr w:rsidR="00D604C6" w:rsidRPr="00AD4948" w:rsidTr="00AF7D50">
        <w:trPr>
          <w:cantSplit/>
        </w:trPr>
        <w:tc>
          <w:tcPr>
            <w:tcW w:w="2268"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rPr>
                <w:rFonts w:ascii="Arial Narrow" w:hAnsi="Arial Narrow"/>
                <w:sz w:val="20"/>
              </w:rPr>
            </w:pPr>
            <w:r w:rsidRPr="00AD4948">
              <w:rPr>
                <w:rFonts w:ascii="Arial Narrow" w:hAnsi="Arial Narrow"/>
                <w:sz w:val="20"/>
              </w:rPr>
              <w:t>At week 12, n/N (%)</w:t>
            </w:r>
          </w:p>
        </w:tc>
        <w:tc>
          <w:tcPr>
            <w:tcW w:w="1276"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jc w:val="center"/>
              <w:rPr>
                <w:rFonts w:ascii="Arial Narrow" w:hAnsi="Arial Narrow"/>
                <w:sz w:val="20"/>
              </w:rPr>
            </w:pPr>
            <w:r w:rsidRPr="00AD4948">
              <w:rPr>
                <w:rFonts w:ascii="Arial Narrow" w:hAnsi="Arial Narrow"/>
                <w:sz w:val="20"/>
              </w:rPr>
              <w:t>2/19 (10.5)</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jc w:val="center"/>
              <w:rPr>
                <w:rFonts w:ascii="Arial Narrow" w:hAnsi="Arial Narrow"/>
                <w:sz w:val="20"/>
              </w:rPr>
            </w:pPr>
            <w:r w:rsidRPr="00AD4948">
              <w:rPr>
                <w:rFonts w:ascii="Arial Narrow" w:hAnsi="Arial Narrow"/>
                <w:sz w:val="20"/>
              </w:rPr>
              <w:t>2/11 (18.2)</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jc w:val="center"/>
              <w:rPr>
                <w:rFonts w:ascii="Arial Narrow" w:hAnsi="Arial Narrow"/>
                <w:sz w:val="20"/>
              </w:rPr>
            </w:pPr>
            <w:r w:rsidRPr="00AD4948">
              <w:rPr>
                <w:rFonts w:ascii="Arial Narrow" w:hAnsi="Arial Narrow"/>
                <w:sz w:val="20"/>
              </w:rPr>
              <w:t>7/12 (58.3)</w:t>
            </w:r>
          </w:p>
        </w:tc>
        <w:tc>
          <w:tcPr>
            <w:tcW w:w="1607" w:type="dxa"/>
            <w:tcBorders>
              <w:top w:val="nil"/>
              <w:left w:val="single" w:sz="2" w:space="0" w:color="000000"/>
              <w:bottom w:val="single" w:sz="2" w:space="0" w:color="000000"/>
              <w:right w:val="single" w:sz="2" w:space="0" w:color="000000"/>
            </w:tcBorders>
            <w:shd w:val="clear" w:color="auto" w:fill="auto"/>
            <w:tcMar>
              <w:left w:w="20" w:type="dxa"/>
              <w:right w:w="20" w:type="dxa"/>
            </w:tcMar>
            <w:vAlign w:val="center"/>
          </w:tcPr>
          <w:p w:rsidR="00D604C6" w:rsidRPr="00AD4948" w:rsidRDefault="00D604C6" w:rsidP="00AF7D50">
            <w:pPr>
              <w:jc w:val="center"/>
              <w:rPr>
                <w:rFonts w:ascii="Arial Narrow" w:hAnsi="Arial Narrow"/>
                <w:sz w:val="20"/>
              </w:rPr>
            </w:pPr>
            <w:r w:rsidRPr="00AD4948">
              <w:rPr>
                <w:rFonts w:ascii="Arial Narrow" w:hAnsi="Arial Narrow"/>
                <w:sz w:val="20"/>
              </w:rPr>
              <w:t>14/18 (77.8)</w:t>
            </w:r>
          </w:p>
        </w:tc>
      </w:tr>
      <w:tr w:rsidR="00D604C6" w:rsidRPr="00AD4948" w:rsidTr="00AF7D50">
        <w:trPr>
          <w:cantSplit/>
        </w:trPr>
        <w:tc>
          <w:tcPr>
            <w:tcW w:w="2268"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rPr>
                <w:rFonts w:ascii="Arial Narrow" w:hAnsi="Arial Narrow"/>
                <w:sz w:val="20"/>
              </w:rPr>
            </w:pPr>
            <w:r w:rsidRPr="00AD4948">
              <w:rPr>
                <w:rFonts w:ascii="Arial Narrow" w:hAnsi="Arial Narrow"/>
                <w:sz w:val="20"/>
              </w:rPr>
              <w:t>Adjusted odds ratio (95% CI) vs placebo</w:t>
            </w:r>
          </w:p>
        </w:tc>
        <w:tc>
          <w:tcPr>
            <w:tcW w:w="1276"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jc w:val="center"/>
              <w:rPr>
                <w:rFonts w:ascii="Arial Narrow" w:hAnsi="Arial Narrow"/>
                <w:sz w:val="20"/>
              </w:rPr>
            </w:pPr>
            <w:r w:rsidRPr="00AD4948">
              <w:rPr>
                <w:rFonts w:ascii="Arial Narrow" w:hAnsi="Arial Narrow"/>
                <w:sz w:val="20"/>
              </w:rPr>
              <w:t>-</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jc w:val="center"/>
              <w:rPr>
                <w:rFonts w:ascii="Arial Narrow" w:hAnsi="Arial Narrow"/>
                <w:sz w:val="20"/>
              </w:rPr>
            </w:pPr>
            <w:r w:rsidRPr="00AD4948">
              <w:rPr>
                <w:rFonts w:ascii="Arial Narrow" w:hAnsi="Arial Narrow"/>
                <w:sz w:val="20"/>
              </w:rPr>
              <w:t>2.09 (0.1, 34.7)</w:t>
            </w:r>
          </w:p>
        </w:tc>
        <w:tc>
          <w:tcPr>
            <w:tcW w:w="1606" w:type="dxa"/>
            <w:tcBorders>
              <w:top w:val="nil"/>
              <w:left w:val="single" w:sz="2" w:space="0" w:color="000000"/>
              <w:bottom w:val="single" w:sz="2" w:space="0" w:color="000000"/>
              <w:right w:val="nil"/>
            </w:tcBorders>
            <w:shd w:val="clear" w:color="auto" w:fill="auto"/>
            <w:tcMar>
              <w:left w:w="20" w:type="dxa"/>
              <w:right w:w="20" w:type="dxa"/>
            </w:tcMar>
            <w:vAlign w:val="center"/>
          </w:tcPr>
          <w:p w:rsidR="00D604C6" w:rsidRPr="00AD4948" w:rsidRDefault="00D604C6" w:rsidP="00AF7D50">
            <w:pPr>
              <w:jc w:val="center"/>
              <w:rPr>
                <w:rFonts w:ascii="Arial Narrow" w:hAnsi="Arial Narrow"/>
                <w:sz w:val="20"/>
              </w:rPr>
            </w:pPr>
            <w:r w:rsidRPr="00AD4948">
              <w:rPr>
                <w:rFonts w:ascii="Arial Narrow" w:hAnsi="Arial Narrow"/>
                <w:sz w:val="20"/>
              </w:rPr>
              <w:t>11.64 (1.5, 164.2)</w:t>
            </w:r>
          </w:p>
        </w:tc>
        <w:tc>
          <w:tcPr>
            <w:tcW w:w="1607" w:type="dxa"/>
            <w:tcBorders>
              <w:top w:val="nil"/>
              <w:left w:val="single" w:sz="2" w:space="0" w:color="000000"/>
              <w:bottom w:val="single" w:sz="2" w:space="0" w:color="000000"/>
              <w:right w:val="single" w:sz="2" w:space="0" w:color="000000"/>
            </w:tcBorders>
            <w:shd w:val="clear" w:color="auto" w:fill="auto"/>
            <w:tcMar>
              <w:left w:w="20" w:type="dxa"/>
              <w:right w:w="20" w:type="dxa"/>
            </w:tcMar>
            <w:vAlign w:val="center"/>
          </w:tcPr>
          <w:p w:rsidR="00D604C6" w:rsidRPr="00AD4948" w:rsidRDefault="00D604C6" w:rsidP="00AF7D50">
            <w:pPr>
              <w:jc w:val="center"/>
              <w:rPr>
                <w:rFonts w:ascii="Arial Narrow" w:hAnsi="Arial Narrow"/>
                <w:sz w:val="20"/>
              </w:rPr>
            </w:pPr>
            <w:r w:rsidRPr="00AD4948">
              <w:rPr>
                <w:rFonts w:ascii="Arial Narrow" w:hAnsi="Arial Narrow"/>
                <w:sz w:val="20"/>
              </w:rPr>
              <w:t>28.04 (3.8, 376.1)</w:t>
            </w:r>
          </w:p>
        </w:tc>
      </w:tr>
    </w:tbl>
    <w:p w:rsidR="00D604C6" w:rsidRPr="00AD4948" w:rsidRDefault="00D604C6" w:rsidP="00D604C6">
      <w:pPr>
        <w:pStyle w:val="TableFooter"/>
        <w:widowControl/>
        <w:ind w:left="709"/>
      </w:pPr>
      <w:r w:rsidRPr="00AD4948">
        <w:t xml:space="preserve">Note: Odds Ratios for PBS subgroup </w:t>
      </w:r>
      <w:proofErr w:type="gramStart"/>
      <w:r w:rsidRPr="00AD4948">
        <w:t>were estimated</w:t>
      </w:r>
      <w:proofErr w:type="gramEnd"/>
      <w:r w:rsidRPr="00AD4948">
        <w:t xml:space="preserve"> by exact logistic regression with treatment as factor, region (Europe/US) and baseline IGF-1 as covariates.</w:t>
      </w:r>
    </w:p>
    <w:p w:rsidR="00D604C6" w:rsidRPr="00AD4948" w:rsidRDefault="00D604C6" w:rsidP="00D604C6">
      <w:pPr>
        <w:pStyle w:val="TableFooter"/>
        <w:widowControl/>
        <w:tabs>
          <w:tab w:val="left" w:pos="5535"/>
        </w:tabs>
        <w:ind w:left="709"/>
      </w:pPr>
      <w:r w:rsidRPr="00AD4948">
        <w:t>Abbreviations: CI, confidence intervals</w:t>
      </w:r>
      <w:r w:rsidR="00A00993" w:rsidRPr="00AD4948">
        <w:t>; IGF-1, insulin-like growth factor 1;</w:t>
      </w:r>
      <w:r w:rsidR="00A00993" w:rsidRPr="00AD4948">
        <w:rPr>
          <w:rFonts w:asciiTheme="minorHAnsi" w:hAnsiTheme="minorHAnsi"/>
          <w:sz w:val="24"/>
          <w:szCs w:val="24"/>
        </w:rPr>
        <w:t xml:space="preserve"> </w:t>
      </w:r>
      <w:r w:rsidR="00A00993" w:rsidRPr="00AD4948">
        <w:t>ITT, intention to treat; PBS, Pharmaceutical Benefits Scheme;</w:t>
      </w:r>
      <w:r w:rsidRPr="00AD4948">
        <w:tab/>
      </w:r>
    </w:p>
    <w:p w:rsidR="00D604C6" w:rsidRPr="00AD4948" w:rsidRDefault="00D604C6" w:rsidP="00D604C6">
      <w:pPr>
        <w:pStyle w:val="TableFooter"/>
        <w:widowControl/>
        <w:ind w:left="709"/>
      </w:pPr>
      <w:r w:rsidRPr="00AD4948">
        <w:t xml:space="preserve">Source: </w:t>
      </w:r>
      <w:proofErr w:type="spellStart"/>
      <w:r w:rsidR="009620D6">
        <w:t>Pegvisomant</w:t>
      </w:r>
      <w:proofErr w:type="spellEnd"/>
      <w:r w:rsidR="009620D6">
        <w:t xml:space="preserve"> </w:t>
      </w:r>
      <w:r w:rsidRPr="00AD4948">
        <w:t>November 2016 P</w:t>
      </w:r>
      <w:r w:rsidR="000003FC">
        <w:t>ublic Summary Document</w:t>
      </w:r>
    </w:p>
    <w:p w:rsidR="00D604C6" w:rsidRPr="00AD4948" w:rsidRDefault="00D604C6" w:rsidP="00D604C6">
      <w:pPr>
        <w:rPr>
          <w:i/>
        </w:rPr>
      </w:pPr>
    </w:p>
    <w:p w:rsidR="007C196D" w:rsidRPr="00AD4948" w:rsidRDefault="007C196D" w:rsidP="003D74F0">
      <w:pPr>
        <w:pStyle w:val="ListParagraph"/>
        <w:numPr>
          <w:ilvl w:val="1"/>
          <w:numId w:val="14"/>
        </w:numPr>
        <w:spacing w:after="120"/>
        <w:rPr>
          <w:rFonts w:asciiTheme="minorHAnsi" w:hAnsiTheme="minorHAnsi"/>
          <w:sz w:val="24"/>
          <w:szCs w:val="24"/>
        </w:rPr>
      </w:pPr>
      <w:r w:rsidRPr="00AD4948">
        <w:rPr>
          <w:rFonts w:asciiTheme="minorHAnsi" w:hAnsiTheme="minorHAnsi"/>
          <w:sz w:val="24"/>
          <w:szCs w:val="24"/>
        </w:rPr>
        <w:t>The PBAC noted that on the basis of the naïve indirect comparison of a post hoc</w:t>
      </w:r>
    </w:p>
    <w:p w:rsidR="007C196D" w:rsidRPr="00AD4948" w:rsidRDefault="007C196D" w:rsidP="003D74F0">
      <w:pPr>
        <w:pStyle w:val="ListParagraph"/>
        <w:spacing w:after="120"/>
        <w:rPr>
          <w:rFonts w:asciiTheme="minorHAnsi" w:hAnsiTheme="minorHAnsi"/>
          <w:sz w:val="24"/>
          <w:szCs w:val="24"/>
        </w:rPr>
      </w:pPr>
      <w:r w:rsidRPr="00AD4948">
        <w:rPr>
          <w:rFonts w:asciiTheme="minorHAnsi" w:hAnsiTheme="minorHAnsi"/>
          <w:sz w:val="24"/>
          <w:szCs w:val="24"/>
        </w:rPr>
        <w:t xml:space="preserve">PBS subgroup that </w:t>
      </w:r>
      <w:proofErr w:type="spellStart"/>
      <w:r w:rsidRPr="00AD4948">
        <w:rPr>
          <w:rFonts w:asciiTheme="minorHAnsi" w:hAnsiTheme="minorHAnsi"/>
          <w:sz w:val="24"/>
          <w:szCs w:val="24"/>
        </w:rPr>
        <w:t>pegvisomant</w:t>
      </w:r>
      <w:proofErr w:type="spellEnd"/>
      <w:r w:rsidRPr="00AD4948">
        <w:rPr>
          <w:rFonts w:asciiTheme="minorHAnsi" w:hAnsiTheme="minorHAnsi"/>
          <w:sz w:val="24"/>
          <w:szCs w:val="24"/>
        </w:rPr>
        <w:t xml:space="preserve"> was associated with IGF-1 normalisation in</w:t>
      </w:r>
    </w:p>
    <w:p w:rsidR="007C196D" w:rsidRPr="00AD4948" w:rsidRDefault="007C196D" w:rsidP="003D74F0">
      <w:pPr>
        <w:pStyle w:val="ListParagraph"/>
        <w:spacing w:after="120"/>
        <w:rPr>
          <w:rFonts w:asciiTheme="minorHAnsi" w:hAnsiTheme="minorHAnsi"/>
          <w:sz w:val="24"/>
          <w:szCs w:val="24"/>
        </w:rPr>
      </w:pPr>
      <w:r w:rsidRPr="00AD4948">
        <w:rPr>
          <w:rFonts w:asciiTheme="minorHAnsi" w:hAnsiTheme="minorHAnsi"/>
          <w:sz w:val="24"/>
          <w:szCs w:val="24"/>
        </w:rPr>
        <w:t>55% of patients (23/31 patients), compared with 25% (33/130 patients)</w:t>
      </w:r>
      <w:r w:rsidRPr="00AD4948" w:rsidDel="007C196D">
        <w:rPr>
          <w:rFonts w:asciiTheme="minorHAnsi" w:hAnsiTheme="minorHAnsi"/>
          <w:sz w:val="24"/>
          <w:szCs w:val="24"/>
        </w:rPr>
        <w:t xml:space="preserve"> </w:t>
      </w:r>
      <w:r w:rsidRPr="00AD4948">
        <w:rPr>
          <w:rFonts w:asciiTheme="minorHAnsi" w:hAnsiTheme="minorHAnsi"/>
          <w:sz w:val="24"/>
          <w:szCs w:val="24"/>
        </w:rPr>
        <w:t xml:space="preserve">of patients receiving </w:t>
      </w:r>
      <w:proofErr w:type="spellStart"/>
      <w:r w:rsidRPr="00AD4948">
        <w:rPr>
          <w:rFonts w:asciiTheme="minorHAnsi" w:hAnsiTheme="minorHAnsi"/>
          <w:sz w:val="24"/>
          <w:szCs w:val="24"/>
        </w:rPr>
        <w:t>pasi</w:t>
      </w:r>
      <w:r w:rsidR="00FE4725" w:rsidRPr="00AD4948">
        <w:rPr>
          <w:rFonts w:asciiTheme="minorHAnsi" w:hAnsiTheme="minorHAnsi"/>
          <w:sz w:val="24"/>
          <w:szCs w:val="24"/>
        </w:rPr>
        <w:t>reotide</w:t>
      </w:r>
      <w:proofErr w:type="spellEnd"/>
      <w:r w:rsidR="00FE4725" w:rsidRPr="00AD4948">
        <w:rPr>
          <w:rFonts w:asciiTheme="minorHAnsi" w:hAnsiTheme="minorHAnsi"/>
          <w:sz w:val="24"/>
          <w:szCs w:val="24"/>
        </w:rPr>
        <w:t xml:space="preserve"> 40 mg or 60 mg</w:t>
      </w:r>
      <w:r w:rsidRPr="00AD4948">
        <w:rPr>
          <w:rFonts w:asciiTheme="minorHAnsi" w:hAnsiTheme="minorHAnsi"/>
          <w:sz w:val="24"/>
          <w:szCs w:val="24"/>
        </w:rPr>
        <w:t xml:space="preserve">. Overall, the PBAC considered that the evidence supported the listing of </w:t>
      </w:r>
      <w:proofErr w:type="spellStart"/>
      <w:r w:rsidRPr="00AD4948">
        <w:rPr>
          <w:rFonts w:asciiTheme="minorHAnsi" w:hAnsiTheme="minorHAnsi"/>
          <w:sz w:val="24"/>
          <w:szCs w:val="24"/>
        </w:rPr>
        <w:t>pegvisomant</w:t>
      </w:r>
      <w:proofErr w:type="spellEnd"/>
      <w:r w:rsidRPr="00AD4948">
        <w:rPr>
          <w:rFonts w:asciiTheme="minorHAnsi" w:hAnsiTheme="minorHAnsi"/>
          <w:sz w:val="24"/>
          <w:szCs w:val="24"/>
        </w:rPr>
        <w:t xml:space="preserve"> on the basis of a cost-minimisation comparison to </w:t>
      </w:r>
      <w:proofErr w:type="spellStart"/>
      <w:r w:rsidRPr="00AD4948">
        <w:rPr>
          <w:rFonts w:asciiTheme="minorHAnsi" w:hAnsiTheme="minorHAnsi"/>
          <w:sz w:val="24"/>
          <w:szCs w:val="24"/>
        </w:rPr>
        <w:t>pasireotide</w:t>
      </w:r>
      <w:proofErr w:type="spellEnd"/>
      <w:r w:rsidRPr="00AD4948">
        <w:rPr>
          <w:rFonts w:asciiTheme="minorHAnsi" w:hAnsiTheme="minorHAnsi"/>
          <w:sz w:val="24"/>
          <w:szCs w:val="24"/>
        </w:rPr>
        <w:t>.</w:t>
      </w:r>
      <w:r w:rsidR="00AE7EE0" w:rsidRPr="00AD4948">
        <w:rPr>
          <w:rFonts w:asciiTheme="minorHAnsi" w:hAnsiTheme="minorHAnsi"/>
          <w:sz w:val="24"/>
          <w:szCs w:val="24"/>
        </w:rPr>
        <w:t xml:space="preserve"> The PBAC considered that </w:t>
      </w:r>
      <w:proofErr w:type="spellStart"/>
      <w:r w:rsidR="00AE7EE0" w:rsidRPr="00AD4948">
        <w:rPr>
          <w:rFonts w:asciiTheme="minorHAnsi" w:hAnsiTheme="minorHAnsi"/>
          <w:sz w:val="24"/>
          <w:szCs w:val="24"/>
        </w:rPr>
        <w:t>pegvisomant</w:t>
      </w:r>
      <w:proofErr w:type="spellEnd"/>
      <w:r w:rsidR="00AE7EE0" w:rsidRPr="00AD4948">
        <w:rPr>
          <w:rFonts w:asciiTheme="minorHAnsi" w:hAnsiTheme="minorHAnsi"/>
          <w:sz w:val="24"/>
          <w:szCs w:val="24"/>
        </w:rPr>
        <w:t xml:space="preserve"> did not have the same risk of hyperglycaemia or diabetes as </w:t>
      </w:r>
      <w:proofErr w:type="spellStart"/>
      <w:r w:rsidR="00AE7EE0" w:rsidRPr="00AD4948">
        <w:rPr>
          <w:rFonts w:asciiTheme="minorHAnsi" w:hAnsiTheme="minorHAnsi"/>
          <w:sz w:val="24"/>
          <w:szCs w:val="24"/>
        </w:rPr>
        <w:t>pasireotide</w:t>
      </w:r>
      <w:proofErr w:type="spellEnd"/>
      <w:r w:rsidR="00AE7EE0" w:rsidRPr="00AD4948">
        <w:rPr>
          <w:rFonts w:asciiTheme="minorHAnsi" w:hAnsiTheme="minorHAnsi"/>
          <w:sz w:val="24"/>
          <w:szCs w:val="24"/>
        </w:rPr>
        <w:t>.</w:t>
      </w:r>
    </w:p>
    <w:p w:rsidR="006E6E58" w:rsidRPr="00617CD1" w:rsidRDefault="000D7E99" w:rsidP="003D74F0">
      <w:pPr>
        <w:pStyle w:val="Heading2"/>
        <w:spacing w:after="120"/>
        <w:rPr>
          <w:rFonts w:asciiTheme="minorHAnsi" w:hAnsiTheme="minorHAnsi" w:cstheme="minorHAnsi"/>
          <w:snapToGrid w:val="0"/>
          <w:sz w:val="28"/>
        </w:rPr>
      </w:pPr>
      <w:r w:rsidRPr="00617CD1">
        <w:rPr>
          <w:rFonts w:asciiTheme="minorHAnsi" w:hAnsiTheme="minorHAnsi" w:cstheme="minorHAnsi"/>
          <w:snapToGrid w:val="0"/>
          <w:sz w:val="28"/>
        </w:rPr>
        <w:t>Treatment algorithm</w:t>
      </w:r>
      <w:r w:rsidR="006E6E58" w:rsidRPr="00617CD1">
        <w:rPr>
          <w:rFonts w:asciiTheme="minorHAnsi" w:hAnsiTheme="minorHAnsi" w:cstheme="minorHAnsi"/>
          <w:snapToGrid w:val="0"/>
          <w:sz w:val="28"/>
        </w:rPr>
        <w:t xml:space="preserve"> for acromegaly</w:t>
      </w:r>
    </w:p>
    <w:p w:rsidR="00672329" w:rsidRPr="00AD4948" w:rsidRDefault="007C196D" w:rsidP="003D74F0">
      <w:pPr>
        <w:pStyle w:val="ListParagraph"/>
        <w:numPr>
          <w:ilvl w:val="1"/>
          <w:numId w:val="14"/>
        </w:numPr>
        <w:spacing w:after="120"/>
        <w:contextualSpacing w:val="0"/>
        <w:rPr>
          <w:rFonts w:asciiTheme="minorHAnsi" w:hAnsiTheme="minorHAnsi"/>
          <w:sz w:val="24"/>
          <w:szCs w:val="24"/>
        </w:rPr>
      </w:pPr>
      <w:r w:rsidRPr="00AD4948">
        <w:rPr>
          <w:rFonts w:asciiTheme="minorHAnsi" w:hAnsiTheme="minorHAnsi"/>
          <w:sz w:val="24"/>
          <w:szCs w:val="24"/>
        </w:rPr>
        <w:t>The submission state</w:t>
      </w:r>
      <w:r w:rsidR="00AE7EE0" w:rsidRPr="00AD4948">
        <w:rPr>
          <w:rFonts w:asciiTheme="minorHAnsi" w:hAnsiTheme="minorHAnsi"/>
          <w:sz w:val="24"/>
          <w:szCs w:val="24"/>
        </w:rPr>
        <w:t>d</w:t>
      </w:r>
      <w:r w:rsidRPr="00AD4948">
        <w:rPr>
          <w:rFonts w:asciiTheme="minorHAnsi" w:hAnsiTheme="minorHAnsi"/>
          <w:sz w:val="24"/>
          <w:szCs w:val="24"/>
        </w:rPr>
        <w:t xml:space="preserve"> current literature supports the proposed revised definition of failure to achieve biochemical control </w:t>
      </w:r>
      <w:r w:rsidR="00AE7EE0" w:rsidRPr="00AD4948">
        <w:rPr>
          <w:rFonts w:asciiTheme="minorHAnsi" w:hAnsiTheme="minorHAnsi"/>
          <w:sz w:val="24"/>
          <w:szCs w:val="24"/>
        </w:rPr>
        <w:t>(</w:t>
      </w:r>
      <w:proofErr w:type="spellStart"/>
      <w:r w:rsidR="00AE7EE0" w:rsidRPr="00AD4948">
        <w:rPr>
          <w:rFonts w:asciiTheme="minorHAnsi" w:hAnsiTheme="minorHAnsi"/>
          <w:sz w:val="24"/>
          <w:szCs w:val="24"/>
        </w:rPr>
        <w:t>Colao</w:t>
      </w:r>
      <w:proofErr w:type="spellEnd"/>
      <w:r w:rsidR="00AE7EE0" w:rsidRPr="00AD4948">
        <w:rPr>
          <w:rFonts w:asciiTheme="minorHAnsi" w:hAnsiTheme="minorHAnsi"/>
          <w:sz w:val="24"/>
          <w:szCs w:val="24"/>
        </w:rPr>
        <w:t xml:space="preserve"> 2012</w:t>
      </w:r>
      <w:r w:rsidR="00565529" w:rsidRPr="00AD4948">
        <w:rPr>
          <w:rStyle w:val="FootnoteReference"/>
          <w:rFonts w:asciiTheme="minorHAnsi" w:hAnsiTheme="minorHAnsi"/>
          <w:sz w:val="24"/>
          <w:szCs w:val="24"/>
        </w:rPr>
        <w:footnoteReference w:id="3"/>
      </w:r>
      <w:r w:rsidR="00AE7EE0" w:rsidRPr="00AD4948">
        <w:rPr>
          <w:rFonts w:asciiTheme="minorHAnsi" w:hAnsiTheme="minorHAnsi"/>
          <w:sz w:val="24"/>
          <w:szCs w:val="24"/>
        </w:rPr>
        <w:t>, Diaz-Thomas 2017</w:t>
      </w:r>
      <w:r w:rsidR="00565529" w:rsidRPr="00AD4948">
        <w:rPr>
          <w:rStyle w:val="FootnoteReference"/>
          <w:rFonts w:asciiTheme="minorHAnsi" w:hAnsiTheme="minorHAnsi"/>
          <w:sz w:val="24"/>
          <w:szCs w:val="24"/>
        </w:rPr>
        <w:footnoteReference w:id="4"/>
      </w:r>
      <w:r w:rsidR="00AE7EE0" w:rsidRPr="00AD4948">
        <w:rPr>
          <w:rFonts w:asciiTheme="minorHAnsi" w:hAnsiTheme="minorHAnsi"/>
          <w:sz w:val="24"/>
          <w:szCs w:val="24"/>
        </w:rPr>
        <w:t xml:space="preserve">, Granada </w:t>
      </w:r>
      <w:r w:rsidR="00AE7EE0" w:rsidRPr="00AD4948">
        <w:rPr>
          <w:rFonts w:asciiTheme="minorHAnsi" w:hAnsiTheme="minorHAnsi"/>
          <w:sz w:val="24"/>
          <w:szCs w:val="24"/>
        </w:rPr>
        <w:lastRenderedPageBreak/>
        <w:t>2018</w:t>
      </w:r>
      <w:r w:rsidR="00565529" w:rsidRPr="00AD4948">
        <w:rPr>
          <w:rStyle w:val="FootnoteReference"/>
          <w:rFonts w:asciiTheme="minorHAnsi" w:hAnsiTheme="minorHAnsi"/>
          <w:sz w:val="24"/>
          <w:szCs w:val="24"/>
        </w:rPr>
        <w:footnoteReference w:id="5"/>
      </w:r>
      <w:r w:rsidR="00AE7EE0" w:rsidRPr="00AD4948">
        <w:rPr>
          <w:rFonts w:asciiTheme="minorHAnsi" w:hAnsiTheme="minorHAnsi"/>
          <w:sz w:val="24"/>
          <w:szCs w:val="24"/>
        </w:rPr>
        <w:t xml:space="preserve">, </w:t>
      </w:r>
      <w:proofErr w:type="spellStart"/>
      <w:r w:rsidR="00AE7EE0" w:rsidRPr="00AD4948">
        <w:rPr>
          <w:rFonts w:asciiTheme="minorHAnsi" w:hAnsiTheme="minorHAnsi"/>
          <w:sz w:val="24"/>
          <w:szCs w:val="24"/>
        </w:rPr>
        <w:t>Katznelson</w:t>
      </w:r>
      <w:proofErr w:type="spellEnd"/>
      <w:r w:rsidR="00AE7EE0" w:rsidRPr="00AD4948">
        <w:rPr>
          <w:rFonts w:asciiTheme="minorHAnsi" w:hAnsiTheme="minorHAnsi"/>
          <w:sz w:val="24"/>
          <w:szCs w:val="24"/>
        </w:rPr>
        <w:t xml:space="preserve"> 2014</w:t>
      </w:r>
      <w:r w:rsidR="00565529" w:rsidRPr="00AD4948">
        <w:rPr>
          <w:rStyle w:val="FootnoteReference"/>
          <w:rFonts w:asciiTheme="minorHAnsi" w:hAnsiTheme="minorHAnsi"/>
          <w:sz w:val="24"/>
          <w:szCs w:val="24"/>
        </w:rPr>
        <w:footnoteReference w:id="6"/>
      </w:r>
      <w:r w:rsidR="00AE7EE0" w:rsidRPr="00AD4948">
        <w:rPr>
          <w:rFonts w:asciiTheme="minorHAnsi" w:hAnsiTheme="minorHAnsi"/>
          <w:sz w:val="24"/>
          <w:szCs w:val="24"/>
        </w:rPr>
        <w:t xml:space="preserve">, </w:t>
      </w:r>
      <w:proofErr w:type="spellStart"/>
      <w:proofErr w:type="gramStart"/>
      <w:r w:rsidR="00AE7EE0" w:rsidRPr="00AD4948">
        <w:rPr>
          <w:rFonts w:asciiTheme="minorHAnsi" w:hAnsiTheme="minorHAnsi"/>
          <w:sz w:val="24"/>
          <w:szCs w:val="24"/>
        </w:rPr>
        <w:t>Melmed</w:t>
      </w:r>
      <w:proofErr w:type="spellEnd"/>
      <w:proofErr w:type="gramEnd"/>
      <w:r w:rsidR="00AE7EE0" w:rsidRPr="00AD4948">
        <w:rPr>
          <w:rFonts w:asciiTheme="minorHAnsi" w:hAnsiTheme="minorHAnsi"/>
          <w:sz w:val="24"/>
          <w:szCs w:val="24"/>
        </w:rPr>
        <w:t xml:space="preserve"> 2018</w:t>
      </w:r>
      <w:r w:rsidR="00565529" w:rsidRPr="00AD4948">
        <w:rPr>
          <w:rStyle w:val="FootnoteReference"/>
          <w:rFonts w:asciiTheme="minorHAnsi" w:hAnsiTheme="minorHAnsi"/>
          <w:sz w:val="24"/>
          <w:szCs w:val="24"/>
        </w:rPr>
        <w:footnoteReference w:id="7"/>
      </w:r>
      <w:r w:rsidR="00AE7EE0" w:rsidRPr="00AD4948">
        <w:rPr>
          <w:rFonts w:asciiTheme="minorHAnsi" w:hAnsiTheme="minorHAnsi"/>
          <w:sz w:val="24"/>
          <w:szCs w:val="24"/>
        </w:rPr>
        <w:t xml:space="preserve">). The treatment goal is considered normalisation of IGF-1 levels as this reflects disease </w:t>
      </w:r>
      <w:proofErr w:type="gramStart"/>
      <w:r w:rsidR="00AE7EE0" w:rsidRPr="00AD4948">
        <w:rPr>
          <w:rFonts w:asciiTheme="minorHAnsi" w:hAnsiTheme="minorHAnsi"/>
          <w:sz w:val="24"/>
          <w:szCs w:val="24"/>
        </w:rPr>
        <w:t>control and decreases the risk of developing complications from comorbidities</w:t>
      </w:r>
      <w:proofErr w:type="gramEnd"/>
      <w:r w:rsidR="00AE7EE0" w:rsidRPr="00AD4948">
        <w:rPr>
          <w:rFonts w:asciiTheme="minorHAnsi" w:hAnsiTheme="minorHAnsi"/>
          <w:sz w:val="24"/>
          <w:szCs w:val="24"/>
        </w:rPr>
        <w:t xml:space="preserve"> and may reduce mortality (</w:t>
      </w:r>
      <w:proofErr w:type="spellStart"/>
      <w:r w:rsidR="00AE7EE0" w:rsidRPr="00AD4948">
        <w:rPr>
          <w:rFonts w:asciiTheme="minorHAnsi" w:hAnsiTheme="minorHAnsi"/>
          <w:sz w:val="24"/>
          <w:szCs w:val="24"/>
        </w:rPr>
        <w:t>Melmed</w:t>
      </w:r>
      <w:proofErr w:type="spellEnd"/>
      <w:r w:rsidR="00AE7EE0" w:rsidRPr="00AD4948">
        <w:rPr>
          <w:rFonts w:asciiTheme="minorHAnsi" w:hAnsiTheme="minorHAnsi"/>
          <w:sz w:val="24"/>
          <w:szCs w:val="24"/>
        </w:rPr>
        <w:t xml:space="preserve"> 2018)</w:t>
      </w:r>
      <w:r w:rsidR="00AD4948">
        <w:rPr>
          <w:rFonts w:asciiTheme="minorHAnsi" w:hAnsiTheme="minorHAnsi"/>
          <w:sz w:val="24"/>
          <w:szCs w:val="24"/>
        </w:rPr>
        <w:t xml:space="preserve">. </w:t>
      </w:r>
      <w:r w:rsidR="00AE7EE0" w:rsidRPr="00AD4948">
        <w:rPr>
          <w:rFonts w:asciiTheme="minorHAnsi" w:hAnsiTheme="minorHAnsi"/>
          <w:sz w:val="24"/>
          <w:szCs w:val="24"/>
        </w:rPr>
        <w:t>G</w:t>
      </w:r>
      <w:r w:rsidR="00672329" w:rsidRPr="00AD4948">
        <w:rPr>
          <w:rFonts w:asciiTheme="minorHAnsi" w:hAnsiTheme="minorHAnsi"/>
          <w:sz w:val="24"/>
          <w:szCs w:val="24"/>
        </w:rPr>
        <w:t>uidelines also report that discordant GH and IGF-1 results can occur in 9-39% of patients receiving m</w:t>
      </w:r>
      <w:r w:rsidR="00566963" w:rsidRPr="00AD4948">
        <w:rPr>
          <w:rFonts w:asciiTheme="minorHAnsi" w:hAnsiTheme="minorHAnsi"/>
          <w:sz w:val="24"/>
          <w:szCs w:val="24"/>
        </w:rPr>
        <w:t xml:space="preserve">edical therapy for acromegaly. </w:t>
      </w:r>
      <w:r w:rsidR="00672329" w:rsidRPr="00AD4948">
        <w:rPr>
          <w:rFonts w:asciiTheme="minorHAnsi" w:hAnsiTheme="minorHAnsi"/>
          <w:sz w:val="24"/>
          <w:szCs w:val="24"/>
        </w:rPr>
        <w:t xml:space="preserve">For this reason, the sponsor proposed that the definition of biochemical control </w:t>
      </w:r>
      <w:proofErr w:type="gramStart"/>
      <w:r w:rsidR="00672329" w:rsidRPr="00AD4948">
        <w:rPr>
          <w:rFonts w:asciiTheme="minorHAnsi" w:hAnsiTheme="minorHAnsi"/>
          <w:sz w:val="24"/>
          <w:szCs w:val="24"/>
        </w:rPr>
        <w:t>be based</w:t>
      </w:r>
      <w:proofErr w:type="gramEnd"/>
      <w:r w:rsidR="00672329" w:rsidRPr="00AD4948">
        <w:rPr>
          <w:rFonts w:asciiTheme="minorHAnsi" w:hAnsiTheme="minorHAnsi"/>
          <w:sz w:val="24"/>
          <w:szCs w:val="24"/>
        </w:rPr>
        <w:t xml:space="preserve"> on GH </w:t>
      </w:r>
      <w:r w:rsidR="00672329" w:rsidRPr="00AD4948">
        <w:rPr>
          <w:rFonts w:asciiTheme="minorHAnsi" w:hAnsiTheme="minorHAnsi"/>
          <w:sz w:val="24"/>
          <w:szCs w:val="24"/>
          <w:u w:val="single"/>
        </w:rPr>
        <w:t>or</w:t>
      </w:r>
      <w:r w:rsidR="00672329" w:rsidRPr="00AD4948">
        <w:rPr>
          <w:rFonts w:asciiTheme="minorHAnsi" w:hAnsiTheme="minorHAnsi"/>
          <w:sz w:val="24"/>
          <w:szCs w:val="24"/>
        </w:rPr>
        <w:t xml:space="preserve"> IGF-1, </w:t>
      </w:r>
      <w:r w:rsidR="00AE7EE0" w:rsidRPr="00AD4948">
        <w:rPr>
          <w:rFonts w:asciiTheme="minorHAnsi" w:hAnsiTheme="minorHAnsi"/>
          <w:sz w:val="24"/>
          <w:szCs w:val="24"/>
        </w:rPr>
        <w:t xml:space="preserve">instead of </w:t>
      </w:r>
      <w:r w:rsidR="00672329" w:rsidRPr="00AD4948">
        <w:rPr>
          <w:rFonts w:asciiTheme="minorHAnsi" w:hAnsiTheme="minorHAnsi"/>
          <w:sz w:val="24"/>
          <w:szCs w:val="24"/>
        </w:rPr>
        <w:t xml:space="preserve">GH </w:t>
      </w:r>
      <w:r w:rsidR="00672329" w:rsidRPr="00AD4948">
        <w:rPr>
          <w:rFonts w:asciiTheme="minorHAnsi" w:hAnsiTheme="minorHAnsi"/>
          <w:sz w:val="24"/>
          <w:szCs w:val="24"/>
          <w:u w:val="single"/>
        </w:rPr>
        <w:t>and</w:t>
      </w:r>
      <w:r w:rsidR="00672329" w:rsidRPr="00AD4948">
        <w:rPr>
          <w:rFonts w:asciiTheme="minorHAnsi" w:hAnsiTheme="minorHAnsi"/>
          <w:sz w:val="24"/>
          <w:szCs w:val="24"/>
        </w:rPr>
        <w:t xml:space="preserve"> IGF-1.</w:t>
      </w:r>
    </w:p>
    <w:p w:rsidR="0083405E" w:rsidRPr="00AD4948" w:rsidRDefault="00C05865" w:rsidP="003D74F0">
      <w:pPr>
        <w:pStyle w:val="ListParagraph"/>
        <w:numPr>
          <w:ilvl w:val="1"/>
          <w:numId w:val="14"/>
        </w:numPr>
        <w:spacing w:after="120"/>
        <w:contextualSpacing w:val="0"/>
        <w:rPr>
          <w:rFonts w:asciiTheme="minorHAnsi" w:hAnsiTheme="minorHAnsi"/>
          <w:sz w:val="24"/>
          <w:szCs w:val="24"/>
        </w:rPr>
      </w:pPr>
      <w:r w:rsidRPr="00AD4948">
        <w:rPr>
          <w:rFonts w:asciiTheme="minorHAnsi" w:hAnsiTheme="minorHAnsi"/>
          <w:sz w:val="24"/>
          <w:szCs w:val="24"/>
        </w:rPr>
        <w:t>The Acromegaly Consensus Group</w:t>
      </w:r>
      <w:r w:rsidR="00120835" w:rsidRPr="00AD4948">
        <w:rPr>
          <w:rFonts w:asciiTheme="minorHAnsi" w:hAnsiTheme="minorHAnsi"/>
          <w:sz w:val="24"/>
          <w:szCs w:val="24"/>
        </w:rPr>
        <w:t>,</w:t>
      </w:r>
      <w:r w:rsidRPr="00AD4948">
        <w:rPr>
          <w:rFonts w:asciiTheme="minorHAnsi" w:hAnsiTheme="minorHAnsi"/>
          <w:sz w:val="24"/>
          <w:szCs w:val="24"/>
        </w:rPr>
        <w:t xml:space="preserve"> consisting of 37 experts in acromegaly management</w:t>
      </w:r>
      <w:r w:rsidR="00120835" w:rsidRPr="00AD4948">
        <w:rPr>
          <w:rFonts w:asciiTheme="minorHAnsi" w:hAnsiTheme="minorHAnsi"/>
          <w:sz w:val="24"/>
          <w:szCs w:val="24"/>
        </w:rPr>
        <w:t>,</w:t>
      </w:r>
      <w:r w:rsidRPr="00AD4948">
        <w:rPr>
          <w:rFonts w:asciiTheme="minorHAnsi" w:hAnsiTheme="minorHAnsi"/>
          <w:sz w:val="24"/>
          <w:szCs w:val="24"/>
        </w:rPr>
        <w:t xml:space="preserve"> has recently published </w:t>
      </w:r>
      <w:r w:rsidR="007535BF" w:rsidRPr="00AD4948">
        <w:rPr>
          <w:rFonts w:asciiTheme="minorHAnsi" w:hAnsiTheme="minorHAnsi"/>
          <w:sz w:val="24"/>
          <w:szCs w:val="24"/>
        </w:rPr>
        <w:t xml:space="preserve">an algorithm for the treatment of acromegaly in patients inadequately controlled with first-line </w:t>
      </w:r>
      <w:r w:rsidR="00566963" w:rsidRPr="00AD4948">
        <w:rPr>
          <w:rFonts w:asciiTheme="minorHAnsi" w:hAnsiTheme="minorHAnsi"/>
          <w:sz w:val="24"/>
          <w:szCs w:val="24"/>
        </w:rPr>
        <w:t xml:space="preserve">somatostatin analogues (SSAs, </w:t>
      </w:r>
      <w:r w:rsidR="007535BF" w:rsidRPr="00AD4948">
        <w:rPr>
          <w:rFonts w:asciiTheme="minorHAnsi" w:hAnsiTheme="minorHAnsi"/>
          <w:sz w:val="24"/>
          <w:szCs w:val="24"/>
        </w:rPr>
        <w:t xml:space="preserve">octreotide and </w:t>
      </w:r>
      <w:proofErr w:type="spellStart"/>
      <w:r w:rsidR="007535BF" w:rsidRPr="00AD4948">
        <w:rPr>
          <w:rFonts w:asciiTheme="minorHAnsi" w:hAnsiTheme="minorHAnsi"/>
          <w:sz w:val="24"/>
          <w:szCs w:val="24"/>
        </w:rPr>
        <w:t>lanreotide</w:t>
      </w:r>
      <w:proofErr w:type="spellEnd"/>
      <w:r w:rsidR="007535BF" w:rsidRPr="00AD4948">
        <w:rPr>
          <w:rFonts w:asciiTheme="minorHAnsi" w:hAnsiTheme="minorHAnsi"/>
          <w:sz w:val="24"/>
          <w:szCs w:val="24"/>
        </w:rPr>
        <w:t xml:space="preserve">) </w:t>
      </w:r>
      <w:r w:rsidR="00666B8D" w:rsidRPr="00AD4948">
        <w:rPr>
          <w:rFonts w:asciiTheme="minorHAnsi" w:hAnsiTheme="minorHAnsi"/>
          <w:sz w:val="24"/>
          <w:szCs w:val="24"/>
        </w:rPr>
        <w:t>(</w:t>
      </w:r>
      <w:proofErr w:type="spellStart"/>
      <w:r w:rsidR="00666B8D" w:rsidRPr="00AD4948">
        <w:rPr>
          <w:rFonts w:asciiTheme="minorHAnsi" w:hAnsiTheme="minorHAnsi"/>
          <w:sz w:val="24"/>
          <w:szCs w:val="24"/>
        </w:rPr>
        <w:t>Melmed</w:t>
      </w:r>
      <w:proofErr w:type="spellEnd"/>
      <w:r w:rsidR="00666B8D" w:rsidRPr="00AD4948">
        <w:rPr>
          <w:rFonts w:asciiTheme="minorHAnsi" w:hAnsiTheme="minorHAnsi"/>
          <w:sz w:val="24"/>
          <w:szCs w:val="24"/>
        </w:rPr>
        <w:t xml:space="preserve"> 2018).</w:t>
      </w:r>
      <w:r w:rsidR="00FE4725" w:rsidRPr="00AD4948">
        <w:rPr>
          <w:rFonts w:asciiTheme="minorHAnsi" w:hAnsiTheme="minorHAnsi"/>
          <w:sz w:val="24"/>
          <w:szCs w:val="24"/>
        </w:rPr>
        <w:t xml:space="preserve"> The</w:t>
      </w:r>
      <w:r w:rsidR="0081006E" w:rsidRPr="00AD4948">
        <w:rPr>
          <w:rFonts w:asciiTheme="minorHAnsi" w:hAnsiTheme="minorHAnsi"/>
          <w:sz w:val="24"/>
          <w:szCs w:val="24"/>
        </w:rPr>
        <w:t xml:space="preserve"> al</w:t>
      </w:r>
      <w:r w:rsidR="00FE4725" w:rsidRPr="00AD4948">
        <w:rPr>
          <w:rFonts w:asciiTheme="minorHAnsi" w:hAnsiTheme="minorHAnsi"/>
          <w:sz w:val="24"/>
          <w:szCs w:val="24"/>
        </w:rPr>
        <w:t xml:space="preserve">gorithm proposes a patient not </w:t>
      </w:r>
      <w:r w:rsidR="00403D5D" w:rsidRPr="00AD4948">
        <w:rPr>
          <w:rFonts w:asciiTheme="minorHAnsi" w:hAnsiTheme="minorHAnsi"/>
          <w:sz w:val="24"/>
          <w:szCs w:val="24"/>
        </w:rPr>
        <w:t xml:space="preserve">controlled on </w:t>
      </w:r>
      <w:r w:rsidR="00FE4725" w:rsidRPr="00AD4948">
        <w:rPr>
          <w:rFonts w:asciiTheme="minorHAnsi" w:hAnsiTheme="minorHAnsi"/>
          <w:sz w:val="24"/>
          <w:szCs w:val="24"/>
        </w:rPr>
        <w:t xml:space="preserve">first-line SSAs should </w:t>
      </w:r>
      <w:proofErr w:type="gramStart"/>
      <w:r w:rsidR="00FE4725" w:rsidRPr="00AD4948">
        <w:rPr>
          <w:rFonts w:asciiTheme="minorHAnsi" w:hAnsiTheme="minorHAnsi"/>
          <w:sz w:val="24"/>
          <w:szCs w:val="24"/>
        </w:rPr>
        <w:t xml:space="preserve">be </w:t>
      </w:r>
      <w:r w:rsidR="0081006E" w:rsidRPr="00AD4948">
        <w:rPr>
          <w:rFonts w:asciiTheme="minorHAnsi" w:hAnsiTheme="minorHAnsi"/>
          <w:sz w:val="24"/>
          <w:szCs w:val="24"/>
        </w:rPr>
        <w:t>either</w:t>
      </w:r>
      <w:proofErr w:type="gramEnd"/>
      <w:r w:rsidR="0081006E" w:rsidRPr="00AD4948">
        <w:rPr>
          <w:rFonts w:asciiTheme="minorHAnsi" w:hAnsiTheme="minorHAnsi"/>
          <w:sz w:val="24"/>
          <w:szCs w:val="24"/>
        </w:rPr>
        <w:t xml:space="preserve"> </w:t>
      </w:r>
      <w:r w:rsidR="00FE4725" w:rsidRPr="00AD4948">
        <w:rPr>
          <w:rFonts w:asciiTheme="minorHAnsi" w:hAnsiTheme="minorHAnsi"/>
          <w:sz w:val="24"/>
          <w:szCs w:val="24"/>
        </w:rPr>
        <w:t xml:space="preserve">changed to a second-line agent or </w:t>
      </w:r>
      <w:r w:rsidR="0081006E" w:rsidRPr="00AD4948">
        <w:rPr>
          <w:rFonts w:asciiTheme="minorHAnsi" w:hAnsiTheme="minorHAnsi"/>
          <w:sz w:val="24"/>
          <w:szCs w:val="24"/>
        </w:rPr>
        <w:t xml:space="preserve">be treated with a combination of first-line SSAs and </w:t>
      </w:r>
      <w:proofErr w:type="spellStart"/>
      <w:r w:rsidR="0081006E" w:rsidRPr="00AD4948">
        <w:rPr>
          <w:rFonts w:asciiTheme="minorHAnsi" w:hAnsiTheme="minorHAnsi"/>
          <w:sz w:val="24"/>
          <w:szCs w:val="24"/>
        </w:rPr>
        <w:t>pegvisomant</w:t>
      </w:r>
      <w:proofErr w:type="spellEnd"/>
      <w:r w:rsidR="0081006E" w:rsidRPr="00AD4948">
        <w:rPr>
          <w:rFonts w:asciiTheme="minorHAnsi" w:hAnsiTheme="minorHAnsi"/>
          <w:sz w:val="24"/>
          <w:szCs w:val="24"/>
        </w:rPr>
        <w:t xml:space="preserve">, depending on </w:t>
      </w:r>
      <w:r w:rsidR="00403D5D" w:rsidRPr="00AD4948">
        <w:rPr>
          <w:rFonts w:asciiTheme="minorHAnsi" w:hAnsiTheme="minorHAnsi"/>
          <w:sz w:val="24"/>
          <w:szCs w:val="24"/>
        </w:rPr>
        <w:t xml:space="preserve">the presence of clinically relevant residual tumour </w:t>
      </w:r>
      <w:r w:rsidR="0081006E" w:rsidRPr="00AD4948">
        <w:rPr>
          <w:rFonts w:asciiTheme="minorHAnsi" w:hAnsiTheme="minorHAnsi"/>
          <w:sz w:val="24"/>
          <w:szCs w:val="24"/>
        </w:rPr>
        <w:t>and</w:t>
      </w:r>
      <w:r w:rsidR="00120835" w:rsidRPr="00AD4948">
        <w:rPr>
          <w:rFonts w:asciiTheme="minorHAnsi" w:hAnsiTheme="minorHAnsi"/>
          <w:sz w:val="24"/>
          <w:szCs w:val="24"/>
        </w:rPr>
        <w:t>/</w:t>
      </w:r>
      <w:r w:rsidR="0081006E" w:rsidRPr="00AD4948">
        <w:rPr>
          <w:rFonts w:asciiTheme="minorHAnsi" w:hAnsiTheme="minorHAnsi"/>
          <w:sz w:val="24"/>
          <w:szCs w:val="24"/>
        </w:rPr>
        <w:t xml:space="preserve">or impaired glucose </w:t>
      </w:r>
      <w:r w:rsidR="00403D5D" w:rsidRPr="00AD4948">
        <w:rPr>
          <w:rFonts w:asciiTheme="minorHAnsi" w:hAnsiTheme="minorHAnsi"/>
          <w:sz w:val="24"/>
          <w:szCs w:val="24"/>
        </w:rPr>
        <w:t xml:space="preserve">tolerance </w:t>
      </w:r>
      <w:r w:rsidR="00566963" w:rsidRPr="00AD4948">
        <w:rPr>
          <w:rFonts w:asciiTheme="minorHAnsi" w:hAnsiTheme="minorHAnsi"/>
          <w:sz w:val="24"/>
          <w:szCs w:val="24"/>
        </w:rPr>
        <w:t xml:space="preserve">(Figure 1). </w:t>
      </w:r>
      <w:r w:rsidR="0081006E" w:rsidRPr="00AD4948">
        <w:rPr>
          <w:rFonts w:asciiTheme="minorHAnsi" w:hAnsiTheme="minorHAnsi"/>
          <w:sz w:val="24"/>
          <w:szCs w:val="24"/>
        </w:rPr>
        <w:t xml:space="preserve">Disease control </w:t>
      </w:r>
      <w:proofErr w:type="gramStart"/>
      <w:r w:rsidR="0081006E" w:rsidRPr="00AD4948">
        <w:rPr>
          <w:rFonts w:asciiTheme="minorHAnsi" w:hAnsiTheme="minorHAnsi"/>
          <w:sz w:val="24"/>
          <w:szCs w:val="24"/>
        </w:rPr>
        <w:t>is defined</w:t>
      </w:r>
      <w:proofErr w:type="gramEnd"/>
      <w:r w:rsidR="0081006E" w:rsidRPr="00AD4948">
        <w:rPr>
          <w:rFonts w:asciiTheme="minorHAnsi" w:hAnsiTheme="minorHAnsi"/>
          <w:sz w:val="24"/>
          <w:szCs w:val="24"/>
        </w:rPr>
        <w:t xml:space="preserve"> as normalisation of IGF-1</w:t>
      </w:r>
      <w:r w:rsidR="00AD4948">
        <w:rPr>
          <w:rFonts w:asciiTheme="minorHAnsi" w:hAnsiTheme="minorHAnsi"/>
          <w:sz w:val="24"/>
          <w:szCs w:val="24"/>
        </w:rPr>
        <w:t xml:space="preserve">. </w:t>
      </w:r>
    </w:p>
    <w:p w:rsidR="00672329" w:rsidRPr="00AD4948" w:rsidRDefault="00BC434F" w:rsidP="00BC434F">
      <w:pPr>
        <w:pStyle w:val="Caption"/>
        <w:rPr>
          <w:rFonts w:asciiTheme="minorHAnsi" w:hAnsiTheme="minorHAnsi"/>
          <w:sz w:val="24"/>
          <w:szCs w:val="24"/>
        </w:rPr>
      </w:pPr>
      <w:r w:rsidRPr="00AD4948">
        <w:lastRenderedPageBreak/>
        <w:t xml:space="preserve">Figure </w:t>
      </w:r>
      <w:r w:rsidRPr="002A4B8F">
        <w:t>1</w:t>
      </w:r>
      <w:r w:rsidRPr="00AD4948">
        <w:t xml:space="preserve"> A proposed algorithm for the treatment of acromegaly in patients inadequately</w:t>
      </w:r>
      <w:r w:rsidR="003D0333" w:rsidRPr="00AD4948">
        <w:t xml:space="preserve"> controlled with first-generation SSAs (octreotide, </w:t>
      </w:r>
      <w:proofErr w:type="spellStart"/>
      <w:r w:rsidR="003D0333" w:rsidRPr="00AD4948">
        <w:t>lanreotide</w:t>
      </w:r>
      <w:proofErr w:type="spellEnd"/>
      <w:r w:rsidR="003D0333" w:rsidRPr="00AD4948">
        <w:t>).</w:t>
      </w:r>
      <w:r w:rsidRPr="00AD4948">
        <w:t xml:space="preserve"> </w:t>
      </w:r>
    </w:p>
    <w:p w:rsidR="007C196D" w:rsidRPr="00AD4948" w:rsidRDefault="00C563FA" w:rsidP="000D32FA">
      <w:pPr>
        <w:pStyle w:val="ListParagraph"/>
        <w:spacing w:after="120"/>
        <w:ind w:left="0"/>
        <w:contextualSpacing w:val="0"/>
        <w:jc w:val="left"/>
        <w:rPr>
          <w:rFonts w:asciiTheme="minorHAnsi" w:hAnsiTheme="minorHAnsi"/>
          <w:sz w:val="24"/>
          <w:szCs w:val="24"/>
        </w:rPr>
      </w:pPr>
      <w:r w:rsidRPr="00782F30">
        <w:rPr>
          <w:rFonts w:asciiTheme="minorHAnsi" w:hAnsiTheme="minorHAnsi"/>
          <w:noProof/>
          <w:sz w:val="24"/>
          <w:szCs w:val="24"/>
          <w:lang w:eastAsia="en-AU"/>
        </w:rPr>
        <w:drawing>
          <wp:inline distT="0" distB="0" distL="0" distR="0" wp14:anchorId="1A103B9E" wp14:editId="6F78B99D">
            <wp:extent cx="5725160" cy="3498850"/>
            <wp:effectExtent l="0" t="0" r="8890" b="6350"/>
            <wp:docPr id="1" name="Picture 1" title="A proposed algorithm for the treatment of acromegaly in patients inadequately controlled with first-generation SSAs (octreotide, lanreot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5160" cy="3498850"/>
                    </a:xfrm>
                    <a:prstGeom prst="rect">
                      <a:avLst/>
                    </a:prstGeom>
                    <a:noFill/>
                    <a:ln>
                      <a:noFill/>
                    </a:ln>
                  </pic:spPr>
                </pic:pic>
              </a:graphicData>
            </a:graphic>
          </wp:inline>
        </w:drawing>
      </w:r>
    </w:p>
    <w:p w:rsidR="00BC434F" w:rsidRPr="000D32FA" w:rsidRDefault="00880D56" w:rsidP="000D32FA">
      <w:pPr>
        <w:rPr>
          <w:rFonts w:ascii="Arial Narrow" w:hAnsi="Arial Narrow"/>
          <w:sz w:val="18"/>
          <w:szCs w:val="18"/>
        </w:rPr>
      </w:pPr>
      <w:r w:rsidRPr="000D32FA">
        <w:rPr>
          <w:rFonts w:ascii="Arial Narrow" w:hAnsi="Arial Narrow"/>
          <w:sz w:val="18"/>
          <w:szCs w:val="18"/>
        </w:rPr>
        <w:t>GH</w:t>
      </w:r>
      <w:r w:rsidR="0027721A" w:rsidRPr="000D32FA">
        <w:rPr>
          <w:rFonts w:ascii="Arial Narrow" w:hAnsi="Arial Narrow"/>
          <w:sz w:val="18"/>
          <w:szCs w:val="18"/>
        </w:rPr>
        <w:t>,</w:t>
      </w:r>
      <w:r w:rsidRPr="000D32FA">
        <w:rPr>
          <w:rFonts w:ascii="Arial Narrow" w:hAnsi="Arial Narrow"/>
          <w:sz w:val="18"/>
          <w:szCs w:val="18"/>
        </w:rPr>
        <w:t xml:space="preserve"> growth hormone</w:t>
      </w:r>
      <w:r w:rsidR="0027721A" w:rsidRPr="000D32FA">
        <w:rPr>
          <w:rFonts w:ascii="Arial Narrow" w:hAnsi="Arial Narrow"/>
          <w:sz w:val="18"/>
          <w:szCs w:val="18"/>
        </w:rPr>
        <w:t>;</w:t>
      </w:r>
      <w:r w:rsidRPr="000D32FA">
        <w:rPr>
          <w:rFonts w:ascii="Arial Narrow" w:hAnsi="Arial Narrow"/>
          <w:sz w:val="18"/>
          <w:szCs w:val="18"/>
        </w:rPr>
        <w:t xml:space="preserve"> IGF-1</w:t>
      </w:r>
      <w:r w:rsidR="0027721A" w:rsidRPr="000D32FA">
        <w:rPr>
          <w:rFonts w:ascii="Arial Narrow" w:hAnsi="Arial Narrow"/>
          <w:sz w:val="18"/>
          <w:szCs w:val="18"/>
        </w:rPr>
        <w:t>,</w:t>
      </w:r>
      <w:r w:rsidRPr="000D32FA">
        <w:rPr>
          <w:rFonts w:ascii="Arial Narrow" w:hAnsi="Arial Narrow"/>
          <w:sz w:val="18"/>
          <w:szCs w:val="18"/>
        </w:rPr>
        <w:t xml:space="preserve"> insulin-like growth factor 1</w:t>
      </w:r>
      <w:r w:rsidR="0027721A" w:rsidRPr="000D32FA">
        <w:rPr>
          <w:rFonts w:ascii="Arial Narrow" w:hAnsi="Arial Narrow"/>
          <w:sz w:val="18"/>
          <w:szCs w:val="18"/>
        </w:rPr>
        <w:t>;</w:t>
      </w:r>
      <w:r w:rsidR="002A0916" w:rsidRPr="000D32FA">
        <w:rPr>
          <w:rFonts w:ascii="Arial Narrow" w:hAnsi="Arial Narrow"/>
          <w:sz w:val="18"/>
          <w:szCs w:val="18"/>
        </w:rPr>
        <w:t xml:space="preserve"> SRL</w:t>
      </w:r>
      <w:r w:rsidR="0027721A" w:rsidRPr="000D32FA">
        <w:rPr>
          <w:rFonts w:ascii="Arial Narrow" w:hAnsi="Arial Narrow"/>
          <w:sz w:val="18"/>
          <w:szCs w:val="18"/>
        </w:rPr>
        <w:t>,</w:t>
      </w:r>
      <w:r w:rsidR="002A0916" w:rsidRPr="000D32FA">
        <w:rPr>
          <w:rFonts w:ascii="Arial Narrow" w:hAnsi="Arial Narrow"/>
          <w:sz w:val="18"/>
          <w:szCs w:val="18"/>
        </w:rPr>
        <w:t xml:space="preserve"> </w:t>
      </w:r>
      <w:proofErr w:type="spellStart"/>
      <w:r w:rsidR="00A80782" w:rsidRPr="000D32FA">
        <w:rPr>
          <w:rFonts w:ascii="Arial Narrow" w:hAnsi="Arial Narrow"/>
          <w:sz w:val="18"/>
          <w:szCs w:val="18"/>
        </w:rPr>
        <w:t>somatatostatin</w:t>
      </w:r>
      <w:proofErr w:type="spellEnd"/>
      <w:r w:rsidR="00A80782" w:rsidRPr="000D32FA">
        <w:rPr>
          <w:rFonts w:ascii="Arial Narrow" w:hAnsi="Arial Narrow"/>
          <w:sz w:val="18"/>
          <w:szCs w:val="18"/>
        </w:rPr>
        <w:t xml:space="preserve"> receptor ligand</w:t>
      </w:r>
      <w:r w:rsidR="0027721A" w:rsidRPr="000D32FA">
        <w:rPr>
          <w:rFonts w:ascii="Arial Narrow" w:hAnsi="Arial Narrow"/>
          <w:sz w:val="18"/>
          <w:szCs w:val="18"/>
        </w:rPr>
        <w:t>;</w:t>
      </w:r>
      <w:r w:rsidR="00A80782" w:rsidRPr="000D32FA">
        <w:rPr>
          <w:rFonts w:ascii="Arial Narrow" w:hAnsi="Arial Narrow"/>
          <w:sz w:val="18"/>
          <w:szCs w:val="18"/>
        </w:rPr>
        <w:t xml:space="preserve"> SRS</w:t>
      </w:r>
      <w:r w:rsidR="0027721A" w:rsidRPr="000D32FA">
        <w:rPr>
          <w:rFonts w:ascii="Arial Narrow" w:hAnsi="Arial Narrow"/>
          <w:sz w:val="18"/>
          <w:szCs w:val="18"/>
        </w:rPr>
        <w:t>,</w:t>
      </w:r>
      <w:r w:rsidR="00A80782" w:rsidRPr="000D32FA">
        <w:rPr>
          <w:rFonts w:ascii="Arial Narrow" w:hAnsi="Arial Narrow"/>
          <w:sz w:val="18"/>
          <w:szCs w:val="18"/>
        </w:rPr>
        <w:t xml:space="preserve"> stereotactic radiosurgery</w:t>
      </w:r>
    </w:p>
    <w:p w:rsidR="003A3968" w:rsidRPr="000D32FA" w:rsidRDefault="00C563FA" w:rsidP="000D32FA">
      <w:pPr>
        <w:rPr>
          <w:rFonts w:ascii="Arial Narrow" w:hAnsi="Arial Narrow"/>
          <w:sz w:val="18"/>
          <w:szCs w:val="18"/>
        </w:rPr>
      </w:pPr>
      <w:r w:rsidRPr="000D32FA">
        <w:rPr>
          <w:rFonts w:ascii="Arial Narrow" w:hAnsi="Arial Narrow"/>
          <w:sz w:val="18"/>
          <w:szCs w:val="18"/>
        </w:rPr>
        <w:t xml:space="preserve">Source: Figure 1, page 557, </w:t>
      </w:r>
      <w:proofErr w:type="spellStart"/>
      <w:r w:rsidRPr="000D32FA">
        <w:rPr>
          <w:rFonts w:ascii="Arial Narrow" w:hAnsi="Arial Narrow"/>
          <w:sz w:val="18"/>
          <w:szCs w:val="18"/>
        </w:rPr>
        <w:t>Melmed</w:t>
      </w:r>
      <w:proofErr w:type="spellEnd"/>
      <w:r w:rsidRPr="000D32FA">
        <w:rPr>
          <w:rFonts w:ascii="Arial Narrow" w:hAnsi="Arial Narrow"/>
          <w:sz w:val="18"/>
          <w:szCs w:val="18"/>
        </w:rPr>
        <w:t xml:space="preserve"> 2018</w:t>
      </w:r>
    </w:p>
    <w:p w:rsidR="0076155E" w:rsidRPr="00AD4948" w:rsidRDefault="0076155E" w:rsidP="000E7F34">
      <w:pPr>
        <w:pStyle w:val="ListParagraph"/>
        <w:widowControl/>
        <w:spacing w:before="120" w:after="120"/>
        <w:rPr>
          <w:sz w:val="24"/>
          <w:szCs w:val="24"/>
        </w:rPr>
      </w:pPr>
      <w:r w:rsidRPr="00AD4948">
        <w:rPr>
          <w:rFonts w:asciiTheme="minorHAnsi" w:hAnsiTheme="minorHAnsi"/>
          <w:i/>
          <w:sz w:val="24"/>
          <w:szCs w:val="24"/>
        </w:rPr>
        <w:t>For more deta</w:t>
      </w:r>
      <w:r w:rsidR="00F80449" w:rsidRPr="00AD4948">
        <w:rPr>
          <w:rFonts w:asciiTheme="minorHAnsi" w:hAnsiTheme="minorHAnsi"/>
          <w:i/>
          <w:sz w:val="24"/>
          <w:szCs w:val="24"/>
        </w:rPr>
        <w:t>il on PBAC’s view, see section 5</w:t>
      </w:r>
      <w:r w:rsidRPr="00AD4948">
        <w:rPr>
          <w:rFonts w:asciiTheme="minorHAnsi" w:hAnsiTheme="minorHAnsi"/>
          <w:i/>
          <w:sz w:val="24"/>
          <w:szCs w:val="24"/>
        </w:rPr>
        <w:t xml:space="preserve"> PBAC outcome.</w:t>
      </w:r>
    </w:p>
    <w:p w:rsidR="000B558D" w:rsidRDefault="00A57BCE" w:rsidP="000E7F34">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Pr>
          <w:rFonts w:asciiTheme="minorHAnsi" w:hAnsiTheme="minorHAnsi"/>
          <w:sz w:val="32"/>
          <w:szCs w:val="32"/>
        </w:rPr>
        <w:t xml:space="preserve">Consideration of the evidence </w:t>
      </w:r>
    </w:p>
    <w:p w:rsidR="00A57BCE" w:rsidRPr="00A57BCE" w:rsidRDefault="00A57BCE" w:rsidP="000E7F34">
      <w:pPr>
        <w:pStyle w:val="Heading2"/>
        <w:spacing w:before="120" w:after="120"/>
        <w:rPr>
          <w:rFonts w:asciiTheme="minorHAnsi" w:hAnsiTheme="minorHAnsi" w:cstheme="minorHAnsi"/>
          <w:snapToGrid w:val="0"/>
          <w:sz w:val="28"/>
        </w:rPr>
      </w:pPr>
      <w:r w:rsidRPr="00A57BCE">
        <w:rPr>
          <w:rFonts w:asciiTheme="minorHAnsi" w:hAnsiTheme="minorHAnsi" w:cstheme="minorHAnsi"/>
          <w:snapToGrid w:val="0"/>
          <w:sz w:val="28"/>
        </w:rPr>
        <w:t>Sponsor hearing</w:t>
      </w:r>
    </w:p>
    <w:p w:rsidR="00A57BCE" w:rsidRPr="00A57BCE" w:rsidRDefault="00A57BCE" w:rsidP="000E7F34">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A57BCE">
        <w:rPr>
          <w:rFonts w:asciiTheme="minorHAnsi" w:eastAsiaTheme="minorHAnsi" w:hAnsiTheme="minorHAnsi" w:cstheme="minorBidi"/>
          <w:snapToGrid/>
          <w:sz w:val="24"/>
          <w:szCs w:val="22"/>
        </w:rPr>
        <w:t>There was no hearing for this item as it was a minor submission.</w:t>
      </w:r>
    </w:p>
    <w:p w:rsidR="00A57BCE" w:rsidRPr="00A57BCE" w:rsidRDefault="00A57BCE" w:rsidP="000E7F34">
      <w:pPr>
        <w:pStyle w:val="Heading2"/>
        <w:spacing w:before="120" w:after="120"/>
        <w:rPr>
          <w:rFonts w:asciiTheme="minorHAnsi" w:hAnsiTheme="minorHAnsi" w:cstheme="minorHAnsi"/>
          <w:snapToGrid w:val="0"/>
          <w:sz w:val="28"/>
        </w:rPr>
      </w:pPr>
      <w:r w:rsidRPr="00A57BCE">
        <w:rPr>
          <w:rFonts w:asciiTheme="minorHAnsi" w:hAnsiTheme="minorHAnsi" w:cstheme="minorHAnsi"/>
          <w:snapToGrid w:val="0"/>
          <w:sz w:val="28"/>
        </w:rPr>
        <w:t>Consumer comments</w:t>
      </w:r>
    </w:p>
    <w:p w:rsidR="00A57BCE" w:rsidRPr="00A57BCE" w:rsidRDefault="00A57BCE" w:rsidP="000E7F34">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A57BCE">
        <w:rPr>
          <w:rFonts w:asciiTheme="minorHAnsi" w:eastAsiaTheme="minorHAnsi" w:hAnsiTheme="minorHAnsi" w:cstheme="minorBidi"/>
          <w:snapToGrid/>
          <w:sz w:val="24"/>
          <w:szCs w:val="22"/>
        </w:rPr>
        <w:t xml:space="preserve">The PBAC noted that no consumer comments </w:t>
      </w:r>
      <w:proofErr w:type="gramStart"/>
      <w:r w:rsidRPr="00A57BCE">
        <w:rPr>
          <w:rFonts w:asciiTheme="minorHAnsi" w:eastAsiaTheme="minorHAnsi" w:hAnsiTheme="minorHAnsi" w:cstheme="minorBidi"/>
          <w:snapToGrid/>
          <w:sz w:val="24"/>
          <w:szCs w:val="22"/>
        </w:rPr>
        <w:t>were received</w:t>
      </w:r>
      <w:proofErr w:type="gramEnd"/>
      <w:r w:rsidRPr="00A57BCE">
        <w:rPr>
          <w:rFonts w:asciiTheme="minorHAnsi" w:eastAsiaTheme="minorHAnsi" w:hAnsiTheme="minorHAnsi" w:cstheme="minorBidi"/>
          <w:snapToGrid/>
          <w:sz w:val="24"/>
          <w:szCs w:val="22"/>
        </w:rPr>
        <w:t xml:space="preserve"> for this item. </w:t>
      </w:r>
    </w:p>
    <w:p w:rsidR="00A57BCE" w:rsidRPr="00A57BCE" w:rsidRDefault="00A57BCE" w:rsidP="000E7F34">
      <w:pPr>
        <w:pStyle w:val="Heading2"/>
        <w:spacing w:before="120" w:after="120"/>
        <w:rPr>
          <w:rFonts w:asciiTheme="minorHAnsi" w:hAnsiTheme="minorHAnsi" w:cstheme="minorHAnsi"/>
          <w:snapToGrid w:val="0"/>
          <w:sz w:val="28"/>
        </w:rPr>
      </w:pPr>
      <w:r w:rsidRPr="00A57BCE">
        <w:rPr>
          <w:rFonts w:asciiTheme="minorHAnsi" w:hAnsiTheme="minorHAnsi" w:cstheme="minorHAnsi"/>
          <w:snapToGrid w:val="0"/>
          <w:sz w:val="28"/>
        </w:rPr>
        <w:t xml:space="preserve">Requested Change </w:t>
      </w:r>
    </w:p>
    <w:p w:rsidR="00981CB6" w:rsidRPr="00AD4948" w:rsidRDefault="003636EB" w:rsidP="000E7F34">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AD4948">
        <w:rPr>
          <w:rFonts w:asciiTheme="minorHAnsi" w:eastAsiaTheme="minorHAnsi" w:hAnsiTheme="minorHAnsi" w:cstheme="minorBidi"/>
          <w:snapToGrid/>
          <w:sz w:val="24"/>
          <w:szCs w:val="22"/>
        </w:rPr>
        <w:t>To support the changes to the definition of biochemical control, t</w:t>
      </w:r>
      <w:r w:rsidR="002E534B" w:rsidRPr="00AD4948">
        <w:rPr>
          <w:rFonts w:asciiTheme="minorHAnsi" w:eastAsiaTheme="minorHAnsi" w:hAnsiTheme="minorHAnsi" w:cstheme="minorBidi"/>
          <w:snapToGrid/>
          <w:sz w:val="24"/>
          <w:szCs w:val="22"/>
        </w:rPr>
        <w:t>he</w:t>
      </w:r>
      <w:r w:rsidR="00887A7B" w:rsidRPr="00AD4948">
        <w:rPr>
          <w:rFonts w:asciiTheme="minorHAnsi" w:eastAsiaTheme="minorHAnsi" w:hAnsiTheme="minorHAnsi" w:cstheme="minorBidi"/>
          <w:snapToGrid/>
          <w:sz w:val="24"/>
          <w:szCs w:val="22"/>
        </w:rPr>
        <w:t xml:space="preserve"> </w:t>
      </w:r>
      <w:r w:rsidR="0093391B" w:rsidRPr="00AD4948">
        <w:rPr>
          <w:rFonts w:asciiTheme="minorHAnsi" w:eastAsiaTheme="minorHAnsi" w:hAnsiTheme="minorHAnsi" w:cstheme="minorBidi"/>
          <w:snapToGrid/>
          <w:sz w:val="24"/>
          <w:szCs w:val="22"/>
        </w:rPr>
        <w:t xml:space="preserve">minor </w:t>
      </w:r>
      <w:r w:rsidR="00887A7B" w:rsidRPr="00AD4948">
        <w:rPr>
          <w:rFonts w:asciiTheme="minorHAnsi" w:eastAsiaTheme="minorHAnsi" w:hAnsiTheme="minorHAnsi" w:cstheme="minorBidi"/>
          <w:snapToGrid/>
          <w:sz w:val="24"/>
          <w:szCs w:val="22"/>
        </w:rPr>
        <w:t xml:space="preserve">submission presented </w:t>
      </w:r>
      <w:r w:rsidR="000454FC" w:rsidRPr="00AD4948">
        <w:rPr>
          <w:rFonts w:asciiTheme="minorHAnsi" w:eastAsiaTheme="minorHAnsi" w:hAnsiTheme="minorHAnsi" w:cstheme="minorBidi"/>
          <w:snapToGrid/>
          <w:sz w:val="24"/>
          <w:szCs w:val="22"/>
        </w:rPr>
        <w:t xml:space="preserve">a subgroup analysis of the pivotal clinical study </w:t>
      </w:r>
      <w:r w:rsidR="006F7F0B" w:rsidRPr="00AD4948">
        <w:rPr>
          <w:rFonts w:asciiTheme="minorHAnsi" w:eastAsiaTheme="minorHAnsi" w:hAnsiTheme="minorHAnsi" w:cstheme="minorBidi"/>
          <w:snapToGrid/>
          <w:sz w:val="24"/>
          <w:szCs w:val="22"/>
        </w:rPr>
        <w:t xml:space="preserve">(Trial </w:t>
      </w:r>
      <w:r w:rsidR="000454FC" w:rsidRPr="00AD4948">
        <w:rPr>
          <w:rFonts w:asciiTheme="minorHAnsi" w:eastAsiaTheme="minorHAnsi" w:hAnsiTheme="minorHAnsi" w:cstheme="minorBidi"/>
          <w:snapToGrid/>
          <w:sz w:val="24"/>
          <w:szCs w:val="22"/>
        </w:rPr>
        <w:t>3614</w:t>
      </w:r>
      <w:r w:rsidR="006F7F0B" w:rsidRPr="00AD4948">
        <w:rPr>
          <w:rFonts w:asciiTheme="minorHAnsi" w:eastAsiaTheme="minorHAnsi" w:hAnsiTheme="minorHAnsi" w:cstheme="minorBidi"/>
          <w:snapToGrid/>
          <w:sz w:val="24"/>
          <w:szCs w:val="22"/>
        </w:rPr>
        <w:t>)</w:t>
      </w:r>
      <w:r w:rsidR="000454FC" w:rsidRPr="00AD4948">
        <w:rPr>
          <w:rFonts w:asciiTheme="minorHAnsi" w:eastAsiaTheme="minorHAnsi" w:hAnsiTheme="minorHAnsi" w:cstheme="minorBidi"/>
          <w:snapToGrid/>
          <w:sz w:val="24"/>
          <w:szCs w:val="22"/>
        </w:rPr>
        <w:t xml:space="preserve"> from the </w:t>
      </w:r>
      <w:r w:rsidRPr="00AD4948">
        <w:rPr>
          <w:rFonts w:asciiTheme="minorHAnsi" w:eastAsiaTheme="minorHAnsi" w:hAnsiTheme="minorHAnsi" w:cstheme="minorBidi"/>
          <w:snapToGrid/>
          <w:sz w:val="24"/>
          <w:szCs w:val="22"/>
        </w:rPr>
        <w:t xml:space="preserve">November 2016 </w:t>
      </w:r>
      <w:r w:rsidR="000454FC" w:rsidRPr="00AD4948">
        <w:rPr>
          <w:rFonts w:asciiTheme="minorHAnsi" w:eastAsiaTheme="minorHAnsi" w:hAnsiTheme="minorHAnsi" w:cstheme="minorBidi"/>
          <w:snapToGrid/>
          <w:sz w:val="24"/>
          <w:szCs w:val="22"/>
        </w:rPr>
        <w:t>s</w:t>
      </w:r>
      <w:r w:rsidR="0093391B" w:rsidRPr="00AD4948">
        <w:rPr>
          <w:rFonts w:asciiTheme="minorHAnsi" w:eastAsiaTheme="minorHAnsi" w:hAnsiTheme="minorHAnsi" w:cstheme="minorBidi"/>
          <w:snapToGrid/>
          <w:sz w:val="24"/>
          <w:szCs w:val="22"/>
        </w:rPr>
        <w:t>ubmission.</w:t>
      </w:r>
      <w:r w:rsidR="000454FC" w:rsidRPr="00AD4948">
        <w:rPr>
          <w:rFonts w:asciiTheme="minorHAnsi" w:eastAsiaTheme="minorHAnsi" w:hAnsiTheme="minorHAnsi" w:cstheme="minorBidi"/>
          <w:snapToGrid/>
          <w:sz w:val="24"/>
          <w:szCs w:val="22"/>
        </w:rPr>
        <w:t xml:space="preserve"> </w:t>
      </w:r>
      <w:r w:rsidR="0093391B" w:rsidRPr="00AD4948">
        <w:rPr>
          <w:rFonts w:asciiTheme="minorHAnsi" w:eastAsiaTheme="minorHAnsi" w:hAnsiTheme="minorHAnsi" w:cstheme="minorBidi"/>
          <w:snapToGrid/>
          <w:sz w:val="24"/>
          <w:szCs w:val="22"/>
        </w:rPr>
        <w:t xml:space="preserve">Of the 111 </w:t>
      </w:r>
      <w:r w:rsidR="004822BD" w:rsidRPr="00AD4948">
        <w:rPr>
          <w:rFonts w:asciiTheme="minorHAnsi" w:eastAsiaTheme="minorHAnsi" w:hAnsiTheme="minorHAnsi" w:cstheme="minorBidi"/>
          <w:snapToGrid/>
          <w:sz w:val="24"/>
          <w:szCs w:val="22"/>
        </w:rPr>
        <w:t>intention to treat (</w:t>
      </w:r>
      <w:r w:rsidR="0093391B" w:rsidRPr="00AD4948">
        <w:rPr>
          <w:rFonts w:asciiTheme="minorHAnsi" w:eastAsiaTheme="minorHAnsi" w:hAnsiTheme="minorHAnsi" w:cstheme="minorBidi"/>
          <w:snapToGrid/>
          <w:sz w:val="24"/>
          <w:szCs w:val="22"/>
        </w:rPr>
        <w:t>ITT</w:t>
      </w:r>
      <w:r w:rsidR="004822BD" w:rsidRPr="00AD4948">
        <w:rPr>
          <w:rFonts w:asciiTheme="minorHAnsi" w:eastAsiaTheme="minorHAnsi" w:hAnsiTheme="minorHAnsi" w:cstheme="minorBidi"/>
          <w:snapToGrid/>
          <w:sz w:val="24"/>
          <w:szCs w:val="22"/>
        </w:rPr>
        <w:t>)</w:t>
      </w:r>
      <w:r w:rsidR="0093391B" w:rsidRPr="00AD4948">
        <w:rPr>
          <w:rFonts w:asciiTheme="minorHAnsi" w:eastAsiaTheme="minorHAnsi" w:hAnsiTheme="minorHAnsi" w:cstheme="minorBidi"/>
          <w:snapToGrid/>
          <w:sz w:val="24"/>
          <w:szCs w:val="22"/>
        </w:rPr>
        <w:t xml:space="preserve"> patients in </w:t>
      </w:r>
      <w:r w:rsidR="006F7F0B" w:rsidRPr="00AD4948">
        <w:rPr>
          <w:rFonts w:asciiTheme="minorHAnsi" w:eastAsiaTheme="minorHAnsi" w:hAnsiTheme="minorHAnsi" w:cstheme="minorBidi"/>
          <w:snapToGrid/>
          <w:sz w:val="24"/>
          <w:szCs w:val="22"/>
        </w:rPr>
        <w:t xml:space="preserve">Trial </w:t>
      </w:r>
      <w:r w:rsidR="0093391B" w:rsidRPr="00AD4948">
        <w:rPr>
          <w:rFonts w:asciiTheme="minorHAnsi" w:eastAsiaTheme="minorHAnsi" w:hAnsiTheme="minorHAnsi" w:cstheme="minorBidi"/>
          <w:snapToGrid/>
          <w:sz w:val="24"/>
          <w:szCs w:val="22"/>
        </w:rPr>
        <w:t>3614, 91 (82%) qualified for the PBS relevant subgroup for this minor submission. Outcomes included change from baseline in IGF-1 concentrations (primary outcome) and normalisation of IGF-1 (secondary outcome).</w:t>
      </w:r>
      <w:r w:rsidR="006F7F0B" w:rsidRPr="00AD4948">
        <w:rPr>
          <w:rFonts w:asciiTheme="minorHAnsi" w:eastAsiaTheme="minorHAnsi" w:hAnsiTheme="minorHAnsi" w:cstheme="minorBidi"/>
          <w:snapToGrid/>
          <w:sz w:val="24"/>
          <w:szCs w:val="22"/>
        </w:rPr>
        <w:t xml:space="preserve"> As this was a minor submission</w:t>
      </w:r>
      <w:r w:rsidR="003F12C9" w:rsidRPr="00AD4948">
        <w:rPr>
          <w:rFonts w:asciiTheme="minorHAnsi" w:eastAsiaTheme="minorHAnsi" w:hAnsiTheme="minorHAnsi" w:cstheme="minorBidi"/>
          <w:snapToGrid/>
          <w:sz w:val="24"/>
          <w:szCs w:val="22"/>
        </w:rPr>
        <w:t>,</w:t>
      </w:r>
      <w:r w:rsidR="000D7E99" w:rsidRPr="00AD4948">
        <w:rPr>
          <w:rFonts w:asciiTheme="minorHAnsi" w:eastAsiaTheme="minorHAnsi" w:hAnsiTheme="minorHAnsi" w:cstheme="minorBidi"/>
          <w:snapToGrid/>
          <w:sz w:val="24"/>
          <w:szCs w:val="22"/>
        </w:rPr>
        <w:t xml:space="preserve"> the clinical data provided </w:t>
      </w:r>
      <w:proofErr w:type="gramStart"/>
      <w:r w:rsidR="000D3E4B" w:rsidRPr="00AD4948">
        <w:rPr>
          <w:rFonts w:asciiTheme="minorHAnsi" w:eastAsiaTheme="minorHAnsi" w:hAnsiTheme="minorHAnsi" w:cstheme="minorBidi"/>
          <w:snapToGrid/>
          <w:sz w:val="24"/>
          <w:szCs w:val="22"/>
        </w:rPr>
        <w:t xml:space="preserve">was </w:t>
      </w:r>
      <w:r w:rsidR="0023653E" w:rsidRPr="00AD4948">
        <w:rPr>
          <w:rFonts w:asciiTheme="minorHAnsi" w:eastAsiaTheme="minorHAnsi" w:hAnsiTheme="minorHAnsi" w:cstheme="minorBidi"/>
          <w:snapToGrid/>
          <w:sz w:val="24"/>
          <w:szCs w:val="22"/>
        </w:rPr>
        <w:t xml:space="preserve">not </w:t>
      </w:r>
      <w:r w:rsidR="006F7F0B" w:rsidRPr="00AD4948">
        <w:rPr>
          <w:rFonts w:asciiTheme="minorHAnsi" w:eastAsiaTheme="minorHAnsi" w:hAnsiTheme="minorHAnsi" w:cstheme="minorBidi"/>
          <w:snapToGrid/>
          <w:sz w:val="24"/>
          <w:szCs w:val="22"/>
        </w:rPr>
        <w:t>fully evaluated</w:t>
      </w:r>
      <w:proofErr w:type="gramEnd"/>
      <w:r w:rsidR="00AD4948">
        <w:rPr>
          <w:rFonts w:asciiTheme="minorHAnsi" w:eastAsiaTheme="minorHAnsi" w:hAnsiTheme="minorHAnsi" w:cstheme="minorBidi"/>
          <w:snapToGrid/>
          <w:sz w:val="24"/>
          <w:szCs w:val="22"/>
        </w:rPr>
        <w:t xml:space="preserve">. </w:t>
      </w:r>
    </w:p>
    <w:p w:rsidR="009B1619" w:rsidRDefault="009B1619">
      <w:pPr>
        <w:rPr>
          <w:rStyle w:val="CommentReference"/>
          <w:rFonts w:ascii="Arial Narrow" w:hAnsi="Arial Narrow"/>
          <w:b/>
          <w:sz w:val="20"/>
          <w:szCs w:val="20"/>
        </w:rPr>
      </w:pPr>
      <w:r>
        <w:rPr>
          <w:rStyle w:val="CommentReference"/>
          <w:rFonts w:ascii="Arial Narrow" w:hAnsi="Arial Narrow"/>
          <w:b/>
          <w:sz w:val="20"/>
          <w:szCs w:val="20"/>
        </w:rPr>
        <w:br w:type="page"/>
      </w:r>
    </w:p>
    <w:p w:rsidR="0093391B" w:rsidRPr="00F13587" w:rsidRDefault="0093391B" w:rsidP="000D32FA">
      <w:pPr>
        <w:rPr>
          <w:rFonts w:eastAsiaTheme="minorHAnsi"/>
          <w:b/>
        </w:rPr>
      </w:pPr>
      <w:r w:rsidRPr="00F13587">
        <w:rPr>
          <w:rStyle w:val="CommentReference"/>
          <w:rFonts w:ascii="Arial Narrow" w:hAnsi="Arial Narrow"/>
          <w:b/>
          <w:sz w:val="20"/>
          <w:szCs w:val="20"/>
        </w:rPr>
        <w:lastRenderedPageBreak/>
        <w:t>Table</w:t>
      </w:r>
      <w:r w:rsidR="00D16745" w:rsidRPr="00F13587">
        <w:rPr>
          <w:rStyle w:val="CommentReference"/>
          <w:rFonts w:ascii="Arial Narrow" w:hAnsi="Arial Narrow"/>
          <w:b/>
          <w:sz w:val="20"/>
          <w:szCs w:val="20"/>
        </w:rPr>
        <w:t xml:space="preserve"> 2</w:t>
      </w:r>
      <w:r w:rsidRPr="00F13587">
        <w:rPr>
          <w:rStyle w:val="CommentReference"/>
          <w:rFonts w:ascii="Arial Narrow" w:hAnsi="Arial Narrow"/>
          <w:b/>
          <w:sz w:val="20"/>
          <w:szCs w:val="20"/>
        </w:rPr>
        <w:t>: Differences between</w:t>
      </w:r>
      <w:r w:rsidR="00A21B48" w:rsidRPr="00F13587">
        <w:rPr>
          <w:rStyle w:val="CommentReference"/>
          <w:rFonts w:ascii="Arial Narrow" w:hAnsi="Arial Narrow"/>
          <w:b/>
          <w:sz w:val="20"/>
          <w:szCs w:val="20"/>
        </w:rPr>
        <w:t xml:space="preserve"> Trial </w:t>
      </w:r>
      <w:r w:rsidRPr="00F13587">
        <w:rPr>
          <w:rStyle w:val="CommentReference"/>
          <w:rFonts w:ascii="Arial Narrow" w:hAnsi="Arial Narrow"/>
          <w:b/>
          <w:sz w:val="20"/>
          <w:szCs w:val="20"/>
        </w:rPr>
        <w:t>3614</w:t>
      </w:r>
      <w:r w:rsidR="009F6969" w:rsidRPr="00F13587">
        <w:rPr>
          <w:rStyle w:val="CommentReference"/>
          <w:rFonts w:ascii="Arial Narrow" w:hAnsi="Arial Narrow"/>
          <w:b/>
          <w:sz w:val="20"/>
          <w:szCs w:val="20"/>
        </w:rPr>
        <w:t xml:space="preserve"> ITT</w:t>
      </w:r>
      <w:r w:rsidRPr="00F13587">
        <w:rPr>
          <w:rStyle w:val="CommentReference"/>
          <w:rFonts w:ascii="Arial Narrow" w:hAnsi="Arial Narrow"/>
          <w:b/>
          <w:sz w:val="20"/>
          <w:szCs w:val="20"/>
        </w:rPr>
        <w:t xml:space="preserve"> population, the </w:t>
      </w:r>
      <w:r w:rsidR="009F6969" w:rsidRPr="00F13587">
        <w:rPr>
          <w:rStyle w:val="CommentReference"/>
          <w:rFonts w:ascii="Arial Narrow" w:hAnsi="Arial Narrow"/>
          <w:b/>
          <w:sz w:val="20"/>
          <w:szCs w:val="20"/>
        </w:rPr>
        <w:t xml:space="preserve">subgroup </w:t>
      </w:r>
      <w:r w:rsidRPr="00F13587">
        <w:rPr>
          <w:rStyle w:val="CommentReference"/>
          <w:rFonts w:ascii="Arial Narrow" w:hAnsi="Arial Narrow"/>
          <w:b/>
          <w:sz w:val="20"/>
          <w:szCs w:val="20"/>
        </w:rPr>
        <w:t>for the current restriction and the</w:t>
      </w:r>
      <w:r w:rsidR="009F6969" w:rsidRPr="00F13587">
        <w:rPr>
          <w:rStyle w:val="CommentReference"/>
          <w:rFonts w:ascii="Arial Narrow" w:hAnsi="Arial Narrow"/>
          <w:b/>
          <w:sz w:val="20"/>
          <w:szCs w:val="20"/>
        </w:rPr>
        <w:t xml:space="preserve"> subgroup</w:t>
      </w:r>
      <w:r w:rsidRPr="00F13587">
        <w:rPr>
          <w:rStyle w:val="CommentReference"/>
          <w:rFonts w:ascii="Arial Narrow" w:hAnsi="Arial Narrow"/>
          <w:b/>
          <w:sz w:val="20"/>
          <w:szCs w:val="20"/>
        </w:rPr>
        <w:t xml:space="preserve"> for the proposed restriction </w:t>
      </w:r>
    </w:p>
    <w:tbl>
      <w:tblPr>
        <w:tblStyle w:val="TableGrid"/>
        <w:tblW w:w="5000" w:type="pct"/>
        <w:jc w:val="center"/>
        <w:tblLook w:val="04A0" w:firstRow="1" w:lastRow="0" w:firstColumn="1" w:lastColumn="0" w:noHBand="0" w:noVBand="1"/>
        <w:tblCaption w:val="Differences between Trial 3614 ITT population, the subgroup for the current restriction and the subgroup for the proposed restriction "/>
      </w:tblPr>
      <w:tblGrid>
        <w:gridCol w:w="1312"/>
        <w:gridCol w:w="2470"/>
        <w:gridCol w:w="2617"/>
        <w:gridCol w:w="2617"/>
      </w:tblGrid>
      <w:tr w:rsidR="0093391B" w:rsidRPr="00AD4948" w:rsidTr="000003FC">
        <w:trPr>
          <w:tblHeader/>
          <w:jc w:val="center"/>
        </w:trPr>
        <w:tc>
          <w:tcPr>
            <w:tcW w:w="1129" w:type="dxa"/>
          </w:tcPr>
          <w:p w:rsidR="0093391B" w:rsidRPr="00AD4948" w:rsidRDefault="0093391B" w:rsidP="00735DBB">
            <w:pPr>
              <w:rPr>
                <w:rFonts w:ascii="Arial Narrow" w:eastAsiaTheme="minorHAnsi" w:hAnsi="Arial Narrow" w:cstheme="minorBidi"/>
                <w:sz w:val="20"/>
                <w:szCs w:val="20"/>
              </w:rPr>
            </w:pPr>
          </w:p>
        </w:tc>
        <w:tc>
          <w:tcPr>
            <w:tcW w:w="2127" w:type="dxa"/>
          </w:tcPr>
          <w:p w:rsidR="0093391B" w:rsidRPr="00AD4948" w:rsidRDefault="00A21B48" w:rsidP="009F6969">
            <w:pPr>
              <w:rPr>
                <w:rFonts w:ascii="Arial Narrow" w:eastAsiaTheme="minorHAnsi" w:hAnsi="Arial Narrow" w:cstheme="minorBidi"/>
                <w:b/>
                <w:sz w:val="20"/>
                <w:szCs w:val="20"/>
              </w:rPr>
            </w:pPr>
            <w:r w:rsidRPr="00AD4948">
              <w:rPr>
                <w:rFonts w:ascii="Arial Narrow" w:eastAsiaTheme="minorHAnsi" w:hAnsi="Arial Narrow" w:cstheme="minorBidi"/>
                <w:b/>
                <w:sz w:val="20"/>
                <w:szCs w:val="20"/>
              </w:rPr>
              <w:t xml:space="preserve">Trial </w:t>
            </w:r>
            <w:r w:rsidR="0093391B" w:rsidRPr="00AD4948">
              <w:rPr>
                <w:rFonts w:ascii="Arial Narrow" w:eastAsiaTheme="minorHAnsi" w:hAnsi="Arial Narrow" w:cstheme="minorBidi"/>
                <w:b/>
                <w:sz w:val="20"/>
                <w:szCs w:val="20"/>
              </w:rPr>
              <w:t xml:space="preserve">3614 </w:t>
            </w:r>
            <w:r w:rsidR="009F6969" w:rsidRPr="00AD4948">
              <w:rPr>
                <w:rFonts w:ascii="Arial Narrow" w:eastAsiaTheme="minorHAnsi" w:hAnsi="Arial Narrow" w:cstheme="minorBidi"/>
                <w:b/>
                <w:sz w:val="20"/>
                <w:szCs w:val="20"/>
              </w:rPr>
              <w:t xml:space="preserve">ITT </w:t>
            </w:r>
            <w:r w:rsidR="0093391B" w:rsidRPr="00AD4948">
              <w:rPr>
                <w:rFonts w:ascii="Arial Narrow" w:eastAsiaTheme="minorHAnsi" w:hAnsi="Arial Narrow" w:cstheme="minorBidi"/>
                <w:b/>
                <w:sz w:val="20"/>
                <w:szCs w:val="20"/>
              </w:rPr>
              <w:t>population</w:t>
            </w:r>
          </w:p>
        </w:tc>
        <w:tc>
          <w:tcPr>
            <w:tcW w:w="2254" w:type="dxa"/>
          </w:tcPr>
          <w:p w:rsidR="0093391B" w:rsidRPr="00AD4948" w:rsidRDefault="00A21B48" w:rsidP="00735DBB">
            <w:pPr>
              <w:rPr>
                <w:rFonts w:ascii="Arial Narrow" w:eastAsiaTheme="minorHAnsi" w:hAnsi="Arial Narrow" w:cstheme="minorBidi"/>
                <w:b/>
                <w:sz w:val="20"/>
                <w:szCs w:val="20"/>
              </w:rPr>
            </w:pPr>
            <w:r w:rsidRPr="00AD4948">
              <w:rPr>
                <w:rFonts w:ascii="Arial Narrow" w:eastAsiaTheme="minorHAnsi" w:hAnsi="Arial Narrow" w:cstheme="minorBidi"/>
                <w:b/>
                <w:sz w:val="20"/>
                <w:szCs w:val="20"/>
              </w:rPr>
              <w:t xml:space="preserve">Trial </w:t>
            </w:r>
            <w:r w:rsidR="0093391B" w:rsidRPr="00AD4948">
              <w:rPr>
                <w:rFonts w:ascii="Arial Narrow" w:eastAsiaTheme="minorHAnsi" w:hAnsi="Arial Narrow" w:cstheme="minorBidi"/>
                <w:b/>
                <w:sz w:val="20"/>
                <w:szCs w:val="20"/>
              </w:rPr>
              <w:t>3614 sub</w:t>
            </w:r>
            <w:r w:rsidR="009F6969" w:rsidRPr="00AD4948">
              <w:rPr>
                <w:rFonts w:ascii="Arial Narrow" w:eastAsiaTheme="minorHAnsi" w:hAnsi="Arial Narrow" w:cstheme="minorBidi"/>
                <w:b/>
                <w:sz w:val="20"/>
                <w:szCs w:val="20"/>
              </w:rPr>
              <w:t>group</w:t>
            </w:r>
            <w:r w:rsidR="00BC5B29">
              <w:rPr>
                <w:rFonts w:ascii="Arial Narrow" w:eastAsiaTheme="minorHAnsi" w:hAnsi="Arial Narrow" w:cstheme="minorBidi"/>
                <w:b/>
                <w:sz w:val="20"/>
                <w:szCs w:val="20"/>
              </w:rPr>
              <w:t xml:space="preserve"> </w:t>
            </w:r>
            <w:r w:rsidR="0093391B" w:rsidRPr="00AD4948">
              <w:rPr>
                <w:rFonts w:ascii="Arial Narrow" w:eastAsiaTheme="minorHAnsi" w:hAnsi="Arial Narrow" w:cstheme="minorBidi"/>
                <w:b/>
                <w:sz w:val="20"/>
                <w:szCs w:val="20"/>
              </w:rPr>
              <w:t>(current restriction)</w:t>
            </w:r>
          </w:p>
        </w:tc>
        <w:tc>
          <w:tcPr>
            <w:tcW w:w="2254" w:type="dxa"/>
          </w:tcPr>
          <w:p w:rsidR="0093391B" w:rsidRPr="00AD4948" w:rsidRDefault="00A21B48" w:rsidP="009F6969">
            <w:pPr>
              <w:rPr>
                <w:rFonts w:ascii="Arial Narrow" w:eastAsiaTheme="minorHAnsi" w:hAnsi="Arial Narrow" w:cstheme="minorBidi"/>
                <w:b/>
                <w:sz w:val="20"/>
                <w:szCs w:val="20"/>
              </w:rPr>
            </w:pPr>
            <w:r w:rsidRPr="00AD4948">
              <w:rPr>
                <w:rFonts w:ascii="Arial Narrow" w:eastAsiaTheme="minorHAnsi" w:hAnsi="Arial Narrow" w:cstheme="minorBidi"/>
                <w:b/>
                <w:sz w:val="20"/>
                <w:szCs w:val="20"/>
              </w:rPr>
              <w:t xml:space="preserve">Trial </w:t>
            </w:r>
            <w:r w:rsidR="0093391B" w:rsidRPr="00AD4948">
              <w:rPr>
                <w:rFonts w:ascii="Arial Narrow" w:eastAsiaTheme="minorHAnsi" w:hAnsi="Arial Narrow" w:cstheme="minorBidi"/>
                <w:b/>
                <w:sz w:val="20"/>
                <w:szCs w:val="20"/>
              </w:rPr>
              <w:t xml:space="preserve">3614 </w:t>
            </w:r>
            <w:r w:rsidR="009F6969" w:rsidRPr="00AD4948">
              <w:rPr>
                <w:rFonts w:ascii="Arial Narrow" w:eastAsiaTheme="minorHAnsi" w:hAnsi="Arial Narrow" w:cstheme="minorBidi"/>
                <w:b/>
                <w:sz w:val="20"/>
                <w:szCs w:val="20"/>
              </w:rPr>
              <w:t xml:space="preserve">subgroup </w:t>
            </w:r>
            <w:r w:rsidR="0093391B" w:rsidRPr="00AD4948">
              <w:rPr>
                <w:rFonts w:ascii="Arial Narrow" w:eastAsiaTheme="minorHAnsi" w:hAnsi="Arial Narrow" w:cstheme="minorBidi"/>
                <w:b/>
                <w:sz w:val="20"/>
                <w:szCs w:val="20"/>
              </w:rPr>
              <w:t>(proposed restriction)</w:t>
            </w:r>
          </w:p>
        </w:tc>
      </w:tr>
      <w:tr w:rsidR="0093391B" w:rsidRPr="00AD4948" w:rsidTr="000003FC">
        <w:trPr>
          <w:tblHeader/>
          <w:jc w:val="center"/>
        </w:trPr>
        <w:tc>
          <w:tcPr>
            <w:tcW w:w="1129" w:type="dxa"/>
          </w:tcPr>
          <w:p w:rsidR="0093391B" w:rsidRPr="00AD4948" w:rsidRDefault="0093391B" w:rsidP="00735DBB">
            <w:pPr>
              <w:rPr>
                <w:rFonts w:ascii="Arial Narrow" w:eastAsiaTheme="minorHAnsi" w:hAnsi="Arial Narrow" w:cstheme="minorBidi"/>
                <w:b/>
                <w:sz w:val="20"/>
                <w:szCs w:val="20"/>
              </w:rPr>
            </w:pPr>
            <w:r w:rsidRPr="00AD4948">
              <w:rPr>
                <w:rFonts w:ascii="Arial Narrow" w:eastAsiaTheme="minorHAnsi" w:hAnsi="Arial Narrow" w:cstheme="minorBidi"/>
                <w:b/>
                <w:sz w:val="20"/>
                <w:szCs w:val="20"/>
              </w:rPr>
              <w:t xml:space="preserve">Number of patients </w:t>
            </w:r>
          </w:p>
        </w:tc>
        <w:tc>
          <w:tcPr>
            <w:tcW w:w="2127" w:type="dxa"/>
          </w:tcPr>
          <w:p w:rsidR="0093391B" w:rsidRPr="00AD4948" w:rsidRDefault="0093391B" w:rsidP="00735DBB">
            <w:pPr>
              <w:jc w:val="center"/>
              <w:rPr>
                <w:rFonts w:ascii="Arial Narrow" w:eastAsiaTheme="minorHAnsi" w:hAnsi="Arial Narrow" w:cstheme="minorBidi"/>
                <w:sz w:val="20"/>
                <w:szCs w:val="20"/>
              </w:rPr>
            </w:pPr>
            <w:r w:rsidRPr="00AD4948">
              <w:rPr>
                <w:rFonts w:ascii="Arial Narrow" w:eastAsiaTheme="minorHAnsi" w:hAnsi="Arial Narrow" w:cstheme="minorBidi"/>
                <w:sz w:val="20"/>
                <w:szCs w:val="20"/>
              </w:rPr>
              <w:t>111</w:t>
            </w:r>
          </w:p>
        </w:tc>
        <w:tc>
          <w:tcPr>
            <w:tcW w:w="2254" w:type="dxa"/>
          </w:tcPr>
          <w:p w:rsidR="0093391B" w:rsidRPr="00AD4948" w:rsidRDefault="0093391B" w:rsidP="00735DBB">
            <w:pPr>
              <w:jc w:val="center"/>
              <w:rPr>
                <w:rFonts w:ascii="Arial Narrow" w:eastAsiaTheme="minorHAnsi" w:hAnsi="Arial Narrow" w:cstheme="minorBidi"/>
                <w:sz w:val="20"/>
                <w:szCs w:val="20"/>
              </w:rPr>
            </w:pPr>
            <w:r w:rsidRPr="00AD4948">
              <w:rPr>
                <w:rFonts w:ascii="Arial Narrow" w:eastAsiaTheme="minorHAnsi" w:hAnsi="Arial Narrow" w:cstheme="minorBidi"/>
                <w:sz w:val="20"/>
                <w:szCs w:val="20"/>
              </w:rPr>
              <w:t>61</w:t>
            </w:r>
          </w:p>
        </w:tc>
        <w:tc>
          <w:tcPr>
            <w:tcW w:w="2254" w:type="dxa"/>
          </w:tcPr>
          <w:p w:rsidR="0093391B" w:rsidRPr="00AD4948" w:rsidRDefault="0093391B" w:rsidP="00735DBB">
            <w:pPr>
              <w:jc w:val="center"/>
              <w:rPr>
                <w:rFonts w:ascii="Arial Narrow" w:eastAsiaTheme="minorHAnsi" w:hAnsi="Arial Narrow" w:cstheme="minorBidi"/>
                <w:sz w:val="20"/>
                <w:szCs w:val="20"/>
              </w:rPr>
            </w:pPr>
            <w:r w:rsidRPr="00AD4948">
              <w:rPr>
                <w:rFonts w:ascii="Arial Narrow" w:eastAsiaTheme="minorHAnsi" w:hAnsi="Arial Narrow" w:cstheme="minorBidi"/>
                <w:sz w:val="20"/>
                <w:szCs w:val="20"/>
              </w:rPr>
              <w:t>91</w:t>
            </w:r>
          </w:p>
        </w:tc>
      </w:tr>
      <w:tr w:rsidR="0093391B" w:rsidRPr="00AD4948" w:rsidTr="000003FC">
        <w:trPr>
          <w:tblHeader/>
          <w:jc w:val="center"/>
        </w:trPr>
        <w:tc>
          <w:tcPr>
            <w:tcW w:w="1129" w:type="dxa"/>
          </w:tcPr>
          <w:p w:rsidR="0093391B" w:rsidRPr="00AD4948" w:rsidRDefault="0093391B" w:rsidP="00735DBB">
            <w:pPr>
              <w:rPr>
                <w:rFonts w:ascii="Arial Narrow" w:eastAsiaTheme="minorHAnsi" w:hAnsi="Arial Narrow" w:cstheme="minorBidi"/>
                <w:b/>
                <w:sz w:val="20"/>
                <w:szCs w:val="20"/>
              </w:rPr>
            </w:pPr>
            <w:r w:rsidRPr="00AD4948">
              <w:rPr>
                <w:rFonts w:ascii="Arial Narrow" w:eastAsiaTheme="minorHAnsi" w:hAnsi="Arial Narrow" w:cstheme="minorBidi"/>
                <w:b/>
                <w:sz w:val="20"/>
                <w:szCs w:val="20"/>
              </w:rPr>
              <w:t>Diagnosis</w:t>
            </w:r>
          </w:p>
        </w:tc>
        <w:tc>
          <w:tcPr>
            <w:tcW w:w="2127" w:type="dxa"/>
          </w:tcPr>
          <w:p w:rsidR="0093391B" w:rsidRPr="00AD4948" w:rsidRDefault="0093391B" w:rsidP="00735DBB">
            <w:pPr>
              <w:rPr>
                <w:rFonts w:ascii="Arial Narrow" w:eastAsiaTheme="minorHAnsi" w:hAnsi="Arial Narrow" w:cstheme="minorBidi"/>
                <w:sz w:val="20"/>
                <w:szCs w:val="20"/>
              </w:rPr>
            </w:pPr>
            <w:r w:rsidRPr="00AD4948">
              <w:rPr>
                <w:rFonts w:ascii="Arial Narrow" w:eastAsiaTheme="minorHAnsi" w:hAnsi="Arial Narrow" w:cstheme="minorBidi"/>
                <w:sz w:val="20"/>
                <w:szCs w:val="20"/>
              </w:rPr>
              <w:t>Diagnosis of acromegaly based on accepted criteria made or confirmed at one of the participating study sites</w:t>
            </w:r>
          </w:p>
        </w:tc>
        <w:tc>
          <w:tcPr>
            <w:tcW w:w="2254" w:type="dxa"/>
          </w:tcPr>
          <w:p w:rsidR="0093391B" w:rsidRPr="00AD4948" w:rsidRDefault="0093391B" w:rsidP="00735DBB">
            <w:pPr>
              <w:rPr>
                <w:rFonts w:ascii="Arial Narrow" w:eastAsiaTheme="minorHAnsi" w:hAnsi="Arial Narrow" w:cstheme="minorBidi"/>
                <w:sz w:val="20"/>
                <w:szCs w:val="20"/>
              </w:rPr>
            </w:pPr>
          </w:p>
        </w:tc>
        <w:tc>
          <w:tcPr>
            <w:tcW w:w="2254" w:type="dxa"/>
          </w:tcPr>
          <w:p w:rsidR="0093391B" w:rsidRPr="00AD4948" w:rsidRDefault="0093391B" w:rsidP="00735DBB">
            <w:pPr>
              <w:rPr>
                <w:rFonts w:ascii="Arial Narrow" w:eastAsiaTheme="minorHAnsi" w:hAnsi="Arial Narrow" w:cstheme="minorBidi"/>
                <w:sz w:val="20"/>
                <w:szCs w:val="20"/>
              </w:rPr>
            </w:pPr>
          </w:p>
        </w:tc>
      </w:tr>
      <w:tr w:rsidR="0093391B" w:rsidRPr="00AD4948" w:rsidTr="000003FC">
        <w:trPr>
          <w:tblHeader/>
          <w:jc w:val="center"/>
        </w:trPr>
        <w:tc>
          <w:tcPr>
            <w:tcW w:w="1129" w:type="dxa"/>
          </w:tcPr>
          <w:p w:rsidR="0093391B" w:rsidRPr="00AD4948" w:rsidRDefault="0093391B" w:rsidP="00735DBB">
            <w:pPr>
              <w:rPr>
                <w:rFonts w:ascii="Arial Narrow" w:eastAsiaTheme="minorHAnsi" w:hAnsi="Arial Narrow" w:cstheme="minorBidi"/>
                <w:b/>
                <w:sz w:val="20"/>
                <w:szCs w:val="20"/>
              </w:rPr>
            </w:pPr>
            <w:r w:rsidRPr="00AD4948">
              <w:rPr>
                <w:rFonts w:ascii="Arial Narrow" w:eastAsiaTheme="minorHAnsi" w:hAnsi="Arial Narrow" w:cstheme="minorBidi"/>
                <w:b/>
                <w:sz w:val="20"/>
                <w:szCs w:val="20"/>
              </w:rPr>
              <w:t>Previous treatment</w:t>
            </w:r>
          </w:p>
        </w:tc>
        <w:tc>
          <w:tcPr>
            <w:tcW w:w="2127" w:type="dxa"/>
          </w:tcPr>
          <w:p w:rsidR="0093391B" w:rsidRPr="00AD4948" w:rsidRDefault="0093391B" w:rsidP="00735DBB">
            <w:pPr>
              <w:rPr>
                <w:rFonts w:ascii="Arial Narrow" w:eastAsiaTheme="minorHAnsi" w:hAnsi="Arial Narrow" w:cstheme="minorBidi"/>
                <w:sz w:val="20"/>
                <w:szCs w:val="20"/>
              </w:rPr>
            </w:pPr>
          </w:p>
        </w:tc>
        <w:tc>
          <w:tcPr>
            <w:tcW w:w="2254" w:type="dxa"/>
          </w:tcPr>
          <w:p w:rsidR="0093391B" w:rsidRPr="00AD4948" w:rsidRDefault="0093391B" w:rsidP="00735DBB">
            <w:pPr>
              <w:rPr>
                <w:rFonts w:ascii="Arial Narrow" w:eastAsiaTheme="minorHAnsi" w:hAnsi="Arial Narrow" w:cstheme="minorBidi"/>
                <w:sz w:val="20"/>
                <w:szCs w:val="20"/>
              </w:rPr>
            </w:pPr>
            <w:r w:rsidRPr="00AD4948">
              <w:rPr>
                <w:rFonts w:ascii="Arial Narrow" w:eastAsiaTheme="minorHAnsi" w:hAnsi="Arial Narrow" w:cstheme="minorBidi"/>
                <w:sz w:val="20"/>
                <w:szCs w:val="20"/>
                <w:u w:val="single"/>
              </w:rPr>
              <w:t>At least</w:t>
            </w:r>
            <w:r w:rsidRPr="00AD4948">
              <w:rPr>
                <w:rFonts w:ascii="Arial Narrow" w:eastAsiaTheme="minorHAnsi" w:hAnsi="Arial Narrow" w:cstheme="minorBidi"/>
                <w:sz w:val="20"/>
                <w:szCs w:val="20"/>
              </w:rPr>
              <w:t xml:space="preserve"> one of:</w:t>
            </w:r>
          </w:p>
          <w:p w:rsidR="0093391B" w:rsidRPr="00AD4948" w:rsidRDefault="0093391B" w:rsidP="00735DBB">
            <w:pPr>
              <w:pStyle w:val="ListParagraph"/>
              <w:numPr>
                <w:ilvl w:val="0"/>
                <w:numId w:val="26"/>
              </w:numPr>
              <w:contextualSpacing w:val="0"/>
              <w:jc w:val="left"/>
              <w:rPr>
                <w:rFonts w:ascii="Arial Narrow" w:eastAsiaTheme="minorHAnsi" w:hAnsi="Arial Narrow" w:cstheme="minorBidi"/>
                <w:sz w:val="20"/>
              </w:rPr>
            </w:pPr>
            <w:r w:rsidRPr="00AD4948">
              <w:rPr>
                <w:rFonts w:ascii="Arial Narrow" w:eastAsiaTheme="minorHAnsi" w:hAnsi="Arial Narrow" w:cstheme="minorBidi"/>
                <w:sz w:val="20"/>
              </w:rPr>
              <w:t>Previous surgery</w:t>
            </w:r>
          </w:p>
          <w:p w:rsidR="0093391B" w:rsidRPr="00AD4948" w:rsidRDefault="0093391B" w:rsidP="00735DBB">
            <w:pPr>
              <w:pStyle w:val="ListParagraph"/>
              <w:numPr>
                <w:ilvl w:val="0"/>
                <w:numId w:val="26"/>
              </w:numPr>
              <w:contextualSpacing w:val="0"/>
              <w:jc w:val="left"/>
              <w:rPr>
                <w:rFonts w:ascii="Arial Narrow" w:eastAsiaTheme="minorHAnsi" w:hAnsi="Arial Narrow" w:cstheme="minorBidi"/>
                <w:sz w:val="20"/>
              </w:rPr>
            </w:pPr>
            <w:r w:rsidRPr="00AD4948">
              <w:rPr>
                <w:rFonts w:ascii="Arial Narrow" w:eastAsiaTheme="minorHAnsi" w:hAnsi="Arial Narrow" w:cstheme="minorBidi"/>
                <w:sz w:val="20"/>
              </w:rPr>
              <w:t xml:space="preserve">Previous radiotherapy </w:t>
            </w:r>
          </w:p>
          <w:p w:rsidR="0093391B" w:rsidRPr="00AD4948" w:rsidRDefault="0093391B" w:rsidP="00735DBB">
            <w:pPr>
              <w:pStyle w:val="ListParagraph"/>
              <w:numPr>
                <w:ilvl w:val="0"/>
                <w:numId w:val="26"/>
              </w:numPr>
              <w:contextualSpacing w:val="0"/>
              <w:jc w:val="left"/>
              <w:rPr>
                <w:rFonts w:ascii="Arial Narrow" w:eastAsiaTheme="minorHAnsi" w:hAnsi="Arial Narrow" w:cstheme="minorBidi"/>
                <w:sz w:val="20"/>
              </w:rPr>
            </w:pPr>
            <w:r w:rsidRPr="00AD4948">
              <w:rPr>
                <w:rFonts w:ascii="Arial Narrow" w:eastAsiaTheme="minorHAnsi" w:hAnsi="Arial Narrow" w:cstheme="minorBidi"/>
                <w:sz w:val="20"/>
              </w:rPr>
              <w:t xml:space="preserve">Previous radiosurgery </w:t>
            </w:r>
          </w:p>
          <w:p w:rsidR="0093391B" w:rsidRPr="00AD4948" w:rsidRDefault="0093391B" w:rsidP="00735DBB">
            <w:pPr>
              <w:pStyle w:val="ListParagraph"/>
              <w:numPr>
                <w:ilvl w:val="0"/>
                <w:numId w:val="26"/>
              </w:numPr>
              <w:contextualSpacing w:val="0"/>
              <w:jc w:val="left"/>
              <w:rPr>
                <w:rFonts w:ascii="Arial Narrow" w:eastAsiaTheme="minorHAnsi" w:hAnsi="Arial Narrow" w:cstheme="minorBidi"/>
                <w:sz w:val="20"/>
              </w:rPr>
            </w:pPr>
            <w:r w:rsidRPr="00AD4948">
              <w:rPr>
                <w:rFonts w:ascii="Arial Narrow" w:eastAsiaTheme="minorHAnsi" w:hAnsi="Arial Narrow" w:cstheme="minorBidi"/>
                <w:sz w:val="20"/>
              </w:rPr>
              <w:t>Previous SSA treatment</w:t>
            </w:r>
          </w:p>
        </w:tc>
        <w:tc>
          <w:tcPr>
            <w:tcW w:w="2254" w:type="dxa"/>
          </w:tcPr>
          <w:p w:rsidR="0093391B" w:rsidRPr="00AD4948" w:rsidRDefault="0093391B" w:rsidP="00735DBB">
            <w:pPr>
              <w:rPr>
                <w:rFonts w:ascii="Arial Narrow" w:eastAsiaTheme="minorHAnsi" w:hAnsi="Arial Narrow" w:cstheme="minorBidi"/>
                <w:sz w:val="20"/>
                <w:szCs w:val="20"/>
              </w:rPr>
            </w:pPr>
            <w:r w:rsidRPr="00AD4948">
              <w:rPr>
                <w:rFonts w:ascii="Arial Narrow" w:eastAsiaTheme="minorHAnsi" w:hAnsi="Arial Narrow" w:cstheme="minorBidi"/>
                <w:sz w:val="20"/>
                <w:szCs w:val="20"/>
                <w:u w:val="single"/>
              </w:rPr>
              <w:t>At least</w:t>
            </w:r>
            <w:r w:rsidRPr="00AD4948">
              <w:rPr>
                <w:rFonts w:ascii="Arial Narrow" w:eastAsiaTheme="minorHAnsi" w:hAnsi="Arial Narrow" w:cstheme="minorBidi"/>
                <w:sz w:val="20"/>
                <w:szCs w:val="20"/>
              </w:rPr>
              <w:t xml:space="preserve"> one of:</w:t>
            </w:r>
          </w:p>
          <w:p w:rsidR="0093391B" w:rsidRPr="00AD4948" w:rsidRDefault="0093391B" w:rsidP="00735DBB">
            <w:pPr>
              <w:pStyle w:val="ListParagraph"/>
              <w:numPr>
                <w:ilvl w:val="0"/>
                <w:numId w:val="27"/>
              </w:numPr>
              <w:contextualSpacing w:val="0"/>
              <w:jc w:val="left"/>
              <w:rPr>
                <w:rFonts w:ascii="Arial Narrow" w:eastAsiaTheme="minorHAnsi" w:hAnsi="Arial Narrow" w:cstheme="minorBidi"/>
                <w:sz w:val="20"/>
              </w:rPr>
            </w:pPr>
            <w:r w:rsidRPr="00AD4948">
              <w:rPr>
                <w:rFonts w:ascii="Arial Narrow" w:eastAsiaTheme="minorHAnsi" w:hAnsi="Arial Narrow" w:cstheme="minorBidi"/>
                <w:sz w:val="20"/>
              </w:rPr>
              <w:t>Previous surgery</w:t>
            </w:r>
          </w:p>
          <w:p w:rsidR="0093391B" w:rsidRPr="00AD4948" w:rsidRDefault="0093391B" w:rsidP="00735DBB">
            <w:pPr>
              <w:pStyle w:val="ListParagraph"/>
              <w:numPr>
                <w:ilvl w:val="0"/>
                <w:numId w:val="27"/>
              </w:numPr>
              <w:contextualSpacing w:val="0"/>
              <w:jc w:val="left"/>
              <w:rPr>
                <w:rFonts w:ascii="Arial Narrow" w:eastAsiaTheme="minorHAnsi" w:hAnsi="Arial Narrow" w:cstheme="minorBidi"/>
                <w:sz w:val="20"/>
              </w:rPr>
            </w:pPr>
            <w:r w:rsidRPr="00AD4948">
              <w:rPr>
                <w:rFonts w:ascii="Arial Narrow" w:eastAsiaTheme="minorHAnsi" w:hAnsi="Arial Narrow" w:cstheme="minorBidi"/>
                <w:sz w:val="20"/>
              </w:rPr>
              <w:t xml:space="preserve">Previous radiotherapy </w:t>
            </w:r>
          </w:p>
          <w:p w:rsidR="0093391B" w:rsidRPr="00AD4948" w:rsidRDefault="0093391B" w:rsidP="00735DBB">
            <w:pPr>
              <w:pStyle w:val="ListParagraph"/>
              <w:numPr>
                <w:ilvl w:val="0"/>
                <w:numId w:val="27"/>
              </w:numPr>
              <w:contextualSpacing w:val="0"/>
              <w:jc w:val="left"/>
              <w:rPr>
                <w:rFonts w:ascii="Arial Narrow" w:eastAsiaTheme="minorHAnsi" w:hAnsi="Arial Narrow" w:cstheme="minorBidi"/>
                <w:sz w:val="20"/>
              </w:rPr>
            </w:pPr>
            <w:r w:rsidRPr="00AD4948">
              <w:rPr>
                <w:rFonts w:ascii="Arial Narrow" w:eastAsiaTheme="minorHAnsi" w:hAnsi="Arial Narrow" w:cstheme="minorBidi"/>
                <w:sz w:val="20"/>
              </w:rPr>
              <w:t xml:space="preserve">Previous radiosurgery </w:t>
            </w:r>
          </w:p>
          <w:p w:rsidR="0093391B" w:rsidRPr="00AD4948" w:rsidRDefault="0093391B" w:rsidP="00735DBB">
            <w:pPr>
              <w:pStyle w:val="ListParagraph"/>
              <w:numPr>
                <w:ilvl w:val="0"/>
                <w:numId w:val="27"/>
              </w:numPr>
              <w:contextualSpacing w:val="0"/>
              <w:jc w:val="left"/>
              <w:rPr>
                <w:rFonts w:ascii="Arial Narrow" w:eastAsiaTheme="minorHAnsi" w:hAnsi="Arial Narrow" w:cstheme="minorBidi"/>
                <w:sz w:val="20"/>
              </w:rPr>
            </w:pPr>
            <w:r w:rsidRPr="00AD4948">
              <w:rPr>
                <w:rFonts w:ascii="Arial Narrow" w:eastAsiaTheme="minorHAnsi" w:hAnsi="Arial Narrow" w:cstheme="minorBidi"/>
                <w:sz w:val="20"/>
              </w:rPr>
              <w:t>Previous SSA treatment</w:t>
            </w:r>
          </w:p>
        </w:tc>
      </w:tr>
      <w:tr w:rsidR="0093391B" w:rsidRPr="00AD4948" w:rsidTr="000003FC">
        <w:trPr>
          <w:tblHeader/>
          <w:jc w:val="center"/>
        </w:trPr>
        <w:tc>
          <w:tcPr>
            <w:tcW w:w="1129" w:type="dxa"/>
          </w:tcPr>
          <w:p w:rsidR="0093391B" w:rsidRPr="00AD4948" w:rsidRDefault="0093391B" w:rsidP="00735DBB">
            <w:pPr>
              <w:rPr>
                <w:rFonts w:ascii="Arial Narrow" w:eastAsiaTheme="minorHAnsi" w:hAnsi="Arial Narrow" w:cstheme="minorBidi"/>
                <w:b/>
                <w:sz w:val="20"/>
                <w:szCs w:val="20"/>
              </w:rPr>
            </w:pPr>
            <w:r w:rsidRPr="00AD4948">
              <w:rPr>
                <w:rFonts w:ascii="Arial Narrow" w:eastAsiaTheme="minorHAnsi" w:hAnsi="Arial Narrow" w:cstheme="minorBidi"/>
                <w:b/>
                <w:sz w:val="20"/>
                <w:szCs w:val="20"/>
              </w:rPr>
              <w:t>IGF-1</w:t>
            </w:r>
          </w:p>
        </w:tc>
        <w:tc>
          <w:tcPr>
            <w:tcW w:w="2127" w:type="dxa"/>
          </w:tcPr>
          <w:p w:rsidR="0093391B" w:rsidRPr="00AD4948" w:rsidRDefault="0093391B" w:rsidP="00735DBB">
            <w:pPr>
              <w:rPr>
                <w:rFonts w:ascii="Arial Narrow" w:eastAsiaTheme="minorHAnsi" w:hAnsi="Arial Narrow" w:cstheme="minorBidi"/>
                <w:sz w:val="20"/>
                <w:szCs w:val="20"/>
              </w:rPr>
            </w:pPr>
            <w:r w:rsidRPr="00AD4948">
              <w:rPr>
                <w:rFonts w:ascii="Arial Narrow" w:eastAsiaTheme="minorHAnsi" w:hAnsi="Arial Narrow" w:cstheme="minorBidi"/>
                <w:sz w:val="20"/>
                <w:szCs w:val="20"/>
              </w:rPr>
              <w:t>Visit 2 IGF-1 value ≥ 30% above ULN*</w:t>
            </w:r>
          </w:p>
        </w:tc>
        <w:tc>
          <w:tcPr>
            <w:tcW w:w="2254" w:type="dxa"/>
          </w:tcPr>
          <w:p w:rsidR="0093391B" w:rsidRPr="00AD4948" w:rsidRDefault="0093391B" w:rsidP="00735DBB">
            <w:pPr>
              <w:rPr>
                <w:rFonts w:ascii="Arial Narrow" w:eastAsiaTheme="minorHAnsi" w:hAnsi="Arial Narrow" w:cstheme="minorBidi"/>
                <w:sz w:val="20"/>
                <w:szCs w:val="20"/>
              </w:rPr>
            </w:pPr>
            <w:r w:rsidRPr="00AD4948">
              <w:rPr>
                <w:rFonts w:ascii="Arial Narrow" w:eastAsiaTheme="minorHAnsi" w:hAnsi="Arial Narrow" w:cstheme="minorBidi"/>
                <w:sz w:val="20"/>
                <w:szCs w:val="20"/>
              </w:rPr>
              <w:t>&gt; 1.3 x ULN</w:t>
            </w:r>
          </w:p>
        </w:tc>
        <w:tc>
          <w:tcPr>
            <w:tcW w:w="2254" w:type="dxa"/>
          </w:tcPr>
          <w:p w:rsidR="0093391B" w:rsidRPr="00AD4948" w:rsidRDefault="0093391B" w:rsidP="00735DBB">
            <w:pPr>
              <w:rPr>
                <w:rFonts w:ascii="Arial Narrow" w:eastAsiaTheme="minorHAnsi" w:hAnsi="Arial Narrow" w:cstheme="minorBidi"/>
                <w:sz w:val="20"/>
                <w:szCs w:val="20"/>
              </w:rPr>
            </w:pPr>
            <w:r w:rsidRPr="00AD4948">
              <w:rPr>
                <w:rFonts w:ascii="Arial Narrow" w:eastAsiaTheme="minorHAnsi" w:hAnsi="Arial Narrow" w:cstheme="minorBidi"/>
                <w:sz w:val="20"/>
                <w:szCs w:val="20"/>
              </w:rPr>
              <w:t>&gt; ULN</w:t>
            </w:r>
          </w:p>
        </w:tc>
      </w:tr>
      <w:tr w:rsidR="0093391B" w:rsidRPr="00AD4948" w:rsidTr="000003FC">
        <w:trPr>
          <w:tblHeader/>
          <w:jc w:val="center"/>
        </w:trPr>
        <w:tc>
          <w:tcPr>
            <w:tcW w:w="1129" w:type="dxa"/>
          </w:tcPr>
          <w:p w:rsidR="0093391B" w:rsidRPr="00AD4948" w:rsidRDefault="0093391B" w:rsidP="00735DBB">
            <w:pPr>
              <w:rPr>
                <w:rFonts w:ascii="Arial Narrow" w:eastAsiaTheme="minorHAnsi" w:hAnsi="Arial Narrow" w:cstheme="minorBidi"/>
                <w:b/>
                <w:sz w:val="20"/>
                <w:szCs w:val="20"/>
              </w:rPr>
            </w:pPr>
            <w:r w:rsidRPr="00AD4948">
              <w:rPr>
                <w:rFonts w:ascii="Arial Narrow" w:eastAsiaTheme="minorHAnsi" w:hAnsi="Arial Narrow" w:cstheme="minorBidi"/>
                <w:b/>
                <w:sz w:val="20"/>
                <w:szCs w:val="20"/>
              </w:rPr>
              <w:t>GH</w:t>
            </w:r>
          </w:p>
        </w:tc>
        <w:tc>
          <w:tcPr>
            <w:tcW w:w="2127" w:type="dxa"/>
          </w:tcPr>
          <w:p w:rsidR="0093391B" w:rsidRPr="00AD4948" w:rsidRDefault="0093391B" w:rsidP="00735DBB">
            <w:pPr>
              <w:rPr>
                <w:rFonts w:ascii="Arial Narrow" w:eastAsiaTheme="minorHAnsi" w:hAnsi="Arial Narrow" w:cstheme="minorBidi"/>
                <w:sz w:val="20"/>
                <w:szCs w:val="20"/>
              </w:rPr>
            </w:pPr>
            <w:r w:rsidRPr="00AD4948">
              <w:rPr>
                <w:rFonts w:ascii="Arial Narrow" w:eastAsiaTheme="minorHAnsi" w:hAnsi="Arial Narrow" w:cstheme="minorBidi"/>
                <w:sz w:val="20"/>
                <w:szCs w:val="20"/>
              </w:rPr>
              <w:t>Not specified</w:t>
            </w:r>
          </w:p>
        </w:tc>
        <w:tc>
          <w:tcPr>
            <w:tcW w:w="2254" w:type="dxa"/>
          </w:tcPr>
          <w:p w:rsidR="0093391B" w:rsidRPr="00AD4948" w:rsidRDefault="0093391B" w:rsidP="00735DBB">
            <w:pPr>
              <w:rPr>
                <w:rFonts w:ascii="Arial Narrow" w:eastAsiaTheme="minorHAnsi" w:hAnsi="Arial Narrow" w:cstheme="minorBidi"/>
                <w:sz w:val="20"/>
                <w:szCs w:val="20"/>
              </w:rPr>
            </w:pPr>
            <w:r w:rsidRPr="00AD4948">
              <w:rPr>
                <w:rFonts w:ascii="Arial Narrow" w:eastAsiaTheme="minorHAnsi" w:hAnsi="Arial Narrow" w:cstheme="minorBidi"/>
                <w:sz w:val="20"/>
                <w:szCs w:val="20"/>
              </w:rPr>
              <w:t>Not specified</w:t>
            </w:r>
          </w:p>
        </w:tc>
        <w:tc>
          <w:tcPr>
            <w:tcW w:w="2254" w:type="dxa"/>
          </w:tcPr>
          <w:p w:rsidR="0093391B" w:rsidRPr="00AD4948" w:rsidRDefault="0093391B" w:rsidP="00735DBB">
            <w:pPr>
              <w:rPr>
                <w:rFonts w:ascii="Arial Narrow" w:eastAsiaTheme="minorHAnsi" w:hAnsi="Arial Narrow" w:cstheme="minorBidi"/>
                <w:sz w:val="20"/>
                <w:szCs w:val="20"/>
              </w:rPr>
            </w:pPr>
            <w:r w:rsidRPr="00AD4948">
              <w:rPr>
                <w:rFonts w:ascii="Arial Narrow" w:eastAsiaTheme="minorHAnsi" w:hAnsi="Arial Narrow" w:cstheme="minorBidi"/>
                <w:sz w:val="20"/>
                <w:szCs w:val="20"/>
              </w:rPr>
              <w:t>&gt; 1 µg/L</w:t>
            </w:r>
          </w:p>
        </w:tc>
      </w:tr>
    </w:tbl>
    <w:p w:rsidR="001171A8" w:rsidRPr="00AD4948" w:rsidRDefault="001171A8" w:rsidP="000D32FA">
      <w:pPr>
        <w:rPr>
          <w:rFonts w:ascii="Arial Narrow" w:eastAsiaTheme="minorHAnsi" w:hAnsi="Arial Narrow" w:cs="Arial"/>
          <w:sz w:val="18"/>
          <w:szCs w:val="18"/>
        </w:rPr>
      </w:pPr>
      <w:r w:rsidRPr="00AD4948">
        <w:rPr>
          <w:rFonts w:ascii="Arial Narrow" w:eastAsiaTheme="minorHAnsi" w:hAnsi="Arial Narrow" w:cs="Arial"/>
          <w:sz w:val="18"/>
          <w:szCs w:val="18"/>
        </w:rPr>
        <w:t>GH, growth hormone; IGF-1, insulin-like growth factor 1; ULN, upper limit of normal</w:t>
      </w:r>
    </w:p>
    <w:p w:rsidR="0093391B" w:rsidRPr="00AD4948" w:rsidRDefault="0093391B" w:rsidP="000D32FA">
      <w:pPr>
        <w:rPr>
          <w:rFonts w:ascii="Arial Narrow" w:eastAsiaTheme="minorHAnsi" w:hAnsi="Arial Narrow" w:cs="Arial"/>
          <w:sz w:val="18"/>
          <w:szCs w:val="18"/>
        </w:rPr>
      </w:pPr>
      <w:r w:rsidRPr="00AD4948">
        <w:rPr>
          <w:rFonts w:ascii="Arial Narrow" w:eastAsiaTheme="minorHAnsi" w:hAnsi="Arial Narrow" w:cs="Arial"/>
          <w:sz w:val="18"/>
          <w:szCs w:val="18"/>
        </w:rPr>
        <w:t xml:space="preserve">*Note patients were untreated. Exclusion criteria were prior treatment with any long-acting somatostatin analogue within 3 months of Visit 1 or prior treatment with any somatostatin analogue within 2 weeks of Visit 2 </w:t>
      </w:r>
    </w:p>
    <w:p w:rsidR="0093391B" w:rsidRPr="00AD4948" w:rsidRDefault="0093391B" w:rsidP="000D32FA">
      <w:pPr>
        <w:rPr>
          <w:rFonts w:ascii="Arial Narrow" w:eastAsiaTheme="minorHAnsi" w:hAnsi="Arial Narrow" w:cs="Arial"/>
          <w:sz w:val="18"/>
          <w:szCs w:val="18"/>
        </w:rPr>
      </w:pPr>
      <w:r w:rsidRPr="00AD4948">
        <w:rPr>
          <w:rFonts w:ascii="Arial Narrow" w:eastAsiaTheme="minorHAnsi" w:hAnsi="Arial Narrow" w:cs="Arial"/>
          <w:sz w:val="18"/>
          <w:szCs w:val="18"/>
        </w:rPr>
        <w:t xml:space="preserve">Source: Table 1, page 6 of the minor submission </w:t>
      </w:r>
    </w:p>
    <w:p w:rsidR="0060474A" w:rsidRPr="00AD4948" w:rsidRDefault="00586EE7" w:rsidP="000E7F34">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AD4948">
        <w:rPr>
          <w:rFonts w:asciiTheme="minorHAnsi" w:eastAsiaTheme="minorHAnsi" w:hAnsiTheme="minorHAnsi" w:cstheme="minorBidi"/>
          <w:snapToGrid/>
          <w:sz w:val="24"/>
          <w:szCs w:val="22"/>
        </w:rPr>
        <w:t xml:space="preserve">The mean percentage reduction in IGF-1 </w:t>
      </w:r>
      <w:r w:rsidR="00AD6707" w:rsidRPr="00AD4948">
        <w:rPr>
          <w:rFonts w:asciiTheme="minorHAnsi" w:eastAsiaTheme="minorHAnsi" w:hAnsiTheme="minorHAnsi" w:cstheme="minorBidi"/>
          <w:snapToGrid/>
          <w:sz w:val="24"/>
          <w:szCs w:val="22"/>
        </w:rPr>
        <w:t xml:space="preserve">and proportion of patients </w:t>
      </w:r>
      <w:r w:rsidR="00AF7D50" w:rsidRPr="00AD4948">
        <w:rPr>
          <w:rFonts w:asciiTheme="minorHAnsi" w:eastAsiaTheme="minorHAnsi" w:hAnsiTheme="minorHAnsi" w:cstheme="minorBidi"/>
          <w:snapToGrid/>
          <w:sz w:val="24"/>
          <w:szCs w:val="22"/>
        </w:rPr>
        <w:t xml:space="preserve">achieving normalisation of IGF-1 </w:t>
      </w:r>
      <w:r w:rsidRPr="00AD4948">
        <w:rPr>
          <w:rFonts w:asciiTheme="minorHAnsi" w:eastAsiaTheme="minorHAnsi" w:hAnsiTheme="minorHAnsi" w:cstheme="minorBidi"/>
          <w:snapToGrid/>
          <w:sz w:val="24"/>
          <w:szCs w:val="22"/>
        </w:rPr>
        <w:t>at Week 12</w:t>
      </w:r>
      <w:r w:rsidR="004822BD" w:rsidRPr="00AD4948">
        <w:rPr>
          <w:rFonts w:asciiTheme="minorHAnsi" w:eastAsiaTheme="minorHAnsi" w:hAnsiTheme="minorHAnsi" w:cstheme="minorBidi"/>
          <w:snapToGrid/>
          <w:sz w:val="24"/>
          <w:szCs w:val="22"/>
        </w:rPr>
        <w:t xml:space="preserve"> in the subgroup </w:t>
      </w:r>
      <w:r w:rsidRPr="00AD4948">
        <w:rPr>
          <w:rFonts w:asciiTheme="minorHAnsi" w:eastAsiaTheme="minorHAnsi" w:hAnsiTheme="minorHAnsi" w:cstheme="minorBidi"/>
          <w:snapToGrid/>
          <w:sz w:val="24"/>
          <w:szCs w:val="22"/>
        </w:rPr>
        <w:t>compar</w:t>
      </w:r>
      <w:r w:rsidR="004822BD" w:rsidRPr="00AD4948">
        <w:rPr>
          <w:rFonts w:asciiTheme="minorHAnsi" w:eastAsiaTheme="minorHAnsi" w:hAnsiTheme="minorHAnsi" w:cstheme="minorBidi"/>
          <w:snapToGrid/>
          <w:sz w:val="24"/>
          <w:szCs w:val="22"/>
        </w:rPr>
        <w:t xml:space="preserve">ed to </w:t>
      </w:r>
      <w:r w:rsidRPr="00AD4948">
        <w:rPr>
          <w:rFonts w:asciiTheme="minorHAnsi" w:eastAsiaTheme="minorHAnsi" w:hAnsiTheme="minorHAnsi" w:cstheme="minorBidi"/>
          <w:snapToGrid/>
          <w:sz w:val="24"/>
          <w:szCs w:val="22"/>
        </w:rPr>
        <w:t xml:space="preserve">the </w:t>
      </w:r>
      <w:r w:rsidR="00A15653" w:rsidRPr="00AD4948">
        <w:rPr>
          <w:rFonts w:asciiTheme="minorHAnsi" w:eastAsiaTheme="minorHAnsi" w:hAnsiTheme="minorHAnsi" w:cstheme="minorBidi"/>
          <w:snapToGrid/>
          <w:sz w:val="24"/>
          <w:szCs w:val="22"/>
        </w:rPr>
        <w:t xml:space="preserve">ITT </w:t>
      </w:r>
      <w:r w:rsidRPr="00AD4948">
        <w:rPr>
          <w:rFonts w:asciiTheme="minorHAnsi" w:eastAsiaTheme="minorHAnsi" w:hAnsiTheme="minorHAnsi" w:cstheme="minorBidi"/>
          <w:snapToGrid/>
          <w:sz w:val="24"/>
          <w:szCs w:val="22"/>
        </w:rPr>
        <w:t xml:space="preserve">population </w:t>
      </w:r>
      <w:proofErr w:type="gramStart"/>
      <w:r w:rsidR="00AF7D50" w:rsidRPr="00AD4948">
        <w:rPr>
          <w:rFonts w:asciiTheme="minorHAnsi" w:eastAsiaTheme="minorHAnsi" w:hAnsiTheme="minorHAnsi" w:cstheme="minorBidi"/>
          <w:snapToGrid/>
          <w:sz w:val="24"/>
          <w:szCs w:val="22"/>
        </w:rPr>
        <w:t>is presented</w:t>
      </w:r>
      <w:proofErr w:type="gramEnd"/>
      <w:r w:rsidR="00AF7D50" w:rsidRPr="00AD4948">
        <w:rPr>
          <w:rFonts w:asciiTheme="minorHAnsi" w:eastAsiaTheme="minorHAnsi" w:hAnsiTheme="minorHAnsi" w:cstheme="minorBidi"/>
          <w:snapToGrid/>
          <w:sz w:val="24"/>
          <w:szCs w:val="22"/>
        </w:rPr>
        <w:t xml:space="preserve"> in </w:t>
      </w:r>
      <w:r w:rsidR="00322A80" w:rsidRPr="00AD4948">
        <w:rPr>
          <w:rFonts w:asciiTheme="minorHAnsi" w:eastAsiaTheme="minorHAnsi" w:hAnsiTheme="minorHAnsi" w:cstheme="minorBidi"/>
          <w:snapToGrid/>
          <w:sz w:val="24"/>
          <w:szCs w:val="22"/>
        </w:rPr>
        <w:t xml:space="preserve">Table </w:t>
      </w:r>
      <w:r w:rsidR="00D16745" w:rsidRPr="00AD4948">
        <w:rPr>
          <w:rFonts w:asciiTheme="minorHAnsi" w:eastAsiaTheme="minorHAnsi" w:hAnsiTheme="minorHAnsi" w:cstheme="minorBidi"/>
          <w:snapToGrid/>
          <w:sz w:val="24"/>
          <w:szCs w:val="22"/>
        </w:rPr>
        <w:t>3</w:t>
      </w:r>
      <w:r w:rsidR="00322A80" w:rsidRPr="00AD4948">
        <w:rPr>
          <w:rFonts w:asciiTheme="minorHAnsi" w:eastAsiaTheme="minorHAnsi" w:hAnsiTheme="minorHAnsi" w:cstheme="minorBidi"/>
          <w:snapToGrid/>
          <w:sz w:val="24"/>
          <w:szCs w:val="22"/>
        </w:rPr>
        <w:t>.</w:t>
      </w:r>
    </w:p>
    <w:p w:rsidR="0027490E" w:rsidRPr="00F13587" w:rsidRDefault="0027490E" w:rsidP="000D32FA">
      <w:pPr>
        <w:keepNext/>
        <w:rPr>
          <w:rFonts w:eastAsiaTheme="minorHAnsi"/>
          <w:b/>
        </w:rPr>
      </w:pPr>
      <w:r w:rsidRPr="00F13587">
        <w:rPr>
          <w:rStyle w:val="CommentReference"/>
          <w:rFonts w:ascii="Arial Narrow" w:hAnsi="Arial Narrow"/>
          <w:b/>
          <w:sz w:val="20"/>
          <w:szCs w:val="20"/>
        </w:rPr>
        <w:t xml:space="preserve">Table </w:t>
      </w:r>
      <w:r w:rsidR="00D16745" w:rsidRPr="00F13587">
        <w:rPr>
          <w:rStyle w:val="CommentReference"/>
          <w:rFonts w:ascii="Arial Narrow" w:hAnsi="Arial Narrow"/>
          <w:b/>
          <w:sz w:val="20"/>
          <w:szCs w:val="20"/>
        </w:rPr>
        <w:t>3</w:t>
      </w:r>
      <w:r w:rsidRPr="00F13587">
        <w:rPr>
          <w:rStyle w:val="CommentReference"/>
          <w:rFonts w:ascii="Arial Narrow" w:hAnsi="Arial Narrow"/>
          <w:b/>
          <w:sz w:val="20"/>
          <w:szCs w:val="20"/>
        </w:rPr>
        <w:t>:</w:t>
      </w:r>
      <w:r w:rsidR="000E5D20" w:rsidRPr="00F13587">
        <w:rPr>
          <w:rStyle w:val="CommentReference"/>
          <w:rFonts w:ascii="Arial Narrow" w:hAnsi="Arial Narrow"/>
          <w:b/>
          <w:sz w:val="20"/>
          <w:szCs w:val="20"/>
        </w:rPr>
        <w:t xml:space="preserve"> P</w:t>
      </w:r>
      <w:r w:rsidRPr="00F13587">
        <w:rPr>
          <w:rStyle w:val="CommentReference"/>
          <w:rFonts w:ascii="Arial Narrow" w:hAnsi="Arial Narrow"/>
          <w:b/>
          <w:sz w:val="20"/>
          <w:szCs w:val="20"/>
        </w:rPr>
        <w:t>rimary outcome results for the minor submission</w:t>
      </w:r>
      <w:r w:rsidR="00BC5B29">
        <w:rPr>
          <w:rStyle w:val="CommentReference"/>
          <w:rFonts w:ascii="Arial Narrow" w:hAnsi="Arial Narrow"/>
          <w:b/>
          <w:sz w:val="20"/>
          <w:szCs w:val="20"/>
        </w:rPr>
        <w:t xml:space="preserve"> </w:t>
      </w:r>
    </w:p>
    <w:tbl>
      <w:tblPr>
        <w:tblStyle w:val="TableGrid"/>
        <w:tblW w:w="5000" w:type="pct"/>
        <w:tblInd w:w="-5" w:type="dxa"/>
        <w:tblLook w:val="04A0" w:firstRow="1" w:lastRow="0" w:firstColumn="1" w:lastColumn="0" w:noHBand="0" w:noVBand="1"/>
        <w:tblCaption w:val="Primary outcome results for the minor submission "/>
      </w:tblPr>
      <w:tblGrid>
        <w:gridCol w:w="2613"/>
        <w:gridCol w:w="2798"/>
        <w:gridCol w:w="1810"/>
        <w:gridCol w:w="1795"/>
      </w:tblGrid>
      <w:tr w:rsidR="0027490E" w:rsidRPr="00AD4948" w:rsidTr="000003FC">
        <w:trPr>
          <w:tblHeader/>
        </w:trPr>
        <w:tc>
          <w:tcPr>
            <w:tcW w:w="2613" w:type="dxa"/>
          </w:tcPr>
          <w:p w:rsidR="0027490E" w:rsidRPr="00AD4948" w:rsidRDefault="0027490E" w:rsidP="00BC5B29">
            <w:pPr>
              <w:pStyle w:val="ListParagraph"/>
              <w:keepNext/>
              <w:widowControl/>
              <w:spacing w:after="60"/>
              <w:ind w:left="0"/>
              <w:contextualSpacing w:val="0"/>
              <w:rPr>
                <w:rFonts w:ascii="Arial Narrow" w:eastAsiaTheme="minorHAnsi" w:hAnsi="Arial Narrow" w:cstheme="minorBidi"/>
                <w:b/>
                <w:snapToGrid/>
                <w:sz w:val="20"/>
              </w:rPr>
            </w:pPr>
          </w:p>
        </w:tc>
        <w:tc>
          <w:tcPr>
            <w:tcW w:w="2798" w:type="dxa"/>
          </w:tcPr>
          <w:p w:rsidR="0027490E" w:rsidRPr="00AD4948" w:rsidRDefault="0027490E" w:rsidP="00BC5B29">
            <w:pPr>
              <w:pStyle w:val="ListParagraph"/>
              <w:keepNext/>
              <w:widowControl/>
              <w:spacing w:after="60"/>
              <w:ind w:left="0"/>
              <w:contextualSpacing w:val="0"/>
              <w:rPr>
                <w:rFonts w:ascii="Arial Narrow" w:eastAsiaTheme="minorHAnsi" w:hAnsi="Arial Narrow" w:cstheme="minorBidi"/>
                <w:b/>
                <w:snapToGrid/>
                <w:sz w:val="20"/>
              </w:rPr>
            </w:pPr>
            <w:r w:rsidRPr="00AD4948">
              <w:rPr>
                <w:rFonts w:ascii="Arial Narrow" w:eastAsiaTheme="minorHAnsi" w:hAnsi="Arial Narrow" w:cstheme="minorBidi"/>
                <w:b/>
                <w:snapToGrid/>
                <w:sz w:val="20"/>
              </w:rPr>
              <w:t>Group</w:t>
            </w:r>
          </w:p>
        </w:tc>
        <w:tc>
          <w:tcPr>
            <w:tcW w:w="1810" w:type="dxa"/>
          </w:tcPr>
          <w:p w:rsidR="0027490E" w:rsidRPr="00AD4948" w:rsidRDefault="00A21B48" w:rsidP="00BC5B29">
            <w:pPr>
              <w:pStyle w:val="ListParagraph"/>
              <w:keepNext/>
              <w:widowControl/>
              <w:spacing w:after="60"/>
              <w:ind w:left="0"/>
              <w:contextualSpacing w:val="0"/>
              <w:jc w:val="left"/>
              <w:rPr>
                <w:rFonts w:ascii="Arial Narrow" w:eastAsiaTheme="minorHAnsi" w:hAnsi="Arial Narrow" w:cstheme="minorBidi"/>
                <w:b/>
                <w:snapToGrid/>
                <w:sz w:val="20"/>
              </w:rPr>
            </w:pPr>
            <w:r w:rsidRPr="00AD4948">
              <w:rPr>
                <w:rFonts w:ascii="Arial Narrow" w:eastAsiaTheme="minorHAnsi" w:hAnsi="Arial Narrow" w:cstheme="minorBidi"/>
                <w:b/>
                <w:snapToGrid/>
                <w:sz w:val="20"/>
              </w:rPr>
              <w:t xml:space="preserve">Trial </w:t>
            </w:r>
            <w:r w:rsidR="0027490E" w:rsidRPr="00AD4948">
              <w:rPr>
                <w:rFonts w:ascii="Arial Narrow" w:eastAsiaTheme="minorHAnsi" w:hAnsi="Arial Narrow" w:cstheme="minorBidi"/>
                <w:b/>
                <w:snapToGrid/>
                <w:sz w:val="20"/>
              </w:rPr>
              <w:t xml:space="preserve">3614 </w:t>
            </w:r>
            <w:r w:rsidR="004822BD" w:rsidRPr="00AD4948">
              <w:rPr>
                <w:rFonts w:ascii="Arial Narrow" w:eastAsiaTheme="minorHAnsi" w:hAnsi="Arial Narrow" w:cstheme="minorBidi"/>
                <w:b/>
                <w:snapToGrid/>
                <w:sz w:val="20"/>
              </w:rPr>
              <w:t xml:space="preserve">subgroup </w:t>
            </w:r>
            <w:r w:rsidR="0027490E" w:rsidRPr="00AD4948">
              <w:rPr>
                <w:rFonts w:ascii="Arial Narrow" w:eastAsiaTheme="minorHAnsi" w:hAnsi="Arial Narrow" w:cstheme="minorBidi"/>
                <w:b/>
                <w:snapToGrid/>
                <w:sz w:val="20"/>
              </w:rPr>
              <w:t>(proposed restriction)</w:t>
            </w:r>
          </w:p>
        </w:tc>
        <w:tc>
          <w:tcPr>
            <w:tcW w:w="1795" w:type="dxa"/>
          </w:tcPr>
          <w:p w:rsidR="0027490E" w:rsidRPr="00AD4948" w:rsidRDefault="00A21B48" w:rsidP="00BC5B29">
            <w:pPr>
              <w:pStyle w:val="ListParagraph"/>
              <w:keepNext/>
              <w:widowControl/>
              <w:spacing w:after="60"/>
              <w:ind w:left="0"/>
              <w:contextualSpacing w:val="0"/>
              <w:jc w:val="left"/>
              <w:rPr>
                <w:rFonts w:ascii="Arial Narrow" w:eastAsiaTheme="minorHAnsi" w:hAnsi="Arial Narrow" w:cstheme="minorBidi"/>
                <w:b/>
                <w:snapToGrid/>
                <w:sz w:val="20"/>
              </w:rPr>
            </w:pPr>
            <w:r w:rsidRPr="00AD4948">
              <w:rPr>
                <w:rFonts w:ascii="Arial Narrow" w:eastAsiaTheme="minorHAnsi" w:hAnsi="Arial Narrow" w:cstheme="minorBidi"/>
                <w:b/>
                <w:snapToGrid/>
                <w:sz w:val="20"/>
              </w:rPr>
              <w:t xml:space="preserve">Trial </w:t>
            </w:r>
            <w:r w:rsidR="0027490E" w:rsidRPr="00AD4948">
              <w:rPr>
                <w:rFonts w:ascii="Arial Narrow" w:eastAsiaTheme="minorHAnsi" w:hAnsi="Arial Narrow" w:cstheme="minorBidi"/>
                <w:b/>
                <w:snapToGrid/>
                <w:sz w:val="20"/>
              </w:rPr>
              <w:t xml:space="preserve">3614 ITT population </w:t>
            </w:r>
          </w:p>
        </w:tc>
      </w:tr>
      <w:tr w:rsidR="0027490E" w:rsidRPr="00AD4948" w:rsidTr="000003FC">
        <w:trPr>
          <w:tblHeader/>
        </w:trPr>
        <w:tc>
          <w:tcPr>
            <w:tcW w:w="2613" w:type="dxa"/>
            <w:vMerge w:val="restart"/>
          </w:tcPr>
          <w:p w:rsidR="0027490E" w:rsidRPr="00AD4948" w:rsidRDefault="0027490E" w:rsidP="00BC5B29">
            <w:pPr>
              <w:pStyle w:val="ListParagraph"/>
              <w:keepNext/>
              <w:widowControl/>
              <w:spacing w:after="60"/>
              <w:ind w:left="0"/>
              <w:contextualSpacing w:val="0"/>
              <w:jc w:val="left"/>
              <w:rPr>
                <w:rFonts w:ascii="Arial Narrow" w:eastAsiaTheme="minorHAnsi" w:hAnsi="Arial Narrow" w:cstheme="minorBidi"/>
                <w:b/>
                <w:snapToGrid/>
                <w:sz w:val="20"/>
              </w:rPr>
            </w:pPr>
            <w:r w:rsidRPr="00AD4948">
              <w:rPr>
                <w:rFonts w:ascii="Arial Narrow" w:eastAsiaTheme="minorHAnsi" w:hAnsi="Arial Narrow" w:cstheme="minorBidi"/>
                <w:b/>
                <w:snapToGrid/>
                <w:sz w:val="20"/>
              </w:rPr>
              <w:t>Mean reduction in IGF-1 at Week 12</w:t>
            </w:r>
          </w:p>
        </w:tc>
        <w:tc>
          <w:tcPr>
            <w:tcW w:w="2798" w:type="dxa"/>
          </w:tcPr>
          <w:p w:rsidR="0027490E" w:rsidRPr="00AD4948" w:rsidRDefault="0027490E" w:rsidP="00BC5B29">
            <w:pPr>
              <w:pStyle w:val="ListParagraph"/>
              <w:keepNext/>
              <w:widowControl/>
              <w:spacing w:after="60"/>
              <w:ind w:left="0"/>
              <w:contextualSpacing w:val="0"/>
              <w:rPr>
                <w:rFonts w:ascii="Arial Narrow" w:eastAsiaTheme="minorHAnsi" w:hAnsi="Arial Narrow" w:cstheme="minorBidi"/>
                <w:b/>
                <w:snapToGrid/>
                <w:sz w:val="20"/>
              </w:rPr>
            </w:pPr>
            <w:r w:rsidRPr="00AD4948">
              <w:rPr>
                <w:rFonts w:ascii="Arial Narrow" w:eastAsiaTheme="minorHAnsi" w:hAnsi="Arial Narrow" w:cstheme="minorBidi"/>
                <w:b/>
                <w:snapToGrid/>
                <w:sz w:val="20"/>
              </w:rPr>
              <w:t>Placebo</w:t>
            </w:r>
          </w:p>
        </w:tc>
        <w:tc>
          <w:tcPr>
            <w:tcW w:w="1810" w:type="dxa"/>
          </w:tcPr>
          <w:p w:rsidR="0027490E" w:rsidRPr="00AD4948" w:rsidRDefault="0027490E" w:rsidP="00BC5B29">
            <w:pPr>
              <w:pStyle w:val="ListParagraph"/>
              <w:keepNext/>
              <w:widowControl/>
              <w:spacing w:after="60"/>
              <w:ind w:left="0"/>
              <w:contextualSpacing w:val="0"/>
              <w:jc w:val="center"/>
              <w:rPr>
                <w:rFonts w:ascii="Arial Narrow" w:eastAsiaTheme="minorHAnsi" w:hAnsi="Arial Narrow" w:cstheme="minorBidi"/>
                <w:snapToGrid/>
                <w:sz w:val="20"/>
              </w:rPr>
            </w:pPr>
            <w:r w:rsidRPr="00AD4948">
              <w:rPr>
                <w:rFonts w:ascii="Arial Narrow" w:eastAsiaTheme="minorHAnsi" w:hAnsi="Arial Narrow" w:cstheme="minorBidi"/>
                <w:snapToGrid/>
                <w:sz w:val="20"/>
              </w:rPr>
              <w:t>4</w:t>
            </w:r>
            <w:r w:rsidR="00AF7D50" w:rsidRPr="00AD4948">
              <w:rPr>
                <w:rFonts w:ascii="Arial Narrow" w:eastAsiaTheme="minorHAnsi" w:hAnsi="Arial Narrow" w:cstheme="minorBidi"/>
                <w:snapToGrid/>
                <w:sz w:val="20"/>
              </w:rPr>
              <w:t>%</w:t>
            </w:r>
          </w:p>
        </w:tc>
        <w:tc>
          <w:tcPr>
            <w:tcW w:w="1795" w:type="dxa"/>
          </w:tcPr>
          <w:p w:rsidR="0027490E" w:rsidRPr="00AD4948" w:rsidRDefault="0027490E" w:rsidP="00BC5B29">
            <w:pPr>
              <w:pStyle w:val="ListParagraph"/>
              <w:keepNext/>
              <w:widowControl/>
              <w:spacing w:after="60"/>
              <w:ind w:left="0"/>
              <w:contextualSpacing w:val="0"/>
              <w:jc w:val="center"/>
              <w:rPr>
                <w:rFonts w:ascii="Arial Narrow" w:eastAsiaTheme="minorHAnsi" w:hAnsi="Arial Narrow" w:cstheme="minorBidi"/>
                <w:snapToGrid/>
                <w:sz w:val="20"/>
              </w:rPr>
            </w:pPr>
            <w:r w:rsidRPr="00AD4948">
              <w:rPr>
                <w:rFonts w:ascii="Arial Narrow" w:eastAsiaTheme="minorHAnsi" w:hAnsi="Arial Narrow" w:cstheme="minorBidi"/>
                <w:snapToGrid/>
                <w:sz w:val="20"/>
              </w:rPr>
              <w:t>4</w:t>
            </w:r>
            <w:r w:rsidR="00AF7D50" w:rsidRPr="00AD4948">
              <w:rPr>
                <w:rFonts w:ascii="Arial Narrow" w:eastAsiaTheme="minorHAnsi" w:hAnsi="Arial Narrow" w:cstheme="minorBidi"/>
                <w:snapToGrid/>
                <w:sz w:val="20"/>
              </w:rPr>
              <w:t>%</w:t>
            </w:r>
          </w:p>
        </w:tc>
      </w:tr>
      <w:tr w:rsidR="0027490E" w:rsidRPr="00AD4948" w:rsidTr="000003FC">
        <w:trPr>
          <w:tblHeader/>
        </w:trPr>
        <w:tc>
          <w:tcPr>
            <w:tcW w:w="2613" w:type="dxa"/>
            <w:vMerge/>
          </w:tcPr>
          <w:p w:rsidR="0027490E" w:rsidRPr="00AD4948" w:rsidRDefault="0027490E" w:rsidP="00BC5B29">
            <w:pPr>
              <w:pStyle w:val="ListParagraph"/>
              <w:keepNext/>
              <w:widowControl/>
              <w:spacing w:after="60"/>
              <w:ind w:left="0"/>
              <w:contextualSpacing w:val="0"/>
              <w:rPr>
                <w:rFonts w:ascii="Arial Narrow" w:eastAsiaTheme="minorHAnsi" w:hAnsi="Arial Narrow" w:cstheme="minorBidi"/>
                <w:b/>
                <w:snapToGrid/>
                <w:sz w:val="20"/>
              </w:rPr>
            </w:pPr>
          </w:p>
        </w:tc>
        <w:tc>
          <w:tcPr>
            <w:tcW w:w="2798" w:type="dxa"/>
          </w:tcPr>
          <w:p w:rsidR="0027490E" w:rsidRPr="00AD4948" w:rsidRDefault="0027490E" w:rsidP="00BC5B29">
            <w:pPr>
              <w:pStyle w:val="ListParagraph"/>
              <w:keepNext/>
              <w:widowControl/>
              <w:spacing w:after="60"/>
              <w:ind w:left="0"/>
              <w:contextualSpacing w:val="0"/>
              <w:rPr>
                <w:rFonts w:ascii="Arial Narrow" w:eastAsiaTheme="minorHAnsi" w:hAnsi="Arial Narrow" w:cstheme="minorBidi"/>
                <w:b/>
                <w:snapToGrid/>
                <w:sz w:val="20"/>
              </w:rPr>
            </w:pPr>
            <w:proofErr w:type="spellStart"/>
            <w:r w:rsidRPr="00AD4948">
              <w:rPr>
                <w:rFonts w:ascii="Arial Narrow" w:eastAsiaTheme="minorHAnsi" w:hAnsi="Arial Narrow" w:cstheme="minorBidi"/>
                <w:b/>
                <w:snapToGrid/>
                <w:sz w:val="20"/>
              </w:rPr>
              <w:t>Pegvisomant</w:t>
            </w:r>
            <w:proofErr w:type="spellEnd"/>
            <w:r w:rsidRPr="00AD4948">
              <w:rPr>
                <w:rFonts w:ascii="Arial Narrow" w:eastAsiaTheme="minorHAnsi" w:hAnsi="Arial Narrow" w:cstheme="minorBidi"/>
                <w:b/>
                <w:snapToGrid/>
                <w:sz w:val="20"/>
              </w:rPr>
              <w:t xml:space="preserve"> 10</w:t>
            </w:r>
            <w:r w:rsidR="004822BD" w:rsidRPr="00AD4948">
              <w:rPr>
                <w:rFonts w:ascii="Arial Narrow" w:eastAsiaTheme="minorHAnsi" w:hAnsi="Arial Narrow" w:cstheme="minorBidi"/>
                <w:b/>
                <w:snapToGrid/>
                <w:sz w:val="20"/>
              </w:rPr>
              <w:t xml:space="preserve"> </w:t>
            </w:r>
            <w:r w:rsidRPr="00AD4948">
              <w:rPr>
                <w:rFonts w:ascii="Arial Narrow" w:eastAsiaTheme="minorHAnsi" w:hAnsi="Arial Narrow" w:cstheme="minorBidi"/>
                <w:b/>
                <w:snapToGrid/>
                <w:sz w:val="20"/>
              </w:rPr>
              <w:t>mg/day</w:t>
            </w:r>
          </w:p>
        </w:tc>
        <w:tc>
          <w:tcPr>
            <w:tcW w:w="1810" w:type="dxa"/>
          </w:tcPr>
          <w:p w:rsidR="0027490E" w:rsidRPr="00AD4948" w:rsidRDefault="0027490E" w:rsidP="00BC5B29">
            <w:pPr>
              <w:pStyle w:val="ListParagraph"/>
              <w:keepNext/>
              <w:widowControl/>
              <w:spacing w:after="60"/>
              <w:ind w:left="0"/>
              <w:contextualSpacing w:val="0"/>
              <w:jc w:val="center"/>
              <w:rPr>
                <w:rFonts w:ascii="Arial Narrow" w:eastAsiaTheme="minorHAnsi" w:hAnsi="Arial Narrow" w:cstheme="minorBidi"/>
                <w:snapToGrid/>
                <w:sz w:val="20"/>
              </w:rPr>
            </w:pPr>
            <w:r w:rsidRPr="00AD4948">
              <w:rPr>
                <w:rFonts w:ascii="Arial Narrow" w:eastAsiaTheme="minorHAnsi" w:hAnsi="Arial Narrow" w:cstheme="minorBidi"/>
                <w:snapToGrid/>
                <w:sz w:val="20"/>
              </w:rPr>
              <w:t>31</w:t>
            </w:r>
            <w:r w:rsidR="00AF7D50" w:rsidRPr="00AD4948">
              <w:rPr>
                <w:rFonts w:ascii="Arial Narrow" w:eastAsiaTheme="minorHAnsi" w:hAnsi="Arial Narrow" w:cstheme="minorBidi"/>
                <w:snapToGrid/>
                <w:sz w:val="20"/>
              </w:rPr>
              <w:t>%</w:t>
            </w:r>
          </w:p>
        </w:tc>
        <w:tc>
          <w:tcPr>
            <w:tcW w:w="1795" w:type="dxa"/>
          </w:tcPr>
          <w:p w:rsidR="0027490E" w:rsidRPr="00AD4948" w:rsidRDefault="0027490E" w:rsidP="00BC5B29">
            <w:pPr>
              <w:pStyle w:val="ListParagraph"/>
              <w:keepNext/>
              <w:widowControl/>
              <w:spacing w:after="60"/>
              <w:ind w:left="0"/>
              <w:contextualSpacing w:val="0"/>
              <w:jc w:val="center"/>
              <w:rPr>
                <w:rFonts w:ascii="Arial Narrow" w:eastAsiaTheme="minorHAnsi" w:hAnsi="Arial Narrow" w:cstheme="minorBidi"/>
                <w:snapToGrid/>
                <w:sz w:val="20"/>
              </w:rPr>
            </w:pPr>
            <w:r w:rsidRPr="00AD4948">
              <w:rPr>
                <w:rFonts w:ascii="Arial Narrow" w:eastAsiaTheme="minorHAnsi" w:hAnsi="Arial Narrow" w:cstheme="minorBidi"/>
                <w:snapToGrid/>
                <w:sz w:val="20"/>
              </w:rPr>
              <w:t>27</w:t>
            </w:r>
            <w:r w:rsidR="00AF7D50" w:rsidRPr="00AD4948">
              <w:rPr>
                <w:rFonts w:ascii="Arial Narrow" w:eastAsiaTheme="minorHAnsi" w:hAnsi="Arial Narrow" w:cstheme="minorBidi"/>
                <w:snapToGrid/>
                <w:sz w:val="20"/>
              </w:rPr>
              <w:t>%</w:t>
            </w:r>
          </w:p>
        </w:tc>
      </w:tr>
      <w:tr w:rsidR="0027490E" w:rsidRPr="00AD4948" w:rsidTr="000003FC">
        <w:trPr>
          <w:tblHeader/>
        </w:trPr>
        <w:tc>
          <w:tcPr>
            <w:tcW w:w="2613" w:type="dxa"/>
            <w:vMerge/>
          </w:tcPr>
          <w:p w:rsidR="0027490E" w:rsidRPr="00AD4948" w:rsidRDefault="0027490E" w:rsidP="00BC5B29">
            <w:pPr>
              <w:pStyle w:val="ListParagraph"/>
              <w:keepNext/>
              <w:widowControl/>
              <w:spacing w:after="60"/>
              <w:ind w:left="0"/>
              <w:contextualSpacing w:val="0"/>
              <w:rPr>
                <w:rFonts w:ascii="Arial Narrow" w:eastAsiaTheme="minorHAnsi" w:hAnsi="Arial Narrow" w:cstheme="minorBidi"/>
                <w:b/>
                <w:snapToGrid/>
                <w:sz w:val="20"/>
              </w:rPr>
            </w:pPr>
          </w:p>
        </w:tc>
        <w:tc>
          <w:tcPr>
            <w:tcW w:w="2798" w:type="dxa"/>
          </w:tcPr>
          <w:p w:rsidR="0027490E" w:rsidRPr="00AD4948" w:rsidRDefault="0027490E" w:rsidP="00BC5B29">
            <w:pPr>
              <w:pStyle w:val="ListParagraph"/>
              <w:keepNext/>
              <w:widowControl/>
              <w:spacing w:after="60"/>
              <w:ind w:left="0"/>
              <w:contextualSpacing w:val="0"/>
              <w:rPr>
                <w:rFonts w:ascii="Arial Narrow" w:eastAsiaTheme="minorHAnsi" w:hAnsi="Arial Narrow" w:cstheme="minorBidi"/>
                <w:b/>
                <w:snapToGrid/>
                <w:sz w:val="20"/>
              </w:rPr>
            </w:pPr>
            <w:proofErr w:type="spellStart"/>
            <w:r w:rsidRPr="00AD4948">
              <w:rPr>
                <w:rFonts w:ascii="Arial Narrow" w:eastAsiaTheme="minorHAnsi" w:hAnsi="Arial Narrow" w:cstheme="minorBidi"/>
                <w:b/>
                <w:snapToGrid/>
                <w:sz w:val="20"/>
              </w:rPr>
              <w:t>Pegvisomant</w:t>
            </w:r>
            <w:proofErr w:type="spellEnd"/>
            <w:r w:rsidRPr="00AD4948">
              <w:rPr>
                <w:rFonts w:ascii="Arial Narrow" w:eastAsiaTheme="minorHAnsi" w:hAnsi="Arial Narrow" w:cstheme="minorBidi"/>
                <w:b/>
                <w:snapToGrid/>
                <w:sz w:val="20"/>
              </w:rPr>
              <w:t xml:space="preserve"> 15</w:t>
            </w:r>
            <w:r w:rsidR="004822BD" w:rsidRPr="00AD4948">
              <w:rPr>
                <w:rFonts w:ascii="Arial Narrow" w:eastAsiaTheme="minorHAnsi" w:hAnsi="Arial Narrow" w:cstheme="minorBidi"/>
                <w:b/>
                <w:snapToGrid/>
                <w:sz w:val="20"/>
              </w:rPr>
              <w:t xml:space="preserve"> </w:t>
            </w:r>
            <w:r w:rsidRPr="00AD4948">
              <w:rPr>
                <w:rFonts w:ascii="Arial Narrow" w:eastAsiaTheme="minorHAnsi" w:hAnsi="Arial Narrow" w:cstheme="minorBidi"/>
                <w:b/>
                <w:snapToGrid/>
                <w:sz w:val="20"/>
              </w:rPr>
              <w:t>mg/day</w:t>
            </w:r>
          </w:p>
        </w:tc>
        <w:tc>
          <w:tcPr>
            <w:tcW w:w="1810" w:type="dxa"/>
          </w:tcPr>
          <w:p w:rsidR="0027490E" w:rsidRPr="00AD4948" w:rsidRDefault="0027490E" w:rsidP="00BC5B29">
            <w:pPr>
              <w:pStyle w:val="ListParagraph"/>
              <w:keepNext/>
              <w:widowControl/>
              <w:spacing w:after="60"/>
              <w:ind w:left="0"/>
              <w:contextualSpacing w:val="0"/>
              <w:jc w:val="center"/>
              <w:rPr>
                <w:rFonts w:ascii="Arial Narrow" w:eastAsiaTheme="minorHAnsi" w:hAnsi="Arial Narrow" w:cstheme="minorBidi"/>
                <w:snapToGrid/>
                <w:sz w:val="20"/>
              </w:rPr>
            </w:pPr>
            <w:r w:rsidRPr="00AD4948">
              <w:rPr>
                <w:rFonts w:ascii="Arial Narrow" w:eastAsiaTheme="minorHAnsi" w:hAnsi="Arial Narrow" w:cstheme="minorBidi"/>
                <w:snapToGrid/>
                <w:sz w:val="20"/>
              </w:rPr>
              <w:t>47</w:t>
            </w:r>
            <w:r w:rsidR="00AF7D50" w:rsidRPr="00AD4948">
              <w:rPr>
                <w:rFonts w:ascii="Arial Narrow" w:eastAsiaTheme="minorHAnsi" w:hAnsi="Arial Narrow" w:cstheme="minorBidi"/>
                <w:snapToGrid/>
                <w:sz w:val="20"/>
              </w:rPr>
              <w:t>%</w:t>
            </w:r>
          </w:p>
        </w:tc>
        <w:tc>
          <w:tcPr>
            <w:tcW w:w="1795" w:type="dxa"/>
          </w:tcPr>
          <w:p w:rsidR="0027490E" w:rsidRPr="00AD4948" w:rsidRDefault="0027490E" w:rsidP="00BC5B29">
            <w:pPr>
              <w:pStyle w:val="ListParagraph"/>
              <w:keepNext/>
              <w:widowControl/>
              <w:spacing w:after="60"/>
              <w:ind w:left="0"/>
              <w:contextualSpacing w:val="0"/>
              <w:jc w:val="center"/>
              <w:rPr>
                <w:rFonts w:ascii="Arial Narrow" w:eastAsiaTheme="minorHAnsi" w:hAnsi="Arial Narrow" w:cstheme="minorBidi"/>
                <w:snapToGrid/>
                <w:sz w:val="20"/>
              </w:rPr>
            </w:pPr>
            <w:r w:rsidRPr="00AD4948">
              <w:rPr>
                <w:rFonts w:ascii="Arial Narrow" w:eastAsiaTheme="minorHAnsi" w:hAnsi="Arial Narrow" w:cstheme="minorBidi"/>
                <w:snapToGrid/>
                <w:sz w:val="20"/>
              </w:rPr>
              <w:t>50</w:t>
            </w:r>
            <w:r w:rsidR="00AF7D50" w:rsidRPr="00AD4948">
              <w:rPr>
                <w:rFonts w:ascii="Arial Narrow" w:eastAsiaTheme="minorHAnsi" w:hAnsi="Arial Narrow" w:cstheme="minorBidi"/>
                <w:snapToGrid/>
                <w:sz w:val="20"/>
              </w:rPr>
              <w:t>%</w:t>
            </w:r>
          </w:p>
        </w:tc>
      </w:tr>
      <w:tr w:rsidR="0027490E" w:rsidRPr="00AD4948" w:rsidTr="000003FC">
        <w:trPr>
          <w:tblHeader/>
        </w:trPr>
        <w:tc>
          <w:tcPr>
            <w:tcW w:w="2613" w:type="dxa"/>
            <w:vMerge/>
          </w:tcPr>
          <w:p w:rsidR="0027490E" w:rsidRPr="00AD4948" w:rsidRDefault="0027490E" w:rsidP="00BC5B29">
            <w:pPr>
              <w:pStyle w:val="ListParagraph"/>
              <w:keepNext/>
              <w:widowControl/>
              <w:spacing w:after="60"/>
              <w:ind w:left="0"/>
              <w:contextualSpacing w:val="0"/>
              <w:rPr>
                <w:rFonts w:ascii="Arial Narrow" w:eastAsiaTheme="minorHAnsi" w:hAnsi="Arial Narrow" w:cstheme="minorBidi"/>
                <w:b/>
                <w:snapToGrid/>
                <w:sz w:val="20"/>
              </w:rPr>
            </w:pPr>
          </w:p>
        </w:tc>
        <w:tc>
          <w:tcPr>
            <w:tcW w:w="2798" w:type="dxa"/>
          </w:tcPr>
          <w:p w:rsidR="0027490E" w:rsidRPr="00AD4948" w:rsidRDefault="0027490E" w:rsidP="00BC5B29">
            <w:pPr>
              <w:pStyle w:val="ListParagraph"/>
              <w:keepNext/>
              <w:widowControl/>
              <w:spacing w:after="60"/>
              <w:ind w:left="0"/>
              <w:contextualSpacing w:val="0"/>
              <w:rPr>
                <w:rFonts w:ascii="Arial Narrow" w:eastAsiaTheme="minorHAnsi" w:hAnsi="Arial Narrow" w:cstheme="minorBidi"/>
                <w:b/>
                <w:snapToGrid/>
                <w:sz w:val="20"/>
              </w:rPr>
            </w:pPr>
            <w:proofErr w:type="spellStart"/>
            <w:r w:rsidRPr="00AD4948">
              <w:rPr>
                <w:rFonts w:ascii="Arial Narrow" w:eastAsiaTheme="minorHAnsi" w:hAnsi="Arial Narrow" w:cstheme="minorBidi"/>
                <w:b/>
                <w:snapToGrid/>
                <w:sz w:val="20"/>
              </w:rPr>
              <w:t>Pegvisomant</w:t>
            </w:r>
            <w:proofErr w:type="spellEnd"/>
            <w:r w:rsidRPr="00AD4948">
              <w:rPr>
                <w:rFonts w:ascii="Arial Narrow" w:eastAsiaTheme="minorHAnsi" w:hAnsi="Arial Narrow" w:cstheme="minorBidi"/>
                <w:b/>
                <w:snapToGrid/>
                <w:sz w:val="20"/>
              </w:rPr>
              <w:t xml:space="preserve"> 20</w:t>
            </w:r>
            <w:r w:rsidR="004822BD" w:rsidRPr="00AD4948">
              <w:rPr>
                <w:rFonts w:ascii="Arial Narrow" w:eastAsiaTheme="minorHAnsi" w:hAnsi="Arial Narrow" w:cstheme="minorBidi"/>
                <w:b/>
                <w:snapToGrid/>
                <w:sz w:val="20"/>
              </w:rPr>
              <w:t xml:space="preserve"> </w:t>
            </w:r>
            <w:r w:rsidRPr="00AD4948">
              <w:rPr>
                <w:rFonts w:ascii="Arial Narrow" w:eastAsiaTheme="minorHAnsi" w:hAnsi="Arial Narrow" w:cstheme="minorBidi"/>
                <w:b/>
                <w:snapToGrid/>
                <w:sz w:val="20"/>
              </w:rPr>
              <w:t xml:space="preserve">mg/day </w:t>
            </w:r>
          </w:p>
        </w:tc>
        <w:tc>
          <w:tcPr>
            <w:tcW w:w="1810" w:type="dxa"/>
          </w:tcPr>
          <w:p w:rsidR="0027490E" w:rsidRPr="00AD4948" w:rsidRDefault="0027490E" w:rsidP="00BC5B29">
            <w:pPr>
              <w:pStyle w:val="ListParagraph"/>
              <w:keepNext/>
              <w:widowControl/>
              <w:spacing w:after="60"/>
              <w:ind w:left="0"/>
              <w:contextualSpacing w:val="0"/>
              <w:jc w:val="center"/>
              <w:rPr>
                <w:rFonts w:ascii="Arial Narrow" w:eastAsiaTheme="minorHAnsi" w:hAnsi="Arial Narrow" w:cstheme="minorBidi"/>
                <w:snapToGrid/>
                <w:sz w:val="20"/>
              </w:rPr>
            </w:pPr>
            <w:r w:rsidRPr="00AD4948">
              <w:rPr>
                <w:rFonts w:ascii="Arial Narrow" w:eastAsiaTheme="minorHAnsi" w:hAnsi="Arial Narrow" w:cstheme="minorBidi"/>
                <w:snapToGrid/>
                <w:sz w:val="20"/>
              </w:rPr>
              <w:t>61</w:t>
            </w:r>
            <w:r w:rsidR="00AF7D50" w:rsidRPr="00AD4948">
              <w:rPr>
                <w:rFonts w:ascii="Arial Narrow" w:eastAsiaTheme="minorHAnsi" w:hAnsi="Arial Narrow" w:cstheme="minorBidi"/>
                <w:snapToGrid/>
                <w:sz w:val="20"/>
              </w:rPr>
              <w:t>%</w:t>
            </w:r>
          </w:p>
        </w:tc>
        <w:tc>
          <w:tcPr>
            <w:tcW w:w="1795" w:type="dxa"/>
          </w:tcPr>
          <w:p w:rsidR="0027490E" w:rsidRPr="00AD4948" w:rsidRDefault="0027490E" w:rsidP="00BC5B29">
            <w:pPr>
              <w:pStyle w:val="ListParagraph"/>
              <w:keepNext/>
              <w:widowControl/>
              <w:spacing w:after="60"/>
              <w:ind w:left="0"/>
              <w:contextualSpacing w:val="0"/>
              <w:jc w:val="center"/>
              <w:rPr>
                <w:rFonts w:ascii="Arial Narrow" w:eastAsiaTheme="minorHAnsi" w:hAnsi="Arial Narrow" w:cstheme="minorBidi"/>
                <w:snapToGrid/>
                <w:sz w:val="20"/>
              </w:rPr>
            </w:pPr>
            <w:r w:rsidRPr="00AD4948">
              <w:rPr>
                <w:rFonts w:ascii="Arial Narrow" w:eastAsiaTheme="minorHAnsi" w:hAnsi="Arial Narrow" w:cstheme="minorBidi"/>
                <w:snapToGrid/>
                <w:sz w:val="20"/>
              </w:rPr>
              <w:t>63</w:t>
            </w:r>
            <w:r w:rsidR="00AF7D50" w:rsidRPr="00AD4948">
              <w:rPr>
                <w:rFonts w:ascii="Arial Narrow" w:eastAsiaTheme="minorHAnsi" w:hAnsi="Arial Narrow" w:cstheme="minorBidi"/>
                <w:snapToGrid/>
                <w:sz w:val="20"/>
              </w:rPr>
              <w:t>%</w:t>
            </w:r>
          </w:p>
        </w:tc>
      </w:tr>
      <w:tr w:rsidR="00AF7D50" w:rsidRPr="00AD4948" w:rsidTr="000003FC">
        <w:trPr>
          <w:tblHeader/>
        </w:trPr>
        <w:tc>
          <w:tcPr>
            <w:tcW w:w="2613" w:type="dxa"/>
            <w:vMerge w:val="restart"/>
          </w:tcPr>
          <w:p w:rsidR="00AF7D50" w:rsidRPr="00AD4948" w:rsidRDefault="00AF7D50" w:rsidP="00BC5B29">
            <w:pPr>
              <w:pStyle w:val="ListParagraph"/>
              <w:keepNext/>
              <w:widowControl/>
              <w:spacing w:after="60"/>
              <w:ind w:left="0"/>
              <w:contextualSpacing w:val="0"/>
              <w:rPr>
                <w:rFonts w:ascii="Arial Narrow" w:eastAsiaTheme="minorHAnsi" w:hAnsi="Arial Narrow" w:cstheme="minorBidi"/>
                <w:b/>
                <w:snapToGrid/>
                <w:sz w:val="20"/>
              </w:rPr>
            </w:pPr>
            <w:r w:rsidRPr="00AD4948">
              <w:rPr>
                <w:rFonts w:ascii="Arial Narrow" w:eastAsiaTheme="minorHAnsi" w:hAnsi="Arial Narrow" w:cstheme="minorBidi"/>
                <w:b/>
                <w:snapToGrid/>
                <w:sz w:val="20"/>
              </w:rPr>
              <w:t>Proportion of patients achieving normalised IGF-1</w:t>
            </w:r>
            <w:r w:rsidR="00391488" w:rsidRPr="00AD4948">
              <w:rPr>
                <w:rFonts w:ascii="Arial Narrow" w:eastAsiaTheme="minorHAnsi" w:hAnsi="Arial Narrow" w:cstheme="minorBidi"/>
                <w:b/>
                <w:snapToGrid/>
                <w:sz w:val="20"/>
              </w:rPr>
              <w:t xml:space="preserve"> at Week 12</w:t>
            </w:r>
          </w:p>
        </w:tc>
        <w:tc>
          <w:tcPr>
            <w:tcW w:w="2798" w:type="dxa"/>
          </w:tcPr>
          <w:p w:rsidR="00AF7D50" w:rsidRPr="00AD4948" w:rsidRDefault="00AF7D50" w:rsidP="00BC5B29">
            <w:pPr>
              <w:pStyle w:val="ListParagraph"/>
              <w:keepNext/>
              <w:widowControl/>
              <w:spacing w:after="60"/>
              <w:ind w:left="0"/>
              <w:contextualSpacing w:val="0"/>
              <w:rPr>
                <w:rFonts w:ascii="Arial Narrow" w:eastAsiaTheme="minorHAnsi" w:hAnsi="Arial Narrow" w:cstheme="minorBidi"/>
                <w:b/>
                <w:snapToGrid/>
                <w:sz w:val="20"/>
              </w:rPr>
            </w:pPr>
            <w:r w:rsidRPr="00AD4948">
              <w:rPr>
                <w:rFonts w:ascii="Arial Narrow" w:eastAsiaTheme="minorHAnsi" w:hAnsi="Arial Narrow" w:cstheme="minorBidi"/>
                <w:b/>
                <w:snapToGrid/>
                <w:sz w:val="20"/>
              </w:rPr>
              <w:t>Placebo</w:t>
            </w:r>
          </w:p>
        </w:tc>
        <w:tc>
          <w:tcPr>
            <w:tcW w:w="1810" w:type="dxa"/>
          </w:tcPr>
          <w:p w:rsidR="00AF7D50" w:rsidRPr="00AD4948" w:rsidRDefault="00FB7853" w:rsidP="00BC5B29">
            <w:pPr>
              <w:pStyle w:val="ListParagraph"/>
              <w:keepNext/>
              <w:widowControl/>
              <w:spacing w:after="60"/>
              <w:ind w:left="0"/>
              <w:contextualSpacing w:val="0"/>
              <w:jc w:val="center"/>
              <w:rPr>
                <w:rFonts w:ascii="Arial Narrow" w:eastAsiaTheme="minorHAnsi" w:hAnsi="Arial Narrow" w:cstheme="minorBidi"/>
                <w:snapToGrid/>
                <w:sz w:val="20"/>
              </w:rPr>
            </w:pPr>
            <w:r w:rsidRPr="00AD4948">
              <w:rPr>
                <w:rFonts w:ascii="Arial Narrow" w:eastAsiaTheme="minorHAnsi" w:hAnsi="Arial Narrow" w:cstheme="minorBidi"/>
                <w:snapToGrid/>
                <w:sz w:val="20"/>
              </w:rPr>
              <w:t>10.7%</w:t>
            </w:r>
          </w:p>
        </w:tc>
        <w:tc>
          <w:tcPr>
            <w:tcW w:w="1795" w:type="dxa"/>
          </w:tcPr>
          <w:p w:rsidR="00AF7D50" w:rsidRPr="00AD4948" w:rsidRDefault="00FB7853" w:rsidP="00BC5B29">
            <w:pPr>
              <w:pStyle w:val="ListParagraph"/>
              <w:keepNext/>
              <w:widowControl/>
              <w:spacing w:after="60"/>
              <w:ind w:left="0"/>
              <w:contextualSpacing w:val="0"/>
              <w:jc w:val="center"/>
              <w:rPr>
                <w:rFonts w:ascii="Arial Narrow" w:eastAsiaTheme="minorHAnsi" w:hAnsi="Arial Narrow" w:cstheme="minorBidi"/>
                <w:snapToGrid/>
                <w:sz w:val="20"/>
              </w:rPr>
            </w:pPr>
            <w:r w:rsidRPr="00AD4948">
              <w:rPr>
                <w:rFonts w:ascii="Arial Narrow" w:eastAsiaTheme="minorHAnsi" w:hAnsi="Arial Narrow" w:cstheme="minorBidi"/>
                <w:snapToGrid/>
                <w:sz w:val="20"/>
              </w:rPr>
              <w:t>9.7</w:t>
            </w:r>
            <w:r w:rsidR="00391488" w:rsidRPr="00AD4948">
              <w:rPr>
                <w:rFonts w:ascii="Arial Narrow" w:eastAsiaTheme="minorHAnsi" w:hAnsi="Arial Narrow" w:cstheme="minorBidi"/>
                <w:snapToGrid/>
                <w:sz w:val="20"/>
              </w:rPr>
              <w:t>%</w:t>
            </w:r>
          </w:p>
        </w:tc>
      </w:tr>
      <w:tr w:rsidR="00AF7D50" w:rsidRPr="00AD4948" w:rsidTr="000003FC">
        <w:trPr>
          <w:tblHeader/>
        </w:trPr>
        <w:tc>
          <w:tcPr>
            <w:tcW w:w="2613" w:type="dxa"/>
            <w:vMerge/>
          </w:tcPr>
          <w:p w:rsidR="00AF7D50" w:rsidRPr="00AD4948" w:rsidRDefault="00AF7D50" w:rsidP="00BC5B29">
            <w:pPr>
              <w:pStyle w:val="ListParagraph"/>
              <w:keepNext/>
              <w:widowControl/>
              <w:spacing w:after="60"/>
              <w:ind w:left="0"/>
              <w:contextualSpacing w:val="0"/>
              <w:rPr>
                <w:rFonts w:ascii="Arial Narrow" w:eastAsiaTheme="minorHAnsi" w:hAnsi="Arial Narrow" w:cstheme="minorBidi"/>
                <w:b/>
                <w:snapToGrid/>
                <w:sz w:val="20"/>
              </w:rPr>
            </w:pPr>
          </w:p>
        </w:tc>
        <w:tc>
          <w:tcPr>
            <w:tcW w:w="2798" w:type="dxa"/>
          </w:tcPr>
          <w:p w:rsidR="00AF7D50" w:rsidRPr="00AD4948" w:rsidRDefault="00AF7D50" w:rsidP="00BC5B29">
            <w:pPr>
              <w:pStyle w:val="ListParagraph"/>
              <w:keepNext/>
              <w:widowControl/>
              <w:spacing w:after="60"/>
              <w:ind w:left="0"/>
              <w:contextualSpacing w:val="0"/>
              <w:rPr>
                <w:rFonts w:ascii="Arial Narrow" w:eastAsiaTheme="minorHAnsi" w:hAnsi="Arial Narrow" w:cstheme="minorBidi"/>
                <w:b/>
                <w:snapToGrid/>
                <w:sz w:val="20"/>
              </w:rPr>
            </w:pPr>
            <w:proofErr w:type="spellStart"/>
            <w:r w:rsidRPr="00AD4948">
              <w:rPr>
                <w:rFonts w:ascii="Arial Narrow" w:eastAsiaTheme="minorHAnsi" w:hAnsi="Arial Narrow" w:cstheme="minorBidi"/>
                <w:b/>
                <w:snapToGrid/>
                <w:sz w:val="20"/>
              </w:rPr>
              <w:t>Pegvisomant</w:t>
            </w:r>
            <w:proofErr w:type="spellEnd"/>
            <w:r w:rsidRPr="00AD4948">
              <w:rPr>
                <w:rFonts w:ascii="Arial Narrow" w:eastAsiaTheme="minorHAnsi" w:hAnsi="Arial Narrow" w:cstheme="minorBidi"/>
                <w:b/>
                <w:snapToGrid/>
                <w:sz w:val="20"/>
              </w:rPr>
              <w:t xml:space="preserve"> 10</w:t>
            </w:r>
            <w:r w:rsidR="006534A5" w:rsidRPr="00AD4948">
              <w:rPr>
                <w:rFonts w:ascii="Arial Narrow" w:eastAsiaTheme="minorHAnsi" w:hAnsi="Arial Narrow" w:cstheme="minorBidi"/>
                <w:b/>
                <w:snapToGrid/>
                <w:sz w:val="20"/>
              </w:rPr>
              <w:t xml:space="preserve"> </w:t>
            </w:r>
            <w:r w:rsidRPr="00AD4948">
              <w:rPr>
                <w:rFonts w:ascii="Arial Narrow" w:eastAsiaTheme="minorHAnsi" w:hAnsi="Arial Narrow" w:cstheme="minorBidi"/>
                <w:b/>
                <w:snapToGrid/>
                <w:sz w:val="20"/>
              </w:rPr>
              <w:t>mg/day</w:t>
            </w:r>
          </w:p>
        </w:tc>
        <w:tc>
          <w:tcPr>
            <w:tcW w:w="1810" w:type="dxa"/>
          </w:tcPr>
          <w:p w:rsidR="00AF7D50" w:rsidRPr="00AD4948" w:rsidRDefault="00FB7853" w:rsidP="00BC5B29">
            <w:pPr>
              <w:pStyle w:val="ListParagraph"/>
              <w:keepNext/>
              <w:widowControl/>
              <w:spacing w:after="60"/>
              <w:ind w:left="0"/>
              <w:contextualSpacing w:val="0"/>
              <w:jc w:val="center"/>
              <w:rPr>
                <w:rFonts w:ascii="Arial Narrow" w:eastAsiaTheme="minorHAnsi" w:hAnsi="Arial Narrow" w:cstheme="minorBidi"/>
                <w:snapToGrid/>
                <w:sz w:val="20"/>
              </w:rPr>
            </w:pPr>
            <w:r w:rsidRPr="00AD4948">
              <w:rPr>
                <w:rFonts w:ascii="Arial Narrow" w:eastAsiaTheme="minorHAnsi" w:hAnsi="Arial Narrow" w:cstheme="minorBidi"/>
                <w:snapToGrid/>
                <w:sz w:val="20"/>
              </w:rPr>
              <w:t>45.0%</w:t>
            </w:r>
          </w:p>
        </w:tc>
        <w:tc>
          <w:tcPr>
            <w:tcW w:w="1795" w:type="dxa"/>
          </w:tcPr>
          <w:p w:rsidR="00AF7D50" w:rsidRPr="00AD4948" w:rsidRDefault="00FB7853" w:rsidP="00BC5B29">
            <w:pPr>
              <w:pStyle w:val="ListParagraph"/>
              <w:keepNext/>
              <w:widowControl/>
              <w:spacing w:after="60"/>
              <w:ind w:left="0"/>
              <w:contextualSpacing w:val="0"/>
              <w:jc w:val="center"/>
              <w:rPr>
                <w:rFonts w:ascii="Arial Narrow" w:eastAsiaTheme="minorHAnsi" w:hAnsi="Arial Narrow" w:cstheme="minorBidi"/>
                <w:snapToGrid/>
                <w:sz w:val="20"/>
              </w:rPr>
            </w:pPr>
            <w:r w:rsidRPr="00AD4948">
              <w:rPr>
                <w:rFonts w:ascii="Arial Narrow" w:eastAsiaTheme="minorHAnsi" w:hAnsi="Arial Narrow" w:cstheme="minorBidi"/>
                <w:snapToGrid/>
                <w:sz w:val="20"/>
              </w:rPr>
              <w:t>38.5</w:t>
            </w:r>
            <w:r w:rsidR="00391488" w:rsidRPr="00AD4948">
              <w:rPr>
                <w:rFonts w:ascii="Arial Narrow" w:eastAsiaTheme="minorHAnsi" w:hAnsi="Arial Narrow" w:cstheme="minorBidi"/>
                <w:snapToGrid/>
                <w:sz w:val="20"/>
              </w:rPr>
              <w:t>%</w:t>
            </w:r>
          </w:p>
        </w:tc>
      </w:tr>
      <w:tr w:rsidR="00AF7D50" w:rsidRPr="00AD4948" w:rsidTr="000003FC">
        <w:trPr>
          <w:tblHeader/>
        </w:trPr>
        <w:tc>
          <w:tcPr>
            <w:tcW w:w="2613" w:type="dxa"/>
            <w:vMerge/>
          </w:tcPr>
          <w:p w:rsidR="00AF7D50" w:rsidRPr="00AD4948" w:rsidRDefault="00AF7D50" w:rsidP="00BC5B29">
            <w:pPr>
              <w:pStyle w:val="ListParagraph"/>
              <w:keepNext/>
              <w:widowControl/>
              <w:spacing w:after="60"/>
              <w:ind w:left="0"/>
              <w:contextualSpacing w:val="0"/>
              <w:rPr>
                <w:rFonts w:ascii="Arial Narrow" w:eastAsiaTheme="minorHAnsi" w:hAnsi="Arial Narrow" w:cstheme="minorBidi"/>
                <w:b/>
                <w:snapToGrid/>
                <w:sz w:val="20"/>
              </w:rPr>
            </w:pPr>
          </w:p>
        </w:tc>
        <w:tc>
          <w:tcPr>
            <w:tcW w:w="2798" w:type="dxa"/>
          </w:tcPr>
          <w:p w:rsidR="00AF7D50" w:rsidRPr="00AD4948" w:rsidRDefault="00AF7D50" w:rsidP="00BC5B29">
            <w:pPr>
              <w:pStyle w:val="ListParagraph"/>
              <w:keepNext/>
              <w:widowControl/>
              <w:spacing w:after="60"/>
              <w:ind w:left="0"/>
              <w:contextualSpacing w:val="0"/>
              <w:rPr>
                <w:rFonts w:ascii="Arial Narrow" w:eastAsiaTheme="minorHAnsi" w:hAnsi="Arial Narrow" w:cstheme="minorBidi"/>
                <w:b/>
                <w:snapToGrid/>
                <w:sz w:val="20"/>
              </w:rPr>
            </w:pPr>
            <w:proofErr w:type="spellStart"/>
            <w:r w:rsidRPr="00AD4948">
              <w:rPr>
                <w:rFonts w:ascii="Arial Narrow" w:eastAsiaTheme="minorHAnsi" w:hAnsi="Arial Narrow" w:cstheme="minorBidi"/>
                <w:b/>
                <w:snapToGrid/>
                <w:sz w:val="20"/>
              </w:rPr>
              <w:t>Pegvisomant</w:t>
            </w:r>
            <w:proofErr w:type="spellEnd"/>
            <w:r w:rsidRPr="00AD4948">
              <w:rPr>
                <w:rFonts w:ascii="Arial Narrow" w:eastAsiaTheme="minorHAnsi" w:hAnsi="Arial Narrow" w:cstheme="minorBidi"/>
                <w:b/>
                <w:snapToGrid/>
                <w:sz w:val="20"/>
              </w:rPr>
              <w:t xml:space="preserve"> 15</w:t>
            </w:r>
            <w:r w:rsidR="006534A5" w:rsidRPr="00AD4948">
              <w:rPr>
                <w:rFonts w:ascii="Arial Narrow" w:eastAsiaTheme="minorHAnsi" w:hAnsi="Arial Narrow" w:cstheme="minorBidi"/>
                <w:b/>
                <w:snapToGrid/>
                <w:sz w:val="20"/>
              </w:rPr>
              <w:t xml:space="preserve"> </w:t>
            </w:r>
            <w:r w:rsidRPr="00AD4948">
              <w:rPr>
                <w:rFonts w:ascii="Arial Narrow" w:eastAsiaTheme="minorHAnsi" w:hAnsi="Arial Narrow" w:cstheme="minorBidi"/>
                <w:b/>
                <w:snapToGrid/>
                <w:sz w:val="20"/>
              </w:rPr>
              <w:t>mg/day</w:t>
            </w:r>
          </w:p>
        </w:tc>
        <w:tc>
          <w:tcPr>
            <w:tcW w:w="1810" w:type="dxa"/>
          </w:tcPr>
          <w:p w:rsidR="00AF7D50" w:rsidRPr="00AD4948" w:rsidRDefault="00FB7853" w:rsidP="00BC5B29">
            <w:pPr>
              <w:pStyle w:val="ListParagraph"/>
              <w:keepNext/>
              <w:widowControl/>
              <w:spacing w:after="60"/>
              <w:ind w:left="0"/>
              <w:contextualSpacing w:val="0"/>
              <w:jc w:val="center"/>
              <w:rPr>
                <w:rFonts w:ascii="Arial Narrow" w:eastAsiaTheme="minorHAnsi" w:hAnsi="Arial Narrow" w:cstheme="minorBidi"/>
                <w:snapToGrid/>
                <w:sz w:val="20"/>
              </w:rPr>
            </w:pPr>
            <w:r w:rsidRPr="00AD4948">
              <w:rPr>
                <w:rFonts w:ascii="Arial Narrow" w:eastAsiaTheme="minorHAnsi" w:hAnsi="Arial Narrow" w:cstheme="minorBidi"/>
                <w:snapToGrid/>
                <w:sz w:val="20"/>
              </w:rPr>
              <w:t>68.4%</w:t>
            </w:r>
          </w:p>
        </w:tc>
        <w:tc>
          <w:tcPr>
            <w:tcW w:w="1795" w:type="dxa"/>
          </w:tcPr>
          <w:p w:rsidR="00AF7D50" w:rsidRPr="00AD4948" w:rsidRDefault="00FB7853" w:rsidP="00BC5B29">
            <w:pPr>
              <w:pStyle w:val="ListParagraph"/>
              <w:keepNext/>
              <w:widowControl/>
              <w:spacing w:after="60"/>
              <w:ind w:left="0"/>
              <w:contextualSpacing w:val="0"/>
              <w:jc w:val="center"/>
              <w:rPr>
                <w:rFonts w:ascii="Arial Narrow" w:eastAsiaTheme="minorHAnsi" w:hAnsi="Arial Narrow" w:cstheme="minorBidi"/>
                <w:snapToGrid/>
                <w:sz w:val="20"/>
              </w:rPr>
            </w:pPr>
            <w:r w:rsidRPr="00AD4948">
              <w:rPr>
                <w:rFonts w:ascii="Arial Narrow" w:eastAsiaTheme="minorHAnsi" w:hAnsi="Arial Narrow" w:cstheme="minorBidi"/>
                <w:snapToGrid/>
                <w:sz w:val="20"/>
              </w:rPr>
              <w:t>75.0</w:t>
            </w:r>
            <w:r w:rsidR="00391488" w:rsidRPr="00AD4948">
              <w:rPr>
                <w:rFonts w:ascii="Arial Narrow" w:eastAsiaTheme="minorHAnsi" w:hAnsi="Arial Narrow" w:cstheme="minorBidi"/>
                <w:snapToGrid/>
                <w:sz w:val="20"/>
              </w:rPr>
              <w:t>%</w:t>
            </w:r>
          </w:p>
        </w:tc>
      </w:tr>
      <w:tr w:rsidR="00AF7D50" w:rsidRPr="00AD4948" w:rsidTr="000003FC">
        <w:trPr>
          <w:tblHeader/>
        </w:trPr>
        <w:tc>
          <w:tcPr>
            <w:tcW w:w="2613" w:type="dxa"/>
            <w:vMerge/>
          </w:tcPr>
          <w:p w:rsidR="00AF7D50" w:rsidRPr="00AD4948" w:rsidRDefault="00AF7D50" w:rsidP="00BC5B29">
            <w:pPr>
              <w:pStyle w:val="ListParagraph"/>
              <w:keepNext/>
              <w:widowControl/>
              <w:spacing w:after="60"/>
              <w:ind w:left="0"/>
              <w:contextualSpacing w:val="0"/>
              <w:rPr>
                <w:rFonts w:ascii="Arial Narrow" w:eastAsiaTheme="minorHAnsi" w:hAnsi="Arial Narrow" w:cstheme="minorBidi"/>
                <w:b/>
                <w:snapToGrid/>
                <w:sz w:val="20"/>
              </w:rPr>
            </w:pPr>
          </w:p>
        </w:tc>
        <w:tc>
          <w:tcPr>
            <w:tcW w:w="2798" w:type="dxa"/>
          </w:tcPr>
          <w:p w:rsidR="00AF7D50" w:rsidRPr="00AD4948" w:rsidRDefault="00AF7D50" w:rsidP="00BC5B29">
            <w:pPr>
              <w:pStyle w:val="ListParagraph"/>
              <w:keepNext/>
              <w:widowControl/>
              <w:spacing w:after="60"/>
              <w:ind w:left="0"/>
              <w:contextualSpacing w:val="0"/>
              <w:rPr>
                <w:rFonts w:ascii="Arial Narrow" w:eastAsiaTheme="minorHAnsi" w:hAnsi="Arial Narrow" w:cstheme="minorBidi"/>
                <w:b/>
                <w:snapToGrid/>
                <w:sz w:val="20"/>
              </w:rPr>
            </w:pPr>
            <w:proofErr w:type="spellStart"/>
            <w:r w:rsidRPr="00AD4948">
              <w:rPr>
                <w:rFonts w:ascii="Arial Narrow" w:eastAsiaTheme="minorHAnsi" w:hAnsi="Arial Narrow" w:cstheme="minorBidi"/>
                <w:b/>
                <w:snapToGrid/>
                <w:sz w:val="20"/>
              </w:rPr>
              <w:t>Pegvisomant</w:t>
            </w:r>
            <w:proofErr w:type="spellEnd"/>
            <w:r w:rsidRPr="00AD4948">
              <w:rPr>
                <w:rFonts w:ascii="Arial Narrow" w:eastAsiaTheme="minorHAnsi" w:hAnsi="Arial Narrow" w:cstheme="minorBidi"/>
                <w:b/>
                <w:snapToGrid/>
                <w:sz w:val="20"/>
              </w:rPr>
              <w:t xml:space="preserve"> 20</w:t>
            </w:r>
            <w:r w:rsidR="006534A5" w:rsidRPr="00AD4948">
              <w:rPr>
                <w:rFonts w:ascii="Arial Narrow" w:eastAsiaTheme="minorHAnsi" w:hAnsi="Arial Narrow" w:cstheme="minorBidi"/>
                <w:b/>
                <w:snapToGrid/>
                <w:sz w:val="20"/>
              </w:rPr>
              <w:t xml:space="preserve"> </w:t>
            </w:r>
            <w:r w:rsidRPr="00AD4948">
              <w:rPr>
                <w:rFonts w:ascii="Arial Narrow" w:eastAsiaTheme="minorHAnsi" w:hAnsi="Arial Narrow" w:cstheme="minorBidi"/>
                <w:b/>
                <w:snapToGrid/>
                <w:sz w:val="20"/>
              </w:rPr>
              <w:t xml:space="preserve">mg/day </w:t>
            </w:r>
          </w:p>
        </w:tc>
        <w:tc>
          <w:tcPr>
            <w:tcW w:w="1810" w:type="dxa"/>
          </w:tcPr>
          <w:p w:rsidR="00AF7D50" w:rsidRPr="00AD4948" w:rsidRDefault="00FB7853" w:rsidP="00BC5B29">
            <w:pPr>
              <w:pStyle w:val="ListParagraph"/>
              <w:keepNext/>
              <w:widowControl/>
              <w:spacing w:after="60"/>
              <w:ind w:left="0"/>
              <w:contextualSpacing w:val="0"/>
              <w:jc w:val="center"/>
              <w:rPr>
                <w:rFonts w:ascii="Arial Narrow" w:eastAsiaTheme="minorHAnsi" w:hAnsi="Arial Narrow" w:cstheme="minorBidi"/>
                <w:snapToGrid/>
                <w:sz w:val="20"/>
              </w:rPr>
            </w:pPr>
            <w:r w:rsidRPr="00AD4948">
              <w:rPr>
                <w:rFonts w:ascii="Arial Narrow" w:eastAsiaTheme="minorHAnsi" w:hAnsi="Arial Narrow" w:cstheme="minorBidi"/>
                <w:snapToGrid/>
                <w:sz w:val="20"/>
              </w:rPr>
              <w:t>77.3%</w:t>
            </w:r>
          </w:p>
        </w:tc>
        <w:tc>
          <w:tcPr>
            <w:tcW w:w="1795" w:type="dxa"/>
          </w:tcPr>
          <w:p w:rsidR="00AF7D50" w:rsidRPr="00AD4948" w:rsidRDefault="00391488" w:rsidP="00BC5B29">
            <w:pPr>
              <w:pStyle w:val="ListParagraph"/>
              <w:keepNext/>
              <w:widowControl/>
              <w:spacing w:after="60"/>
              <w:ind w:left="0"/>
              <w:contextualSpacing w:val="0"/>
              <w:jc w:val="center"/>
              <w:rPr>
                <w:rFonts w:ascii="Arial Narrow" w:eastAsiaTheme="minorHAnsi" w:hAnsi="Arial Narrow" w:cstheme="minorBidi"/>
                <w:snapToGrid/>
                <w:sz w:val="20"/>
              </w:rPr>
            </w:pPr>
            <w:r w:rsidRPr="00AD4948">
              <w:rPr>
                <w:rFonts w:ascii="Arial Narrow" w:eastAsiaTheme="minorHAnsi" w:hAnsi="Arial Narrow" w:cstheme="minorBidi"/>
                <w:snapToGrid/>
                <w:sz w:val="20"/>
              </w:rPr>
              <w:t>82</w:t>
            </w:r>
            <w:r w:rsidR="00FB7853" w:rsidRPr="00AD4948">
              <w:rPr>
                <w:rFonts w:ascii="Arial Narrow" w:eastAsiaTheme="minorHAnsi" w:hAnsi="Arial Narrow" w:cstheme="minorBidi"/>
                <w:snapToGrid/>
                <w:sz w:val="20"/>
              </w:rPr>
              <w:t>.1</w:t>
            </w:r>
            <w:r w:rsidRPr="00AD4948">
              <w:rPr>
                <w:rFonts w:ascii="Arial Narrow" w:eastAsiaTheme="minorHAnsi" w:hAnsi="Arial Narrow" w:cstheme="minorBidi"/>
                <w:snapToGrid/>
                <w:sz w:val="20"/>
              </w:rPr>
              <w:t>%</w:t>
            </w:r>
          </w:p>
        </w:tc>
      </w:tr>
    </w:tbl>
    <w:p w:rsidR="006534A5" w:rsidRPr="00803EB7" w:rsidRDefault="006534A5" w:rsidP="000D32FA">
      <w:pPr>
        <w:keepNext/>
        <w:rPr>
          <w:rFonts w:ascii="Arial Narrow" w:eastAsiaTheme="minorHAnsi" w:hAnsi="Arial Narrow"/>
          <w:b/>
          <w:sz w:val="18"/>
          <w:szCs w:val="18"/>
        </w:rPr>
      </w:pPr>
      <w:r w:rsidRPr="00803EB7">
        <w:rPr>
          <w:rFonts w:ascii="Arial Narrow" w:eastAsiaTheme="minorHAnsi" w:hAnsi="Arial Narrow"/>
          <w:sz w:val="18"/>
          <w:szCs w:val="18"/>
        </w:rPr>
        <w:t>IGF-1, insulin-like growth factor-1; ITT intention to treat</w:t>
      </w:r>
    </w:p>
    <w:p w:rsidR="0027490E" w:rsidRPr="00F13587" w:rsidRDefault="00322A80" w:rsidP="000E7F34">
      <w:pPr>
        <w:keepNext/>
        <w:spacing w:before="120" w:after="120"/>
        <w:rPr>
          <w:rFonts w:ascii="Arial Narrow" w:eastAsiaTheme="minorHAnsi" w:hAnsi="Arial Narrow"/>
        </w:rPr>
      </w:pPr>
      <w:r w:rsidRPr="00F13587">
        <w:rPr>
          <w:rFonts w:ascii="Arial Narrow" w:eastAsiaTheme="minorHAnsi" w:hAnsi="Arial Narrow"/>
          <w:sz w:val="18"/>
        </w:rPr>
        <w:t xml:space="preserve">Source: </w:t>
      </w:r>
      <w:r w:rsidR="0027490E" w:rsidRPr="00F13587">
        <w:rPr>
          <w:rFonts w:ascii="Arial Narrow" w:eastAsiaTheme="minorHAnsi" w:hAnsi="Arial Narrow"/>
          <w:sz w:val="18"/>
        </w:rPr>
        <w:t>Information on pages 17-18 of the</w:t>
      </w:r>
      <w:r w:rsidRPr="00F13587">
        <w:rPr>
          <w:rFonts w:ascii="Arial Narrow" w:eastAsiaTheme="minorHAnsi" w:hAnsi="Arial Narrow"/>
          <w:sz w:val="18"/>
        </w:rPr>
        <w:t xml:space="preserve"> minor</w:t>
      </w:r>
      <w:r w:rsidR="0027490E" w:rsidRPr="00F13587">
        <w:rPr>
          <w:rFonts w:ascii="Arial Narrow" w:eastAsiaTheme="minorHAnsi" w:hAnsi="Arial Narrow"/>
          <w:sz w:val="18"/>
        </w:rPr>
        <w:t xml:space="preserve"> submission</w:t>
      </w:r>
      <w:r w:rsidR="00BC5B29">
        <w:rPr>
          <w:rFonts w:ascii="Arial Narrow" w:eastAsiaTheme="minorHAnsi" w:hAnsi="Arial Narrow"/>
          <w:sz w:val="18"/>
        </w:rPr>
        <w:t xml:space="preserve"> </w:t>
      </w:r>
      <w:r w:rsidR="000C503A" w:rsidRPr="00F13587">
        <w:rPr>
          <w:rFonts w:ascii="Arial Narrow" w:eastAsiaTheme="minorHAnsi" w:hAnsi="Arial Narrow"/>
        </w:rPr>
        <w:br/>
      </w:r>
    </w:p>
    <w:p w:rsidR="00AF7D50" w:rsidRPr="00AD4948" w:rsidRDefault="00AF7D50" w:rsidP="000E7F34">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AD4948">
        <w:rPr>
          <w:rFonts w:asciiTheme="minorHAnsi" w:eastAsiaTheme="minorHAnsi" w:hAnsiTheme="minorHAnsi" w:cstheme="minorBidi"/>
          <w:snapToGrid/>
          <w:sz w:val="24"/>
          <w:szCs w:val="22"/>
        </w:rPr>
        <w:t xml:space="preserve">The submission </w:t>
      </w:r>
      <w:r w:rsidR="00527DBC" w:rsidRPr="00AD4948">
        <w:rPr>
          <w:rFonts w:asciiTheme="minorHAnsi" w:eastAsiaTheme="minorHAnsi" w:hAnsiTheme="minorHAnsi" w:cstheme="minorBidi"/>
          <w:snapToGrid/>
          <w:sz w:val="24"/>
          <w:szCs w:val="22"/>
        </w:rPr>
        <w:t>stated</w:t>
      </w:r>
      <w:r w:rsidR="00EE4045" w:rsidRPr="00AD4948">
        <w:rPr>
          <w:rFonts w:asciiTheme="minorHAnsi" w:eastAsiaTheme="minorHAnsi" w:hAnsiTheme="minorHAnsi" w:cstheme="minorBidi"/>
          <w:snapToGrid/>
          <w:sz w:val="24"/>
          <w:szCs w:val="22"/>
        </w:rPr>
        <w:t xml:space="preserve"> that, for mean reduction in IGF-1,</w:t>
      </w:r>
      <w:r w:rsidR="00391488" w:rsidRPr="00AD4948">
        <w:rPr>
          <w:rFonts w:asciiTheme="minorHAnsi" w:eastAsiaTheme="minorHAnsi" w:hAnsiTheme="minorHAnsi" w:cstheme="minorBidi"/>
          <w:snapToGrid/>
          <w:sz w:val="24"/>
          <w:szCs w:val="22"/>
        </w:rPr>
        <w:t xml:space="preserve"> the results in the subgroup are in line</w:t>
      </w:r>
      <w:r w:rsidR="00A15653" w:rsidRPr="00AD4948">
        <w:rPr>
          <w:rFonts w:asciiTheme="minorHAnsi" w:eastAsiaTheme="minorHAnsi" w:hAnsiTheme="minorHAnsi" w:cstheme="minorBidi"/>
          <w:snapToGrid/>
          <w:sz w:val="24"/>
          <w:szCs w:val="22"/>
        </w:rPr>
        <w:t xml:space="preserve"> with those seen in the ITT</w:t>
      </w:r>
      <w:r w:rsidR="00391488" w:rsidRPr="00AD4948">
        <w:rPr>
          <w:rFonts w:asciiTheme="minorHAnsi" w:eastAsiaTheme="minorHAnsi" w:hAnsiTheme="minorHAnsi" w:cstheme="minorBidi"/>
          <w:snapToGrid/>
          <w:sz w:val="24"/>
          <w:szCs w:val="22"/>
        </w:rPr>
        <w:t xml:space="preserve"> population</w:t>
      </w:r>
      <w:r w:rsidR="00EE4045" w:rsidRPr="00AD4948">
        <w:rPr>
          <w:rFonts w:asciiTheme="minorHAnsi" w:eastAsiaTheme="minorHAnsi" w:hAnsiTheme="minorHAnsi" w:cstheme="minorBidi"/>
          <w:snapToGrid/>
          <w:sz w:val="24"/>
          <w:szCs w:val="22"/>
        </w:rPr>
        <w:t xml:space="preserve">. With respect to normalised status, the submission states that </w:t>
      </w:r>
      <w:proofErr w:type="spellStart"/>
      <w:r w:rsidR="00EE4045" w:rsidRPr="00AD4948">
        <w:rPr>
          <w:rFonts w:asciiTheme="minorHAnsi" w:eastAsiaTheme="minorHAnsi" w:hAnsiTheme="minorHAnsi" w:cstheme="minorBidi"/>
          <w:snapToGrid/>
          <w:sz w:val="24"/>
          <w:szCs w:val="22"/>
        </w:rPr>
        <w:t>pegvisomant</w:t>
      </w:r>
      <w:proofErr w:type="spellEnd"/>
      <w:r w:rsidR="00EE4045" w:rsidRPr="00AD4948">
        <w:rPr>
          <w:rFonts w:asciiTheme="minorHAnsi" w:eastAsiaTheme="minorHAnsi" w:hAnsiTheme="minorHAnsi" w:cstheme="minorBidi"/>
          <w:snapToGrid/>
          <w:sz w:val="24"/>
          <w:szCs w:val="22"/>
        </w:rPr>
        <w:t xml:space="preserve"> treatment was associated with a dose-dependent increase </w:t>
      </w:r>
      <w:r w:rsidR="004B082E" w:rsidRPr="00AD4948">
        <w:rPr>
          <w:rFonts w:asciiTheme="minorHAnsi" w:eastAsiaTheme="minorHAnsi" w:hAnsiTheme="minorHAnsi" w:cstheme="minorBidi"/>
          <w:snapToGrid/>
          <w:sz w:val="24"/>
          <w:szCs w:val="22"/>
        </w:rPr>
        <w:t>in the incidence of IGF-1 normalisation</w:t>
      </w:r>
      <w:r w:rsidR="00EE4045" w:rsidRPr="00AD4948">
        <w:rPr>
          <w:rFonts w:asciiTheme="minorHAnsi" w:eastAsiaTheme="minorHAnsi" w:hAnsiTheme="minorHAnsi" w:cstheme="minorBidi"/>
          <w:snapToGrid/>
          <w:sz w:val="24"/>
          <w:szCs w:val="22"/>
        </w:rPr>
        <w:t xml:space="preserve">, which correlates with the conclusion from the analysis of the ITT population. </w:t>
      </w:r>
    </w:p>
    <w:p w:rsidR="005A3173" w:rsidRPr="00AD4948" w:rsidRDefault="005A3173" w:rsidP="000E7F34">
      <w:pPr>
        <w:pStyle w:val="Heading2"/>
        <w:keepLines/>
        <w:spacing w:before="120" w:after="120"/>
        <w:rPr>
          <w:rFonts w:asciiTheme="minorHAnsi" w:eastAsiaTheme="majorEastAsia" w:hAnsiTheme="minorHAnsi" w:cstheme="majorBidi"/>
          <w:sz w:val="28"/>
          <w:szCs w:val="28"/>
          <w:lang w:eastAsia="en-US"/>
        </w:rPr>
      </w:pPr>
      <w:r w:rsidRPr="00AD4948">
        <w:rPr>
          <w:rFonts w:asciiTheme="minorHAnsi" w:eastAsiaTheme="majorEastAsia" w:hAnsiTheme="minorHAnsi" w:cstheme="majorBidi"/>
          <w:sz w:val="28"/>
          <w:szCs w:val="28"/>
          <w:lang w:eastAsia="en-US"/>
        </w:rPr>
        <w:lastRenderedPageBreak/>
        <w:t>Estimated PBS usage &amp; financial implications</w:t>
      </w:r>
    </w:p>
    <w:p w:rsidR="000E20C1" w:rsidRPr="00AD4948" w:rsidRDefault="000E20C1" w:rsidP="000E7F34">
      <w:pPr>
        <w:pStyle w:val="ListParagraph"/>
        <w:widowControl/>
        <w:numPr>
          <w:ilvl w:val="1"/>
          <w:numId w:val="14"/>
        </w:numPr>
        <w:spacing w:before="120" w:after="120"/>
        <w:contextualSpacing w:val="0"/>
        <w:rPr>
          <w:rFonts w:asciiTheme="minorHAnsi" w:eastAsia="Batang" w:hAnsiTheme="minorHAnsi"/>
          <w:sz w:val="24"/>
          <w:szCs w:val="24"/>
        </w:rPr>
      </w:pPr>
      <w:bookmarkStart w:id="1" w:name="_Ref448937679"/>
      <w:proofErr w:type="spellStart"/>
      <w:r w:rsidRPr="00AD4948">
        <w:rPr>
          <w:rFonts w:asciiTheme="minorHAnsi" w:eastAsia="Batang" w:hAnsiTheme="minorHAnsi"/>
          <w:sz w:val="24"/>
          <w:szCs w:val="24"/>
        </w:rPr>
        <w:t>Pasireotide</w:t>
      </w:r>
      <w:proofErr w:type="spellEnd"/>
      <w:r w:rsidRPr="00AD4948">
        <w:rPr>
          <w:rFonts w:asciiTheme="minorHAnsi" w:eastAsia="Batang" w:hAnsiTheme="minorHAnsi"/>
          <w:sz w:val="24"/>
          <w:szCs w:val="24"/>
        </w:rPr>
        <w:t xml:space="preserve"> </w:t>
      </w:r>
      <w:proofErr w:type="gramStart"/>
      <w:r w:rsidRPr="00AD4948">
        <w:rPr>
          <w:rFonts w:asciiTheme="minorHAnsi" w:eastAsia="Batang" w:hAnsiTheme="minorHAnsi"/>
          <w:sz w:val="24"/>
          <w:szCs w:val="24"/>
        </w:rPr>
        <w:t>was listed</w:t>
      </w:r>
      <w:proofErr w:type="gramEnd"/>
      <w:r w:rsidRPr="00AD4948">
        <w:rPr>
          <w:rFonts w:asciiTheme="minorHAnsi" w:eastAsia="Batang" w:hAnsiTheme="minorHAnsi"/>
          <w:sz w:val="24"/>
          <w:szCs w:val="24"/>
        </w:rPr>
        <w:t xml:space="preserve"> on the PBS on 1 September 2016 and </w:t>
      </w:r>
      <w:proofErr w:type="spellStart"/>
      <w:r w:rsidRPr="00AD4948">
        <w:rPr>
          <w:rFonts w:asciiTheme="minorHAnsi" w:eastAsia="Batang" w:hAnsiTheme="minorHAnsi"/>
          <w:sz w:val="24"/>
          <w:szCs w:val="24"/>
        </w:rPr>
        <w:t>pegvisomant</w:t>
      </w:r>
      <w:proofErr w:type="spellEnd"/>
      <w:r w:rsidRPr="00AD4948">
        <w:rPr>
          <w:rFonts w:asciiTheme="minorHAnsi" w:eastAsia="Batang" w:hAnsiTheme="minorHAnsi"/>
          <w:sz w:val="24"/>
          <w:szCs w:val="24"/>
        </w:rPr>
        <w:t xml:space="preserve"> was listed on 1 September 2017.</w:t>
      </w:r>
      <w:r w:rsidR="0036379F" w:rsidRPr="00AD4948">
        <w:rPr>
          <w:rFonts w:asciiTheme="minorHAnsi" w:eastAsia="Batang" w:hAnsiTheme="minorHAnsi"/>
          <w:sz w:val="24"/>
          <w:szCs w:val="24"/>
        </w:rPr>
        <w:t xml:space="preserve"> </w:t>
      </w:r>
      <w:r w:rsidR="00F60849" w:rsidRPr="00AD4948">
        <w:rPr>
          <w:rFonts w:asciiTheme="minorHAnsi" w:eastAsia="Batang" w:hAnsiTheme="minorHAnsi"/>
          <w:sz w:val="24"/>
          <w:szCs w:val="24"/>
        </w:rPr>
        <w:t xml:space="preserve">The number of items processed from September 2016 to December 2018 is summarised in Table </w:t>
      </w:r>
      <w:r w:rsidR="002463E8" w:rsidRPr="00AD4948">
        <w:rPr>
          <w:rFonts w:asciiTheme="minorHAnsi" w:eastAsia="Batang" w:hAnsiTheme="minorHAnsi"/>
          <w:sz w:val="24"/>
          <w:szCs w:val="24"/>
        </w:rPr>
        <w:t>4</w:t>
      </w:r>
      <w:r w:rsidR="00F60849" w:rsidRPr="00AD4948">
        <w:rPr>
          <w:rFonts w:asciiTheme="minorHAnsi" w:eastAsia="Batang" w:hAnsiTheme="minorHAnsi"/>
          <w:sz w:val="24"/>
          <w:szCs w:val="24"/>
        </w:rPr>
        <w:t>.</w:t>
      </w:r>
      <w:r w:rsidR="00E614FD" w:rsidRPr="00AD4948">
        <w:rPr>
          <w:rFonts w:asciiTheme="minorHAnsi" w:eastAsia="Batang" w:hAnsiTheme="minorHAnsi"/>
          <w:sz w:val="24"/>
          <w:szCs w:val="24"/>
        </w:rPr>
        <w:t xml:space="preserve"> </w:t>
      </w:r>
    </w:p>
    <w:p w:rsidR="00F60849" w:rsidRPr="00F13587" w:rsidRDefault="00D16745" w:rsidP="000D32FA">
      <w:pPr>
        <w:rPr>
          <w:rStyle w:val="CommentReference"/>
          <w:rFonts w:ascii="Arial Narrow" w:hAnsi="Arial Narrow"/>
          <w:b/>
          <w:sz w:val="20"/>
          <w:szCs w:val="20"/>
        </w:rPr>
      </w:pPr>
      <w:r w:rsidRPr="00F13587">
        <w:rPr>
          <w:rStyle w:val="CommentReference"/>
          <w:rFonts w:ascii="Arial Narrow" w:hAnsi="Arial Narrow"/>
          <w:b/>
          <w:sz w:val="20"/>
          <w:szCs w:val="20"/>
        </w:rPr>
        <w:t>Table 4</w:t>
      </w:r>
      <w:r w:rsidR="00F60849" w:rsidRPr="00F13587">
        <w:rPr>
          <w:rStyle w:val="CommentReference"/>
          <w:rFonts w:ascii="Arial Narrow" w:hAnsi="Arial Narrow"/>
          <w:b/>
          <w:sz w:val="20"/>
          <w:szCs w:val="20"/>
        </w:rPr>
        <w:t>: PBS and RPBS items processed</w:t>
      </w:r>
    </w:p>
    <w:tbl>
      <w:tblPr>
        <w:tblStyle w:val="TableGrid"/>
        <w:tblW w:w="5000" w:type="pct"/>
        <w:tblLook w:val="04A0" w:firstRow="1" w:lastRow="0" w:firstColumn="1" w:lastColumn="0" w:noHBand="0" w:noVBand="1"/>
        <w:tblCaption w:val="PBS and RPBS items processed"/>
      </w:tblPr>
      <w:tblGrid>
        <w:gridCol w:w="2308"/>
        <w:gridCol w:w="2236"/>
        <w:gridCol w:w="2236"/>
        <w:gridCol w:w="2236"/>
      </w:tblGrid>
      <w:tr w:rsidR="00F60849" w:rsidRPr="00AD4948" w:rsidTr="000003FC">
        <w:trPr>
          <w:tblHeader/>
        </w:trPr>
        <w:tc>
          <w:tcPr>
            <w:tcW w:w="2125" w:type="dxa"/>
          </w:tcPr>
          <w:p w:rsidR="00F60849" w:rsidRPr="00AD4948" w:rsidRDefault="00F60849" w:rsidP="00F60849">
            <w:pPr>
              <w:pStyle w:val="ListParagraph"/>
              <w:widowControl/>
              <w:spacing w:after="120"/>
              <w:ind w:left="0"/>
              <w:contextualSpacing w:val="0"/>
              <w:rPr>
                <w:rFonts w:ascii="Arial Narrow" w:eastAsia="Batang" w:hAnsi="Arial Narrow"/>
                <w:b/>
                <w:sz w:val="20"/>
              </w:rPr>
            </w:pPr>
            <w:r w:rsidRPr="00AD4948">
              <w:rPr>
                <w:rFonts w:ascii="Arial Narrow" w:eastAsia="Batang" w:hAnsi="Arial Narrow"/>
                <w:b/>
                <w:sz w:val="20"/>
              </w:rPr>
              <w:t>Items processed</w:t>
            </w:r>
          </w:p>
        </w:tc>
        <w:tc>
          <w:tcPr>
            <w:tcW w:w="2057" w:type="dxa"/>
          </w:tcPr>
          <w:p w:rsidR="00F60849" w:rsidRPr="00AD4948" w:rsidRDefault="00F60849" w:rsidP="002463E8">
            <w:pPr>
              <w:pStyle w:val="ListParagraph"/>
              <w:widowControl/>
              <w:spacing w:after="120"/>
              <w:ind w:left="0"/>
              <w:contextualSpacing w:val="0"/>
              <w:jc w:val="center"/>
              <w:rPr>
                <w:rFonts w:ascii="Arial Narrow" w:eastAsia="Batang" w:hAnsi="Arial Narrow"/>
                <w:b/>
                <w:sz w:val="20"/>
              </w:rPr>
            </w:pPr>
            <w:r w:rsidRPr="00AD4948">
              <w:rPr>
                <w:rFonts w:ascii="Arial Narrow" w:eastAsia="Batang" w:hAnsi="Arial Narrow"/>
                <w:b/>
                <w:sz w:val="20"/>
              </w:rPr>
              <w:t>Sept 16 to Aug 17</w:t>
            </w:r>
          </w:p>
        </w:tc>
        <w:tc>
          <w:tcPr>
            <w:tcW w:w="2057" w:type="dxa"/>
          </w:tcPr>
          <w:p w:rsidR="00F60849" w:rsidRPr="00AD4948" w:rsidRDefault="00F60849" w:rsidP="002463E8">
            <w:pPr>
              <w:pStyle w:val="ListParagraph"/>
              <w:widowControl/>
              <w:spacing w:after="120"/>
              <w:ind w:left="0"/>
              <w:contextualSpacing w:val="0"/>
              <w:jc w:val="center"/>
              <w:rPr>
                <w:rFonts w:ascii="Arial Narrow" w:eastAsia="Batang" w:hAnsi="Arial Narrow"/>
                <w:b/>
                <w:sz w:val="20"/>
              </w:rPr>
            </w:pPr>
            <w:r w:rsidRPr="00AD4948">
              <w:rPr>
                <w:rFonts w:ascii="Arial Narrow" w:eastAsia="Batang" w:hAnsi="Arial Narrow"/>
                <w:b/>
                <w:sz w:val="20"/>
              </w:rPr>
              <w:t>Sept 17 to Aug 18</w:t>
            </w:r>
          </w:p>
        </w:tc>
        <w:tc>
          <w:tcPr>
            <w:tcW w:w="2057" w:type="dxa"/>
          </w:tcPr>
          <w:p w:rsidR="00F60849" w:rsidRPr="00AD4948" w:rsidRDefault="00F60849" w:rsidP="002463E8">
            <w:pPr>
              <w:pStyle w:val="ListParagraph"/>
              <w:widowControl/>
              <w:spacing w:after="120"/>
              <w:ind w:left="0"/>
              <w:contextualSpacing w:val="0"/>
              <w:jc w:val="center"/>
              <w:rPr>
                <w:rFonts w:ascii="Arial Narrow" w:eastAsia="Batang" w:hAnsi="Arial Narrow"/>
                <w:b/>
                <w:sz w:val="20"/>
              </w:rPr>
            </w:pPr>
            <w:r w:rsidRPr="00AD4948">
              <w:rPr>
                <w:rFonts w:ascii="Arial Narrow" w:eastAsia="Batang" w:hAnsi="Arial Narrow"/>
                <w:b/>
                <w:sz w:val="20"/>
              </w:rPr>
              <w:t>Sept 18 to Dec 18</w:t>
            </w:r>
          </w:p>
        </w:tc>
      </w:tr>
      <w:tr w:rsidR="00F60849" w:rsidRPr="00AD4948" w:rsidTr="000003FC">
        <w:trPr>
          <w:tblHeader/>
        </w:trPr>
        <w:tc>
          <w:tcPr>
            <w:tcW w:w="2125" w:type="dxa"/>
          </w:tcPr>
          <w:p w:rsidR="00F60849" w:rsidRPr="00AD4948" w:rsidRDefault="00F60849" w:rsidP="00F60849">
            <w:pPr>
              <w:pStyle w:val="ListParagraph"/>
              <w:widowControl/>
              <w:spacing w:after="120"/>
              <w:ind w:left="0"/>
              <w:contextualSpacing w:val="0"/>
              <w:rPr>
                <w:rFonts w:ascii="Arial Narrow" w:eastAsia="Batang" w:hAnsi="Arial Narrow"/>
                <w:sz w:val="20"/>
              </w:rPr>
            </w:pPr>
            <w:proofErr w:type="spellStart"/>
            <w:r w:rsidRPr="00AD4948">
              <w:rPr>
                <w:rFonts w:ascii="Arial Narrow" w:eastAsia="Batang" w:hAnsi="Arial Narrow"/>
                <w:sz w:val="20"/>
              </w:rPr>
              <w:t>Pegvisomant</w:t>
            </w:r>
            <w:proofErr w:type="spellEnd"/>
          </w:p>
        </w:tc>
        <w:tc>
          <w:tcPr>
            <w:tcW w:w="2057" w:type="dxa"/>
          </w:tcPr>
          <w:p w:rsidR="00F60849" w:rsidRPr="00AD4948" w:rsidRDefault="00F60849" w:rsidP="002463E8">
            <w:pPr>
              <w:pStyle w:val="ListParagraph"/>
              <w:widowControl/>
              <w:spacing w:after="120"/>
              <w:ind w:left="0"/>
              <w:contextualSpacing w:val="0"/>
              <w:jc w:val="center"/>
              <w:rPr>
                <w:rFonts w:ascii="Arial Narrow" w:eastAsia="Batang" w:hAnsi="Arial Narrow"/>
                <w:sz w:val="20"/>
              </w:rPr>
            </w:pPr>
            <w:r w:rsidRPr="00AD4948">
              <w:rPr>
                <w:rFonts w:ascii="Arial Narrow" w:eastAsia="Batang" w:hAnsi="Arial Narrow"/>
                <w:sz w:val="20"/>
              </w:rPr>
              <w:t>-</w:t>
            </w:r>
          </w:p>
        </w:tc>
        <w:tc>
          <w:tcPr>
            <w:tcW w:w="2057" w:type="dxa"/>
          </w:tcPr>
          <w:p w:rsidR="00F60849" w:rsidRPr="00AD4948" w:rsidRDefault="00F60849" w:rsidP="002463E8">
            <w:pPr>
              <w:pStyle w:val="ListParagraph"/>
              <w:widowControl/>
              <w:spacing w:after="120"/>
              <w:ind w:left="0"/>
              <w:contextualSpacing w:val="0"/>
              <w:jc w:val="center"/>
              <w:rPr>
                <w:rFonts w:ascii="Arial Narrow" w:eastAsia="Batang" w:hAnsi="Arial Narrow"/>
                <w:sz w:val="20"/>
              </w:rPr>
            </w:pPr>
            <w:r w:rsidRPr="00AD4948">
              <w:rPr>
                <w:rFonts w:ascii="Arial Narrow" w:eastAsia="Batang" w:hAnsi="Arial Narrow"/>
                <w:sz w:val="20"/>
              </w:rPr>
              <w:t>107</w:t>
            </w:r>
          </w:p>
        </w:tc>
        <w:tc>
          <w:tcPr>
            <w:tcW w:w="2057" w:type="dxa"/>
          </w:tcPr>
          <w:p w:rsidR="00F60849" w:rsidRPr="00AD4948" w:rsidRDefault="00F60849" w:rsidP="002463E8">
            <w:pPr>
              <w:pStyle w:val="ListParagraph"/>
              <w:widowControl/>
              <w:spacing w:after="120"/>
              <w:ind w:left="0"/>
              <w:contextualSpacing w:val="0"/>
              <w:jc w:val="center"/>
              <w:rPr>
                <w:rFonts w:ascii="Arial Narrow" w:eastAsia="Batang" w:hAnsi="Arial Narrow"/>
                <w:sz w:val="20"/>
              </w:rPr>
            </w:pPr>
            <w:r w:rsidRPr="00AD4948">
              <w:rPr>
                <w:rFonts w:ascii="Arial Narrow" w:eastAsia="Batang" w:hAnsi="Arial Narrow"/>
                <w:sz w:val="20"/>
              </w:rPr>
              <w:t>69</w:t>
            </w:r>
          </w:p>
        </w:tc>
      </w:tr>
      <w:tr w:rsidR="00F60849" w:rsidRPr="00AD4948" w:rsidTr="000003FC">
        <w:trPr>
          <w:tblHeader/>
        </w:trPr>
        <w:tc>
          <w:tcPr>
            <w:tcW w:w="2125" w:type="dxa"/>
          </w:tcPr>
          <w:p w:rsidR="00F60849" w:rsidRPr="00AD4948" w:rsidRDefault="00F60849" w:rsidP="00F60849">
            <w:pPr>
              <w:pStyle w:val="ListParagraph"/>
              <w:widowControl/>
              <w:spacing w:after="120"/>
              <w:ind w:left="0"/>
              <w:contextualSpacing w:val="0"/>
              <w:rPr>
                <w:rFonts w:ascii="Arial Narrow" w:eastAsia="Batang" w:hAnsi="Arial Narrow"/>
                <w:sz w:val="20"/>
              </w:rPr>
            </w:pPr>
            <w:proofErr w:type="spellStart"/>
            <w:r w:rsidRPr="00AD4948">
              <w:rPr>
                <w:rFonts w:ascii="Arial Narrow" w:eastAsia="Batang" w:hAnsi="Arial Narrow"/>
                <w:sz w:val="20"/>
              </w:rPr>
              <w:t>Pasireotide</w:t>
            </w:r>
            <w:proofErr w:type="spellEnd"/>
          </w:p>
        </w:tc>
        <w:tc>
          <w:tcPr>
            <w:tcW w:w="2057" w:type="dxa"/>
          </w:tcPr>
          <w:p w:rsidR="00F60849" w:rsidRPr="00AD4948" w:rsidRDefault="00F60849" w:rsidP="002463E8">
            <w:pPr>
              <w:pStyle w:val="ListParagraph"/>
              <w:widowControl/>
              <w:spacing w:after="120"/>
              <w:ind w:left="0"/>
              <w:contextualSpacing w:val="0"/>
              <w:jc w:val="center"/>
              <w:rPr>
                <w:rFonts w:ascii="Arial Narrow" w:eastAsia="Batang" w:hAnsi="Arial Narrow"/>
                <w:sz w:val="20"/>
              </w:rPr>
            </w:pPr>
            <w:r w:rsidRPr="00AD4948">
              <w:rPr>
                <w:rFonts w:ascii="Arial Narrow" w:eastAsia="Batang" w:hAnsi="Arial Narrow"/>
                <w:sz w:val="20"/>
              </w:rPr>
              <w:t>106</w:t>
            </w:r>
          </w:p>
        </w:tc>
        <w:tc>
          <w:tcPr>
            <w:tcW w:w="2057" w:type="dxa"/>
          </w:tcPr>
          <w:p w:rsidR="00F60849" w:rsidRPr="00AD4948" w:rsidRDefault="00F60849" w:rsidP="002463E8">
            <w:pPr>
              <w:pStyle w:val="ListParagraph"/>
              <w:widowControl/>
              <w:spacing w:after="120"/>
              <w:ind w:left="0"/>
              <w:contextualSpacing w:val="0"/>
              <w:jc w:val="center"/>
              <w:rPr>
                <w:rFonts w:ascii="Arial Narrow" w:eastAsia="Batang" w:hAnsi="Arial Narrow"/>
                <w:sz w:val="20"/>
              </w:rPr>
            </w:pPr>
            <w:r w:rsidRPr="00AD4948">
              <w:rPr>
                <w:rFonts w:ascii="Arial Narrow" w:eastAsia="Batang" w:hAnsi="Arial Narrow"/>
                <w:sz w:val="20"/>
              </w:rPr>
              <w:t>133</w:t>
            </w:r>
          </w:p>
        </w:tc>
        <w:tc>
          <w:tcPr>
            <w:tcW w:w="2057" w:type="dxa"/>
          </w:tcPr>
          <w:p w:rsidR="00F60849" w:rsidRPr="00AD4948" w:rsidRDefault="00F60849" w:rsidP="002463E8">
            <w:pPr>
              <w:pStyle w:val="ListParagraph"/>
              <w:widowControl/>
              <w:spacing w:after="120"/>
              <w:ind w:left="0"/>
              <w:contextualSpacing w:val="0"/>
              <w:jc w:val="center"/>
              <w:rPr>
                <w:rFonts w:ascii="Arial Narrow" w:eastAsia="Batang" w:hAnsi="Arial Narrow"/>
                <w:sz w:val="20"/>
              </w:rPr>
            </w:pPr>
            <w:r w:rsidRPr="00AD4948">
              <w:rPr>
                <w:rFonts w:ascii="Arial Narrow" w:eastAsia="Batang" w:hAnsi="Arial Narrow"/>
                <w:sz w:val="20"/>
              </w:rPr>
              <w:t>49</w:t>
            </w:r>
          </w:p>
        </w:tc>
      </w:tr>
    </w:tbl>
    <w:p w:rsidR="00E614FD" w:rsidRPr="00AD4948" w:rsidRDefault="00F60849" w:rsidP="000D32FA">
      <w:pPr>
        <w:spacing w:after="120"/>
        <w:rPr>
          <w:rFonts w:ascii="Arial Narrow" w:eastAsia="Batang" w:hAnsi="Arial Narrow"/>
          <w:sz w:val="18"/>
          <w:szCs w:val="18"/>
        </w:rPr>
      </w:pPr>
      <w:r w:rsidRPr="00AD4948">
        <w:rPr>
          <w:rFonts w:ascii="Arial Narrow" w:eastAsia="Batang" w:hAnsi="Arial Narrow"/>
          <w:sz w:val="18"/>
          <w:szCs w:val="18"/>
        </w:rPr>
        <w:t xml:space="preserve">Source: </w:t>
      </w:r>
      <w:r w:rsidRPr="005F08DE">
        <w:rPr>
          <w:rFonts w:ascii="Arial Narrow" w:eastAsia="Batang" w:hAnsi="Arial Narrow"/>
          <w:sz w:val="18"/>
          <w:szCs w:val="18"/>
        </w:rPr>
        <w:t>http://medicarestatistics.humanservices.gov.au/statistics/pbs_item.jsp</w:t>
      </w:r>
      <w:r w:rsidRPr="00AD4948">
        <w:rPr>
          <w:rFonts w:ascii="Arial Narrow" w:eastAsia="Batang" w:hAnsi="Arial Narrow"/>
          <w:sz w:val="18"/>
          <w:szCs w:val="18"/>
        </w:rPr>
        <w:t xml:space="preserve"> </w:t>
      </w:r>
    </w:p>
    <w:p w:rsidR="00D61268" w:rsidRPr="00AD4948" w:rsidRDefault="00D61268" w:rsidP="000E7F34">
      <w:pPr>
        <w:pStyle w:val="ListParagraph"/>
        <w:widowControl/>
        <w:numPr>
          <w:ilvl w:val="1"/>
          <w:numId w:val="14"/>
        </w:numPr>
        <w:spacing w:before="120" w:after="120"/>
        <w:contextualSpacing w:val="0"/>
        <w:rPr>
          <w:rFonts w:asciiTheme="minorHAnsi" w:eastAsia="Batang" w:hAnsiTheme="minorHAnsi"/>
          <w:sz w:val="24"/>
          <w:szCs w:val="24"/>
        </w:rPr>
      </w:pPr>
      <w:r w:rsidRPr="00AD4948">
        <w:rPr>
          <w:rFonts w:asciiTheme="minorHAnsi" w:eastAsia="Batang" w:hAnsiTheme="minorHAnsi"/>
          <w:sz w:val="24"/>
          <w:szCs w:val="24"/>
        </w:rPr>
        <w:t xml:space="preserve">The </w:t>
      </w:r>
      <w:r w:rsidR="0036379F" w:rsidRPr="00AD4948">
        <w:rPr>
          <w:rFonts w:asciiTheme="minorHAnsi" w:eastAsia="Batang" w:hAnsiTheme="minorHAnsi"/>
          <w:sz w:val="24"/>
          <w:szCs w:val="24"/>
        </w:rPr>
        <w:t xml:space="preserve">November 2016 </w:t>
      </w:r>
      <w:r w:rsidRPr="00AD4948">
        <w:rPr>
          <w:rFonts w:asciiTheme="minorHAnsi" w:eastAsia="Batang" w:hAnsiTheme="minorHAnsi"/>
          <w:sz w:val="24"/>
          <w:szCs w:val="24"/>
        </w:rPr>
        <w:t xml:space="preserve">submission estimated that </w:t>
      </w:r>
      <w:proofErr w:type="spellStart"/>
      <w:r w:rsidRPr="00AD4948">
        <w:rPr>
          <w:rFonts w:asciiTheme="minorHAnsi" w:eastAsia="Batang" w:hAnsiTheme="minorHAnsi"/>
          <w:sz w:val="24"/>
          <w:szCs w:val="24"/>
        </w:rPr>
        <w:t>pegvisomant</w:t>
      </w:r>
      <w:proofErr w:type="spellEnd"/>
      <w:r w:rsidRPr="00AD4948">
        <w:rPr>
          <w:rFonts w:asciiTheme="minorHAnsi" w:eastAsia="Batang" w:hAnsiTheme="minorHAnsi"/>
          <w:sz w:val="24"/>
          <w:szCs w:val="24"/>
        </w:rPr>
        <w:t xml:space="preserve"> use would </w:t>
      </w:r>
      <w:r w:rsidR="00706464" w:rsidRPr="00AD4948">
        <w:rPr>
          <w:rFonts w:asciiTheme="minorHAnsi" w:eastAsia="Batang" w:hAnsiTheme="minorHAnsi"/>
          <w:sz w:val="24"/>
          <w:szCs w:val="24"/>
        </w:rPr>
        <w:t xml:space="preserve">be </w:t>
      </w:r>
      <w:r w:rsidR="009466F9" w:rsidRPr="00AD4948">
        <w:rPr>
          <w:rFonts w:asciiTheme="minorHAnsi" w:eastAsia="Batang" w:hAnsiTheme="minorHAnsi"/>
          <w:sz w:val="24"/>
          <w:szCs w:val="24"/>
        </w:rPr>
        <w:t>4</w:t>
      </w:r>
      <w:r w:rsidR="00F261C0" w:rsidRPr="00AD4948">
        <w:rPr>
          <w:rFonts w:asciiTheme="minorHAnsi" w:eastAsia="Batang" w:hAnsiTheme="minorHAnsi"/>
          <w:sz w:val="24"/>
          <w:szCs w:val="24"/>
        </w:rPr>
        <w:t>,</w:t>
      </w:r>
      <w:r w:rsidR="009466F9" w:rsidRPr="00AD4948">
        <w:rPr>
          <w:rFonts w:asciiTheme="minorHAnsi" w:eastAsia="Batang" w:hAnsiTheme="minorHAnsi"/>
          <w:sz w:val="24"/>
          <w:szCs w:val="24"/>
        </w:rPr>
        <w:t xml:space="preserve">000 </w:t>
      </w:r>
      <w:r w:rsidRPr="00AD4948">
        <w:rPr>
          <w:rFonts w:asciiTheme="minorHAnsi" w:eastAsia="Batang" w:hAnsiTheme="minorHAnsi"/>
          <w:sz w:val="24"/>
          <w:szCs w:val="24"/>
        </w:rPr>
        <w:t>packs</w:t>
      </w:r>
      <w:r w:rsidR="00D16745" w:rsidRPr="00AD4948">
        <w:rPr>
          <w:rFonts w:asciiTheme="minorHAnsi" w:eastAsia="Batang" w:hAnsiTheme="minorHAnsi"/>
          <w:sz w:val="24"/>
          <w:szCs w:val="24"/>
        </w:rPr>
        <w:t xml:space="preserve"> by Year 5 (see Table 5</w:t>
      </w:r>
      <w:r w:rsidRPr="00AD4948">
        <w:rPr>
          <w:rFonts w:asciiTheme="minorHAnsi" w:eastAsia="Batang" w:hAnsiTheme="minorHAnsi"/>
          <w:sz w:val="24"/>
          <w:szCs w:val="24"/>
        </w:rPr>
        <w:t xml:space="preserve"> below). </w:t>
      </w:r>
      <w:r w:rsidR="00E105B1" w:rsidRPr="00AD4948">
        <w:rPr>
          <w:rFonts w:asciiTheme="minorHAnsi" w:eastAsia="Batang" w:hAnsiTheme="minorHAnsi"/>
          <w:sz w:val="24"/>
          <w:szCs w:val="24"/>
        </w:rPr>
        <w:t>While not c</w:t>
      </w:r>
      <w:r w:rsidR="00F70EDD" w:rsidRPr="00AD4948">
        <w:rPr>
          <w:rFonts w:asciiTheme="minorHAnsi" w:eastAsia="Batang" w:hAnsiTheme="minorHAnsi"/>
          <w:sz w:val="24"/>
          <w:szCs w:val="24"/>
        </w:rPr>
        <w:t xml:space="preserve">lear in the minor submission, </w:t>
      </w:r>
      <w:r w:rsidR="00462D4C" w:rsidRPr="00AD4948">
        <w:rPr>
          <w:rFonts w:asciiTheme="minorHAnsi" w:eastAsia="Batang" w:hAnsiTheme="minorHAnsi"/>
          <w:sz w:val="24"/>
          <w:szCs w:val="24"/>
        </w:rPr>
        <w:t xml:space="preserve">one </w:t>
      </w:r>
      <w:r w:rsidR="00E105B1" w:rsidRPr="00AD4948">
        <w:rPr>
          <w:rFonts w:asciiTheme="minorHAnsi" w:eastAsia="Batang" w:hAnsiTheme="minorHAnsi"/>
          <w:sz w:val="24"/>
          <w:szCs w:val="24"/>
        </w:rPr>
        <w:t xml:space="preserve">pack is assumed </w:t>
      </w:r>
      <w:proofErr w:type="gramStart"/>
      <w:r w:rsidR="00E105B1" w:rsidRPr="00AD4948">
        <w:rPr>
          <w:rFonts w:asciiTheme="minorHAnsi" w:eastAsia="Batang" w:hAnsiTheme="minorHAnsi"/>
          <w:sz w:val="24"/>
          <w:szCs w:val="24"/>
        </w:rPr>
        <w:t>to be equivalent</w:t>
      </w:r>
      <w:proofErr w:type="gramEnd"/>
      <w:r w:rsidR="00E105B1" w:rsidRPr="00AD4948">
        <w:rPr>
          <w:rFonts w:asciiTheme="minorHAnsi" w:eastAsia="Batang" w:hAnsiTheme="minorHAnsi"/>
          <w:sz w:val="24"/>
          <w:szCs w:val="24"/>
        </w:rPr>
        <w:t xml:space="preserve"> to </w:t>
      </w:r>
      <w:r w:rsidR="00462D4C" w:rsidRPr="00AD4948">
        <w:rPr>
          <w:rFonts w:asciiTheme="minorHAnsi" w:eastAsia="Batang" w:hAnsiTheme="minorHAnsi"/>
          <w:sz w:val="24"/>
          <w:szCs w:val="24"/>
        </w:rPr>
        <w:t xml:space="preserve">one </w:t>
      </w:r>
      <w:r w:rsidR="00E105B1" w:rsidRPr="00AD4948">
        <w:rPr>
          <w:rFonts w:asciiTheme="minorHAnsi" w:eastAsia="Batang" w:hAnsiTheme="minorHAnsi"/>
          <w:sz w:val="24"/>
          <w:szCs w:val="24"/>
        </w:rPr>
        <w:t>item</w:t>
      </w:r>
      <w:r w:rsidR="00462D4C" w:rsidRPr="00AD4948">
        <w:rPr>
          <w:rFonts w:asciiTheme="minorHAnsi" w:eastAsia="Batang" w:hAnsiTheme="minorHAnsi"/>
          <w:sz w:val="24"/>
          <w:szCs w:val="24"/>
        </w:rPr>
        <w:t xml:space="preserve"> (or prescription)</w:t>
      </w:r>
      <w:r w:rsidR="00AD4948">
        <w:rPr>
          <w:rFonts w:asciiTheme="minorHAnsi" w:eastAsia="Batang" w:hAnsiTheme="minorHAnsi"/>
          <w:sz w:val="24"/>
          <w:szCs w:val="24"/>
        </w:rPr>
        <w:t xml:space="preserve">. </w:t>
      </w:r>
    </w:p>
    <w:p w:rsidR="001E1887" w:rsidRPr="00AD4948" w:rsidRDefault="001E1887" w:rsidP="000D32FA">
      <w:pPr>
        <w:keepNext/>
        <w:rPr>
          <w:rStyle w:val="CommentReference"/>
          <w:rFonts w:ascii="Arial Narrow" w:hAnsi="Arial Narrow"/>
          <w:b/>
          <w:sz w:val="20"/>
          <w:szCs w:val="20"/>
        </w:rPr>
      </w:pPr>
      <w:r w:rsidRPr="00AD4948">
        <w:rPr>
          <w:rStyle w:val="CommentReference"/>
          <w:rFonts w:ascii="Arial Narrow" w:hAnsi="Arial Narrow"/>
          <w:b/>
          <w:sz w:val="20"/>
          <w:szCs w:val="20"/>
        </w:rPr>
        <w:t xml:space="preserve">Table </w:t>
      </w:r>
      <w:r w:rsidR="00D16745" w:rsidRPr="00AD4948">
        <w:rPr>
          <w:rStyle w:val="CommentReference"/>
          <w:rFonts w:ascii="Arial Narrow" w:hAnsi="Arial Narrow"/>
          <w:b/>
          <w:sz w:val="20"/>
          <w:szCs w:val="20"/>
        </w:rPr>
        <w:t>5</w:t>
      </w:r>
      <w:r w:rsidRPr="00AD4948">
        <w:rPr>
          <w:rStyle w:val="CommentReference"/>
          <w:rFonts w:ascii="Arial Narrow" w:hAnsi="Arial Narrow"/>
          <w:b/>
          <w:sz w:val="20"/>
          <w:szCs w:val="20"/>
        </w:rPr>
        <w:t>: Estimated use and financial implications</w:t>
      </w:r>
    </w:p>
    <w:tbl>
      <w:tblPr>
        <w:tblStyle w:val="TableGrid"/>
        <w:tblW w:w="5000" w:type="pct"/>
        <w:tblLayout w:type="fixed"/>
        <w:tblCellMar>
          <w:left w:w="57" w:type="dxa"/>
          <w:right w:w="57" w:type="dxa"/>
        </w:tblCellMar>
        <w:tblLook w:val="04A0" w:firstRow="1" w:lastRow="0" w:firstColumn="1" w:lastColumn="0" w:noHBand="0" w:noVBand="1"/>
        <w:tblCaption w:val="Estimated use and financial implications"/>
      </w:tblPr>
      <w:tblGrid>
        <w:gridCol w:w="2724"/>
        <w:gridCol w:w="1257"/>
        <w:gridCol w:w="1257"/>
        <w:gridCol w:w="1257"/>
        <w:gridCol w:w="1257"/>
        <w:gridCol w:w="1264"/>
      </w:tblGrid>
      <w:tr w:rsidR="001E1887" w:rsidRPr="00AD4948" w:rsidTr="000D32FA">
        <w:trPr>
          <w:tblHeader/>
        </w:trPr>
        <w:tc>
          <w:tcPr>
            <w:tcW w:w="1511" w:type="pct"/>
            <w:vAlign w:val="center"/>
          </w:tcPr>
          <w:p w:rsidR="001E1887" w:rsidRPr="00AD4948" w:rsidRDefault="001E1887" w:rsidP="000D32FA">
            <w:pPr>
              <w:keepNext/>
              <w:jc w:val="center"/>
              <w:rPr>
                <w:rFonts w:ascii="Arial Narrow" w:hAnsi="Arial Narrow"/>
                <w:sz w:val="20"/>
              </w:rPr>
            </w:pPr>
          </w:p>
        </w:tc>
        <w:tc>
          <w:tcPr>
            <w:tcW w:w="697" w:type="pct"/>
            <w:vAlign w:val="center"/>
          </w:tcPr>
          <w:p w:rsidR="001E1887" w:rsidRPr="00AD4948" w:rsidRDefault="001E1887" w:rsidP="000D32FA">
            <w:pPr>
              <w:keepNext/>
              <w:jc w:val="center"/>
              <w:rPr>
                <w:rFonts w:ascii="Arial Narrow" w:hAnsi="Arial Narrow"/>
                <w:b/>
                <w:sz w:val="20"/>
              </w:rPr>
            </w:pPr>
            <w:r w:rsidRPr="00AD4948">
              <w:rPr>
                <w:rFonts w:ascii="Arial Narrow" w:hAnsi="Arial Narrow"/>
                <w:b/>
                <w:sz w:val="20"/>
              </w:rPr>
              <w:t>Year 1</w:t>
            </w:r>
          </w:p>
        </w:tc>
        <w:tc>
          <w:tcPr>
            <w:tcW w:w="697" w:type="pct"/>
            <w:vAlign w:val="center"/>
          </w:tcPr>
          <w:p w:rsidR="001E1887" w:rsidRPr="00AD4948" w:rsidRDefault="001E1887" w:rsidP="000D32FA">
            <w:pPr>
              <w:keepNext/>
              <w:jc w:val="center"/>
              <w:rPr>
                <w:rFonts w:ascii="Arial Narrow" w:hAnsi="Arial Narrow"/>
                <w:b/>
                <w:sz w:val="20"/>
              </w:rPr>
            </w:pPr>
            <w:r w:rsidRPr="00AD4948">
              <w:rPr>
                <w:rFonts w:ascii="Arial Narrow" w:hAnsi="Arial Narrow"/>
                <w:b/>
                <w:sz w:val="20"/>
              </w:rPr>
              <w:t>Year 2</w:t>
            </w:r>
          </w:p>
        </w:tc>
        <w:tc>
          <w:tcPr>
            <w:tcW w:w="697" w:type="pct"/>
            <w:vAlign w:val="center"/>
          </w:tcPr>
          <w:p w:rsidR="001E1887" w:rsidRPr="00AD4948" w:rsidRDefault="001E1887" w:rsidP="000D32FA">
            <w:pPr>
              <w:keepNext/>
              <w:jc w:val="center"/>
              <w:rPr>
                <w:rFonts w:ascii="Arial Narrow" w:hAnsi="Arial Narrow"/>
                <w:b/>
                <w:sz w:val="20"/>
              </w:rPr>
            </w:pPr>
            <w:r w:rsidRPr="00AD4948">
              <w:rPr>
                <w:rFonts w:ascii="Arial Narrow" w:hAnsi="Arial Narrow"/>
                <w:b/>
                <w:sz w:val="20"/>
              </w:rPr>
              <w:t xml:space="preserve">Year 3 </w:t>
            </w:r>
          </w:p>
        </w:tc>
        <w:tc>
          <w:tcPr>
            <w:tcW w:w="697" w:type="pct"/>
            <w:vAlign w:val="center"/>
          </w:tcPr>
          <w:p w:rsidR="001E1887" w:rsidRPr="00AD4948" w:rsidRDefault="001E1887" w:rsidP="000D32FA">
            <w:pPr>
              <w:keepNext/>
              <w:jc w:val="center"/>
              <w:rPr>
                <w:rFonts w:ascii="Arial Narrow" w:hAnsi="Arial Narrow"/>
                <w:b/>
                <w:sz w:val="20"/>
              </w:rPr>
            </w:pPr>
            <w:r w:rsidRPr="00AD4948">
              <w:rPr>
                <w:rFonts w:ascii="Arial Narrow" w:hAnsi="Arial Narrow"/>
                <w:b/>
                <w:sz w:val="20"/>
              </w:rPr>
              <w:t>Year 4</w:t>
            </w:r>
          </w:p>
        </w:tc>
        <w:tc>
          <w:tcPr>
            <w:tcW w:w="701" w:type="pct"/>
            <w:vAlign w:val="center"/>
          </w:tcPr>
          <w:p w:rsidR="001E1887" w:rsidRPr="00AD4948" w:rsidRDefault="001E1887" w:rsidP="000D32FA">
            <w:pPr>
              <w:keepNext/>
              <w:jc w:val="center"/>
              <w:rPr>
                <w:rFonts w:ascii="Arial Narrow" w:hAnsi="Arial Narrow"/>
                <w:b/>
                <w:sz w:val="20"/>
              </w:rPr>
            </w:pPr>
            <w:r w:rsidRPr="00AD4948">
              <w:rPr>
                <w:rFonts w:ascii="Arial Narrow" w:hAnsi="Arial Narrow"/>
                <w:b/>
                <w:sz w:val="20"/>
              </w:rPr>
              <w:t>Year 5</w:t>
            </w:r>
          </w:p>
        </w:tc>
      </w:tr>
      <w:tr w:rsidR="001E1887" w:rsidRPr="00AD4948" w:rsidTr="000D32FA">
        <w:tc>
          <w:tcPr>
            <w:tcW w:w="5000" w:type="pct"/>
            <w:gridSpan w:val="6"/>
            <w:vAlign w:val="center"/>
          </w:tcPr>
          <w:p w:rsidR="001E1887" w:rsidRPr="00AD4948" w:rsidRDefault="001E1887" w:rsidP="000D32FA">
            <w:pPr>
              <w:pStyle w:val="COMtbl-textCentred"/>
              <w:keepNext/>
              <w:widowControl/>
              <w:jc w:val="left"/>
            </w:pPr>
            <w:r w:rsidRPr="00AD4948">
              <w:rPr>
                <w:b/>
              </w:rPr>
              <w:t xml:space="preserve">Estimated </w:t>
            </w:r>
            <w:proofErr w:type="spellStart"/>
            <w:r w:rsidRPr="00AD4948">
              <w:rPr>
                <w:b/>
              </w:rPr>
              <w:t>pegvisomant</w:t>
            </w:r>
            <w:proofErr w:type="spellEnd"/>
            <w:r w:rsidRPr="00AD4948">
              <w:rPr>
                <w:b/>
              </w:rPr>
              <w:t xml:space="preserve"> use</w:t>
            </w:r>
          </w:p>
        </w:tc>
      </w:tr>
      <w:tr w:rsidR="001E1887" w:rsidRPr="00AD4948" w:rsidTr="000D32FA">
        <w:tc>
          <w:tcPr>
            <w:tcW w:w="1511" w:type="pct"/>
            <w:vAlign w:val="center"/>
          </w:tcPr>
          <w:p w:rsidR="001E1887" w:rsidRPr="00AD4948" w:rsidRDefault="001E1887" w:rsidP="000D32FA">
            <w:pPr>
              <w:keepNext/>
              <w:rPr>
                <w:rFonts w:ascii="Arial Narrow" w:hAnsi="Arial Narrow"/>
                <w:sz w:val="20"/>
                <w:vertAlign w:val="superscript"/>
              </w:rPr>
            </w:pPr>
            <w:r w:rsidRPr="00AD4948">
              <w:rPr>
                <w:rFonts w:ascii="Arial Narrow" w:hAnsi="Arial Narrow"/>
                <w:sz w:val="20"/>
              </w:rPr>
              <w:t>Total packs (including loading dose)</w:t>
            </w:r>
            <w:r w:rsidRPr="00AD4948">
              <w:rPr>
                <w:rFonts w:ascii="Arial Narrow" w:hAnsi="Arial Narrow"/>
                <w:sz w:val="20"/>
                <w:vertAlign w:val="superscript"/>
              </w:rPr>
              <w:t>a</w:t>
            </w:r>
          </w:p>
        </w:tc>
        <w:tc>
          <w:tcPr>
            <w:tcW w:w="697" w:type="pct"/>
            <w:vAlign w:val="center"/>
          </w:tcPr>
          <w:p w:rsidR="001E1887" w:rsidRPr="005F08DE" w:rsidRDefault="005F08DE" w:rsidP="000D32FA">
            <w:pPr>
              <w:pStyle w:val="COMtbl-textCentred"/>
              <w:keepNext/>
              <w:widowControl/>
              <w:rPr>
                <w:highlight w:val="black"/>
              </w:rPr>
            </w:pPr>
            <w:r>
              <w:rPr>
                <w:noProof/>
                <w:color w:val="000000"/>
                <w:highlight w:val="black"/>
              </w:rPr>
              <w:t>''''''''''''''</w:t>
            </w:r>
          </w:p>
        </w:tc>
        <w:tc>
          <w:tcPr>
            <w:tcW w:w="697" w:type="pct"/>
            <w:vAlign w:val="center"/>
          </w:tcPr>
          <w:p w:rsidR="001E1887" w:rsidRPr="005F08DE" w:rsidRDefault="005F08DE" w:rsidP="000D32FA">
            <w:pPr>
              <w:pStyle w:val="COMtbl-textCentred"/>
              <w:keepNext/>
              <w:widowControl/>
              <w:rPr>
                <w:b/>
                <w:highlight w:val="black"/>
              </w:rPr>
            </w:pPr>
            <w:r>
              <w:rPr>
                <w:noProof/>
                <w:color w:val="000000"/>
                <w:highlight w:val="black"/>
              </w:rPr>
              <w:t>''''''''''''''</w:t>
            </w:r>
          </w:p>
        </w:tc>
        <w:tc>
          <w:tcPr>
            <w:tcW w:w="697" w:type="pct"/>
            <w:vAlign w:val="center"/>
          </w:tcPr>
          <w:p w:rsidR="001E1887" w:rsidRPr="005F08DE" w:rsidRDefault="005F08DE" w:rsidP="000D32FA">
            <w:pPr>
              <w:pStyle w:val="COMtbl-textCentred"/>
              <w:keepNext/>
              <w:widowControl/>
              <w:rPr>
                <w:b/>
                <w:highlight w:val="black"/>
              </w:rPr>
            </w:pPr>
            <w:r>
              <w:rPr>
                <w:noProof/>
                <w:color w:val="000000"/>
                <w:highlight w:val="black"/>
              </w:rPr>
              <w:t>'''''''''''''''</w:t>
            </w:r>
          </w:p>
        </w:tc>
        <w:tc>
          <w:tcPr>
            <w:tcW w:w="697" w:type="pct"/>
            <w:vAlign w:val="center"/>
          </w:tcPr>
          <w:p w:rsidR="001E1887" w:rsidRPr="005F08DE" w:rsidRDefault="005F08DE" w:rsidP="000D32FA">
            <w:pPr>
              <w:pStyle w:val="COMtbl-textCentred"/>
              <w:keepNext/>
              <w:widowControl/>
              <w:rPr>
                <w:b/>
                <w:highlight w:val="black"/>
              </w:rPr>
            </w:pPr>
            <w:r>
              <w:rPr>
                <w:noProof/>
                <w:color w:val="000000"/>
                <w:highlight w:val="black"/>
              </w:rPr>
              <w:t>'''''''''''''</w:t>
            </w:r>
          </w:p>
        </w:tc>
        <w:tc>
          <w:tcPr>
            <w:tcW w:w="701" w:type="pct"/>
            <w:vAlign w:val="center"/>
          </w:tcPr>
          <w:p w:rsidR="001E1887" w:rsidRPr="005F08DE" w:rsidRDefault="005F08DE" w:rsidP="000D32FA">
            <w:pPr>
              <w:pStyle w:val="COMtbl-textCentred"/>
              <w:keepNext/>
              <w:widowControl/>
              <w:rPr>
                <w:b/>
                <w:highlight w:val="black"/>
              </w:rPr>
            </w:pPr>
            <w:r>
              <w:rPr>
                <w:noProof/>
                <w:color w:val="000000"/>
                <w:highlight w:val="black"/>
              </w:rPr>
              <w:t>'''''''''''''</w:t>
            </w:r>
          </w:p>
        </w:tc>
      </w:tr>
    </w:tbl>
    <w:p w:rsidR="001E1887" w:rsidRPr="00AD4948" w:rsidRDefault="001E1887" w:rsidP="000D32FA">
      <w:pPr>
        <w:pStyle w:val="TableFooter"/>
        <w:widowControl/>
      </w:pPr>
      <w:proofErr w:type="spellStart"/>
      <w:proofErr w:type="gramStart"/>
      <w:r w:rsidRPr="00AD4948">
        <w:rPr>
          <w:vertAlign w:val="superscript"/>
        </w:rPr>
        <w:t>a</w:t>
      </w:r>
      <w:proofErr w:type="spellEnd"/>
      <w:proofErr w:type="gramEnd"/>
      <w:r w:rsidRPr="00AD4948">
        <w:t xml:space="preserve"> </w:t>
      </w:r>
      <w:r w:rsidR="00246230" w:rsidRPr="00AD4948">
        <w:t xml:space="preserve">These numbers differ from the numbers presented in the November 2016 </w:t>
      </w:r>
      <w:r w:rsidR="009466F9" w:rsidRPr="00AD4948">
        <w:t xml:space="preserve">PBAC </w:t>
      </w:r>
      <w:r w:rsidR="004C75BC">
        <w:t>P</w:t>
      </w:r>
      <w:r w:rsidR="00DA2930">
        <w:t>ublic Summary Document</w:t>
      </w:r>
      <w:r w:rsidR="004C75BC">
        <w:t xml:space="preserve"> </w:t>
      </w:r>
      <w:r w:rsidR="00246230" w:rsidRPr="00AD4948">
        <w:t xml:space="preserve">which were </w:t>
      </w:r>
      <w:r w:rsidR="005F08DE">
        <w:rPr>
          <w:noProof/>
          <w:color w:val="000000"/>
          <w:highlight w:val="black"/>
        </w:rPr>
        <w:t>''''''''''''</w:t>
      </w:r>
      <w:r w:rsidR="00246230" w:rsidRPr="00AD4948">
        <w:t xml:space="preserve"> in Year 1 to </w:t>
      </w:r>
      <w:r w:rsidR="005F08DE">
        <w:rPr>
          <w:noProof/>
          <w:color w:val="000000"/>
          <w:highlight w:val="black"/>
        </w:rPr>
        <w:t>'''''''''''''''</w:t>
      </w:r>
      <w:r w:rsidR="00246230" w:rsidRPr="00AD4948">
        <w:t xml:space="preserve"> in Year 5.</w:t>
      </w:r>
    </w:p>
    <w:p w:rsidR="00D61268" w:rsidRPr="00AD4948" w:rsidRDefault="001E1887" w:rsidP="000D32FA">
      <w:pPr>
        <w:pStyle w:val="ListParagraph"/>
        <w:widowControl/>
        <w:spacing w:after="120"/>
        <w:ind w:left="0"/>
        <w:contextualSpacing w:val="0"/>
        <w:jc w:val="left"/>
        <w:rPr>
          <w:rFonts w:ascii="Arial Narrow" w:eastAsiaTheme="majorEastAsia" w:hAnsi="Arial Narrow"/>
          <w:sz w:val="20"/>
        </w:rPr>
      </w:pPr>
      <w:r w:rsidRPr="00AD4948">
        <w:rPr>
          <w:rFonts w:ascii="Arial Narrow" w:hAnsi="Arial Narrow"/>
          <w:sz w:val="18"/>
        </w:rPr>
        <w:t xml:space="preserve">Source: </w:t>
      </w:r>
      <w:r w:rsidR="00246230" w:rsidRPr="00AD4948">
        <w:rPr>
          <w:rFonts w:ascii="Arial Narrow" w:hAnsi="Arial Narrow"/>
          <w:sz w:val="18"/>
        </w:rPr>
        <w:t xml:space="preserve">Table 9, </w:t>
      </w:r>
      <w:proofErr w:type="spellStart"/>
      <w:r w:rsidR="00246230" w:rsidRPr="00AD4948">
        <w:rPr>
          <w:rFonts w:ascii="Arial Narrow" w:hAnsi="Arial Narrow"/>
          <w:sz w:val="18"/>
        </w:rPr>
        <w:t>pg</w:t>
      </w:r>
      <w:proofErr w:type="spellEnd"/>
      <w:r w:rsidR="00246230" w:rsidRPr="00AD4948">
        <w:rPr>
          <w:rFonts w:ascii="Arial Narrow" w:hAnsi="Arial Narrow"/>
          <w:sz w:val="18"/>
        </w:rPr>
        <w:t xml:space="preserve"> 20 of the minor submission</w:t>
      </w:r>
      <w:bookmarkEnd w:id="1"/>
    </w:p>
    <w:p w:rsidR="00641D92" w:rsidRPr="00AD4948" w:rsidRDefault="00D61268" w:rsidP="000E7F34">
      <w:pPr>
        <w:pStyle w:val="ListParagraph"/>
        <w:widowControl/>
        <w:numPr>
          <w:ilvl w:val="1"/>
          <w:numId w:val="14"/>
        </w:numPr>
        <w:spacing w:before="120" w:after="120"/>
        <w:contextualSpacing w:val="0"/>
        <w:rPr>
          <w:rFonts w:asciiTheme="minorHAnsi" w:eastAsia="Batang" w:hAnsiTheme="minorHAnsi"/>
          <w:sz w:val="24"/>
          <w:szCs w:val="24"/>
        </w:rPr>
      </w:pPr>
      <w:r w:rsidRPr="00AD4948">
        <w:rPr>
          <w:rFonts w:asciiTheme="minorHAnsi" w:eastAsia="Batang" w:hAnsiTheme="minorHAnsi"/>
          <w:sz w:val="24"/>
          <w:szCs w:val="24"/>
        </w:rPr>
        <w:t xml:space="preserve">No estimate of </w:t>
      </w:r>
      <w:r w:rsidR="00F261C0" w:rsidRPr="00AD4948">
        <w:rPr>
          <w:rFonts w:asciiTheme="minorHAnsi" w:eastAsia="Batang" w:hAnsiTheme="minorHAnsi"/>
          <w:sz w:val="24"/>
          <w:szCs w:val="24"/>
        </w:rPr>
        <w:t xml:space="preserve">the financial impact of </w:t>
      </w:r>
      <w:r w:rsidRPr="00AD4948">
        <w:rPr>
          <w:rFonts w:asciiTheme="minorHAnsi" w:eastAsia="Batang" w:hAnsiTheme="minorHAnsi"/>
          <w:sz w:val="24"/>
          <w:szCs w:val="24"/>
        </w:rPr>
        <w:t xml:space="preserve">the proposed restriction change </w:t>
      </w:r>
      <w:proofErr w:type="gramStart"/>
      <w:r w:rsidR="00F261C0" w:rsidRPr="00AD4948">
        <w:rPr>
          <w:rFonts w:asciiTheme="minorHAnsi" w:eastAsia="Batang" w:hAnsiTheme="minorHAnsi"/>
          <w:sz w:val="24"/>
          <w:szCs w:val="24"/>
        </w:rPr>
        <w:t xml:space="preserve">was </w:t>
      </w:r>
      <w:r w:rsidRPr="00AD4948">
        <w:rPr>
          <w:rFonts w:asciiTheme="minorHAnsi" w:eastAsia="Batang" w:hAnsiTheme="minorHAnsi"/>
          <w:sz w:val="24"/>
          <w:szCs w:val="24"/>
        </w:rPr>
        <w:t>provided</w:t>
      </w:r>
      <w:proofErr w:type="gramEnd"/>
      <w:r w:rsidRPr="00AD4948">
        <w:rPr>
          <w:rFonts w:asciiTheme="minorHAnsi" w:eastAsia="Batang" w:hAnsiTheme="minorHAnsi"/>
          <w:sz w:val="24"/>
          <w:szCs w:val="24"/>
        </w:rPr>
        <w:t xml:space="preserve">. However, the minor submission claimed the low uptake of </w:t>
      </w:r>
      <w:proofErr w:type="spellStart"/>
      <w:r w:rsidRPr="00AD4948">
        <w:rPr>
          <w:rFonts w:asciiTheme="minorHAnsi" w:eastAsia="Batang" w:hAnsiTheme="minorHAnsi"/>
          <w:sz w:val="24"/>
          <w:szCs w:val="24"/>
        </w:rPr>
        <w:t>pegvisomant</w:t>
      </w:r>
      <w:proofErr w:type="spellEnd"/>
      <w:r w:rsidRPr="00AD4948">
        <w:rPr>
          <w:rFonts w:asciiTheme="minorHAnsi" w:eastAsia="Batang" w:hAnsiTheme="minorHAnsi"/>
          <w:sz w:val="24"/>
          <w:szCs w:val="24"/>
        </w:rPr>
        <w:t xml:space="preserve"> to date is due in part to the fact that patients who have not responded to long-acting octreotide and </w:t>
      </w:r>
      <w:proofErr w:type="spellStart"/>
      <w:r w:rsidRPr="00AD4948">
        <w:rPr>
          <w:rFonts w:asciiTheme="minorHAnsi" w:eastAsia="Batang" w:hAnsiTheme="minorHAnsi"/>
          <w:sz w:val="24"/>
          <w:szCs w:val="24"/>
        </w:rPr>
        <w:t>lanreotide</w:t>
      </w:r>
      <w:proofErr w:type="spellEnd"/>
      <w:r w:rsidRPr="00AD4948">
        <w:rPr>
          <w:rFonts w:asciiTheme="minorHAnsi" w:eastAsia="Batang" w:hAnsiTheme="minorHAnsi"/>
          <w:sz w:val="24"/>
          <w:szCs w:val="24"/>
        </w:rPr>
        <w:t xml:space="preserve"> do not meet the criteria for failure of biochemical control in the current PBS restriction.</w:t>
      </w:r>
      <w:r w:rsidR="000156D9" w:rsidRPr="00AD4948">
        <w:rPr>
          <w:rFonts w:asciiTheme="minorHAnsi" w:eastAsia="Batang" w:hAnsiTheme="minorHAnsi"/>
          <w:sz w:val="24"/>
          <w:szCs w:val="24"/>
        </w:rPr>
        <w:t xml:space="preserve"> </w:t>
      </w:r>
    </w:p>
    <w:p w:rsidR="00981CB6" w:rsidRPr="00AD4948" w:rsidRDefault="00D61268" w:rsidP="000E7F34">
      <w:pPr>
        <w:pStyle w:val="ListParagraph"/>
        <w:widowControl/>
        <w:numPr>
          <w:ilvl w:val="1"/>
          <w:numId w:val="14"/>
        </w:numPr>
        <w:spacing w:before="120" w:after="120"/>
        <w:contextualSpacing w:val="0"/>
        <w:rPr>
          <w:rFonts w:asciiTheme="minorHAnsi" w:eastAsia="Batang" w:hAnsiTheme="minorHAnsi"/>
          <w:sz w:val="24"/>
          <w:szCs w:val="24"/>
        </w:rPr>
      </w:pPr>
      <w:r w:rsidRPr="00AD4948">
        <w:rPr>
          <w:rFonts w:asciiTheme="minorHAnsi" w:eastAsia="Batang" w:hAnsiTheme="minorHAnsi"/>
          <w:sz w:val="24"/>
          <w:szCs w:val="24"/>
        </w:rPr>
        <w:t xml:space="preserve">The sponsor claimed that the proposed restriction would not result in increased usage beyond </w:t>
      </w:r>
      <w:r w:rsidR="00AD4948">
        <w:rPr>
          <w:rFonts w:asciiTheme="minorHAnsi" w:eastAsia="Batang" w:hAnsiTheme="minorHAnsi"/>
          <w:sz w:val="24"/>
          <w:szCs w:val="24"/>
        </w:rPr>
        <w:t xml:space="preserve">the estimate </w:t>
      </w:r>
      <w:r w:rsidRPr="00AD4948">
        <w:rPr>
          <w:rFonts w:asciiTheme="minorHAnsi" w:eastAsia="Batang" w:hAnsiTheme="minorHAnsi"/>
          <w:sz w:val="24"/>
          <w:szCs w:val="24"/>
        </w:rPr>
        <w:t xml:space="preserve">in the original PBAC submission. </w:t>
      </w:r>
      <w:r w:rsidR="00D16745" w:rsidRPr="00AD4948">
        <w:rPr>
          <w:rFonts w:asciiTheme="minorHAnsi" w:eastAsia="Batang" w:hAnsiTheme="minorHAnsi"/>
          <w:sz w:val="24"/>
          <w:szCs w:val="24"/>
        </w:rPr>
        <w:t>Table 6</w:t>
      </w:r>
      <w:r w:rsidR="00641D92" w:rsidRPr="00AD4948">
        <w:rPr>
          <w:rFonts w:asciiTheme="minorHAnsi" w:eastAsia="Batang" w:hAnsiTheme="minorHAnsi"/>
          <w:sz w:val="24"/>
          <w:szCs w:val="24"/>
        </w:rPr>
        <w:t xml:space="preserve"> include</w:t>
      </w:r>
      <w:r w:rsidR="00D953EB" w:rsidRPr="00AD4948">
        <w:rPr>
          <w:rFonts w:asciiTheme="minorHAnsi" w:eastAsia="Batang" w:hAnsiTheme="minorHAnsi"/>
          <w:sz w:val="24"/>
          <w:szCs w:val="24"/>
        </w:rPr>
        <w:t>s</w:t>
      </w:r>
      <w:r w:rsidR="00641D92" w:rsidRPr="00AD4948">
        <w:rPr>
          <w:rFonts w:asciiTheme="minorHAnsi" w:eastAsia="Batang" w:hAnsiTheme="minorHAnsi"/>
          <w:sz w:val="24"/>
          <w:szCs w:val="24"/>
        </w:rPr>
        <w:t xml:space="preserve"> the assumptions </w:t>
      </w:r>
      <w:r w:rsidR="002463E8" w:rsidRPr="00AD4948">
        <w:rPr>
          <w:rFonts w:asciiTheme="minorHAnsi" w:eastAsia="Batang" w:hAnsiTheme="minorHAnsi"/>
          <w:sz w:val="24"/>
          <w:szCs w:val="24"/>
        </w:rPr>
        <w:t>used to determine how many patients might be eligible for treatment in the</w:t>
      </w:r>
      <w:r w:rsidR="0012614B" w:rsidRPr="00AD4948">
        <w:rPr>
          <w:rFonts w:asciiTheme="minorHAnsi" w:eastAsia="Batang" w:hAnsiTheme="minorHAnsi"/>
          <w:sz w:val="24"/>
          <w:szCs w:val="24"/>
        </w:rPr>
        <w:t xml:space="preserve"> November 2016 submission</w:t>
      </w:r>
      <w:r w:rsidR="00641D92" w:rsidRPr="00AD4948">
        <w:rPr>
          <w:rFonts w:asciiTheme="minorHAnsi" w:eastAsia="Batang" w:hAnsiTheme="minorHAnsi"/>
          <w:sz w:val="24"/>
          <w:szCs w:val="24"/>
        </w:rPr>
        <w:t>.</w:t>
      </w:r>
      <w:r w:rsidR="00B5622A" w:rsidRPr="00AD4948">
        <w:rPr>
          <w:rFonts w:asciiTheme="minorHAnsi" w:eastAsia="Batang" w:hAnsiTheme="minorHAnsi"/>
          <w:sz w:val="24"/>
          <w:szCs w:val="24"/>
        </w:rPr>
        <w:t xml:space="preserve"> </w:t>
      </w:r>
      <w:r w:rsidR="0012614B" w:rsidRPr="00AD4948">
        <w:rPr>
          <w:rFonts w:asciiTheme="minorHAnsi" w:eastAsia="Batang" w:hAnsiTheme="minorHAnsi"/>
          <w:sz w:val="24"/>
          <w:szCs w:val="24"/>
        </w:rPr>
        <w:t xml:space="preserve">The </w:t>
      </w:r>
      <w:r w:rsidR="000D3E4B" w:rsidRPr="00AD4948">
        <w:rPr>
          <w:rFonts w:asciiTheme="minorHAnsi" w:eastAsia="Batang" w:hAnsiTheme="minorHAnsi"/>
          <w:sz w:val="24"/>
          <w:szCs w:val="24"/>
        </w:rPr>
        <w:t xml:space="preserve">PBAC </w:t>
      </w:r>
      <w:r w:rsidR="0012614B" w:rsidRPr="00AD4948">
        <w:rPr>
          <w:rFonts w:asciiTheme="minorHAnsi" w:eastAsia="Batang" w:hAnsiTheme="minorHAnsi"/>
          <w:sz w:val="24"/>
          <w:szCs w:val="24"/>
        </w:rPr>
        <w:t>noted</w:t>
      </w:r>
      <w:r w:rsidR="00D953EB" w:rsidRPr="00AD4948">
        <w:rPr>
          <w:rFonts w:asciiTheme="minorHAnsi" w:eastAsia="Batang" w:hAnsiTheme="minorHAnsi"/>
          <w:sz w:val="24"/>
          <w:szCs w:val="24"/>
        </w:rPr>
        <w:t xml:space="preserve"> that low uptake could also be attributed to</w:t>
      </w:r>
      <w:r w:rsidR="00AE5654" w:rsidRPr="00AD4948">
        <w:rPr>
          <w:rFonts w:asciiTheme="minorHAnsi" w:eastAsia="Batang" w:hAnsiTheme="minorHAnsi"/>
          <w:sz w:val="24"/>
          <w:szCs w:val="24"/>
        </w:rPr>
        <w:t xml:space="preserve"> a lower than esti</w:t>
      </w:r>
      <w:r w:rsidR="0012614B" w:rsidRPr="00AD4948">
        <w:rPr>
          <w:rFonts w:asciiTheme="minorHAnsi" w:eastAsia="Batang" w:hAnsiTheme="minorHAnsi"/>
          <w:sz w:val="24"/>
          <w:szCs w:val="24"/>
        </w:rPr>
        <w:t>mated prevalence of acromegaly and</w:t>
      </w:r>
      <w:r w:rsidR="00524A84" w:rsidRPr="00AD4948">
        <w:rPr>
          <w:rFonts w:asciiTheme="minorHAnsi" w:eastAsia="Batang" w:hAnsiTheme="minorHAnsi"/>
          <w:sz w:val="24"/>
          <w:szCs w:val="24"/>
        </w:rPr>
        <w:t>/</w:t>
      </w:r>
      <w:r w:rsidR="00A15653" w:rsidRPr="00AD4948">
        <w:rPr>
          <w:rFonts w:asciiTheme="minorHAnsi" w:eastAsia="Batang" w:hAnsiTheme="minorHAnsi"/>
          <w:sz w:val="24"/>
          <w:szCs w:val="24"/>
        </w:rPr>
        <w:t>or</w:t>
      </w:r>
      <w:r w:rsidR="0012614B" w:rsidRPr="00AD4948">
        <w:rPr>
          <w:rFonts w:asciiTheme="minorHAnsi" w:eastAsia="Batang" w:hAnsiTheme="minorHAnsi"/>
          <w:sz w:val="24"/>
          <w:szCs w:val="24"/>
        </w:rPr>
        <w:t xml:space="preserve"> </w:t>
      </w:r>
      <w:r w:rsidR="00524A84" w:rsidRPr="00AD4948">
        <w:rPr>
          <w:rFonts w:asciiTheme="minorHAnsi" w:eastAsia="Batang" w:hAnsiTheme="minorHAnsi"/>
          <w:sz w:val="24"/>
          <w:szCs w:val="24"/>
        </w:rPr>
        <w:t>fewer</w:t>
      </w:r>
      <w:r w:rsidR="00D953EB" w:rsidRPr="00AD4948">
        <w:rPr>
          <w:rFonts w:asciiTheme="minorHAnsi" w:eastAsia="Batang" w:hAnsiTheme="minorHAnsi"/>
          <w:sz w:val="24"/>
          <w:szCs w:val="24"/>
        </w:rPr>
        <w:t xml:space="preserve"> patients </w:t>
      </w:r>
      <w:r w:rsidR="004E1E9A" w:rsidRPr="00AD4948">
        <w:rPr>
          <w:rFonts w:asciiTheme="minorHAnsi" w:eastAsia="Batang" w:hAnsiTheme="minorHAnsi"/>
          <w:sz w:val="24"/>
          <w:szCs w:val="24"/>
        </w:rPr>
        <w:t xml:space="preserve">being uncontrolled </w:t>
      </w:r>
      <w:r w:rsidR="00AE5654" w:rsidRPr="00AD4948">
        <w:rPr>
          <w:rFonts w:asciiTheme="minorHAnsi" w:eastAsia="Batang" w:hAnsiTheme="minorHAnsi"/>
          <w:sz w:val="24"/>
          <w:szCs w:val="24"/>
        </w:rPr>
        <w:t xml:space="preserve">with surgery or </w:t>
      </w:r>
      <w:r w:rsidR="00D953EB" w:rsidRPr="00AD4948">
        <w:rPr>
          <w:rFonts w:asciiTheme="minorHAnsi" w:eastAsia="Batang" w:hAnsiTheme="minorHAnsi"/>
          <w:sz w:val="24"/>
          <w:szCs w:val="24"/>
        </w:rPr>
        <w:t>SSAs rather than not meeting the criteria for failure of biochemical control</w:t>
      </w:r>
      <w:r w:rsidR="00AD4948">
        <w:rPr>
          <w:rFonts w:asciiTheme="minorHAnsi" w:eastAsia="Batang" w:hAnsiTheme="minorHAnsi"/>
          <w:sz w:val="24"/>
          <w:szCs w:val="24"/>
        </w:rPr>
        <w:t>.</w:t>
      </w:r>
      <w:r w:rsidR="00BC5B29">
        <w:rPr>
          <w:rFonts w:asciiTheme="minorHAnsi" w:eastAsia="Batang" w:hAnsiTheme="minorHAnsi"/>
          <w:sz w:val="24"/>
          <w:szCs w:val="24"/>
        </w:rPr>
        <w:t xml:space="preserve"> </w:t>
      </w:r>
    </w:p>
    <w:p w:rsidR="00760E6F" w:rsidRDefault="00760E6F" w:rsidP="003D74F0">
      <w:pPr>
        <w:spacing w:after="120"/>
        <w:rPr>
          <w:rFonts w:ascii="Arial Narrow" w:hAnsi="Arial Narrow"/>
          <w:b/>
          <w:bCs/>
          <w:color w:val="000000" w:themeColor="text1"/>
          <w:sz w:val="20"/>
          <w:szCs w:val="20"/>
        </w:rPr>
      </w:pPr>
      <w:r>
        <w:br w:type="page"/>
      </w:r>
    </w:p>
    <w:p w:rsidR="002B7176" w:rsidRPr="00AD4948" w:rsidRDefault="00D16745" w:rsidP="000D32FA">
      <w:pPr>
        <w:pStyle w:val="Caption"/>
      </w:pPr>
      <w:r w:rsidRPr="00AD4948">
        <w:lastRenderedPageBreak/>
        <w:t>Table 6</w:t>
      </w:r>
      <w:r w:rsidR="002B7176" w:rsidRPr="00AD4948">
        <w:t xml:space="preserve">: Estimated number of patients eligible for treatment with </w:t>
      </w:r>
      <w:proofErr w:type="spellStart"/>
      <w:r w:rsidR="002B7176" w:rsidRPr="00AD4948">
        <w:t>pegvisomant</w:t>
      </w:r>
      <w:proofErr w:type="spellEnd"/>
      <w:r w:rsidR="002B7176" w:rsidRPr="00AD4948">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Caption w:val="Estimated number of patients eligible for treatment with pegvisomant "/>
      </w:tblPr>
      <w:tblGrid>
        <w:gridCol w:w="3474"/>
        <w:gridCol w:w="1004"/>
        <w:gridCol w:w="728"/>
        <w:gridCol w:w="728"/>
        <w:gridCol w:w="728"/>
        <w:gridCol w:w="728"/>
        <w:gridCol w:w="818"/>
        <w:gridCol w:w="802"/>
      </w:tblGrid>
      <w:tr w:rsidR="002463E8" w:rsidRPr="00AD4948" w:rsidTr="000D32FA">
        <w:tc>
          <w:tcPr>
            <w:tcW w:w="1928" w:type="pct"/>
            <w:shd w:val="clear" w:color="auto" w:fill="FFFFFF" w:themeFill="background1"/>
            <w:vAlign w:val="center"/>
          </w:tcPr>
          <w:p w:rsidR="002463E8" w:rsidRPr="00AD4948" w:rsidRDefault="002463E8" w:rsidP="002B7176">
            <w:pPr>
              <w:pStyle w:val="TableTextHeading"/>
              <w:jc w:val="left"/>
              <w:rPr>
                <w:rFonts w:ascii="Arial Narrow" w:hAnsi="Arial Narrow"/>
                <w:sz w:val="20"/>
              </w:rPr>
            </w:pPr>
            <w:r w:rsidRPr="00AD4948">
              <w:rPr>
                <w:rFonts w:ascii="Arial Narrow" w:hAnsi="Arial Narrow"/>
                <w:sz w:val="20"/>
              </w:rPr>
              <w:t>Eligible patients</w:t>
            </w:r>
          </w:p>
        </w:tc>
        <w:tc>
          <w:tcPr>
            <w:tcW w:w="557" w:type="pct"/>
            <w:shd w:val="clear" w:color="auto" w:fill="FFFFFF" w:themeFill="background1"/>
            <w:noWrap/>
            <w:vAlign w:val="center"/>
          </w:tcPr>
          <w:p w:rsidR="002463E8" w:rsidRPr="00AD4948" w:rsidRDefault="002463E8" w:rsidP="002B7176">
            <w:pPr>
              <w:pStyle w:val="TableTextHeading"/>
              <w:jc w:val="left"/>
              <w:rPr>
                <w:rFonts w:ascii="Arial Narrow" w:hAnsi="Arial Narrow"/>
                <w:sz w:val="20"/>
              </w:rPr>
            </w:pPr>
            <w:r w:rsidRPr="00AD4948">
              <w:rPr>
                <w:rFonts w:ascii="Arial Narrow" w:hAnsi="Arial Narrow"/>
                <w:sz w:val="20"/>
              </w:rPr>
              <w:t>Current Year (2016)</w:t>
            </w:r>
          </w:p>
        </w:tc>
        <w:tc>
          <w:tcPr>
            <w:tcW w:w="404" w:type="pct"/>
            <w:shd w:val="clear" w:color="auto" w:fill="FFFFFF" w:themeFill="background1"/>
            <w:noWrap/>
            <w:vAlign w:val="center"/>
          </w:tcPr>
          <w:p w:rsidR="002463E8" w:rsidRPr="00AD4948" w:rsidRDefault="002463E8" w:rsidP="002B7176">
            <w:pPr>
              <w:pStyle w:val="TableTextHeading"/>
              <w:jc w:val="left"/>
              <w:rPr>
                <w:rFonts w:ascii="Arial Narrow" w:hAnsi="Arial Narrow"/>
                <w:sz w:val="20"/>
              </w:rPr>
            </w:pPr>
            <w:r w:rsidRPr="00AD4948">
              <w:rPr>
                <w:rFonts w:ascii="Arial Narrow" w:hAnsi="Arial Narrow"/>
                <w:sz w:val="20"/>
              </w:rPr>
              <w:t>Year 1</w:t>
            </w:r>
          </w:p>
        </w:tc>
        <w:tc>
          <w:tcPr>
            <w:tcW w:w="404" w:type="pct"/>
            <w:shd w:val="clear" w:color="auto" w:fill="FFFFFF" w:themeFill="background1"/>
            <w:noWrap/>
            <w:vAlign w:val="center"/>
          </w:tcPr>
          <w:p w:rsidR="002463E8" w:rsidRPr="00AD4948" w:rsidRDefault="002463E8" w:rsidP="002B7176">
            <w:pPr>
              <w:pStyle w:val="TableTextHeading"/>
              <w:jc w:val="left"/>
              <w:rPr>
                <w:rFonts w:ascii="Arial Narrow" w:hAnsi="Arial Narrow"/>
                <w:sz w:val="20"/>
              </w:rPr>
            </w:pPr>
            <w:r w:rsidRPr="00AD4948">
              <w:rPr>
                <w:rFonts w:ascii="Arial Narrow" w:hAnsi="Arial Narrow"/>
                <w:sz w:val="20"/>
              </w:rPr>
              <w:t>Year 2</w:t>
            </w:r>
          </w:p>
        </w:tc>
        <w:tc>
          <w:tcPr>
            <w:tcW w:w="404" w:type="pct"/>
            <w:shd w:val="clear" w:color="auto" w:fill="FFFFFF" w:themeFill="background1"/>
            <w:noWrap/>
            <w:vAlign w:val="center"/>
          </w:tcPr>
          <w:p w:rsidR="002463E8" w:rsidRPr="00AD4948" w:rsidRDefault="002463E8" w:rsidP="002B7176">
            <w:pPr>
              <w:pStyle w:val="TableTextHeading"/>
              <w:jc w:val="left"/>
              <w:rPr>
                <w:rFonts w:ascii="Arial Narrow" w:hAnsi="Arial Narrow"/>
                <w:sz w:val="20"/>
              </w:rPr>
            </w:pPr>
            <w:r w:rsidRPr="00AD4948">
              <w:rPr>
                <w:rFonts w:ascii="Arial Narrow" w:hAnsi="Arial Narrow"/>
                <w:sz w:val="20"/>
              </w:rPr>
              <w:t>Year 3</w:t>
            </w:r>
          </w:p>
        </w:tc>
        <w:tc>
          <w:tcPr>
            <w:tcW w:w="404" w:type="pct"/>
            <w:shd w:val="clear" w:color="auto" w:fill="FFFFFF" w:themeFill="background1"/>
            <w:noWrap/>
            <w:vAlign w:val="center"/>
          </w:tcPr>
          <w:p w:rsidR="002463E8" w:rsidRPr="00AD4948" w:rsidRDefault="002463E8" w:rsidP="002B7176">
            <w:pPr>
              <w:pStyle w:val="TableTextHeading"/>
              <w:jc w:val="left"/>
              <w:rPr>
                <w:rFonts w:ascii="Arial Narrow" w:hAnsi="Arial Narrow"/>
                <w:sz w:val="20"/>
              </w:rPr>
            </w:pPr>
            <w:r w:rsidRPr="00AD4948">
              <w:rPr>
                <w:rFonts w:ascii="Arial Narrow" w:hAnsi="Arial Narrow"/>
                <w:sz w:val="20"/>
              </w:rPr>
              <w:t>Year 4</w:t>
            </w:r>
          </w:p>
        </w:tc>
        <w:tc>
          <w:tcPr>
            <w:tcW w:w="454" w:type="pct"/>
            <w:shd w:val="clear" w:color="auto" w:fill="FFFFFF" w:themeFill="background1"/>
            <w:noWrap/>
            <w:vAlign w:val="center"/>
          </w:tcPr>
          <w:p w:rsidR="002463E8" w:rsidRPr="00AD4948" w:rsidRDefault="002463E8" w:rsidP="002B7176">
            <w:pPr>
              <w:pStyle w:val="TableTextHeading"/>
              <w:jc w:val="left"/>
              <w:rPr>
                <w:rFonts w:ascii="Arial Narrow" w:hAnsi="Arial Narrow"/>
                <w:sz w:val="20"/>
              </w:rPr>
            </w:pPr>
            <w:r w:rsidRPr="00AD4948">
              <w:rPr>
                <w:rFonts w:ascii="Arial Narrow" w:hAnsi="Arial Narrow"/>
                <w:sz w:val="20"/>
              </w:rPr>
              <w:t>Year 5</w:t>
            </w:r>
          </w:p>
        </w:tc>
        <w:tc>
          <w:tcPr>
            <w:tcW w:w="446" w:type="pct"/>
            <w:shd w:val="clear" w:color="auto" w:fill="FFFFFF" w:themeFill="background1"/>
            <w:vAlign w:val="center"/>
          </w:tcPr>
          <w:p w:rsidR="002463E8" w:rsidRPr="00AD4948" w:rsidRDefault="002463E8" w:rsidP="002B7176">
            <w:pPr>
              <w:pStyle w:val="TableTextHeading"/>
              <w:jc w:val="left"/>
              <w:rPr>
                <w:rFonts w:ascii="Arial Narrow" w:hAnsi="Arial Narrow"/>
                <w:sz w:val="20"/>
              </w:rPr>
            </w:pPr>
            <w:r w:rsidRPr="00AD4948">
              <w:rPr>
                <w:rFonts w:ascii="Arial Narrow" w:hAnsi="Arial Narrow"/>
                <w:sz w:val="20"/>
              </w:rPr>
              <w:t>Year 6</w:t>
            </w:r>
          </w:p>
        </w:tc>
      </w:tr>
      <w:tr w:rsidR="002463E8" w:rsidRPr="00AD4948" w:rsidTr="009B1619">
        <w:tc>
          <w:tcPr>
            <w:tcW w:w="1928" w:type="pct"/>
            <w:shd w:val="clear" w:color="auto" w:fill="auto"/>
            <w:vAlign w:val="center"/>
          </w:tcPr>
          <w:p w:rsidR="002463E8" w:rsidRPr="00AD4948" w:rsidRDefault="002463E8" w:rsidP="002B7176">
            <w:pPr>
              <w:pStyle w:val="TableText0"/>
              <w:rPr>
                <w:rFonts w:ascii="Arial Narrow" w:hAnsi="Arial Narrow"/>
                <w:sz w:val="20"/>
              </w:rPr>
            </w:pPr>
            <w:r w:rsidRPr="00AD4948">
              <w:rPr>
                <w:rFonts w:ascii="Arial Narrow" w:hAnsi="Arial Narrow"/>
                <w:sz w:val="20"/>
              </w:rPr>
              <w:t>Acromegaly population in Australia</w:t>
            </w:r>
          </w:p>
        </w:tc>
        <w:tc>
          <w:tcPr>
            <w:tcW w:w="557" w:type="pct"/>
            <w:shd w:val="clear" w:color="auto" w:fill="auto"/>
            <w:noWrap/>
            <w:vAlign w:val="center"/>
          </w:tcPr>
          <w:p w:rsidR="002463E8" w:rsidRPr="00AD4948" w:rsidRDefault="002463E8" w:rsidP="009B1619">
            <w:pPr>
              <w:rPr>
                <w:rFonts w:ascii="Arial Narrow" w:hAnsi="Arial Narrow" w:cs="Arial"/>
                <w:sz w:val="20"/>
                <w:szCs w:val="20"/>
              </w:rPr>
            </w:pPr>
            <w:r w:rsidRPr="00AD4948">
              <w:rPr>
                <w:rFonts w:ascii="Arial Narrow" w:hAnsi="Arial Narrow" w:cs="Arial"/>
                <w:sz w:val="20"/>
                <w:szCs w:val="20"/>
              </w:rPr>
              <w:t>2,000</w:t>
            </w:r>
          </w:p>
        </w:tc>
        <w:tc>
          <w:tcPr>
            <w:tcW w:w="404" w:type="pct"/>
            <w:shd w:val="clear" w:color="auto" w:fill="auto"/>
            <w:noWrap/>
            <w:vAlign w:val="center"/>
          </w:tcPr>
          <w:p w:rsidR="002463E8" w:rsidRPr="00AD4948" w:rsidRDefault="002463E8" w:rsidP="009B1619">
            <w:pPr>
              <w:rPr>
                <w:rFonts w:ascii="Arial Narrow" w:hAnsi="Arial Narrow" w:cs="Arial"/>
                <w:sz w:val="20"/>
                <w:szCs w:val="20"/>
              </w:rPr>
            </w:pPr>
            <w:r w:rsidRPr="00AD4948">
              <w:rPr>
                <w:rFonts w:ascii="Arial Narrow" w:hAnsi="Arial Narrow" w:cs="Arial"/>
                <w:sz w:val="20"/>
                <w:szCs w:val="20"/>
              </w:rPr>
              <w:t>2,035</w:t>
            </w:r>
          </w:p>
        </w:tc>
        <w:tc>
          <w:tcPr>
            <w:tcW w:w="404" w:type="pct"/>
            <w:shd w:val="clear" w:color="auto" w:fill="auto"/>
            <w:noWrap/>
            <w:vAlign w:val="center"/>
          </w:tcPr>
          <w:p w:rsidR="002463E8" w:rsidRPr="00AD4948" w:rsidRDefault="002463E8" w:rsidP="009B1619">
            <w:pPr>
              <w:rPr>
                <w:rFonts w:ascii="Arial Narrow" w:hAnsi="Arial Narrow" w:cs="Arial"/>
                <w:sz w:val="20"/>
                <w:szCs w:val="20"/>
              </w:rPr>
            </w:pPr>
            <w:r w:rsidRPr="00AD4948">
              <w:rPr>
                <w:rFonts w:ascii="Arial Narrow" w:hAnsi="Arial Narrow" w:cs="Arial"/>
                <w:sz w:val="20"/>
                <w:szCs w:val="20"/>
              </w:rPr>
              <w:t>2,069</w:t>
            </w:r>
          </w:p>
        </w:tc>
        <w:tc>
          <w:tcPr>
            <w:tcW w:w="404" w:type="pct"/>
            <w:shd w:val="clear" w:color="auto" w:fill="auto"/>
            <w:noWrap/>
            <w:vAlign w:val="center"/>
          </w:tcPr>
          <w:p w:rsidR="002463E8" w:rsidRPr="00AD4948" w:rsidRDefault="002463E8" w:rsidP="009B1619">
            <w:pPr>
              <w:rPr>
                <w:rFonts w:ascii="Arial Narrow" w:hAnsi="Arial Narrow" w:cs="Arial"/>
                <w:sz w:val="20"/>
                <w:szCs w:val="20"/>
              </w:rPr>
            </w:pPr>
            <w:r w:rsidRPr="00AD4948">
              <w:rPr>
                <w:rFonts w:ascii="Arial Narrow" w:hAnsi="Arial Narrow" w:cs="Arial"/>
                <w:sz w:val="20"/>
                <w:szCs w:val="20"/>
              </w:rPr>
              <w:t>2,103</w:t>
            </w:r>
          </w:p>
        </w:tc>
        <w:tc>
          <w:tcPr>
            <w:tcW w:w="404" w:type="pct"/>
            <w:shd w:val="clear" w:color="auto" w:fill="auto"/>
            <w:noWrap/>
            <w:vAlign w:val="center"/>
          </w:tcPr>
          <w:p w:rsidR="002463E8" w:rsidRPr="00AD4948" w:rsidRDefault="002463E8" w:rsidP="009B1619">
            <w:pPr>
              <w:rPr>
                <w:rFonts w:ascii="Arial Narrow" w:hAnsi="Arial Narrow" w:cs="Arial"/>
                <w:sz w:val="20"/>
                <w:szCs w:val="20"/>
              </w:rPr>
            </w:pPr>
            <w:r w:rsidRPr="00AD4948">
              <w:rPr>
                <w:rFonts w:ascii="Arial Narrow" w:hAnsi="Arial Narrow" w:cs="Arial"/>
                <w:sz w:val="20"/>
                <w:szCs w:val="20"/>
              </w:rPr>
              <w:t>2,138</w:t>
            </w:r>
          </w:p>
        </w:tc>
        <w:tc>
          <w:tcPr>
            <w:tcW w:w="454" w:type="pct"/>
            <w:shd w:val="clear" w:color="auto" w:fill="auto"/>
            <w:noWrap/>
            <w:vAlign w:val="center"/>
          </w:tcPr>
          <w:p w:rsidR="002463E8" w:rsidRPr="00AD4948" w:rsidRDefault="002463E8" w:rsidP="009B1619">
            <w:pPr>
              <w:rPr>
                <w:rFonts w:ascii="Arial Narrow" w:hAnsi="Arial Narrow" w:cs="Arial"/>
                <w:sz w:val="20"/>
                <w:szCs w:val="20"/>
              </w:rPr>
            </w:pPr>
            <w:r w:rsidRPr="00AD4948">
              <w:rPr>
                <w:rFonts w:ascii="Arial Narrow" w:hAnsi="Arial Narrow" w:cs="Arial"/>
                <w:sz w:val="20"/>
                <w:szCs w:val="20"/>
              </w:rPr>
              <w:t>2,172</w:t>
            </w:r>
          </w:p>
        </w:tc>
        <w:tc>
          <w:tcPr>
            <w:tcW w:w="446" w:type="pct"/>
            <w:vAlign w:val="center"/>
          </w:tcPr>
          <w:p w:rsidR="002463E8" w:rsidRPr="00AD4948" w:rsidRDefault="002463E8" w:rsidP="009B1619">
            <w:pPr>
              <w:rPr>
                <w:rFonts w:ascii="Arial Narrow" w:hAnsi="Arial Narrow" w:cs="Arial"/>
                <w:sz w:val="20"/>
                <w:szCs w:val="20"/>
              </w:rPr>
            </w:pPr>
            <w:r w:rsidRPr="00AD4948">
              <w:rPr>
                <w:rFonts w:ascii="Arial Narrow" w:hAnsi="Arial Narrow" w:cs="Arial"/>
                <w:sz w:val="20"/>
                <w:szCs w:val="20"/>
              </w:rPr>
              <w:t>2,206</w:t>
            </w:r>
          </w:p>
        </w:tc>
      </w:tr>
      <w:tr w:rsidR="0076111E" w:rsidRPr="00AD4948" w:rsidTr="000D32FA">
        <w:tc>
          <w:tcPr>
            <w:tcW w:w="5000" w:type="pct"/>
            <w:gridSpan w:val="8"/>
            <w:shd w:val="clear" w:color="auto" w:fill="auto"/>
            <w:vAlign w:val="center"/>
          </w:tcPr>
          <w:p w:rsidR="0076111E" w:rsidRPr="00AD4948" w:rsidRDefault="0076111E" w:rsidP="002B7176">
            <w:pPr>
              <w:pStyle w:val="TableText0"/>
              <w:rPr>
                <w:rFonts w:ascii="Arial Narrow" w:hAnsi="Arial Narrow"/>
                <w:sz w:val="20"/>
              </w:rPr>
            </w:pPr>
            <w:r w:rsidRPr="00AD4948">
              <w:rPr>
                <w:rFonts w:ascii="Arial Narrow" w:hAnsi="Arial Narrow"/>
                <w:i/>
                <w:sz w:val="20"/>
              </w:rPr>
              <w:t>First line medical therapy</w:t>
            </w:r>
          </w:p>
        </w:tc>
      </w:tr>
      <w:tr w:rsidR="002463E8" w:rsidRPr="00AD4948" w:rsidTr="000D32FA">
        <w:tc>
          <w:tcPr>
            <w:tcW w:w="1928" w:type="pct"/>
            <w:shd w:val="clear" w:color="auto" w:fill="auto"/>
            <w:vAlign w:val="center"/>
          </w:tcPr>
          <w:p w:rsidR="002463E8" w:rsidRPr="00AD4948" w:rsidRDefault="002463E8" w:rsidP="00D953EB">
            <w:pPr>
              <w:pStyle w:val="TableText0"/>
              <w:rPr>
                <w:rFonts w:ascii="Arial Narrow" w:hAnsi="Arial Narrow"/>
                <w:sz w:val="20"/>
              </w:rPr>
            </w:pPr>
            <w:r w:rsidRPr="00AD4948">
              <w:rPr>
                <w:rFonts w:ascii="Arial Narrow" w:hAnsi="Arial Narrow"/>
                <w:sz w:val="20"/>
              </w:rPr>
              <w:t xml:space="preserve">Number of patients </w:t>
            </w:r>
            <w:r w:rsidR="00BC553E" w:rsidRPr="00AD4948">
              <w:rPr>
                <w:rFonts w:ascii="Arial Narrow" w:hAnsi="Arial Narrow"/>
                <w:sz w:val="20"/>
              </w:rPr>
              <w:t xml:space="preserve">uncontrolled with surgery/radiotherapy/dopamine agonist and </w:t>
            </w:r>
            <w:r w:rsidRPr="00AD4948">
              <w:rPr>
                <w:rFonts w:ascii="Arial Narrow" w:hAnsi="Arial Narrow"/>
                <w:sz w:val="20"/>
              </w:rPr>
              <w:t>treated with SSA (octreotide/</w:t>
            </w:r>
            <w:proofErr w:type="spellStart"/>
            <w:r w:rsidRPr="00AD4948">
              <w:rPr>
                <w:rFonts w:ascii="Arial Narrow" w:hAnsi="Arial Narrow"/>
                <w:sz w:val="20"/>
              </w:rPr>
              <w:t>lanreotide</w:t>
            </w:r>
            <w:proofErr w:type="spellEnd"/>
            <w:r w:rsidRPr="00AD4948">
              <w:rPr>
                <w:rFonts w:ascii="Arial Narrow" w:hAnsi="Arial Narrow"/>
                <w:sz w:val="20"/>
              </w:rPr>
              <w:t>) (</w:t>
            </w:r>
            <w:r w:rsidR="005F08DE">
              <w:rPr>
                <w:rFonts w:ascii="Arial Narrow" w:hAnsi="Arial Narrow"/>
                <w:b/>
                <w:noProof/>
                <w:color w:val="000000"/>
                <w:sz w:val="20"/>
                <w:highlight w:val="black"/>
              </w:rPr>
              <w:t>'''''</w:t>
            </w:r>
            <w:r w:rsidRPr="00AD4948">
              <w:rPr>
                <w:rFonts w:ascii="Arial Narrow" w:hAnsi="Arial Narrow"/>
                <w:b/>
                <w:sz w:val="20"/>
              </w:rPr>
              <w:t>%)</w:t>
            </w:r>
          </w:p>
        </w:tc>
        <w:tc>
          <w:tcPr>
            <w:tcW w:w="557" w:type="pct"/>
            <w:shd w:val="clear" w:color="auto" w:fill="auto"/>
            <w:noWrap/>
            <w:vAlign w:val="bottom"/>
          </w:tcPr>
          <w:p w:rsidR="002463E8" w:rsidRPr="005F08DE" w:rsidRDefault="005F08DE" w:rsidP="002B7176">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04" w:type="pct"/>
            <w:shd w:val="clear" w:color="auto" w:fill="auto"/>
            <w:noWrap/>
            <w:vAlign w:val="bottom"/>
          </w:tcPr>
          <w:p w:rsidR="002463E8" w:rsidRPr="005F08DE" w:rsidRDefault="005F08DE" w:rsidP="002B7176">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04" w:type="pct"/>
            <w:shd w:val="clear" w:color="auto" w:fill="auto"/>
            <w:noWrap/>
            <w:vAlign w:val="bottom"/>
          </w:tcPr>
          <w:p w:rsidR="002463E8" w:rsidRPr="005F08DE" w:rsidRDefault="005F08DE" w:rsidP="002B7176">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04" w:type="pct"/>
            <w:shd w:val="clear" w:color="auto" w:fill="auto"/>
            <w:noWrap/>
            <w:vAlign w:val="bottom"/>
          </w:tcPr>
          <w:p w:rsidR="002463E8" w:rsidRPr="005F08DE" w:rsidRDefault="005F08DE" w:rsidP="002B7176">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04" w:type="pct"/>
            <w:shd w:val="clear" w:color="auto" w:fill="auto"/>
            <w:noWrap/>
            <w:vAlign w:val="bottom"/>
          </w:tcPr>
          <w:p w:rsidR="002463E8" w:rsidRPr="005F08DE" w:rsidRDefault="005F08DE" w:rsidP="002B7176">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54" w:type="pct"/>
            <w:shd w:val="clear" w:color="auto" w:fill="auto"/>
            <w:noWrap/>
            <w:vAlign w:val="bottom"/>
          </w:tcPr>
          <w:p w:rsidR="002463E8" w:rsidRPr="005F08DE" w:rsidRDefault="005F08DE" w:rsidP="002B7176">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46" w:type="pct"/>
            <w:vAlign w:val="bottom"/>
          </w:tcPr>
          <w:p w:rsidR="002463E8" w:rsidRPr="005F08DE" w:rsidRDefault="005F08DE" w:rsidP="002B7176">
            <w:pP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2463E8" w:rsidRPr="00AD4948" w:rsidTr="000D32FA">
        <w:tc>
          <w:tcPr>
            <w:tcW w:w="1928" w:type="pct"/>
            <w:shd w:val="clear" w:color="auto" w:fill="auto"/>
            <w:vAlign w:val="center"/>
          </w:tcPr>
          <w:p w:rsidR="002463E8" w:rsidRPr="00AD4948" w:rsidRDefault="002463E8" w:rsidP="002B7176">
            <w:pPr>
              <w:pStyle w:val="TableText0"/>
              <w:rPr>
                <w:rFonts w:ascii="Arial Narrow" w:hAnsi="Arial Narrow"/>
                <w:sz w:val="20"/>
              </w:rPr>
            </w:pPr>
            <w:r w:rsidRPr="00AD4948">
              <w:rPr>
                <w:rFonts w:ascii="Arial Narrow" w:hAnsi="Arial Narrow"/>
                <w:sz w:val="20"/>
              </w:rPr>
              <w:t>Number of patients uncontrolled with</w:t>
            </w:r>
            <w:r w:rsidRPr="00AD4948">
              <w:rPr>
                <w:rFonts w:ascii="Arial Narrow" w:hAnsi="Arial Narrow"/>
                <w:i/>
                <w:sz w:val="20"/>
              </w:rPr>
              <w:t xml:space="preserve"> </w:t>
            </w:r>
            <w:r w:rsidRPr="00AD4948">
              <w:rPr>
                <w:rFonts w:ascii="Arial Narrow" w:hAnsi="Arial Narrow"/>
                <w:sz w:val="20"/>
              </w:rPr>
              <w:t>SSA (octreotide/</w:t>
            </w:r>
            <w:proofErr w:type="spellStart"/>
            <w:r w:rsidRPr="00AD4948">
              <w:rPr>
                <w:rFonts w:ascii="Arial Narrow" w:hAnsi="Arial Narrow"/>
                <w:sz w:val="20"/>
              </w:rPr>
              <w:t>lanreotide</w:t>
            </w:r>
            <w:proofErr w:type="spellEnd"/>
            <w:r w:rsidRPr="00AD4948">
              <w:rPr>
                <w:rFonts w:ascii="Arial Narrow" w:hAnsi="Arial Narrow"/>
                <w:sz w:val="20"/>
              </w:rPr>
              <w:t xml:space="preserve">) </w:t>
            </w:r>
            <w:r w:rsidRPr="00AD4948">
              <w:rPr>
                <w:rFonts w:ascii="Arial Narrow" w:hAnsi="Arial Narrow"/>
                <w:b/>
                <w:sz w:val="20"/>
              </w:rPr>
              <w:t>(</w:t>
            </w:r>
            <w:r w:rsidR="005F08DE">
              <w:rPr>
                <w:rFonts w:ascii="Arial Narrow" w:hAnsi="Arial Narrow"/>
                <w:b/>
                <w:noProof/>
                <w:color w:val="000000"/>
                <w:sz w:val="20"/>
                <w:highlight w:val="black"/>
              </w:rPr>
              <w:t>'''''</w:t>
            </w:r>
            <w:r w:rsidRPr="00AD4948">
              <w:rPr>
                <w:rFonts w:ascii="Arial Narrow" w:hAnsi="Arial Narrow"/>
                <w:b/>
                <w:sz w:val="20"/>
              </w:rPr>
              <w:t>%)</w:t>
            </w:r>
          </w:p>
        </w:tc>
        <w:tc>
          <w:tcPr>
            <w:tcW w:w="557" w:type="pct"/>
            <w:shd w:val="clear" w:color="auto" w:fill="auto"/>
            <w:noWrap/>
            <w:vAlign w:val="bottom"/>
          </w:tcPr>
          <w:p w:rsidR="002463E8" w:rsidRPr="005F08DE" w:rsidRDefault="005F08DE" w:rsidP="002B7176">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04" w:type="pct"/>
            <w:shd w:val="clear" w:color="auto" w:fill="auto"/>
            <w:noWrap/>
            <w:vAlign w:val="bottom"/>
          </w:tcPr>
          <w:p w:rsidR="002463E8" w:rsidRPr="005F08DE" w:rsidRDefault="005F08DE" w:rsidP="002B7176">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04" w:type="pct"/>
            <w:shd w:val="clear" w:color="auto" w:fill="auto"/>
            <w:noWrap/>
            <w:vAlign w:val="bottom"/>
          </w:tcPr>
          <w:p w:rsidR="002463E8" w:rsidRPr="005F08DE" w:rsidRDefault="005F08DE" w:rsidP="002B7176">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04" w:type="pct"/>
            <w:shd w:val="clear" w:color="auto" w:fill="auto"/>
            <w:noWrap/>
            <w:vAlign w:val="bottom"/>
          </w:tcPr>
          <w:p w:rsidR="002463E8" w:rsidRPr="005F08DE" w:rsidRDefault="005F08DE" w:rsidP="002B7176">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04" w:type="pct"/>
            <w:shd w:val="clear" w:color="auto" w:fill="auto"/>
            <w:noWrap/>
            <w:vAlign w:val="bottom"/>
          </w:tcPr>
          <w:p w:rsidR="002463E8" w:rsidRPr="005F08DE" w:rsidRDefault="005F08DE" w:rsidP="002B7176">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54" w:type="pct"/>
            <w:shd w:val="clear" w:color="auto" w:fill="auto"/>
            <w:noWrap/>
            <w:vAlign w:val="bottom"/>
          </w:tcPr>
          <w:p w:rsidR="002463E8" w:rsidRPr="005F08DE" w:rsidRDefault="005F08DE" w:rsidP="002B7176">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46" w:type="pct"/>
            <w:vAlign w:val="bottom"/>
          </w:tcPr>
          <w:p w:rsidR="002463E8" w:rsidRPr="005F08DE" w:rsidRDefault="005F08DE" w:rsidP="002B7176">
            <w:pP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2463E8" w:rsidRPr="00AD4948" w:rsidTr="000D32FA">
        <w:tc>
          <w:tcPr>
            <w:tcW w:w="5000" w:type="pct"/>
            <w:gridSpan w:val="8"/>
            <w:shd w:val="clear" w:color="auto" w:fill="auto"/>
            <w:vAlign w:val="center"/>
          </w:tcPr>
          <w:p w:rsidR="002463E8" w:rsidRPr="00AD4948" w:rsidRDefault="002463E8" w:rsidP="002B7176">
            <w:pPr>
              <w:rPr>
                <w:rFonts w:ascii="Arial Narrow" w:hAnsi="Arial Narrow" w:cs="Arial"/>
                <w:sz w:val="20"/>
                <w:szCs w:val="20"/>
              </w:rPr>
            </w:pPr>
            <w:r w:rsidRPr="00AD4948">
              <w:rPr>
                <w:rFonts w:ascii="Arial Narrow" w:hAnsi="Arial Narrow"/>
                <w:i/>
                <w:sz w:val="20"/>
              </w:rPr>
              <w:t>Second line medical therapy</w:t>
            </w:r>
            <w:r w:rsidR="001674D4" w:rsidRPr="00AD4948">
              <w:rPr>
                <w:rFonts w:ascii="Arial Narrow" w:hAnsi="Arial Narrow"/>
                <w:i/>
                <w:sz w:val="20"/>
              </w:rPr>
              <w:t>*</w:t>
            </w:r>
          </w:p>
        </w:tc>
      </w:tr>
      <w:tr w:rsidR="001674D4" w:rsidRPr="00AD4948" w:rsidTr="000D32FA">
        <w:tc>
          <w:tcPr>
            <w:tcW w:w="1928" w:type="pct"/>
            <w:shd w:val="clear" w:color="auto" w:fill="auto"/>
            <w:vAlign w:val="center"/>
          </w:tcPr>
          <w:p w:rsidR="001674D4" w:rsidRPr="00AD4948" w:rsidRDefault="001674D4" w:rsidP="001674D4">
            <w:pPr>
              <w:pStyle w:val="TableText0"/>
              <w:rPr>
                <w:rFonts w:ascii="Arial Narrow" w:hAnsi="Arial Narrow"/>
                <w:sz w:val="20"/>
              </w:rPr>
            </w:pPr>
            <w:r w:rsidRPr="00AD4948">
              <w:rPr>
                <w:rFonts w:ascii="Arial Narrow" w:hAnsi="Arial Narrow"/>
                <w:sz w:val="20"/>
              </w:rPr>
              <w:t xml:space="preserve">Number of patients treated with </w:t>
            </w:r>
            <w:proofErr w:type="spellStart"/>
            <w:r w:rsidRPr="00AD4948">
              <w:rPr>
                <w:rFonts w:ascii="Arial Narrow" w:hAnsi="Arial Narrow"/>
                <w:sz w:val="20"/>
              </w:rPr>
              <w:t>pegvisomant</w:t>
            </w:r>
            <w:proofErr w:type="spellEnd"/>
            <w:r w:rsidRPr="00AD4948">
              <w:rPr>
                <w:rFonts w:ascii="Arial Narrow" w:hAnsi="Arial Narrow"/>
                <w:sz w:val="20"/>
              </w:rPr>
              <w:t xml:space="preserve"> (</w:t>
            </w:r>
            <w:r w:rsidR="005F08DE">
              <w:rPr>
                <w:rFonts w:ascii="Arial Narrow" w:hAnsi="Arial Narrow"/>
                <w:b/>
                <w:noProof/>
                <w:color w:val="000000"/>
                <w:sz w:val="20"/>
                <w:highlight w:val="black"/>
              </w:rPr>
              <w:t>'''''</w:t>
            </w:r>
            <w:r w:rsidRPr="00AD4948">
              <w:rPr>
                <w:rFonts w:ascii="Arial Narrow" w:hAnsi="Arial Narrow"/>
                <w:b/>
                <w:sz w:val="20"/>
              </w:rPr>
              <w:t>%)</w:t>
            </w:r>
          </w:p>
        </w:tc>
        <w:tc>
          <w:tcPr>
            <w:tcW w:w="557" w:type="pct"/>
            <w:shd w:val="clear" w:color="auto" w:fill="auto"/>
            <w:noWrap/>
            <w:vAlign w:val="bottom"/>
          </w:tcPr>
          <w:p w:rsidR="001674D4" w:rsidRPr="005F08DE" w:rsidRDefault="005F08DE" w:rsidP="001674D4">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04" w:type="pct"/>
            <w:shd w:val="clear" w:color="auto" w:fill="auto"/>
            <w:noWrap/>
            <w:vAlign w:val="bottom"/>
          </w:tcPr>
          <w:p w:rsidR="001674D4" w:rsidRPr="005F08DE" w:rsidRDefault="005F08DE" w:rsidP="001674D4">
            <w:pPr>
              <w:rPr>
                <w:rFonts w:ascii="Arial Narrow" w:hAnsi="Arial Narrow" w:cs="Arial"/>
                <w:sz w:val="20"/>
                <w:szCs w:val="20"/>
                <w:highlight w:val="black"/>
              </w:rPr>
            </w:pPr>
            <w:r>
              <w:rPr>
                <w:rFonts w:ascii="Arial Narrow" w:hAnsi="Arial Narrow" w:cs="Arial"/>
                <w:noProof/>
                <w:color w:val="000000"/>
                <w:sz w:val="20"/>
                <w:szCs w:val="20"/>
                <w:highlight w:val="black"/>
              </w:rPr>
              <w:t>''''''''''</w:t>
            </w:r>
            <w:r w:rsidR="001674D4" w:rsidRPr="005F08DE">
              <w:rPr>
                <w:rFonts w:ascii="Arial Narrow" w:hAnsi="Arial Narrow" w:cs="Arial"/>
                <w:sz w:val="20"/>
                <w:szCs w:val="20"/>
                <w:highlight w:val="black"/>
              </w:rPr>
              <w:t xml:space="preserve"> </w:t>
            </w:r>
          </w:p>
        </w:tc>
        <w:tc>
          <w:tcPr>
            <w:tcW w:w="404" w:type="pct"/>
            <w:shd w:val="clear" w:color="auto" w:fill="auto"/>
            <w:noWrap/>
            <w:vAlign w:val="bottom"/>
          </w:tcPr>
          <w:p w:rsidR="001674D4" w:rsidRPr="005F08DE" w:rsidRDefault="005F08DE" w:rsidP="001674D4">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04" w:type="pct"/>
            <w:shd w:val="clear" w:color="auto" w:fill="auto"/>
            <w:noWrap/>
            <w:vAlign w:val="bottom"/>
          </w:tcPr>
          <w:p w:rsidR="001674D4" w:rsidRPr="005F08DE" w:rsidRDefault="005F08DE" w:rsidP="001674D4">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04" w:type="pct"/>
            <w:shd w:val="clear" w:color="auto" w:fill="auto"/>
            <w:noWrap/>
            <w:vAlign w:val="bottom"/>
          </w:tcPr>
          <w:p w:rsidR="001674D4" w:rsidRPr="005F08DE" w:rsidRDefault="005F08DE" w:rsidP="001674D4">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54" w:type="pct"/>
            <w:shd w:val="clear" w:color="auto" w:fill="auto"/>
            <w:noWrap/>
            <w:vAlign w:val="bottom"/>
          </w:tcPr>
          <w:p w:rsidR="001674D4" w:rsidRPr="005F08DE" w:rsidRDefault="005F08DE" w:rsidP="001674D4">
            <w:pP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46" w:type="pct"/>
            <w:vAlign w:val="bottom"/>
          </w:tcPr>
          <w:p w:rsidR="001674D4" w:rsidRPr="005F08DE" w:rsidRDefault="005F08DE" w:rsidP="001674D4">
            <w:pPr>
              <w:rPr>
                <w:rFonts w:ascii="Arial Narrow" w:hAnsi="Arial Narrow" w:cs="Arial"/>
                <w:sz w:val="20"/>
                <w:szCs w:val="20"/>
                <w:highlight w:val="black"/>
              </w:rPr>
            </w:pPr>
            <w:r>
              <w:rPr>
                <w:rFonts w:ascii="Arial Narrow" w:hAnsi="Arial Narrow" w:cs="Arial"/>
                <w:noProof/>
                <w:color w:val="000000"/>
                <w:sz w:val="20"/>
                <w:szCs w:val="20"/>
                <w:highlight w:val="black"/>
              </w:rPr>
              <w:t>''''''''''</w:t>
            </w:r>
          </w:p>
        </w:tc>
      </w:tr>
    </w:tbl>
    <w:p w:rsidR="00F261C0" w:rsidRPr="00AD4948" w:rsidRDefault="00F261C0" w:rsidP="000D32FA">
      <w:pPr>
        <w:pStyle w:val="MainBodyText"/>
        <w:spacing w:after="0"/>
        <w:jc w:val="left"/>
        <w:rPr>
          <w:rFonts w:ascii="Arial Narrow" w:hAnsi="Arial Narrow"/>
          <w:sz w:val="18"/>
          <w:szCs w:val="18"/>
        </w:rPr>
      </w:pPr>
      <w:r w:rsidRPr="00AD4948">
        <w:rPr>
          <w:rFonts w:ascii="Arial Narrow" w:hAnsi="Arial Narrow"/>
          <w:sz w:val="18"/>
          <w:szCs w:val="18"/>
        </w:rPr>
        <w:t>SSA,</w:t>
      </w:r>
      <w:r w:rsidR="00BC5B29">
        <w:rPr>
          <w:rFonts w:ascii="Arial Narrow" w:hAnsi="Arial Narrow"/>
          <w:sz w:val="18"/>
          <w:szCs w:val="18"/>
        </w:rPr>
        <w:t xml:space="preserve"> </w:t>
      </w:r>
      <w:r w:rsidRPr="00AD4948">
        <w:rPr>
          <w:rFonts w:ascii="Arial Narrow" w:hAnsi="Arial Narrow"/>
          <w:sz w:val="18"/>
          <w:szCs w:val="18"/>
        </w:rPr>
        <w:t>somatostatin analogue</w:t>
      </w:r>
    </w:p>
    <w:p w:rsidR="001674D4" w:rsidRPr="00AD4948" w:rsidRDefault="001674D4" w:rsidP="000D32FA">
      <w:pPr>
        <w:pStyle w:val="MainBodyText"/>
        <w:spacing w:after="0"/>
        <w:jc w:val="left"/>
        <w:rPr>
          <w:rFonts w:ascii="Arial Narrow" w:hAnsi="Arial Narrow"/>
          <w:sz w:val="18"/>
          <w:szCs w:val="18"/>
        </w:rPr>
      </w:pPr>
      <w:r w:rsidRPr="00AD4948">
        <w:rPr>
          <w:rFonts w:ascii="Arial Narrow" w:hAnsi="Arial Narrow"/>
          <w:sz w:val="18"/>
          <w:szCs w:val="18"/>
        </w:rPr>
        <w:t xml:space="preserve">*a small number of patients </w:t>
      </w:r>
      <w:proofErr w:type="gramStart"/>
      <w:r w:rsidRPr="00AD4948">
        <w:rPr>
          <w:rFonts w:ascii="Arial Narrow" w:hAnsi="Arial Narrow"/>
          <w:sz w:val="18"/>
          <w:szCs w:val="18"/>
        </w:rPr>
        <w:t>were expected</w:t>
      </w:r>
      <w:proofErr w:type="gramEnd"/>
      <w:r w:rsidRPr="00AD4948">
        <w:rPr>
          <w:rFonts w:ascii="Arial Narrow" w:hAnsi="Arial Narrow"/>
          <w:sz w:val="18"/>
          <w:szCs w:val="18"/>
        </w:rPr>
        <w:t xml:space="preserve"> to receive treatment with </w:t>
      </w:r>
      <w:proofErr w:type="spellStart"/>
      <w:r w:rsidRPr="00AD4948">
        <w:rPr>
          <w:rFonts w:ascii="Arial Narrow" w:hAnsi="Arial Narrow"/>
          <w:sz w:val="18"/>
          <w:szCs w:val="18"/>
        </w:rPr>
        <w:t>pegvisomant</w:t>
      </w:r>
      <w:proofErr w:type="spellEnd"/>
      <w:r w:rsidRPr="00AD4948">
        <w:rPr>
          <w:rFonts w:ascii="Arial Narrow" w:hAnsi="Arial Narrow"/>
          <w:sz w:val="18"/>
          <w:szCs w:val="18"/>
        </w:rPr>
        <w:t xml:space="preserve"> in subsequent lines of therapy</w:t>
      </w:r>
    </w:p>
    <w:p w:rsidR="006518A4" w:rsidRPr="00AD4948" w:rsidRDefault="002B7176" w:rsidP="00DC2AE4">
      <w:pPr>
        <w:pStyle w:val="MainBodyText"/>
        <w:spacing w:after="120" w:line="360" w:lineRule="auto"/>
        <w:jc w:val="left"/>
        <w:rPr>
          <w:rFonts w:eastAsiaTheme="majorEastAsia"/>
          <w:lang w:eastAsia="en-US"/>
        </w:rPr>
      </w:pPr>
      <w:r w:rsidRPr="00AD4948">
        <w:rPr>
          <w:rFonts w:ascii="Arial Narrow" w:hAnsi="Arial Narrow"/>
          <w:sz w:val="18"/>
          <w:szCs w:val="18"/>
        </w:rPr>
        <w:t>Abbreviations: SSA, somatostatin analogue</w:t>
      </w:r>
      <w:r w:rsidRPr="00AD4948">
        <w:rPr>
          <w:rFonts w:ascii="Arial Narrow" w:hAnsi="Arial Narrow"/>
          <w:sz w:val="18"/>
          <w:szCs w:val="18"/>
        </w:rPr>
        <w:br/>
        <w:t xml:space="preserve">Source: </w:t>
      </w:r>
      <w:r w:rsidR="00D953EB" w:rsidRPr="00AD4948">
        <w:rPr>
          <w:rFonts w:ascii="Arial Narrow" w:hAnsi="Arial Narrow"/>
          <w:sz w:val="18"/>
          <w:szCs w:val="18"/>
        </w:rPr>
        <w:t xml:space="preserve">November </w:t>
      </w:r>
      <w:r w:rsidRPr="00AD4948">
        <w:rPr>
          <w:rFonts w:ascii="Arial Narrow" w:hAnsi="Arial Narrow"/>
          <w:sz w:val="18"/>
          <w:szCs w:val="18"/>
        </w:rPr>
        <w:t>2016 submission, page 300</w:t>
      </w:r>
    </w:p>
    <w:p w:rsidR="00DC2AE4" w:rsidRPr="00D17CA0" w:rsidRDefault="00DC2AE4" w:rsidP="000E7F34">
      <w:pPr>
        <w:pStyle w:val="ListParagraph"/>
        <w:widowControl/>
        <w:spacing w:before="120" w:after="120"/>
        <w:ind w:left="0"/>
        <w:rPr>
          <w:rFonts w:asciiTheme="minorHAnsi" w:hAnsiTheme="minorHAnsi"/>
          <w:sz w:val="24"/>
          <w:szCs w:val="24"/>
        </w:rPr>
      </w:pPr>
      <w:r w:rsidRPr="00D17CA0">
        <w:rPr>
          <w:rFonts w:asciiTheme="minorHAnsi" w:hAnsiTheme="minorHAnsi"/>
          <w:sz w:val="24"/>
          <w:szCs w:val="24"/>
        </w:rPr>
        <w:t xml:space="preserve">The redacted table shows that at Year 6, the estimated number of patients was less than 10,000. </w:t>
      </w:r>
    </w:p>
    <w:p w:rsidR="0076155E" w:rsidRPr="00AD4948" w:rsidRDefault="0076155E" w:rsidP="000E7F34">
      <w:pPr>
        <w:pStyle w:val="ListParagraph"/>
        <w:widowControl/>
        <w:spacing w:before="120" w:after="120"/>
        <w:rPr>
          <w:i/>
          <w:sz w:val="24"/>
          <w:szCs w:val="24"/>
        </w:rPr>
      </w:pPr>
      <w:r w:rsidRPr="00AD4948">
        <w:rPr>
          <w:rFonts w:asciiTheme="minorHAnsi" w:hAnsiTheme="minorHAnsi"/>
          <w:i/>
          <w:sz w:val="24"/>
          <w:szCs w:val="24"/>
        </w:rPr>
        <w:t>For more deta</w:t>
      </w:r>
      <w:r w:rsidR="00F80449" w:rsidRPr="00AD4948">
        <w:rPr>
          <w:rFonts w:asciiTheme="minorHAnsi" w:hAnsiTheme="minorHAnsi"/>
          <w:i/>
          <w:sz w:val="24"/>
          <w:szCs w:val="24"/>
        </w:rPr>
        <w:t>il on PBAC’s view, see section 5</w:t>
      </w:r>
      <w:r w:rsidRPr="00AD4948">
        <w:rPr>
          <w:rFonts w:asciiTheme="minorHAnsi" w:hAnsiTheme="minorHAnsi"/>
          <w:i/>
          <w:sz w:val="24"/>
          <w:szCs w:val="24"/>
        </w:rPr>
        <w:t xml:space="preserve"> PBAC outcome.</w:t>
      </w:r>
    </w:p>
    <w:p w:rsidR="00605C87" w:rsidRPr="00AD4948" w:rsidRDefault="00605C87" w:rsidP="000E7F34">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AD4948">
        <w:rPr>
          <w:rFonts w:asciiTheme="minorHAnsi" w:hAnsiTheme="minorHAnsi"/>
          <w:sz w:val="32"/>
          <w:szCs w:val="32"/>
        </w:rPr>
        <w:t>PBAC Outcome</w:t>
      </w:r>
    </w:p>
    <w:p w:rsidR="001A1A64" w:rsidRPr="00782F30" w:rsidRDefault="0005567B" w:rsidP="000E7F34">
      <w:pPr>
        <w:numPr>
          <w:ilvl w:val="1"/>
          <w:numId w:val="5"/>
        </w:numPr>
        <w:spacing w:before="120" w:after="120"/>
        <w:jc w:val="both"/>
        <w:rPr>
          <w:rFonts w:asciiTheme="minorHAnsi" w:hAnsiTheme="minorHAnsi" w:cstheme="minorHAnsi"/>
          <w:b/>
          <w:bCs/>
        </w:rPr>
      </w:pPr>
      <w:r w:rsidRPr="00782F30">
        <w:rPr>
          <w:rFonts w:asciiTheme="minorHAnsi" w:hAnsiTheme="minorHAnsi" w:cstheme="minorHAnsi"/>
          <w:bCs/>
        </w:rPr>
        <w:t xml:space="preserve">The PBAC recommended the following changes to the definition of failure to achieve biochemical control in the current initial PBS restriction for </w:t>
      </w:r>
      <w:proofErr w:type="spellStart"/>
      <w:r w:rsidRPr="00782F30">
        <w:rPr>
          <w:rFonts w:asciiTheme="minorHAnsi" w:hAnsiTheme="minorHAnsi" w:cstheme="minorHAnsi"/>
          <w:bCs/>
        </w:rPr>
        <w:t>pegvisomant</w:t>
      </w:r>
      <w:proofErr w:type="spellEnd"/>
      <w:r w:rsidRPr="00782F30">
        <w:rPr>
          <w:rFonts w:asciiTheme="minorHAnsi" w:hAnsiTheme="minorHAnsi" w:cstheme="minorHAnsi"/>
          <w:bCs/>
        </w:rPr>
        <w:t>:</w:t>
      </w:r>
    </w:p>
    <w:p w:rsidR="0005567B" w:rsidRPr="00AD4948" w:rsidRDefault="0005567B" w:rsidP="000E7F34">
      <w:pPr>
        <w:pStyle w:val="ListParagraph"/>
        <w:widowControl/>
        <w:numPr>
          <w:ilvl w:val="0"/>
          <w:numId w:val="31"/>
        </w:numPr>
        <w:spacing w:before="120" w:after="120"/>
        <w:contextualSpacing w:val="0"/>
        <w:rPr>
          <w:rFonts w:asciiTheme="minorHAnsi" w:hAnsiTheme="minorHAnsi"/>
          <w:sz w:val="24"/>
          <w:szCs w:val="24"/>
        </w:rPr>
      </w:pPr>
      <w:r w:rsidRPr="00AD4948">
        <w:rPr>
          <w:rFonts w:asciiTheme="minorHAnsi" w:hAnsiTheme="minorHAnsi"/>
          <w:sz w:val="24"/>
          <w:szCs w:val="24"/>
        </w:rPr>
        <w:t>A reduction to the level of growth hormone (GH) from 2.5 mcg/L to 1 mcg/L;</w:t>
      </w:r>
    </w:p>
    <w:p w:rsidR="0005567B" w:rsidRPr="00AD4948" w:rsidRDefault="0005567B" w:rsidP="000E7F34">
      <w:pPr>
        <w:pStyle w:val="ListParagraph"/>
        <w:widowControl/>
        <w:numPr>
          <w:ilvl w:val="0"/>
          <w:numId w:val="31"/>
        </w:numPr>
        <w:spacing w:before="120" w:after="120"/>
        <w:contextualSpacing w:val="0"/>
        <w:rPr>
          <w:rFonts w:asciiTheme="minorHAnsi" w:hAnsiTheme="minorHAnsi"/>
          <w:sz w:val="24"/>
          <w:szCs w:val="24"/>
        </w:rPr>
      </w:pPr>
      <w:r w:rsidRPr="00AD4948">
        <w:rPr>
          <w:rFonts w:asciiTheme="minorHAnsi" w:hAnsiTheme="minorHAnsi"/>
          <w:sz w:val="24"/>
          <w:szCs w:val="24"/>
        </w:rPr>
        <w:t xml:space="preserve">A reduction to the level of insulin-like growth factor 1 (IGF-1) from greater than 1.3 times the age- and sex-adjusted upper limit of normal (ULN) to greater than the age- and sex-adjusted ULN; </w:t>
      </w:r>
    </w:p>
    <w:p w:rsidR="000E442D" w:rsidRPr="00782F30" w:rsidRDefault="00EB63A0" w:rsidP="000E7F34">
      <w:pPr>
        <w:numPr>
          <w:ilvl w:val="1"/>
          <w:numId w:val="5"/>
        </w:numPr>
        <w:spacing w:before="120" w:after="120"/>
        <w:jc w:val="both"/>
        <w:rPr>
          <w:rFonts w:asciiTheme="minorHAnsi" w:hAnsiTheme="minorHAnsi" w:cstheme="minorHAnsi"/>
          <w:b/>
          <w:bCs/>
        </w:rPr>
      </w:pPr>
      <w:r w:rsidRPr="00782F30">
        <w:rPr>
          <w:rFonts w:asciiTheme="minorHAnsi" w:hAnsiTheme="minorHAnsi" w:cstheme="minorHAnsi"/>
          <w:bCs/>
        </w:rPr>
        <w:t xml:space="preserve">The PBAC </w:t>
      </w:r>
      <w:r w:rsidR="00407D0B" w:rsidRPr="00782F30">
        <w:rPr>
          <w:rFonts w:asciiTheme="minorHAnsi" w:hAnsiTheme="minorHAnsi" w:cstheme="minorHAnsi"/>
          <w:bCs/>
        </w:rPr>
        <w:t>recommend</w:t>
      </w:r>
      <w:r w:rsidR="00FA1E6A">
        <w:rPr>
          <w:rFonts w:asciiTheme="minorHAnsi" w:hAnsiTheme="minorHAnsi" w:cstheme="minorHAnsi"/>
          <w:bCs/>
        </w:rPr>
        <w:t>ed</w:t>
      </w:r>
      <w:r w:rsidR="00407D0B" w:rsidRPr="00782F30">
        <w:rPr>
          <w:rFonts w:asciiTheme="minorHAnsi" w:hAnsiTheme="minorHAnsi" w:cstheme="minorHAnsi"/>
          <w:bCs/>
        </w:rPr>
        <w:t xml:space="preserve"> changing the definition to </w:t>
      </w:r>
      <w:r w:rsidR="00377BB3" w:rsidRPr="00782F30">
        <w:rPr>
          <w:rFonts w:asciiTheme="minorHAnsi" w:hAnsiTheme="minorHAnsi" w:cstheme="minorHAnsi"/>
          <w:bCs/>
        </w:rPr>
        <w:t xml:space="preserve">using either GH or IGF-1 in the definition of failure to achieve biochemical control. </w:t>
      </w:r>
      <w:r w:rsidR="0072259F" w:rsidRPr="00782F30">
        <w:rPr>
          <w:rFonts w:asciiTheme="minorHAnsi" w:hAnsiTheme="minorHAnsi" w:cstheme="minorHAnsi"/>
          <w:bCs/>
        </w:rPr>
        <w:t xml:space="preserve">The PBAC noted the </w:t>
      </w:r>
      <w:r w:rsidR="008F72F5" w:rsidRPr="00782F30">
        <w:rPr>
          <w:rFonts w:asciiTheme="minorHAnsi" w:hAnsiTheme="minorHAnsi" w:cstheme="minorHAnsi"/>
          <w:bCs/>
        </w:rPr>
        <w:t xml:space="preserve">initial restriction criteria </w:t>
      </w:r>
      <w:r w:rsidR="0072259F" w:rsidRPr="00782F30">
        <w:rPr>
          <w:rFonts w:asciiTheme="minorHAnsi" w:hAnsiTheme="minorHAnsi" w:cstheme="minorHAnsi"/>
          <w:bCs/>
        </w:rPr>
        <w:t xml:space="preserve">for </w:t>
      </w:r>
      <w:proofErr w:type="spellStart"/>
      <w:r w:rsidR="0072259F" w:rsidRPr="00782F30">
        <w:rPr>
          <w:rFonts w:asciiTheme="minorHAnsi" w:hAnsiTheme="minorHAnsi" w:cstheme="minorHAnsi"/>
          <w:bCs/>
        </w:rPr>
        <w:t>pegvisomant</w:t>
      </w:r>
      <w:proofErr w:type="spellEnd"/>
      <w:r w:rsidR="0072259F" w:rsidRPr="00782F30">
        <w:rPr>
          <w:rFonts w:asciiTheme="minorHAnsi" w:hAnsiTheme="minorHAnsi" w:cstheme="minorHAnsi"/>
          <w:bCs/>
        </w:rPr>
        <w:t xml:space="preserve"> did not include </w:t>
      </w:r>
      <w:proofErr w:type="gramStart"/>
      <w:r w:rsidR="0072259F" w:rsidRPr="00782F30">
        <w:rPr>
          <w:rFonts w:asciiTheme="minorHAnsi" w:hAnsiTheme="minorHAnsi" w:cstheme="minorHAnsi"/>
          <w:bCs/>
        </w:rPr>
        <w:t xml:space="preserve">a </w:t>
      </w:r>
      <w:r w:rsidR="008F72F5" w:rsidRPr="00782F30">
        <w:rPr>
          <w:rFonts w:asciiTheme="minorHAnsi" w:hAnsiTheme="minorHAnsi" w:cstheme="minorHAnsi"/>
          <w:bCs/>
        </w:rPr>
        <w:t>clinical criteria</w:t>
      </w:r>
      <w:proofErr w:type="gramEnd"/>
      <w:r w:rsidR="008F72F5" w:rsidRPr="00782F30">
        <w:rPr>
          <w:rFonts w:asciiTheme="minorHAnsi" w:hAnsiTheme="minorHAnsi" w:cstheme="minorHAnsi"/>
          <w:bCs/>
        </w:rPr>
        <w:t xml:space="preserve"> related to GH levels but only for IGF</w:t>
      </w:r>
      <w:r w:rsidR="00840549" w:rsidRPr="00782F30">
        <w:rPr>
          <w:rFonts w:asciiTheme="minorHAnsi" w:hAnsiTheme="minorHAnsi" w:cstheme="minorHAnsi"/>
          <w:bCs/>
        </w:rPr>
        <w:t>-1</w:t>
      </w:r>
      <w:r w:rsidR="008F72F5" w:rsidRPr="00782F30">
        <w:rPr>
          <w:rFonts w:asciiTheme="minorHAnsi" w:hAnsiTheme="minorHAnsi" w:cstheme="minorHAnsi"/>
          <w:bCs/>
        </w:rPr>
        <w:t xml:space="preserve"> levels. The PBAC noted that discordance of GH and IGF</w:t>
      </w:r>
      <w:r w:rsidR="00840549" w:rsidRPr="00782F30">
        <w:rPr>
          <w:rFonts w:asciiTheme="minorHAnsi" w:hAnsiTheme="minorHAnsi" w:cstheme="minorHAnsi"/>
          <w:bCs/>
        </w:rPr>
        <w:t>-1</w:t>
      </w:r>
      <w:r w:rsidR="008F72F5" w:rsidRPr="00782F30">
        <w:rPr>
          <w:rFonts w:asciiTheme="minorHAnsi" w:hAnsiTheme="minorHAnsi" w:cstheme="minorHAnsi"/>
          <w:bCs/>
        </w:rPr>
        <w:t xml:space="preserve"> results can occur in up to 30% of patients and the reasons for </w:t>
      </w:r>
      <w:r w:rsidR="00840549" w:rsidRPr="00782F30">
        <w:rPr>
          <w:rFonts w:asciiTheme="minorHAnsi" w:hAnsiTheme="minorHAnsi" w:cstheme="minorHAnsi"/>
          <w:bCs/>
        </w:rPr>
        <w:t xml:space="preserve">discordance </w:t>
      </w:r>
      <w:r w:rsidR="008F72F5" w:rsidRPr="00782F30">
        <w:rPr>
          <w:rFonts w:asciiTheme="minorHAnsi" w:hAnsiTheme="minorHAnsi" w:cstheme="minorHAnsi"/>
          <w:bCs/>
        </w:rPr>
        <w:t xml:space="preserve">can be complex. </w:t>
      </w:r>
      <w:r w:rsidR="00840549" w:rsidRPr="00782F30">
        <w:rPr>
          <w:rFonts w:asciiTheme="minorHAnsi" w:hAnsiTheme="minorHAnsi" w:cstheme="minorHAnsi"/>
          <w:bCs/>
        </w:rPr>
        <w:t xml:space="preserve">The PBAC considered the impact of changing the </w:t>
      </w:r>
      <w:r w:rsidR="001C04EA" w:rsidRPr="00782F30">
        <w:rPr>
          <w:rFonts w:asciiTheme="minorHAnsi" w:hAnsiTheme="minorHAnsi" w:cstheme="minorHAnsi"/>
          <w:bCs/>
        </w:rPr>
        <w:t xml:space="preserve">definition of failure to achieve biochemical control </w:t>
      </w:r>
      <w:r w:rsidR="00840549" w:rsidRPr="00782F30">
        <w:rPr>
          <w:rFonts w:asciiTheme="minorHAnsi" w:hAnsiTheme="minorHAnsi" w:cstheme="minorHAnsi"/>
          <w:bCs/>
        </w:rPr>
        <w:t xml:space="preserve">to using either GH or IGF-1 </w:t>
      </w:r>
      <w:r w:rsidR="001C04EA" w:rsidRPr="00782F30">
        <w:rPr>
          <w:rFonts w:asciiTheme="minorHAnsi" w:hAnsiTheme="minorHAnsi" w:cstheme="minorHAnsi"/>
          <w:bCs/>
        </w:rPr>
        <w:t>levels</w:t>
      </w:r>
      <w:r w:rsidR="00840549" w:rsidRPr="00782F30">
        <w:rPr>
          <w:rFonts w:asciiTheme="minorHAnsi" w:hAnsiTheme="minorHAnsi" w:cstheme="minorHAnsi"/>
          <w:bCs/>
        </w:rPr>
        <w:t xml:space="preserve"> was uncertain</w:t>
      </w:r>
      <w:r w:rsidR="00AD4948">
        <w:rPr>
          <w:rFonts w:asciiTheme="minorHAnsi" w:hAnsiTheme="minorHAnsi" w:cstheme="minorHAnsi"/>
          <w:bCs/>
        </w:rPr>
        <w:t xml:space="preserve">. </w:t>
      </w:r>
    </w:p>
    <w:p w:rsidR="00B47B2C" w:rsidRPr="00782F30" w:rsidRDefault="001A4B95" w:rsidP="000E7F34">
      <w:pPr>
        <w:numPr>
          <w:ilvl w:val="1"/>
          <w:numId w:val="5"/>
        </w:numPr>
        <w:spacing w:before="120" w:after="120"/>
        <w:jc w:val="both"/>
        <w:rPr>
          <w:rFonts w:asciiTheme="minorHAnsi" w:hAnsiTheme="minorHAnsi" w:cstheme="minorHAnsi"/>
          <w:b/>
          <w:bCs/>
        </w:rPr>
      </w:pPr>
      <w:r w:rsidRPr="00782F30">
        <w:rPr>
          <w:rFonts w:asciiTheme="minorHAnsi" w:hAnsiTheme="minorHAnsi" w:cstheme="minorHAnsi"/>
          <w:bCs/>
        </w:rPr>
        <w:lastRenderedPageBreak/>
        <w:t xml:space="preserve">The PBAC noted the </w:t>
      </w:r>
      <w:proofErr w:type="spellStart"/>
      <w:r w:rsidRPr="00782F30">
        <w:rPr>
          <w:rFonts w:asciiTheme="minorHAnsi" w:hAnsiTheme="minorHAnsi" w:cstheme="minorHAnsi"/>
          <w:bCs/>
        </w:rPr>
        <w:t>Katznelson</w:t>
      </w:r>
      <w:proofErr w:type="spellEnd"/>
      <w:r w:rsidRPr="00782F30">
        <w:rPr>
          <w:rFonts w:asciiTheme="minorHAnsi" w:hAnsiTheme="minorHAnsi" w:cstheme="minorHAnsi"/>
          <w:bCs/>
        </w:rPr>
        <w:t xml:space="preserve"> (2014)</w:t>
      </w:r>
      <w:r w:rsidR="00CD559A" w:rsidRPr="00782F30">
        <w:rPr>
          <w:rStyle w:val="FootnoteReference"/>
          <w:rFonts w:asciiTheme="minorHAnsi" w:hAnsiTheme="minorHAnsi" w:cstheme="minorHAnsi"/>
          <w:bCs/>
        </w:rPr>
        <w:footnoteReference w:id="8"/>
      </w:r>
      <w:r w:rsidRPr="00782F30">
        <w:rPr>
          <w:rFonts w:asciiTheme="minorHAnsi" w:hAnsiTheme="minorHAnsi" w:cstheme="minorHAnsi"/>
          <w:bCs/>
        </w:rPr>
        <w:t xml:space="preserve"> treatment guidelines discussed in the submission, as well as an international consensus</w:t>
      </w:r>
      <w:r w:rsidR="00CD559A" w:rsidRPr="00782F30">
        <w:rPr>
          <w:rStyle w:val="FootnoteReference"/>
          <w:rFonts w:asciiTheme="minorHAnsi" w:hAnsiTheme="minorHAnsi" w:cstheme="minorHAnsi"/>
          <w:bCs/>
        </w:rPr>
        <w:footnoteReference w:id="9"/>
      </w:r>
      <w:r w:rsidRPr="00782F30">
        <w:rPr>
          <w:rFonts w:asciiTheme="minorHAnsi" w:hAnsiTheme="minorHAnsi" w:cstheme="minorHAnsi"/>
          <w:bCs/>
        </w:rPr>
        <w:t xml:space="preserve"> on a</w:t>
      </w:r>
      <w:r w:rsidR="00845D76" w:rsidRPr="00782F30">
        <w:rPr>
          <w:rFonts w:asciiTheme="minorHAnsi" w:hAnsiTheme="minorHAnsi" w:cstheme="minorHAnsi"/>
          <w:bCs/>
        </w:rPr>
        <w:t xml:space="preserve">cromegaly treatment, </w:t>
      </w:r>
      <w:r w:rsidRPr="00782F30">
        <w:rPr>
          <w:rFonts w:asciiTheme="minorHAnsi" w:hAnsiTheme="minorHAnsi" w:cstheme="minorHAnsi"/>
          <w:bCs/>
        </w:rPr>
        <w:t xml:space="preserve">and considered </w:t>
      </w:r>
      <w:r w:rsidR="00891409" w:rsidRPr="00782F30">
        <w:rPr>
          <w:rFonts w:asciiTheme="minorHAnsi" w:hAnsiTheme="minorHAnsi" w:cstheme="minorHAnsi"/>
          <w:bCs/>
        </w:rPr>
        <w:t xml:space="preserve">these provided clinical support </w:t>
      </w:r>
      <w:r w:rsidR="000E442D" w:rsidRPr="00782F30">
        <w:rPr>
          <w:rFonts w:asciiTheme="minorHAnsi" w:hAnsiTheme="minorHAnsi" w:cstheme="minorHAnsi"/>
          <w:bCs/>
        </w:rPr>
        <w:t xml:space="preserve">for </w:t>
      </w:r>
      <w:r w:rsidR="00891409" w:rsidRPr="00782F30">
        <w:rPr>
          <w:rFonts w:asciiTheme="minorHAnsi" w:hAnsiTheme="minorHAnsi" w:cstheme="minorHAnsi"/>
          <w:bCs/>
        </w:rPr>
        <w:t xml:space="preserve">the restriction changes. </w:t>
      </w:r>
      <w:r w:rsidR="00E6021E" w:rsidRPr="00782F30">
        <w:rPr>
          <w:rFonts w:asciiTheme="minorHAnsi" w:hAnsiTheme="minorHAnsi" w:cstheme="minorHAnsi"/>
          <w:bCs/>
        </w:rPr>
        <w:t>The PBAC noted the clinical data provided in th</w:t>
      </w:r>
      <w:r w:rsidR="002F4A7F" w:rsidRPr="00782F30">
        <w:rPr>
          <w:rFonts w:asciiTheme="minorHAnsi" w:hAnsiTheme="minorHAnsi" w:cstheme="minorHAnsi"/>
          <w:bCs/>
        </w:rPr>
        <w:t>e</w:t>
      </w:r>
      <w:r w:rsidR="00E6021E" w:rsidRPr="00782F30">
        <w:rPr>
          <w:rFonts w:asciiTheme="minorHAnsi" w:hAnsiTheme="minorHAnsi" w:cstheme="minorHAnsi"/>
          <w:bCs/>
        </w:rPr>
        <w:t xml:space="preserve"> minor submission, and considered the subgroup analysis to be informative</w:t>
      </w:r>
      <w:r w:rsidR="000E442D" w:rsidRPr="00782F30">
        <w:rPr>
          <w:rFonts w:asciiTheme="minorHAnsi" w:hAnsiTheme="minorHAnsi" w:cstheme="minorHAnsi"/>
          <w:bCs/>
        </w:rPr>
        <w:t xml:space="preserve"> but of limited value </w:t>
      </w:r>
      <w:r w:rsidR="002F4A7F" w:rsidRPr="00782F30">
        <w:rPr>
          <w:rFonts w:asciiTheme="minorHAnsi" w:hAnsiTheme="minorHAnsi" w:cstheme="minorHAnsi"/>
          <w:bCs/>
        </w:rPr>
        <w:t>in its decision-making. The PBAC recalled it has previously</w:t>
      </w:r>
      <w:r w:rsidR="00BC7248" w:rsidRPr="00782F30">
        <w:rPr>
          <w:rFonts w:asciiTheme="minorHAnsi" w:hAnsiTheme="minorHAnsi" w:cstheme="minorHAnsi"/>
          <w:bCs/>
        </w:rPr>
        <w:t xml:space="preserve"> considered</w:t>
      </w:r>
      <w:r w:rsidR="002F4A7F" w:rsidRPr="00782F30">
        <w:rPr>
          <w:rFonts w:asciiTheme="minorHAnsi" w:hAnsiTheme="minorHAnsi" w:cstheme="minorHAnsi"/>
          <w:bCs/>
        </w:rPr>
        <w:t xml:space="preserve"> the </w:t>
      </w:r>
      <w:r w:rsidR="002F4A7F" w:rsidRPr="00AD4948">
        <w:rPr>
          <w:rFonts w:asciiTheme="minorHAnsi" w:hAnsiTheme="minorHAnsi"/>
        </w:rPr>
        <w:t>representativeness of subgroup</w:t>
      </w:r>
      <w:r w:rsidR="00CF2C95" w:rsidRPr="00AD4948">
        <w:rPr>
          <w:rFonts w:asciiTheme="minorHAnsi" w:hAnsiTheme="minorHAnsi"/>
        </w:rPr>
        <w:t>s</w:t>
      </w:r>
      <w:r w:rsidR="002F4A7F" w:rsidRPr="00AD4948">
        <w:rPr>
          <w:rFonts w:asciiTheme="minorHAnsi" w:hAnsiTheme="minorHAnsi"/>
        </w:rPr>
        <w:t xml:space="preserve"> in the study to the PBS population</w:t>
      </w:r>
      <w:r w:rsidR="00BC7248" w:rsidRPr="00AD4948">
        <w:rPr>
          <w:rFonts w:asciiTheme="minorHAnsi" w:hAnsiTheme="minorHAnsi"/>
        </w:rPr>
        <w:t xml:space="preserve"> unclear</w:t>
      </w:r>
      <w:r w:rsidR="00AD4948">
        <w:rPr>
          <w:rFonts w:asciiTheme="minorHAnsi" w:hAnsiTheme="minorHAnsi"/>
        </w:rPr>
        <w:t xml:space="preserve">. </w:t>
      </w:r>
    </w:p>
    <w:p w:rsidR="00433A53" w:rsidRPr="00782F30" w:rsidRDefault="00433A53" w:rsidP="000E7F34">
      <w:pPr>
        <w:numPr>
          <w:ilvl w:val="1"/>
          <w:numId w:val="5"/>
        </w:numPr>
        <w:spacing w:before="120" w:after="120"/>
        <w:jc w:val="both"/>
        <w:rPr>
          <w:rFonts w:asciiTheme="minorHAnsi" w:hAnsiTheme="minorHAnsi" w:cstheme="minorHAnsi"/>
          <w:b/>
          <w:bCs/>
        </w:rPr>
      </w:pPr>
      <w:r w:rsidRPr="00782F30">
        <w:rPr>
          <w:rFonts w:asciiTheme="minorHAnsi" w:hAnsiTheme="minorHAnsi" w:cstheme="minorHAnsi"/>
          <w:bCs/>
        </w:rPr>
        <w:t xml:space="preserve">The PBAC noted standardisation issues for GH and IGF-1 assays, particularly with respect to laboratories reflecting GH levels </w:t>
      </w:r>
      <w:r w:rsidR="00520D27" w:rsidRPr="00782F30">
        <w:rPr>
          <w:rFonts w:asciiTheme="minorHAnsi" w:hAnsiTheme="minorHAnsi" w:cstheme="minorHAnsi"/>
          <w:bCs/>
        </w:rPr>
        <w:t xml:space="preserve">in </w:t>
      </w:r>
      <w:proofErr w:type="spellStart"/>
      <w:r w:rsidR="00EF7A2A" w:rsidRPr="00782F30">
        <w:rPr>
          <w:rFonts w:asciiTheme="minorHAnsi" w:hAnsiTheme="minorHAnsi" w:cstheme="minorHAnsi"/>
          <w:bCs/>
        </w:rPr>
        <w:t>mIU</w:t>
      </w:r>
      <w:proofErr w:type="spellEnd"/>
      <w:r w:rsidR="00EF7A2A" w:rsidRPr="00782F30">
        <w:rPr>
          <w:rFonts w:asciiTheme="minorHAnsi" w:hAnsiTheme="minorHAnsi" w:cstheme="minorHAnsi"/>
          <w:bCs/>
        </w:rPr>
        <w:t>/mL</w:t>
      </w:r>
      <w:r w:rsidR="00EF03F2" w:rsidRPr="00782F30">
        <w:rPr>
          <w:rFonts w:asciiTheme="minorHAnsi" w:hAnsiTheme="minorHAnsi" w:cstheme="minorHAnsi"/>
          <w:bCs/>
        </w:rPr>
        <w:t xml:space="preserve"> as well as </w:t>
      </w:r>
      <w:r w:rsidR="00520D27" w:rsidRPr="00782F30">
        <w:rPr>
          <w:rFonts w:asciiTheme="minorHAnsi" w:hAnsiTheme="minorHAnsi" w:cstheme="minorHAnsi"/>
          <w:bCs/>
        </w:rPr>
        <w:t>mcg/L</w:t>
      </w:r>
      <w:r w:rsidR="00551A49" w:rsidRPr="00782F30">
        <w:rPr>
          <w:rFonts w:asciiTheme="minorHAnsi" w:hAnsiTheme="minorHAnsi" w:cstheme="minorHAnsi"/>
          <w:bCs/>
        </w:rPr>
        <w:t xml:space="preserve">, with the latter </w:t>
      </w:r>
      <w:proofErr w:type="gramStart"/>
      <w:r w:rsidR="00551A49" w:rsidRPr="00782F30">
        <w:rPr>
          <w:rFonts w:asciiTheme="minorHAnsi" w:hAnsiTheme="minorHAnsi" w:cstheme="minorHAnsi"/>
          <w:bCs/>
        </w:rPr>
        <w:t>being used</w:t>
      </w:r>
      <w:proofErr w:type="gramEnd"/>
      <w:r w:rsidRPr="00782F30">
        <w:rPr>
          <w:rFonts w:asciiTheme="minorHAnsi" w:hAnsiTheme="minorHAnsi" w:cstheme="minorHAnsi"/>
          <w:bCs/>
        </w:rPr>
        <w:t xml:space="preserve"> in the PBS restri</w:t>
      </w:r>
      <w:r w:rsidR="00EF7A2A" w:rsidRPr="00782F30">
        <w:rPr>
          <w:rFonts w:asciiTheme="minorHAnsi" w:hAnsiTheme="minorHAnsi" w:cstheme="minorHAnsi"/>
          <w:bCs/>
        </w:rPr>
        <w:t xml:space="preserve">ctions </w:t>
      </w:r>
      <w:r w:rsidR="00551A49" w:rsidRPr="00782F30">
        <w:rPr>
          <w:rFonts w:asciiTheme="minorHAnsi" w:hAnsiTheme="minorHAnsi" w:cstheme="minorHAnsi"/>
          <w:bCs/>
        </w:rPr>
        <w:t>for the acromegaly agents.</w:t>
      </w:r>
      <w:r w:rsidRPr="00782F30">
        <w:rPr>
          <w:rFonts w:asciiTheme="minorHAnsi" w:hAnsiTheme="minorHAnsi" w:cstheme="minorHAnsi"/>
          <w:bCs/>
        </w:rPr>
        <w:t xml:space="preserve"> In accordance with the pre-PBAC response, the PBAC advised that the current </w:t>
      </w:r>
      <w:proofErr w:type="spellStart"/>
      <w:r w:rsidRPr="00782F30">
        <w:rPr>
          <w:rFonts w:asciiTheme="minorHAnsi" w:hAnsiTheme="minorHAnsi" w:cstheme="minorHAnsi"/>
          <w:bCs/>
        </w:rPr>
        <w:t>pegvisomant</w:t>
      </w:r>
      <w:proofErr w:type="spellEnd"/>
      <w:r w:rsidRPr="00782F30">
        <w:rPr>
          <w:rFonts w:asciiTheme="minorHAnsi" w:hAnsiTheme="minorHAnsi" w:cstheme="minorHAnsi"/>
          <w:bCs/>
        </w:rPr>
        <w:t xml:space="preserve"> restriction should be amended to reflect GH levels in both units</w:t>
      </w:r>
      <w:r w:rsidR="00EF7A2A" w:rsidRPr="00782F30">
        <w:rPr>
          <w:rFonts w:asciiTheme="minorHAnsi" w:hAnsiTheme="minorHAnsi" w:cstheme="minorHAnsi"/>
          <w:bCs/>
        </w:rPr>
        <w:t xml:space="preserve">, with </w:t>
      </w:r>
      <w:proofErr w:type="gramStart"/>
      <w:r w:rsidR="00EF7A2A" w:rsidRPr="00782F30">
        <w:rPr>
          <w:rFonts w:asciiTheme="minorHAnsi" w:hAnsiTheme="minorHAnsi" w:cstheme="minorHAnsi"/>
          <w:bCs/>
        </w:rPr>
        <w:t>1</w:t>
      </w:r>
      <w:proofErr w:type="gramEnd"/>
      <w:r w:rsidR="00EF7A2A" w:rsidRPr="00782F30">
        <w:rPr>
          <w:rFonts w:asciiTheme="minorHAnsi" w:hAnsiTheme="minorHAnsi" w:cstheme="minorHAnsi"/>
          <w:bCs/>
        </w:rPr>
        <w:t xml:space="preserve"> mc</w:t>
      </w:r>
      <w:r w:rsidRPr="00782F30">
        <w:rPr>
          <w:rFonts w:asciiTheme="minorHAnsi" w:hAnsiTheme="minorHAnsi" w:cstheme="minorHAnsi"/>
          <w:bCs/>
        </w:rPr>
        <w:t xml:space="preserve">g/L being equal to 3 </w:t>
      </w:r>
      <w:proofErr w:type="spellStart"/>
      <w:r w:rsidRPr="00782F30">
        <w:rPr>
          <w:rFonts w:asciiTheme="minorHAnsi" w:hAnsiTheme="minorHAnsi" w:cstheme="minorHAnsi"/>
          <w:bCs/>
        </w:rPr>
        <w:t>mIU</w:t>
      </w:r>
      <w:proofErr w:type="spellEnd"/>
      <w:r w:rsidRPr="00782F30">
        <w:rPr>
          <w:rFonts w:asciiTheme="minorHAnsi" w:hAnsiTheme="minorHAnsi" w:cstheme="minorHAnsi"/>
          <w:bCs/>
        </w:rPr>
        <w:t>/L</w:t>
      </w:r>
      <w:r w:rsidR="00AD4948">
        <w:rPr>
          <w:rFonts w:asciiTheme="minorHAnsi" w:hAnsiTheme="minorHAnsi" w:cstheme="minorHAnsi"/>
          <w:bCs/>
        </w:rPr>
        <w:t>.</w:t>
      </w:r>
    </w:p>
    <w:p w:rsidR="00CB7369" w:rsidRPr="00782F30" w:rsidRDefault="00BC7248" w:rsidP="000E7F34">
      <w:pPr>
        <w:numPr>
          <w:ilvl w:val="1"/>
          <w:numId w:val="5"/>
        </w:numPr>
        <w:spacing w:before="120" w:after="120"/>
        <w:jc w:val="both"/>
        <w:rPr>
          <w:rFonts w:asciiTheme="minorHAnsi" w:hAnsiTheme="minorHAnsi" w:cstheme="minorHAnsi"/>
          <w:bCs/>
        </w:rPr>
      </w:pPr>
      <w:r w:rsidRPr="00782F30">
        <w:rPr>
          <w:rFonts w:asciiTheme="minorHAnsi" w:hAnsiTheme="minorHAnsi" w:cstheme="minorHAnsi"/>
          <w:bCs/>
        </w:rPr>
        <w:t xml:space="preserve">The PBAC considered it would be appropriate for the changes made to the </w:t>
      </w:r>
      <w:proofErr w:type="spellStart"/>
      <w:r w:rsidRPr="00782F30">
        <w:rPr>
          <w:rFonts w:asciiTheme="minorHAnsi" w:hAnsiTheme="minorHAnsi" w:cstheme="minorHAnsi"/>
          <w:bCs/>
        </w:rPr>
        <w:t>pegvi</w:t>
      </w:r>
      <w:r w:rsidR="00CF2C95" w:rsidRPr="00782F30">
        <w:rPr>
          <w:rFonts w:asciiTheme="minorHAnsi" w:hAnsiTheme="minorHAnsi" w:cstheme="minorHAnsi"/>
          <w:bCs/>
        </w:rPr>
        <w:t>somant</w:t>
      </w:r>
      <w:proofErr w:type="spellEnd"/>
      <w:r w:rsidR="00CF2C95" w:rsidRPr="00782F30">
        <w:rPr>
          <w:rFonts w:asciiTheme="minorHAnsi" w:hAnsiTheme="minorHAnsi" w:cstheme="minorHAnsi"/>
          <w:bCs/>
        </w:rPr>
        <w:t xml:space="preserve"> restriction criteria </w:t>
      </w:r>
      <w:r w:rsidR="0017099E" w:rsidRPr="00782F30">
        <w:rPr>
          <w:rFonts w:asciiTheme="minorHAnsi" w:hAnsiTheme="minorHAnsi" w:cstheme="minorHAnsi"/>
          <w:bCs/>
        </w:rPr>
        <w:t xml:space="preserve">to </w:t>
      </w:r>
      <w:r w:rsidR="00CF2C95" w:rsidRPr="00782F30">
        <w:rPr>
          <w:rFonts w:asciiTheme="minorHAnsi" w:hAnsiTheme="minorHAnsi" w:cstheme="minorHAnsi"/>
          <w:bCs/>
        </w:rPr>
        <w:t>al</w:t>
      </w:r>
      <w:r w:rsidR="00FE5DFA" w:rsidRPr="00782F30">
        <w:rPr>
          <w:rFonts w:asciiTheme="minorHAnsi" w:hAnsiTheme="minorHAnsi" w:cstheme="minorHAnsi"/>
          <w:bCs/>
        </w:rPr>
        <w:t xml:space="preserve">so </w:t>
      </w:r>
      <w:proofErr w:type="gramStart"/>
      <w:r w:rsidR="00FE5DFA" w:rsidRPr="00782F30">
        <w:rPr>
          <w:rFonts w:asciiTheme="minorHAnsi" w:hAnsiTheme="minorHAnsi" w:cstheme="minorHAnsi"/>
          <w:bCs/>
        </w:rPr>
        <w:t>be made</w:t>
      </w:r>
      <w:proofErr w:type="gramEnd"/>
      <w:r w:rsidR="00FE5DFA" w:rsidRPr="00782F30">
        <w:rPr>
          <w:rFonts w:asciiTheme="minorHAnsi" w:hAnsiTheme="minorHAnsi" w:cstheme="minorHAnsi"/>
          <w:bCs/>
        </w:rPr>
        <w:t xml:space="preserve"> to </w:t>
      </w:r>
      <w:r w:rsidR="00CF2C95" w:rsidRPr="00782F30">
        <w:rPr>
          <w:rFonts w:asciiTheme="minorHAnsi" w:hAnsiTheme="minorHAnsi" w:cstheme="minorHAnsi"/>
          <w:bCs/>
        </w:rPr>
        <w:t>the</w:t>
      </w:r>
      <w:r w:rsidRPr="00782F30">
        <w:rPr>
          <w:rFonts w:asciiTheme="minorHAnsi" w:hAnsiTheme="minorHAnsi" w:cstheme="minorHAnsi"/>
          <w:bCs/>
        </w:rPr>
        <w:t xml:space="preserve"> </w:t>
      </w:r>
      <w:proofErr w:type="spellStart"/>
      <w:r w:rsidRPr="00782F30">
        <w:rPr>
          <w:rFonts w:asciiTheme="minorHAnsi" w:hAnsiTheme="minorHAnsi" w:cstheme="minorHAnsi"/>
          <w:bCs/>
        </w:rPr>
        <w:t>pasireotide</w:t>
      </w:r>
      <w:proofErr w:type="spellEnd"/>
      <w:r w:rsidRPr="00782F30">
        <w:rPr>
          <w:rFonts w:asciiTheme="minorHAnsi" w:hAnsiTheme="minorHAnsi" w:cstheme="minorHAnsi"/>
          <w:bCs/>
        </w:rPr>
        <w:t xml:space="preserve"> restriction criteria to ensure both second line agents have consistent criteria.</w:t>
      </w:r>
      <w:r w:rsidR="008F72F5" w:rsidRPr="00782F30">
        <w:rPr>
          <w:rFonts w:asciiTheme="minorHAnsi" w:hAnsiTheme="minorHAnsi" w:cstheme="minorHAnsi"/>
          <w:bCs/>
        </w:rPr>
        <w:t xml:space="preserve"> The PBAC also recommended the change to GH and IGF</w:t>
      </w:r>
      <w:r w:rsidR="0017099E" w:rsidRPr="00782F30">
        <w:rPr>
          <w:rFonts w:asciiTheme="minorHAnsi" w:hAnsiTheme="minorHAnsi" w:cstheme="minorHAnsi"/>
          <w:bCs/>
        </w:rPr>
        <w:t>-1</w:t>
      </w:r>
      <w:r w:rsidR="008F72F5" w:rsidRPr="00782F30">
        <w:rPr>
          <w:rFonts w:asciiTheme="minorHAnsi" w:hAnsiTheme="minorHAnsi" w:cstheme="minorHAnsi"/>
          <w:bCs/>
        </w:rPr>
        <w:t xml:space="preserve"> levels </w:t>
      </w:r>
      <w:proofErr w:type="gramStart"/>
      <w:r w:rsidR="008F72F5" w:rsidRPr="00782F30">
        <w:rPr>
          <w:rFonts w:asciiTheme="minorHAnsi" w:hAnsiTheme="minorHAnsi" w:cstheme="minorHAnsi"/>
          <w:bCs/>
        </w:rPr>
        <w:t>be reflected</w:t>
      </w:r>
      <w:proofErr w:type="gramEnd"/>
      <w:r w:rsidR="008F72F5" w:rsidRPr="00782F30">
        <w:rPr>
          <w:rFonts w:asciiTheme="minorHAnsi" w:hAnsiTheme="minorHAnsi" w:cstheme="minorHAnsi"/>
          <w:bCs/>
        </w:rPr>
        <w:t xml:space="preserve"> in the clinical criteria for the initial restriction for </w:t>
      </w:r>
      <w:proofErr w:type="spellStart"/>
      <w:r w:rsidR="008F72F5" w:rsidRPr="00782F30">
        <w:rPr>
          <w:rFonts w:asciiTheme="minorHAnsi" w:hAnsiTheme="minorHAnsi" w:cstheme="minorHAnsi"/>
          <w:bCs/>
        </w:rPr>
        <w:t>pegvisomant</w:t>
      </w:r>
      <w:proofErr w:type="spellEnd"/>
      <w:r w:rsidR="008F72F5" w:rsidRPr="00782F30">
        <w:rPr>
          <w:rFonts w:asciiTheme="minorHAnsi" w:hAnsiTheme="minorHAnsi" w:cstheme="minorHAnsi"/>
          <w:bCs/>
        </w:rPr>
        <w:t xml:space="preserve"> and </w:t>
      </w:r>
      <w:proofErr w:type="spellStart"/>
      <w:r w:rsidR="008F72F5" w:rsidRPr="00782F30">
        <w:rPr>
          <w:rFonts w:asciiTheme="minorHAnsi" w:hAnsiTheme="minorHAnsi" w:cstheme="minorHAnsi"/>
          <w:bCs/>
        </w:rPr>
        <w:t>pasireotide</w:t>
      </w:r>
      <w:proofErr w:type="spellEnd"/>
      <w:r w:rsidR="008F72F5" w:rsidRPr="00782F30">
        <w:rPr>
          <w:rFonts w:asciiTheme="minorHAnsi" w:hAnsiTheme="minorHAnsi" w:cstheme="minorHAnsi"/>
          <w:bCs/>
        </w:rPr>
        <w:t xml:space="preserve">. </w:t>
      </w:r>
      <w:r w:rsidR="00242D66" w:rsidRPr="00782F30">
        <w:rPr>
          <w:rFonts w:asciiTheme="minorHAnsi" w:hAnsiTheme="minorHAnsi" w:cstheme="minorHAnsi"/>
          <w:bCs/>
        </w:rPr>
        <w:t xml:space="preserve">The PBAC noted the restriction criteria for the first line agents include reference to GH and IGF-1 levels and would welcome a submission from the sponsors of these agents proposing changes </w:t>
      </w:r>
      <w:proofErr w:type="gramStart"/>
      <w:r w:rsidR="00242D66" w:rsidRPr="00782F30">
        <w:rPr>
          <w:rFonts w:asciiTheme="minorHAnsi" w:hAnsiTheme="minorHAnsi" w:cstheme="minorHAnsi"/>
          <w:bCs/>
        </w:rPr>
        <w:t>to better</w:t>
      </w:r>
      <w:proofErr w:type="gramEnd"/>
      <w:r w:rsidR="00242D66" w:rsidRPr="00782F30">
        <w:rPr>
          <w:rFonts w:asciiTheme="minorHAnsi" w:hAnsiTheme="minorHAnsi" w:cstheme="minorHAnsi"/>
          <w:bCs/>
        </w:rPr>
        <w:t xml:space="preserve"> align</w:t>
      </w:r>
      <w:r w:rsidR="00F74C31" w:rsidRPr="00782F30">
        <w:rPr>
          <w:rFonts w:asciiTheme="minorHAnsi" w:hAnsiTheme="minorHAnsi" w:cstheme="minorHAnsi"/>
          <w:bCs/>
        </w:rPr>
        <w:t xml:space="preserve"> the criteria </w:t>
      </w:r>
      <w:r w:rsidR="00242D66" w:rsidRPr="00782F30">
        <w:rPr>
          <w:rFonts w:asciiTheme="minorHAnsi" w:hAnsiTheme="minorHAnsi" w:cstheme="minorHAnsi"/>
          <w:bCs/>
        </w:rPr>
        <w:t xml:space="preserve">with treatment guidelines. </w:t>
      </w:r>
    </w:p>
    <w:p w:rsidR="002C2902" w:rsidRPr="00782F30" w:rsidRDefault="00CB7369" w:rsidP="000E7F34">
      <w:pPr>
        <w:numPr>
          <w:ilvl w:val="1"/>
          <w:numId w:val="5"/>
        </w:numPr>
        <w:spacing w:before="120" w:after="120"/>
        <w:jc w:val="both"/>
        <w:rPr>
          <w:rFonts w:asciiTheme="minorHAnsi" w:hAnsiTheme="minorHAnsi" w:cstheme="minorHAnsi"/>
          <w:b/>
          <w:bCs/>
        </w:rPr>
      </w:pPr>
      <w:r w:rsidRPr="00782F30">
        <w:rPr>
          <w:rFonts w:asciiTheme="minorHAnsi" w:hAnsiTheme="minorHAnsi" w:cstheme="minorHAnsi"/>
          <w:bCs/>
        </w:rPr>
        <w:t>The PBAC</w:t>
      </w:r>
      <w:r w:rsidR="00303F3F" w:rsidRPr="00782F30">
        <w:rPr>
          <w:rFonts w:asciiTheme="minorHAnsi" w:hAnsiTheme="minorHAnsi" w:cstheme="minorHAnsi"/>
          <w:bCs/>
        </w:rPr>
        <w:t xml:space="preserve"> considered that while the </w:t>
      </w:r>
      <w:r w:rsidR="00303F3F" w:rsidRPr="00AD4948">
        <w:rPr>
          <w:rFonts w:asciiTheme="minorHAnsi" w:eastAsia="Batang" w:hAnsiTheme="minorHAnsi"/>
        </w:rPr>
        <w:t xml:space="preserve">low uptake of </w:t>
      </w:r>
      <w:proofErr w:type="spellStart"/>
      <w:r w:rsidR="00303F3F" w:rsidRPr="00AD4948">
        <w:rPr>
          <w:rFonts w:asciiTheme="minorHAnsi" w:eastAsia="Batang" w:hAnsiTheme="minorHAnsi"/>
        </w:rPr>
        <w:t>pegvisomant</w:t>
      </w:r>
      <w:proofErr w:type="spellEnd"/>
      <w:r w:rsidR="00303F3F" w:rsidRPr="00AD4948">
        <w:rPr>
          <w:rFonts w:asciiTheme="minorHAnsi" w:eastAsia="Batang" w:hAnsiTheme="minorHAnsi"/>
        </w:rPr>
        <w:t xml:space="preserve"> could be attributed to a number of factors, the recommended changes to the criteria </w:t>
      </w:r>
      <w:proofErr w:type="gramStart"/>
      <w:r w:rsidR="00303F3F" w:rsidRPr="00AD4948">
        <w:rPr>
          <w:rFonts w:asciiTheme="minorHAnsi" w:eastAsia="Batang" w:hAnsiTheme="minorHAnsi"/>
        </w:rPr>
        <w:t>may</w:t>
      </w:r>
      <w:proofErr w:type="gramEnd"/>
      <w:r w:rsidR="00303F3F" w:rsidRPr="00AD4948">
        <w:rPr>
          <w:rFonts w:asciiTheme="minorHAnsi" w:eastAsia="Batang" w:hAnsiTheme="minorHAnsi"/>
        </w:rPr>
        <w:t xml:space="preserve"> improve access for this small patient population</w:t>
      </w:r>
      <w:r w:rsidR="00AD4948">
        <w:rPr>
          <w:rFonts w:asciiTheme="minorHAnsi" w:eastAsia="Batang" w:hAnsiTheme="minorHAnsi"/>
        </w:rPr>
        <w:t xml:space="preserve">. </w:t>
      </w:r>
      <w:r w:rsidRPr="00782F30">
        <w:rPr>
          <w:rFonts w:asciiTheme="minorHAnsi" w:hAnsiTheme="minorHAnsi" w:cstheme="minorHAnsi"/>
          <w:bCs/>
        </w:rPr>
        <w:t>The PBAC considered the change in restriction</w:t>
      </w:r>
      <w:r w:rsidR="00BC5B29">
        <w:rPr>
          <w:rFonts w:asciiTheme="minorHAnsi" w:hAnsiTheme="minorHAnsi" w:cstheme="minorHAnsi"/>
          <w:bCs/>
        </w:rPr>
        <w:t xml:space="preserve"> </w:t>
      </w:r>
      <w:r w:rsidR="00303F3F" w:rsidRPr="00782F30">
        <w:rPr>
          <w:rFonts w:asciiTheme="minorHAnsi" w:hAnsiTheme="minorHAnsi" w:cstheme="minorHAnsi"/>
          <w:bCs/>
        </w:rPr>
        <w:t xml:space="preserve">was unlikely to </w:t>
      </w:r>
      <w:r w:rsidRPr="00782F30">
        <w:rPr>
          <w:rFonts w:asciiTheme="minorHAnsi" w:hAnsiTheme="minorHAnsi" w:cstheme="minorHAnsi"/>
          <w:bCs/>
        </w:rPr>
        <w:t>increase</w:t>
      </w:r>
      <w:r w:rsidR="00303F3F" w:rsidRPr="00782F30">
        <w:rPr>
          <w:rFonts w:asciiTheme="minorHAnsi" w:hAnsiTheme="minorHAnsi" w:cstheme="minorHAnsi"/>
          <w:bCs/>
        </w:rPr>
        <w:t xml:space="preserve"> </w:t>
      </w:r>
      <w:r w:rsidRPr="00782F30">
        <w:rPr>
          <w:rFonts w:asciiTheme="minorHAnsi" w:hAnsiTheme="minorHAnsi" w:cstheme="minorHAnsi"/>
          <w:bCs/>
        </w:rPr>
        <w:t>usage beyond what was included in the original PBAC submission</w:t>
      </w:r>
      <w:r w:rsidR="00FE5DFA" w:rsidRPr="00782F30">
        <w:rPr>
          <w:rFonts w:asciiTheme="minorHAnsi" w:hAnsiTheme="minorHAnsi" w:cstheme="minorHAnsi"/>
          <w:bCs/>
        </w:rPr>
        <w:t xml:space="preserve"> for </w:t>
      </w:r>
      <w:proofErr w:type="spellStart"/>
      <w:r w:rsidR="00FE5DFA" w:rsidRPr="00782F30">
        <w:rPr>
          <w:rFonts w:asciiTheme="minorHAnsi" w:hAnsiTheme="minorHAnsi" w:cstheme="minorHAnsi"/>
          <w:bCs/>
        </w:rPr>
        <w:t>pegvisomant</w:t>
      </w:r>
      <w:proofErr w:type="spellEnd"/>
      <w:r w:rsidRPr="00782F30">
        <w:rPr>
          <w:rFonts w:asciiTheme="minorHAnsi" w:hAnsiTheme="minorHAnsi" w:cstheme="minorHAnsi"/>
          <w:bCs/>
        </w:rPr>
        <w:t xml:space="preserve"> </w:t>
      </w:r>
    </w:p>
    <w:p w:rsidR="00B47B2C" w:rsidRPr="00782F30" w:rsidRDefault="00B47B2C" w:rsidP="000E7F34">
      <w:pPr>
        <w:numPr>
          <w:ilvl w:val="1"/>
          <w:numId w:val="5"/>
        </w:numPr>
        <w:spacing w:before="120" w:after="120"/>
        <w:jc w:val="both"/>
        <w:rPr>
          <w:rFonts w:asciiTheme="minorHAnsi" w:hAnsiTheme="minorHAnsi" w:cstheme="minorHAnsi"/>
          <w:b/>
          <w:bCs/>
        </w:rPr>
      </w:pPr>
      <w:r w:rsidRPr="00782F30">
        <w:rPr>
          <w:rFonts w:asciiTheme="minorHAnsi" w:hAnsiTheme="minorHAnsi" w:cstheme="minorHAnsi"/>
          <w:bCs/>
        </w:rPr>
        <w:t xml:space="preserve">The PBAC noted that this submission is not eligible for an Independent Review </w:t>
      </w:r>
      <w:r w:rsidR="00D03E5E" w:rsidRPr="00782F30">
        <w:rPr>
          <w:rFonts w:asciiTheme="minorHAnsi" w:hAnsiTheme="minorHAnsi" w:cstheme="minorHAnsi"/>
          <w:bCs/>
        </w:rPr>
        <w:t xml:space="preserve">as it </w:t>
      </w:r>
      <w:r w:rsidR="00DE06E7">
        <w:rPr>
          <w:rFonts w:asciiTheme="minorHAnsi" w:hAnsiTheme="minorHAnsi" w:cstheme="minorHAnsi"/>
          <w:bCs/>
        </w:rPr>
        <w:t>received</w:t>
      </w:r>
      <w:r w:rsidR="00D03E5E" w:rsidRPr="00782F30">
        <w:rPr>
          <w:rFonts w:asciiTheme="minorHAnsi" w:hAnsiTheme="minorHAnsi" w:cstheme="minorHAnsi"/>
          <w:bCs/>
        </w:rPr>
        <w:t xml:space="preserve"> a positive recommendation. </w:t>
      </w:r>
    </w:p>
    <w:p w:rsidR="00605C87" w:rsidRPr="00782F30" w:rsidRDefault="00605C87" w:rsidP="000E7F34">
      <w:pPr>
        <w:spacing w:before="120" w:after="120"/>
        <w:rPr>
          <w:rFonts w:asciiTheme="minorHAnsi" w:hAnsiTheme="minorHAnsi" w:cstheme="minorHAnsi"/>
          <w:b/>
          <w:bCs/>
        </w:rPr>
      </w:pPr>
      <w:r w:rsidRPr="00782F30">
        <w:rPr>
          <w:rFonts w:asciiTheme="minorHAnsi" w:hAnsiTheme="minorHAnsi" w:cstheme="minorHAnsi"/>
          <w:b/>
          <w:bCs/>
        </w:rPr>
        <w:t>Outcome:</w:t>
      </w:r>
    </w:p>
    <w:p w:rsidR="00605C87" w:rsidRPr="00782F30" w:rsidRDefault="00605C87" w:rsidP="000E7F34">
      <w:pPr>
        <w:spacing w:before="120" w:after="120"/>
        <w:rPr>
          <w:rFonts w:asciiTheme="minorHAnsi" w:hAnsiTheme="minorHAnsi" w:cstheme="minorHAnsi"/>
          <w:bCs/>
        </w:rPr>
      </w:pPr>
      <w:r w:rsidRPr="00782F30">
        <w:rPr>
          <w:rFonts w:asciiTheme="minorHAnsi" w:hAnsiTheme="minorHAnsi" w:cstheme="minorHAnsi"/>
          <w:bCs/>
        </w:rPr>
        <w:t>R</w:t>
      </w:r>
      <w:r w:rsidR="0005567B" w:rsidRPr="00782F30">
        <w:rPr>
          <w:rFonts w:asciiTheme="minorHAnsi" w:hAnsiTheme="minorHAnsi" w:cstheme="minorHAnsi"/>
          <w:bCs/>
        </w:rPr>
        <w:t>ecommended</w:t>
      </w:r>
    </w:p>
    <w:p w:rsidR="00605C87" w:rsidRPr="00AD4948" w:rsidRDefault="00605C87" w:rsidP="000E7F34">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AD4948">
        <w:rPr>
          <w:rFonts w:asciiTheme="minorHAnsi" w:hAnsiTheme="minorHAnsi"/>
          <w:sz w:val="32"/>
          <w:szCs w:val="32"/>
        </w:rPr>
        <w:t>Recommended listing</w:t>
      </w:r>
    </w:p>
    <w:p w:rsidR="008B4C92" w:rsidRPr="00782F30" w:rsidRDefault="0005567B" w:rsidP="000E7F34">
      <w:pPr>
        <w:numPr>
          <w:ilvl w:val="1"/>
          <w:numId w:val="5"/>
        </w:numPr>
        <w:spacing w:before="120" w:after="120"/>
        <w:rPr>
          <w:rFonts w:asciiTheme="minorHAnsi" w:hAnsiTheme="minorHAnsi" w:cstheme="minorHAnsi"/>
        </w:rPr>
      </w:pPr>
      <w:r w:rsidRPr="00AD4948">
        <w:rPr>
          <w:rFonts w:asciiTheme="minorHAnsi" w:hAnsiTheme="minorHAnsi" w:cstheme="minorHAnsi"/>
          <w:bCs/>
        </w:rPr>
        <w:t xml:space="preserve">Amend </w:t>
      </w:r>
      <w:r w:rsidR="008B4C92" w:rsidRPr="00AD4948">
        <w:rPr>
          <w:rFonts w:asciiTheme="minorHAnsi" w:hAnsiTheme="minorHAnsi" w:cstheme="minorHAnsi"/>
          <w:bCs/>
        </w:rPr>
        <w:t xml:space="preserve">existing listing as follows: </w:t>
      </w:r>
    </w:p>
    <w:tbl>
      <w:tblPr>
        <w:tblW w:w="5000" w:type="pct"/>
        <w:jc w:val="center"/>
        <w:tblLook w:val="0000" w:firstRow="0" w:lastRow="0" w:firstColumn="0" w:lastColumn="0" w:noHBand="0" w:noVBand="0"/>
      </w:tblPr>
      <w:tblGrid>
        <w:gridCol w:w="1752"/>
        <w:gridCol w:w="1550"/>
        <w:gridCol w:w="903"/>
        <w:gridCol w:w="903"/>
        <w:gridCol w:w="1154"/>
        <w:gridCol w:w="2764"/>
      </w:tblGrid>
      <w:tr w:rsidR="008B4C92" w:rsidRPr="00AD4948" w:rsidTr="000E7F34">
        <w:trPr>
          <w:trHeight w:val="471"/>
          <w:jc w:val="center"/>
        </w:trPr>
        <w:tc>
          <w:tcPr>
            <w:tcW w:w="1830" w:type="pct"/>
            <w:gridSpan w:val="2"/>
            <w:tcBorders>
              <w:bottom w:val="single" w:sz="4" w:space="0" w:color="auto"/>
            </w:tcBorders>
          </w:tcPr>
          <w:p w:rsidR="008B4C92" w:rsidRPr="00AD4948" w:rsidRDefault="008B4C92" w:rsidP="00917590">
            <w:pPr>
              <w:keepNext/>
              <w:ind w:left="-108"/>
              <w:rPr>
                <w:rFonts w:ascii="Arial Narrow" w:hAnsi="Arial Narrow"/>
                <w:b/>
                <w:sz w:val="20"/>
              </w:rPr>
            </w:pPr>
            <w:r w:rsidRPr="00AD4948">
              <w:rPr>
                <w:rFonts w:ascii="Arial Narrow" w:hAnsi="Arial Narrow"/>
                <w:b/>
                <w:sz w:val="20"/>
              </w:rPr>
              <w:lastRenderedPageBreak/>
              <w:t>Name, Restriction,</w:t>
            </w:r>
          </w:p>
          <w:p w:rsidR="008B4C92" w:rsidRPr="00AD4948" w:rsidRDefault="008B4C92" w:rsidP="00917590">
            <w:pPr>
              <w:keepNext/>
              <w:ind w:left="-108"/>
              <w:rPr>
                <w:rFonts w:ascii="Arial Narrow" w:hAnsi="Arial Narrow"/>
                <w:b/>
                <w:sz w:val="20"/>
              </w:rPr>
            </w:pPr>
            <w:r w:rsidRPr="00AD4948">
              <w:rPr>
                <w:rFonts w:ascii="Arial Narrow" w:hAnsi="Arial Narrow"/>
                <w:b/>
                <w:sz w:val="20"/>
              </w:rPr>
              <w:t>Manner of administration and form</w:t>
            </w:r>
          </w:p>
        </w:tc>
        <w:tc>
          <w:tcPr>
            <w:tcW w:w="500" w:type="pct"/>
            <w:tcBorders>
              <w:bottom w:val="single" w:sz="4" w:space="0" w:color="auto"/>
            </w:tcBorders>
            <w:vAlign w:val="center"/>
          </w:tcPr>
          <w:p w:rsidR="008B4C92" w:rsidRPr="00AD4948" w:rsidRDefault="008B4C92" w:rsidP="000D32FA">
            <w:pPr>
              <w:keepNext/>
              <w:ind w:left="-108"/>
              <w:jc w:val="center"/>
              <w:rPr>
                <w:rFonts w:ascii="Arial Narrow" w:hAnsi="Arial Narrow"/>
                <w:b/>
                <w:sz w:val="20"/>
              </w:rPr>
            </w:pPr>
            <w:r w:rsidRPr="00AD4948">
              <w:rPr>
                <w:rFonts w:ascii="Arial Narrow" w:hAnsi="Arial Narrow"/>
                <w:b/>
                <w:sz w:val="20"/>
              </w:rPr>
              <w:t>Max.</w:t>
            </w:r>
          </w:p>
          <w:p w:rsidR="008B4C92" w:rsidRPr="00AD4948" w:rsidRDefault="008B4C92" w:rsidP="000D32FA">
            <w:pPr>
              <w:keepNext/>
              <w:ind w:left="-108"/>
              <w:jc w:val="center"/>
              <w:rPr>
                <w:rFonts w:ascii="Arial Narrow" w:hAnsi="Arial Narrow"/>
                <w:b/>
                <w:sz w:val="20"/>
              </w:rPr>
            </w:pPr>
            <w:proofErr w:type="spellStart"/>
            <w:r w:rsidRPr="00AD4948">
              <w:rPr>
                <w:rFonts w:ascii="Arial Narrow" w:hAnsi="Arial Narrow"/>
                <w:b/>
                <w:sz w:val="20"/>
              </w:rPr>
              <w:t>Qty</w:t>
            </w:r>
            <w:proofErr w:type="spellEnd"/>
          </w:p>
        </w:tc>
        <w:tc>
          <w:tcPr>
            <w:tcW w:w="500" w:type="pct"/>
            <w:tcBorders>
              <w:bottom w:val="single" w:sz="4" w:space="0" w:color="auto"/>
            </w:tcBorders>
            <w:vAlign w:val="center"/>
          </w:tcPr>
          <w:p w:rsidR="008B4C92" w:rsidRPr="00AD4948" w:rsidRDefault="008B4C92" w:rsidP="000D32FA">
            <w:pPr>
              <w:keepNext/>
              <w:ind w:left="-108"/>
              <w:jc w:val="center"/>
              <w:rPr>
                <w:rFonts w:ascii="Arial Narrow" w:hAnsi="Arial Narrow"/>
                <w:b/>
                <w:sz w:val="20"/>
              </w:rPr>
            </w:pPr>
            <w:r w:rsidRPr="00AD4948">
              <w:rPr>
                <w:rFonts w:ascii="Arial Narrow" w:hAnsi="Arial Narrow"/>
                <w:b/>
                <w:sz w:val="20"/>
              </w:rPr>
              <w:t>№.of</w:t>
            </w:r>
          </w:p>
          <w:p w:rsidR="008B4C92" w:rsidRPr="00AD4948" w:rsidRDefault="008B4C92" w:rsidP="000D32FA">
            <w:pPr>
              <w:keepNext/>
              <w:ind w:left="-108"/>
              <w:jc w:val="center"/>
              <w:rPr>
                <w:rFonts w:ascii="Arial Narrow" w:hAnsi="Arial Narrow"/>
                <w:b/>
                <w:sz w:val="20"/>
              </w:rPr>
            </w:pPr>
            <w:proofErr w:type="spellStart"/>
            <w:r w:rsidRPr="00AD4948">
              <w:rPr>
                <w:rFonts w:ascii="Arial Narrow" w:hAnsi="Arial Narrow"/>
                <w:b/>
                <w:sz w:val="20"/>
              </w:rPr>
              <w:t>Rpts</w:t>
            </w:r>
            <w:proofErr w:type="spellEnd"/>
          </w:p>
        </w:tc>
        <w:tc>
          <w:tcPr>
            <w:tcW w:w="2169" w:type="pct"/>
            <w:gridSpan w:val="2"/>
            <w:tcBorders>
              <w:bottom w:val="single" w:sz="4" w:space="0" w:color="auto"/>
            </w:tcBorders>
          </w:tcPr>
          <w:p w:rsidR="008B4C92" w:rsidRPr="00AD4948" w:rsidRDefault="008B4C92" w:rsidP="00917590">
            <w:pPr>
              <w:keepNext/>
              <w:rPr>
                <w:rFonts w:ascii="Arial Narrow" w:hAnsi="Arial Narrow"/>
                <w:b/>
                <w:sz w:val="20"/>
              </w:rPr>
            </w:pPr>
            <w:r w:rsidRPr="00AD4948">
              <w:rPr>
                <w:rFonts w:ascii="Arial Narrow" w:hAnsi="Arial Narrow"/>
                <w:b/>
                <w:sz w:val="20"/>
              </w:rPr>
              <w:t>Proprietary Name and Manufacturer</w:t>
            </w:r>
          </w:p>
        </w:tc>
      </w:tr>
      <w:tr w:rsidR="008B4C92" w:rsidRPr="00AD4948" w:rsidTr="000E7F34">
        <w:trPr>
          <w:trHeight w:val="750"/>
          <w:jc w:val="center"/>
        </w:trPr>
        <w:tc>
          <w:tcPr>
            <w:tcW w:w="1830" w:type="pct"/>
            <w:gridSpan w:val="2"/>
            <w:tcBorders>
              <w:top w:val="single" w:sz="4" w:space="0" w:color="auto"/>
            </w:tcBorders>
          </w:tcPr>
          <w:p w:rsidR="008B4C92" w:rsidRPr="00AD4948" w:rsidRDefault="008B4C92" w:rsidP="00917590">
            <w:pPr>
              <w:keepNext/>
              <w:ind w:left="-108"/>
              <w:rPr>
                <w:rFonts w:ascii="Arial Narrow" w:hAnsi="Arial Narrow"/>
                <w:sz w:val="20"/>
              </w:rPr>
            </w:pPr>
            <w:r w:rsidRPr="00AD4948">
              <w:rPr>
                <w:rFonts w:ascii="Arial Narrow" w:hAnsi="Arial Narrow"/>
                <w:sz w:val="20"/>
              </w:rPr>
              <w:t xml:space="preserve">PEGVISOMANT </w:t>
            </w:r>
          </w:p>
          <w:p w:rsidR="003A227F" w:rsidRDefault="003A227F" w:rsidP="003A227F">
            <w:pPr>
              <w:keepNext/>
              <w:ind w:left="-108"/>
              <w:rPr>
                <w:rFonts w:ascii="Arial Narrow" w:hAnsi="Arial Narrow"/>
                <w:sz w:val="20"/>
              </w:rPr>
            </w:pPr>
            <w:r w:rsidRPr="003A227F">
              <w:rPr>
                <w:rFonts w:ascii="Arial Narrow" w:hAnsi="Arial Narrow"/>
                <w:sz w:val="20"/>
              </w:rPr>
              <w:t>10 mg injection [30 vials] (&amp;) inert substance diluent [30 syringes], 1 pack</w:t>
            </w:r>
          </w:p>
          <w:p w:rsidR="003A227F" w:rsidRDefault="003A227F" w:rsidP="003A227F">
            <w:pPr>
              <w:keepNext/>
              <w:ind w:left="-108"/>
              <w:rPr>
                <w:rFonts w:ascii="Arial Narrow" w:hAnsi="Arial Narrow"/>
                <w:sz w:val="20"/>
              </w:rPr>
            </w:pPr>
          </w:p>
          <w:p w:rsidR="008B4C92" w:rsidRDefault="003A227F" w:rsidP="003A227F">
            <w:pPr>
              <w:keepNext/>
              <w:ind w:left="-108"/>
              <w:rPr>
                <w:rFonts w:ascii="Arial Narrow" w:hAnsi="Arial Narrow"/>
                <w:sz w:val="20"/>
              </w:rPr>
            </w:pPr>
            <w:r w:rsidRPr="003A227F">
              <w:rPr>
                <w:rFonts w:ascii="Arial Narrow" w:hAnsi="Arial Narrow"/>
                <w:sz w:val="20"/>
              </w:rPr>
              <w:t xml:space="preserve">15 mg injection [30 vials] (&amp;) inert substance diluent [30 syringes], 1 pack </w:t>
            </w:r>
          </w:p>
          <w:p w:rsidR="003A227F" w:rsidRPr="00AD4948" w:rsidRDefault="003A227F" w:rsidP="003A227F">
            <w:pPr>
              <w:keepNext/>
              <w:ind w:left="-108"/>
              <w:rPr>
                <w:rFonts w:ascii="Arial Narrow" w:hAnsi="Arial Narrow"/>
                <w:sz w:val="20"/>
              </w:rPr>
            </w:pPr>
          </w:p>
          <w:p w:rsidR="008B4C92" w:rsidRDefault="003A227F" w:rsidP="00917590">
            <w:pPr>
              <w:keepNext/>
              <w:ind w:left="-108"/>
              <w:rPr>
                <w:rFonts w:ascii="Arial Narrow" w:hAnsi="Arial Narrow"/>
                <w:sz w:val="20"/>
              </w:rPr>
            </w:pPr>
            <w:r w:rsidRPr="003A227F">
              <w:rPr>
                <w:rFonts w:ascii="Arial Narrow" w:hAnsi="Arial Narrow"/>
                <w:sz w:val="20"/>
              </w:rPr>
              <w:t>20 mg injection [30 vials] (&amp;) inert substance diluent [30 syringes], 1 pack</w:t>
            </w:r>
          </w:p>
          <w:p w:rsidR="003A227F" w:rsidRPr="00AD4948" w:rsidRDefault="003A227F" w:rsidP="00917590">
            <w:pPr>
              <w:keepNext/>
              <w:ind w:left="-108"/>
              <w:rPr>
                <w:rFonts w:ascii="Arial Narrow" w:hAnsi="Arial Narrow"/>
                <w:sz w:val="20"/>
              </w:rPr>
            </w:pPr>
          </w:p>
          <w:p w:rsidR="008B4C92" w:rsidRPr="00AD4948" w:rsidRDefault="003A227F" w:rsidP="00917590">
            <w:pPr>
              <w:keepNext/>
              <w:ind w:left="-108"/>
              <w:rPr>
                <w:rFonts w:ascii="Arial Narrow" w:hAnsi="Arial Narrow"/>
                <w:sz w:val="20"/>
              </w:rPr>
            </w:pPr>
            <w:r w:rsidRPr="003A227F">
              <w:rPr>
                <w:rFonts w:ascii="Arial Narrow" w:hAnsi="Arial Narrow"/>
                <w:sz w:val="20"/>
              </w:rPr>
              <w:t>20 mg injection [1 vial] (&amp;) inert substance diluent [1 syringe], 1 pack</w:t>
            </w:r>
          </w:p>
          <w:p w:rsidR="008B4C92" w:rsidRPr="00AD4948" w:rsidRDefault="008B4C92" w:rsidP="00917590">
            <w:pPr>
              <w:keepNext/>
              <w:ind w:left="-108"/>
              <w:rPr>
                <w:rFonts w:ascii="Arial Narrow" w:hAnsi="Arial Narrow"/>
                <w:sz w:val="20"/>
              </w:rPr>
            </w:pPr>
          </w:p>
        </w:tc>
        <w:tc>
          <w:tcPr>
            <w:tcW w:w="500" w:type="pct"/>
            <w:tcBorders>
              <w:top w:val="single" w:sz="4" w:space="0" w:color="auto"/>
            </w:tcBorders>
            <w:vAlign w:val="center"/>
          </w:tcPr>
          <w:p w:rsidR="008B4C92" w:rsidRPr="00AD4948" w:rsidRDefault="008B4C92" w:rsidP="000D32FA">
            <w:pPr>
              <w:keepNext/>
              <w:jc w:val="center"/>
              <w:rPr>
                <w:rFonts w:ascii="Arial Narrow" w:hAnsi="Arial Narrow"/>
                <w:sz w:val="20"/>
              </w:rPr>
            </w:pPr>
          </w:p>
          <w:p w:rsidR="008B4C92" w:rsidRPr="00AD4948" w:rsidRDefault="008B4C92" w:rsidP="000D32FA">
            <w:pPr>
              <w:keepNext/>
              <w:jc w:val="center"/>
              <w:rPr>
                <w:rFonts w:ascii="Arial Narrow" w:hAnsi="Arial Narrow"/>
                <w:sz w:val="20"/>
              </w:rPr>
            </w:pPr>
            <w:r w:rsidRPr="00AD4948">
              <w:rPr>
                <w:rFonts w:ascii="Arial Narrow" w:hAnsi="Arial Narrow"/>
                <w:sz w:val="20"/>
              </w:rPr>
              <w:t>1</w:t>
            </w:r>
          </w:p>
          <w:p w:rsidR="008B4C92" w:rsidRPr="00AD4948" w:rsidRDefault="008B4C92" w:rsidP="000D32FA">
            <w:pPr>
              <w:keepNext/>
              <w:jc w:val="center"/>
              <w:rPr>
                <w:rFonts w:ascii="Arial Narrow" w:hAnsi="Arial Narrow"/>
                <w:sz w:val="20"/>
              </w:rPr>
            </w:pPr>
          </w:p>
          <w:p w:rsidR="003A227F" w:rsidRDefault="003A227F" w:rsidP="000D32FA">
            <w:pPr>
              <w:keepNext/>
              <w:jc w:val="center"/>
              <w:rPr>
                <w:rFonts w:ascii="Arial Narrow" w:hAnsi="Arial Narrow"/>
                <w:sz w:val="20"/>
              </w:rPr>
            </w:pPr>
          </w:p>
          <w:p w:rsidR="008B4C92" w:rsidRPr="00AD4948" w:rsidRDefault="008B4C92" w:rsidP="000D32FA">
            <w:pPr>
              <w:keepNext/>
              <w:jc w:val="center"/>
              <w:rPr>
                <w:rFonts w:ascii="Arial Narrow" w:hAnsi="Arial Narrow"/>
                <w:sz w:val="20"/>
              </w:rPr>
            </w:pPr>
            <w:r w:rsidRPr="00AD4948">
              <w:rPr>
                <w:rFonts w:ascii="Arial Narrow" w:hAnsi="Arial Narrow"/>
                <w:sz w:val="20"/>
              </w:rPr>
              <w:t>1</w:t>
            </w:r>
          </w:p>
          <w:p w:rsidR="008B4C92" w:rsidRPr="00AD4948" w:rsidRDefault="008B4C92" w:rsidP="000D32FA">
            <w:pPr>
              <w:keepNext/>
              <w:jc w:val="center"/>
              <w:rPr>
                <w:rFonts w:ascii="Arial Narrow" w:hAnsi="Arial Narrow"/>
                <w:sz w:val="20"/>
              </w:rPr>
            </w:pPr>
          </w:p>
          <w:p w:rsidR="003A227F" w:rsidRDefault="003A227F" w:rsidP="000D32FA">
            <w:pPr>
              <w:keepNext/>
              <w:jc w:val="center"/>
              <w:rPr>
                <w:rFonts w:ascii="Arial Narrow" w:hAnsi="Arial Narrow"/>
                <w:sz w:val="20"/>
              </w:rPr>
            </w:pPr>
          </w:p>
          <w:p w:rsidR="008B4C92" w:rsidRPr="00AD4948" w:rsidRDefault="008B4C92" w:rsidP="000D32FA">
            <w:pPr>
              <w:keepNext/>
              <w:jc w:val="center"/>
              <w:rPr>
                <w:rFonts w:ascii="Arial Narrow" w:hAnsi="Arial Narrow"/>
                <w:sz w:val="20"/>
              </w:rPr>
            </w:pPr>
            <w:r w:rsidRPr="00AD4948">
              <w:rPr>
                <w:rFonts w:ascii="Arial Narrow" w:hAnsi="Arial Narrow"/>
                <w:sz w:val="20"/>
              </w:rPr>
              <w:t>1</w:t>
            </w:r>
          </w:p>
          <w:p w:rsidR="008B4C92" w:rsidRPr="00AD4948" w:rsidRDefault="008B4C92" w:rsidP="000D32FA">
            <w:pPr>
              <w:keepNext/>
              <w:jc w:val="center"/>
              <w:rPr>
                <w:rFonts w:ascii="Arial Narrow" w:hAnsi="Arial Narrow"/>
                <w:sz w:val="20"/>
              </w:rPr>
            </w:pPr>
          </w:p>
          <w:p w:rsidR="003A227F" w:rsidRDefault="003A227F" w:rsidP="000D32FA">
            <w:pPr>
              <w:keepNext/>
              <w:jc w:val="center"/>
              <w:rPr>
                <w:rFonts w:ascii="Arial Narrow" w:hAnsi="Arial Narrow"/>
                <w:sz w:val="20"/>
              </w:rPr>
            </w:pPr>
          </w:p>
          <w:p w:rsidR="008B4C92" w:rsidRPr="00AD4948" w:rsidRDefault="008B4C92" w:rsidP="000D32FA">
            <w:pPr>
              <w:keepNext/>
              <w:jc w:val="center"/>
              <w:rPr>
                <w:rFonts w:ascii="Arial Narrow" w:hAnsi="Arial Narrow"/>
                <w:sz w:val="20"/>
              </w:rPr>
            </w:pPr>
            <w:r w:rsidRPr="00AD4948">
              <w:rPr>
                <w:rFonts w:ascii="Arial Narrow" w:hAnsi="Arial Narrow"/>
                <w:sz w:val="20"/>
              </w:rPr>
              <w:t>4</w:t>
            </w:r>
          </w:p>
        </w:tc>
        <w:tc>
          <w:tcPr>
            <w:tcW w:w="500" w:type="pct"/>
            <w:tcBorders>
              <w:top w:val="single" w:sz="4" w:space="0" w:color="auto"/>
            </w:tcBorders>
            <w:vAlign w:val="center"/>
          </w:tcPr>
          <w:p w:rsidR="008B4C92" w:rsidRPr="00AD4948" w:rsidRDefault="008B4C92" w:rsidP="000D32FA">
            <w:pPr>
              <w:keepNext/>
              <w:ind w:left="-108"/>
              <w:jc w:val="center"/>
              <w:rPr>
                <w:rFonts w:ascii="Arial Narrow" w:hAnsi="Arial Narrow"/>
                <w:sz w:val="20"/>
              </w:rPr>
            </w:pPr>
          </w:p>
          <w:p w:rsidR="008B4C92" w:rsidRPr="00AD4948" w:rsidRDefault="008B4C92" w:rsidP="000D32FA">
            <w:pPr>
              <w:keepNext/>
              <w:ind w:left="-108"/>
              <w:jc w:val="center"/>
              <w:rPr>
                <w:rFonts w:ascii="Arial Narrow" w:hAnsi="Arial Narrow"/>
                <w:sz w:val="20"/>
              </w:rPr>
            </w:pPr>
            <w:r w:rsidRPr="00AD4948">
              <w:rPr>
                <w:rFonts w:ascii="Arial Narrow" w:hAnsi="Arial Narrow"/>
                <w:sz w:val="20"/>
              </w:rPr>
              <w:t>5</w:t>
            </w:r>
          </w:p>
          <w:p w:rsidR="008B4C92" w:rsidRPr="00AD4948" w:rsidRDefault="008B4C92" w:rsidP="000D32FA">
            <w:pPr>
              <w:keepNext/>
              <w:ind w:left="-108"/>
              <w:jc w:val="center"/>
              <w:rPr>
                <w:rFonts w:ascii="Arial Narrow" w:hAnsi="Arial Narrow"/>
                <w:sz w:val="20"/>
              </w:rPr>
            </w:pPr>
          </w:p>
          <w:p w:rsidR="003A227F" w:rsidRDefault="003A227F" w:rsidP="000D32FA">
            <w:pPr>
              <w:keepNext/>
              <w:ind w:left="-108"/>
              <w:jc w:val="center"/>
              <w:rPr>
                <w:rFonts w:ascii="Arial Narrow" w:hAnsi="Arial Narrow"/>
                <w:sz w:val="20"/>
              </w:rPr>
            </w:pPr>
          </w:p>
          <w:p w:rsidR="008B4C92" w:rsidRPr="00AD4948" w:rsidRDefault="008B4C92" w:rsidP="000D32FA">
            <w:pPr>
              <w:keepNext/>
              <w:ind w:left="-108"/>
              <w:jc w:val="center"/>
              <w:rPr>
                <w:rFonts w:ascii="Arial Narrow" w:hAnsi="Arial Narrow"/>
                <w:sz w:val="20"/>
              </w:rPr>
            </w:pPr>
            <w:r w:rsidRPr="00AD4948">
              <w:rPr>
                <w:rFonts w:ascii="Arial Narrow" w:hAnsi="Arial Narrow"/>
                <w:sz w:val="20"/>
              </w:rPr>
              <w:t>5</w:t>
            </w:r>
          </w:p>
          <w:p w:rsidR="008B4C92" w:rsidRPr="00AD4948" w:rsidRDefault="008B4C92" w:rsidP="000D32FA">
            <w:pPr>
              <w:keepNext/>
              <w:ind w:left="-108"/>
              <w:jc w:val="center"/>
              <w:rPr>
                <w:rFonts w:ascii="Arial Narrow" w:hAnsi="Arial Narrow"/>
                <w:sz w:val="20"/>
              </w:rPr>
            </w:pPr>
          </w:p>
          <w:p w:rsidR="003A227F" w:rsidRDefault="003A227F" w:rsidP="000D32FA">
            <w:pPr>
              <w:keepNext/>
              <w:ind w:left="-108"/>
              <w:jc w:val="center"/>
              <w:rPr>
                <w:rFonts w:ascii="Arial Narrow" w:hAnsi="Arial Narrow"/>
                <w:sz w:val="20"/>
              </w:rPr>
            </w:pPr>
          </w:p>
          <w:p w:rsidR="008B4C92" w:rsidRPr="00AD4948" w:rsidRDefault="008B4C92" w:rsidP="000D32FA">
            <w:pPr>
              <w:keepNext/>
              <w:ind w:left="-108"/>
              <w:jc w:val="center"/>
              <w:rPr>
                <w:rFonts w:ascii="Arial Narrow" w:hAnsi="Arial Narrow"/>
                <w:sz w:val="20"/>
              </w:rPr>
            </w:pPr>
            <w:r w:rsidRPr="00AD4948">
              <w:rPr>
                <w:rFonts w:ascii="Arial Narrow" w:hAnsi="Arial Narrow"/>
                <w:sz w:val="20"/>
              </w:rPr>
              <w:t>5</w:t>
            </w:r>
          </w:p>
          <w:p w:rsidR="008B4C92" w:rsidRPr="00AD4948" w:rsidRDefault="008B4C92" w:rsidP="000D32FA">
            <w:pPr>
              <w:keepNext/>
              <w:ind w:left="-108"/>
              <w:jc w:val="center"/>
              <w:rPr>
                <w:rFonts w:ascii="Arial Narrow" w:hAnsi="Arial Narrow"/>
                <w:sz w:val="20"/>
              </w:rPr>
            </w:pPr>
          </w:p>
          <w:p w:rsidR="003A227F" w:rsidRDefault="003A227F" w:rsidP="000D32FA">
            <w:pPr>
              <w:keepNext/>
              <w:ind w:left="-108"/>
              <w:jc w:val="center"/>
              <w:rPr>
                <w:rFonts w:ascii="Arial Narrow" w:hAnsi="Arial Narrow"/>
                <w:sz w:val="20"/>
              </w:rPr>
            </w:pPr>
          </w:p>
          <w:p w:rsidR="008B4C92" w:rsidRPr="00AD4948" w:rsidRDefault="008B4C92" w:rsidP="000D32FA">
            <w:pPr>
              <w:keepNext/>
              <w:ind w:left="-108"/>
              <w:jc w:val="center"/>
              <w:rPr>
                <w:rFonts w:ascii="Arial Narrow" w:hAnsi="Arial Narrow"/>
                <w:sz w:val="20"/>
              </w:rPr>
            </w:pPr>
            <w:r w:rsidRPr="00AD4948">
              <w:rPr>
                <w:rFonts w:ascii="Arial Narrow" w:hAnsi="Arial Narrow"/>
                <w:sz w:val="20"/>
              </w:rPr>
              <w:t>0</w:t>
            </w:r>
          </w:p>
        </w:tc>
        <w:tc>
          <w:tcPr>
            <w:tcW w:w="639" w:type="pct"/>
            <w:tcBorders>
              <w:top w:val="single" w:sz="4" w:space="0" w:color="auto"/>
            </w:tcBorders>
          </w:tcPr>
          <w:p w:rsidR="008B4C92" w:rsidRPr="00AD4948" w:rsidRDefault="008B4C92" w:rsidP="00917590">
            <w:pPr>
              <w:keepNext/>
              <w:rPr>
                <w:rFonts w:ascii="Arial Narrow" w:hAnsi="Arial Narrow"/>
                <w:sz w:val="20"/>
              </w:rPr>
            </w:pPr>
            <w:proofErr w:type="spellStart"/>
            <w:r w:rsidRPr="00AD4948">
              <w:rPr>
                <w:rFonts w:ascii="Arial Narrow" w:hAnsi="Arial Narrow"/>
                <w:sz w:val="20"/>
              </w:rPr>
              <w:t>Somavert</w:t>
            </w:r>
            <w:proofErr w:type="spellEnd"/>
            <w:r w:rsidRPr="00AD4948">
              <w:rPr>
                <w:rFonts w:ascii="Arial Narrow" w:hAnsi="Arial Narrow"/>
                <w:sz w:val="20"/>
              </w:rPr>
              <w:t>®</w:t>
            </w:r>
          </w:p>
        </w:tc>
        <w:tc>
          <w:tcPr>
            <w:tcW w:w="1530" w:type="pct"/>
            <w:tcBorders>
              <w:top w:val="single" w:sz="4" w:space="0" w:color="auto"/>
            </w:tcBorders>
          </w:tcPr>
          <w:p w:rsidR="008B4C92" w:rsidRPr="00AD4948" w:rsidRDefault="008B4C92" w:rsidP="00917590">
            <w:pPr>
              <w:keepNext/>
              <w:rPr>
                <w:rFonts w:ascii="Arial Narrow" w:hAnsi="Arial Narrow"/>
                <w:sz w:val="20"/>
              </w:rPr>
            </w:pPr>
            <w:r w:rsidRPr="00AD4948">
              <w:rPr>
                <w:rFonts w:ascii="Arial Narrow" w:hAnsi="Arial Narrow"/>
                <w:sz w:val="20"/>
              </w:rPr>
              <w:t>Pfizer</w:t>
            </w:r>
          </w:p>
        </w:tc>
      </w:tr>
      <w:tr w:rsidR="008B4C92" w:rsidRPr="00AD4948" w:rsidTr="000A69AC">
        <w:tblPrEx>
          <w:tblLook w:val="04A0" w:firstRow="1" w:lastRow="0" w:firstColumn="1" w:lastColumn="0" w:noHBand="0" w:noVBand="1"/>
        </w:tblPrEx>
        <w:trPr>
          <w:trHeight w:val="360"/>
          <w:jc w:val="center"/>
        </w:trPr>
        <w:tc>
          <w:tcPr>
            <w:tcW w:w="971" w:type="pct"/>
            <w:tcBorders>
              <w:top w:val="single" w:sz="4" w:space="0" w:color="auto"/>
              <w:left w:val="single" w:sz="4" w:space="0" w:color="auto"/>
              <w:bottom w:val="single" w:sz="4" w:space="0" w:color="auto"/>
              <w:right w:val="single" w:sz="4" w:space="0" w:color="auto"/>
            </w:tcBorders>
            <w:hideMark/>
          </w:tcPr>
          <w:p w:rsidR="008B4C92" w:rsidRPr="00AD4948" w:rsidRDefault="008B4C92" w:rsidP="00917590">
            <w:pPr>
              <w:rPr>
                <w:rFonts w:ascii="Arial Narrow" w:hAnsi="Arial Narrow"/>
                <w:b/>
                <w:sz w:val="20"/>
              </w:rPr>
            </w:pPr>
            <w:r w:rsidRPr="00AD4948">
              <w:rPr>
                <w:rFonts w:ascii="Arial Narrow" w:hAnsi="Arial Narrow"/>
                <w:b/>
                <w:sz w:val="20"/>
              </w:rPr>
              <w:t xml:space="preserve">Category / </w:t>
            </w:r>
          </w:p>
          <w:p w:rsidR="008B4C92" w:rsidRPr="00AD4948" w:rsidRDefault="008B4C92" w:rsidP="00917590">
            <w:pPr>
              <w:snapToGrid w:val="0"/>
              <w:rPr>
                <w:rFonts w:ascii="Arial Narrow" w:hAnsi="Arial Narrow"/>
                <w:b/>
                <w:sz w:val="20"/>
              </w:rPr>
            </w:pPr>
            <w:r w:rsidRPr="00AD4948">
              <w:rPr>
                <w:rFonts w:ascii="Arial Narrow" w:hAnsi="Arial Narrow"/>
                <w:b/>
                <w:sz w:val="20"/>
              </w:rPr>
              <w:t>Program</w:t>
            </w:r>
          </w:p>
        </w:tc>
        <w:tc>
          <w:tcPr>
            <w:tcW w:w="4029" w:type="pct"/>
            <w:gridSpan w:val="5"/>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sz w:val="20"/>
              </w:rPr>
            </w:pPr>
            <w:r w:rsidRPr="00AD4948">
              <w:rPr>
                <w:rFonts w:ascii="Arial Narrow" w:hAnsi="Arial Narrow"/>
                <w:sz w:val="20"/>
              </w:rPr>
              <w:t>Section 100 – Highly Specialised Drugs Program</w:t>
            </w:r>
          </w:p>
        </w:tc>
      </w:tr>
      <w:tr w:rsidR="008B4C92" w:rsidRPr="00AD4948" w:rsidTr="000A69AC">
        <w:tblPrEx>
          <w:tblLook w:val="04A0" w:firstRow="1" w:lastRow="0" w:firstColumn="1" w:lastColumn="0" w:noHBand="0" w:noVBand="1"/>
        </w:tblPrEx>
        <w:trPr>
          <w:trHeight w:val="360"/>
          <w:jc w:val="center"/>
        </w:trPr>
        <w:tc>
          <w:tcPr>
            <w:tcW w:w="971"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b/>
                <w:sz w:val="20"/>
              </w:rPr>
            </w:pPr>
            <w:r w:rsidRPr="00AD4948">
              <w:rPr>
                <w:rFonts w:ascii="Arial Narrow" w:hAnsi="Arial Narrow"/>
                <w:b/>
                <w:sz w:val="20"/>
              </w:rPr>
              <w:t>Prescriber type:</w:t>
            </w:r>
          </w:p>
          <w:p w:rsidR="008B4C92" w:rsidRPr="00AD4948" w:rsidRDefault="008B4C92" w:rsidP="00917590">
            <w:pPr>
              <w:snapToGrid w:val="0"/>
              <w:rPr>
                <w:rFonts w:ascii="Arial Narrow" w:hAnsi="Arial Narrow"/>
                <w:b/>
                <w:sz w:val="20"/>
              </w:rPr>
            </w:pPr>
          </w:p>
        </w:tc>
        <w:tc>
          <w:tcPr>
            <w:tcW w:w="4029" w:type="pct"/>
            <w:gridSpan w:val="5"/>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sz w:val="20"/>
              </w:rPr>
            </w:pPr>
            <w:r w:rsidRPr="002A4B8F">
              <w:rPr>
                <w:rFonts w:ascii="Arial Narrow" w:hAnsi="Arial Narrow"/>
                <w:sz w:val="20"/>
              </w:rPr>
              <w:fldChar w:fldCharType="begin">
                <w:ffData>
                  <w:name w:val=""/>
                  <w:enabled/>
                  <w:calcOnExit w:val="0"/>
                  <w:checkBox>
                    <w:sizeAuto/>
                    <w:default w:val="1"/>
                  </w:checkBox>
                </w:ffData>
              </w:fldChar>
            </w:r>
            <w:r w:rsidRPr="00AD4948">
              <w:rPr>
                <w:rFonts w:ascii="Arial Narrow" w:hAnsi="Arial Narrow"/>
                <w:sz w:val="20"/>
              </w:rPr>
              <w:instrText xml:space="preserve"> FORMCHECKBOX </w:instrText>
            </w:r>
            <w:r w:rsidR="002E4B38">
              <w:rPr>
                <w:rFonts w:ascii="Arial Narrow" w:hAnsi="Arial Narrow"/>
                <w:sz w:val="20"/>
              </w:rPr>
            </w:r>
            <w:r w:rsidR="002E4B38">
              <w:rPr>
                <w:rFonts w:ascii="Arial Narrow" w:hAnsi="Arial Narrow"/>
                <w:sz w:val="20"/>
              </w:rPr>
              <w:fldChar w:fldCharType="separate"/>
            </w:r>
            <w:r w:rsidRPr="002A4B8F">
              <w:rPr>
                <w:rFonts w:ascii="Arial Narrow" w:hAnsi="Arial Narrow"/>
                <w:sz w:val="20"/>
              </w:rPr>
              <w:fldChar w:fldCharType="end"/>
            </w:r>
            <w:r w:rsidRPr="00AD4948">
              <w:rPr>
                <w:rFonts w:ascii="Arial Narrow" w:hAnsi="Arial Narrow"/>
                <w:sz w:val="20"/>
              </w:rPr>
              <w:t xml:space="preserve">Medical Practitioners  </w:t>
            </w:r>
          </w:p>
        </w:tc>
      </w:tr>
      <w:tr w:rsidR="008B4C92" w:rsidRPr="00AD4948" w:rsidTr="000A69AC">
        <w:tblPrEx>
          <w:tblLook w:val="04A0" w:firstRow="1" w:lastRow="0" w:firstColumn="1" w:lastColumn="0" w:noHBand="0" w:noVBand="1"/>
        </w:tblPrEx>
        <w:trPr>
          <w:trHeight w:val="360"/>
          <w:jc w:val="center"/>
        </w:trPr>
        <w:tc>
          <w:tcPr>
            <w:tcW w:w="971" w:type="pct"/>
            <w:tcBorders>
              <w:top w:val="single" w:sz="4" w:space="0" w:color="auto"/>
              <w:left w:val="single" w:sz="4" w:space="0" w:color="auto"/>
              <w:bottom w:val="single" w:sz="4" w:space="0" w:color="auto"/>
              <w:right w:val="single" w:sz="4" w:space="0" w:color="auto"/>
            </w:tcBorders>
            <w:hideMark/>
          </w:tcPr>
          <w:p w:rsidR="008B4C92" w:rsidRPr="00AD4948" w:rsidRDefault="008B4C92" w:rsidP="00917590">
            <w:pPr>
              <w:snapToGrid w:val="0"/>
              <w:rPr>
                <w:rFonts w:ascii="Arial Narrow" w:hAnsi="Arial Narrow"/>
                <w:b/>
                <w:sz w:val="20"/>
              </w:rPr>
            </w:pPr>
            <w:r w:rsidRPr="00AD4948">
              <w:rPr>
                <w:rFonts w:ascii="Arial Narrow" w:hAnsi="Arial Narrow"/>
                <w:b/>
                <w:sz w:val="20"/>
              </w:rPr>
              <w:t>PBS Indication:</w:t>
            </w:r>
          </w:p>
        </w:tc>
        <w:tc>
          <w:tcPr>
            <w:tcW w:w="4029" w:type="pct"/>
            <w:gridSpan w:val="5"/>
            <w:tcBorders>
              <w:top w:val="single" w:sz="4" w:space="0" w:color="auto"/>
              <w:left w:val="single" w:sz="4" w:space="0" w:color="auto"/>
              <w:bottom w:val="single" w:sz="4" w:space="0" w:color="auto"/>
              <w:right w:val="single" w:sz="4" w:space="0" w:color="auto"/>
            </w:tcBorders>
          </w:tcPr>
          <w:p w:rsidR="008B4C92" w:rsidRPr="00AD4948" w:rsidRDefault="008B4C92" w:rsidP="00917590">
            <w:pPr>
              <w:snapToGrid w:val="0"/>
              <w:rPr>
                <w:rFonts w:ascii="Arial Narrow" w:hAnsi="Arial Narrow"/>
                <w:sz w:val="20"/>
              </w:rPr>
            </w:pPr>
            <w:r w:rsidRPr="00AD4948">
              <w:rPr>
                <w:rFonts w:ascii="Arial Narrow" w:hAnsi="Arial Narrow"/>
                <w:sz w:val="20"/>
              </w:rPr>
              <w:t>Acromegaly</w:t>
            </w:r>
          </w:p>
        </w:tc>
      </w:tr>
      <w:tr w:rsidR="008B4C92" w:rsidRPr="00AD4948" w:rsidTr="000A69AC">
        <w:tblPrEx>
          <w:tblLook w:val="04A0" w:firstRow="1" w:lastRow="0" w:firstColumn="1" w:lastColumn="0" w:noHBand="0" w:noVBand="1"/>
        </w:tblPrEx>
        <w:trPr>
          <w:trHeight w:val="360"/>
          <w:jc w:val="center"/>
        </w:trPr>
        <w:tc>
          <w:tcPr>
            <w:tcW w:w="971"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b/>
                <w:sz w:val="20"/>
              </w:rPr>
            </w:pPr>
            <w:r w:rsidRPr="00AD4948">
              <w:rPr>
                <w:rFonts w:ascii="Arial Narrow" w:hAnsi="Arial Narrow"/>
                <w:b/>
                <w:sz w:val="20"/>
              </w:rPr>
              <w:t>Treatment phase:</w:t>
            </w:r>
          </w:p>
        </w:tc>
        <w:tc>
          <w:tcPr>
            <w:tcW w:w="4029" w:type="pct"/>
            <w:gridSpan w:val="5"/>
            <w:tcBorders>
              <w:top w:val="single" w:sz="4" w:space="0" w:color="auto"/>
              <w:left w:val="single" w:sz="4" w:space="0" w:color="auto"/>
              <w:bottom w:val="single" w:sz="4" w:space="0" w:color="auto"/>
              <w:right w:val="single" w:sz="4" w:space="0" w:color="auto"/>
            </w:tcBorders>
          </w:tcPr>
          <w:p w:rsidR="008B4C92" w:rsidRPr="00AD4948" w:rsidRDefault="008B4C92" w:rsidP="00917590">
            <w:pPr>
              <w:snapToGrid w:val="0"/>
              <w:rPr>
                <w:rFonts w:ascii="Arial Narrow" w:hAnsi="Arial Narrow"/>
                <w:sz w:val="20"/>
              </w:rPr>
            </w:pPr>
            <w:r w:rsidRPr="00AD4948">
              <w:rPr>
                <w:rFonts w:ascii="Arial Narrow" w:hAnsi="Arial Narrow"/>
                <w:sz w:val="20"/>
              </w:rPr>
              <w:t xml:space="preserve">Initial treatment </w:t>
            </w:r>
          </w:p>
        </w:tc>
      </w:tr>
      <w:tr w:rsidR="008B4C92" w:rsidRPr="00AD4948" w:rsidTr="000A69AC">
        <w:tblPrEx>
          <w:tblLook w:val="04A0" w:firstRow="1" w:lastRow="0" w:firstColumn="1" w:lastColumn="0" w:noHBand="0" w:noVBand="1"/>
        </w:tblPrEx>
        <w:trPr>
          <w:trHeight w:val="360"/>
          <w:jc w:val="center"/>
        </w:trPr>
        <w:tc>
          <w:tcPr>
            <w:tcW w:w="971"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b/>
                <w:sz w:val="20"/>
              </w:rPr>
            </w:pPr>
            <w:r w:rsidRPr="00AD4948">
              <w:rPr>
                <w:rFonts w:ascii="Arial Narrow" w:hAnsi="Arial Narrow"/>
                <w:b/>
                <w:sz w:val="20"/>
              </w:rPr>
              <w:t>Restriction Level / Method:</w:t>
            </w:r>
          </w:p>
        </w:tc>
        <w:tc>
          <w:tcPr>
            <w:tcW w:w="4029" w:type="pct"/>
            <w:gridSpan w:val="5"/>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sz w:val="20"/>
              </w:rPr>
            </w:pPr>
            <w:r w:rsidRPr="002A4B8F">
              <w:rPr>
                <w:rFonts w:ascii="Arial Narrow" w:hAnsi="Arial Narrow"/>
                <w:sz w:val="20"/>
              </w:rPr>
              <w:fldChar w:fldCharType="begin">
                <w:ffData>
                  <w:name w:val=""/>
                  <w:enabled/>
                  <w:calcOnExit w:val="0"/>
                  <w:checkBox>
                    <w:sizeAuto/>
                    <w:default w:val="1"/>
                  </w:checkBox>
                </w:ffData>
              </w:fldChar>
            </w:r>
            <w:r w:rsidRPr="00AD4948">
              <w:rPr>
                <w:rFonts w:ascii="Arial Narrow" w:hAnsi="Arial Narrow"/>
                <w:sz w:val="20"/>
              </w:rPr>
              <w:instrText xml:space="preserve"> FORMCHECKBOX </w:instrText>
            </w:r>
            <w:r w:rsidR="002E4B38">
              <w:rPr>
                <w:rFonts w:ascii="Arial Narrow" w:hAnsi="Arial Narrow"/>
                <w:sz w:val="20"/>
              </w:rPr>
            </w:r>
            <w:r w:rsidR="002E4B38">
              <w:rPr>
                <w:rFonts w:ascii="Arial Narrow" w:hAnsi="Arial Narrow"/>
                <w:sz w:val="20"/>
              </w:rPr>
              <w:fldChar w:fldCharType="separate"/>
            </w:r>
            <w:r w:rsidRPr="002A4B8F">
              <w:rPr>
                <w:rFonts w:ascii="Arial Narrow" w:hAnsi="Arial Narrow"/>
                <w:sz w:val="20"/>
              </w:rPr>
              <w:fldChar w:fldCharType="end"/>
            </w:r>
            <w:r w:rsidRPr="00AD4948">
              <w:rPr>
                <w:rFonts w:ascii="Arial Narrow" w:hAnsi="Arial Narrow"/>
                <w:sz w:val="20"/>
              </w:rPr>
              <w:t>Authority Required - In Writing</w:t>
            </w:r>
          </w:p>
          <w:p w:rsidR="008B4C92" w:rsidRPr="00AD4948" w:rsidRDefault="008B4C92" w:rsidP="00917590">
            <w:pPr>
              <w:snapToGrid w:val="0"/>
              <w:rPr>
                <w:rFonts w:ascii="Arial Narrow" w:hAnsi="Arial Narrow"/>
                <w:sz w:val="20"/>
              </w:rPr>
            </w:pPr>
          </w:p>
        </w:tc>
      </w:tr>
      <w:tr w:rsidR="008B4C92" w:rsidRPr="00AD4948" w:rsidTr="000A69AC">
        <w:tblPrEx>
          <w:tblLook w:val="04A0" w:firstRow="1" w:lastRow="0" w:firstColumn="1" w:lastColumn="0" w:noHBand="0" w:noVBand="1"/>
        </w:tblPrEx>
        <w:trPr>
          <w:trHeight w:val="360"/>
          <w:jc w:val="center"/>
        </w:trPr>
        <w:tc>
          <w:tcPr>
            <w:tcW w:w="971"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b/>
                <w:sz w:val="20"/>
              </w:rPr>
            </w:pPr>
            <w:r w:rsidRPr="00AD4948">
              <w:rPr>
                <w:rFonts w:ascii="Arial Narrow" w:hAnsi="Arial Narrow"/>
                <w:b/>
                <w:sz w:val="20"/>
              </w:rPr>
              <w:t>Clinical criteria:</w:t>
            </w:r>
          </w:p>
          <w:p w:rsidR="008B4C92" w:rsidRPr="00AD4948" w:rsidRDefault="008B4C92" w:rsidP="00917590">
            <w:pPr>
              <w:rPr>
                <w:rFonts w:ascii="Arial Narrow" w:hAnsi="Arial Narrow"/>
                <w:sz w:val="20"/>
              </w:rPr>
            </w:pPr>
          </w:p>
          <w:p w:rsidR="008B4C92" w:rsidRPr="00AD4948" w:rsidRDefault="008B4C92" w:rsidP="00917590">
            <w:pPr>
              <w:snapToGrid w:val="0"/>
              <w:rPr>
                <w:rFonts w:ascii="Arial Narrow" w:hAnsi="Arial Narrow"/>
                <w:sz w:val="20"/>
              </w:rPr>
            </w:pPr>
          </w:p>
        </w:tc>
        <w:tc>
          <w:tcPr>
            <w:tcW w:w="4029" w:type="pct"/>
            <w:gridSpan w:val="5"/>
            <w:tcBorders>
              <w:top w:val="single" w:sz="4" w:space="0" w:color="auto"/>
              <w:left w:val="single" w:sz="4" w:space="0" w:color="auto"/>
              <w:bottom w:val="single" w:sz="4" w:space="0" w:color="auto"/>
              <w:right w:val="single" w:sz="4" w:space="0" w:color="auto"/>
            </w:tcBorders>
          </w:tcPr>
          <w:p w:rsidR="008B4C92" w:rsidRPr="00AD4948" w:rsidRDefault="008B4C92" w:rsidP="00917590">
            <w:pPr>
              <w:snapToGrid w:val="0"/>
              <w:rPr>
                <w:color w:val="222222"/>
                <w:sz w:val="21"/>
                <w:szCs w:val="21"/>
              </w:rPr>
            </w:pPr>
            <w:proofErr w:type="gramStart"/>
            <w:r w:rsidRPr="00AD4948">
              <w:rPr>
                <w:rFonts w:ascii="Arial Narrow" w:hAnsi="Arial Narrow"/>
                <w:sz w:val="20"/>
              </w:rPr>
              <w:t>Patient must not have previously received PBS-subsidised treatment with this drug for this condition,</w:t>
            </w:r>
            <w:r w:rsidRPr="00AD4948">
              <w:rPr>
                <w:rFonts w:ascii="Arial Narrow" w:hAnsi="Arial Narrow"/>
                <w:sz w:val="20"/>
              </w:rPr>
              <w:br/>
            </w:r>
            <w:r w:rsidRPr="00AD4948">
              <w:rPr>
                <w:rFonts w:ascii="Arial Narrow" w:hAnsi="Arial Narrow"/>
                <w:sz w:val="20"/>
              </w:rPr>
              <w:br/>
              <w:t>AND</w:t>
            </w:r>
            <w:r w:rsidRPr="00AD4948">
              <w:rPr>
                <w:rFonts w:ascii="Arial Narrow" w:hAnsi="Arial Narrow"/>
                <w:sz w:val="20"/>
              </w:rPr>
              <w:br/>
            </w:r>
            <w:r w:rsidRPr="00AD4948">
              <w:rPr>
                <w:rFonts w:ascii="Arial Narrow" w:hAnsi="Arial Narrow"/>
                <w:sz w:val="20"/>
                <w:highlight w:val="yellow"/>
              </w:rPr>
              <w:br/>
            </w:r>
            <w:r w:rsidRPr="00AD4948">
              <w:rPr>
                <w:rFonts w:ascii="Arial Narrow" w:hAnsi="Arial Narrow"/>
                <w:sz w:val="20"/>
              </w:rPr>
              <w:t xml:space="preserve">Patient must have an age- and sex-adjusted insulin-like growth factor 1 (IGF-1) concentration greater than </w:t>
            </w:r>
            <w:r w:rsidR="00A96212" w:rsidRPr="00A96212">
              <w:rPr>
                <w:rFonts w:ascii="Arial Narrow" w:hAnsi="Arial Narrow"/>
                <w:strike/>
                <w:sz w:val="20"/>
              </w:rPr>
              <w:t>1.3 times</w:t>
            </w:r>
            <w:r w:rsidR="00A96212">
              <w:rPr>
                <w:rFonts w:ascii="Arial Narrow" w:hAnsi="Arial Narrow"/>
                <w:sz w:val="20"/>
              </w:rPr>
              <w:t xml:space="preserve"> </w:t>
            </w:r>
            <w:r w:rsidRPr="00A96212">
              <w:rPr>
                <w:rFonts w:ascii="Arial Narrow" w:hAnsi="Arial Narrow"/>
                <w:i/>
                <w:sz w:val="20"/>
              </w:rPr>
              <w:t>the</w:t>
            </w:r>
            <w:r w:rsidRPr="00AD4948">
              <w:rPr>
                <w:rFonts w:ascii="Arial Narrow" w:hAnsi="Arial Narrow"/>
                <w:i/>
                <w:sz w:val="20"/>
              </w:rPr>
              <w:t xml:space="preserve"> </w:t>
            </w:r>
            <w:r w:rsidRPr="00AD4948">
              <w:rPr>
                <w:rFonts w:ascii="Arial Narrow" w:hAnsi="Arial Narrow"/>
                <w:sz w:val="20"/>
              </w:rPr>
              <w:t>upper limit of normal (ULN),</w:t>
            </w:r>
            <w:r w:rsidRPr="00AD4948">
              <w:rPr>
                <w:rFonts w:ascii="Arial Narrow" w:hAnsi="Arial Narrow"/>
                <w:sz w:val="20"/>
              </w:rPr>
              <w:br/>
            </w:r>
            <w:r w:rsidRPr="00AD4948">
              <w:rPr>
                <w:rFonts w:ascii="Arial Narrow" w:hAnsi="Arial Narrow"/>
                <w:sz w:val="20"/>
              </w:rPr>
              <w:br/>
              <w:t>AND</w:t>
            </w:r>
            <w:r w:rsidRPr="00AD4948">
              <w:rPr>
                <w:rFonts w:ascii="Arial Narrow" w:hAnsi="Arial Narrow"/>
                <w:sz w:val="20"/>
              </w:rPr>
              <w:br/>
            </w:r>
            <w:r w:rsidRPr="00AD4948">
              <w:rPr>
                <w:rFonts w:ascii="Arial Narrow" w:hAnsi="Arial Narrow"/>
                <w:sz w:val="20"/>
              </w:rPr>
              <w:br/>
              <w:t xml:space="preserve">The treatment must be after failure to achieve biochemical control with a maximum indicated dose of either 30 mg octreotide LAR or 120 mg </w:t>
            </w:r>
            <w:proofErr w:type="spellStart"/>
            <w:r w:rsidRPr="00AD4948">
              <w:rPr>
                <w:rFonts w:ascii="Arial Narrow" w:hAnsi="Arial Narrow"/>
                <w:sz w:val="20"/>
              </w:rPr>
              <w:t>lanreotide</w:t>
            </w:r>
            <w:proofErr w:type="spellEnd"/>
            <w:r w:rsidRPr="00AD4948">
              <w:rPr>
                <w:rFonts w:ascii="Arial Narrow" w:hAnsi="Arial Narrow"/>
                <w:sz w:val="20"/>
              </w:rPr>
              <w:t xml:space="preserve"> ATG every 28 days for 24 weeks; unless contraindicated or not tolerated according to the TGA approved Product Information,</w:t>
            </w:r>
            <w:r w:rsidRPr="00AD4948">
              <w:rPr>
                <w:rFonts w:ascii="Arial Narrow" w:hAnsi="Arial Narrow"/>
                <w:sz w:val="20"/>
              </w:rPr>
              <w:br/>
            </w:r>
            <w:r w:rsidRPr="00AD4948">
              <w:rPr>
                <w:rFonts w:ascii="Arial Narrow" w:hAnsi="Arial Narrow"/>
                <w:sz w:val="20"/>
              </w:rPr>
              <w:br/>
              <w:t xml:space="preserve">AND </w:t>
            </w:r>
            <w:r w:rsidRPr="00AD4948">
              <w:rPr>
                <w:rFonts w:ascii="Arial Narrow" w:hAnsi="Arial Narrow"/>
                <w:sz w:val="20"/>
              </w:rPr>
              <w:br/>
            </w:r>
            <w:r w:rsidRPr="00AD4948">
              <w:rPr>
                <w:rFonts w:ascii="Arial Narrow" w:hAnsi="Arial Narrow"/>
                <w:sz w:val="20"/>
              </w:rPr>
              <w:br/>
              <w:t>The treatment must not be given concomitantly with a PBS-subsidised somatostatin analogue.</w:t>
            </w:r>
            <w:r w:rsidRPr="00AD4948">
              <w:rPr>
                <w:rFonts w:ascii="Arial Narrow" w:hAnsi="Arial Narrow"/>
                <w:sz w:val="20"/>
              </w:rPr>
              <w:br/>
            </w:r>
            <w:proofErr w:type="gramEnd"/>
          </w:p>
        </w:tc>
      </w:tr>
      <w:tr w:rsidR="008B4C92" w:rsidRPr="00AD4948" w:rsidTr="000A69AC">
        <w:tblPrEx>
          <w:tblLook w:val="04A0" w:firstRow="1" w:lastRow="0" w:firstColumn="1" w:lastColumn="0" w:noHBand="0" w:noVBand="1"/>
        </w:tblPrEx>
        <w:trPr>
          <w:trHeight w:val="466"/>
          <w:jc w:val="center"/>
        </w:trPr>
        <w:tc>
          <w:tcPr>
            <w:tcW w:w="971"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b/>
                <w:sz w:val="20"/>
              </w:rPr>
            </w:pPr>
            <w:r w:rsidRPr="00AD4948">
              <w:rPr>
                <w:rFonts w:ascii="Arial Narrow" w:hAnsi="Arial Narrow"/>
                <w:b/>
                <w:sz w:val="20"/>
              </w:rPr>
              <w:t>Prescriber Instructions</w:t>
            </w:r>
          </w:p>
        </w:tc>
        <w:tc>
          <w:tcPr>
            <w:tcW w:w="4029" w:type="pct"/>
            <w:gridSpan w:val="5"/>
            <w:tcBorders>
              <w:top w:val="single" w:sz="4" w:space="0" w:color="auto"/>
              <w:left w:val="single" w:sz="4" w:space="0" w:color="auto"/>
              <w:bottom w:val="single" w:sz="4" w:space="0" w:color="auto"/>
              <w:right w:val="single" w:sz="4" w:space="0" w:color="auto"/>
            </w:tcBorders>
          </w:tcPr>
          <w:p w:rsidR="008B4C92" w:rsidRPr="00AD4948" w:rsidRDefault="008B4C92" w:rsidP="00917590">
            <w:pPr>
              <w:snapToGrid w:val="0"/>
              <w:rPr>
                <w:rFonts w:ascii="Arial Narrow" w:hAnsi="Arial Narrow"/>
                <w:sz w:val="20"/>
              </w:rPr>
            </w:pPr>
            <w:r w:rsidRPr="00AD4948">
              <w:rPr>
                <w:rFonts w:ascii="Arial Narrow" w:hAnsi="Arial Narrow"/>
                <w:sz w:val="20"/>
              </w:rPr>
              <w:t xml:space="preserve">Somatostatin analogues include octreotide, </w:t>
            </w:r>
            <w:proofErr w:type="spellStart"/>
            <w:r w:rsidRPr="00AD4948">
              <w:rPr>
                <w:rFonts w:ascii="Arial Narrow" w:hAnsi="Arial Narrow"/>
                <w:sz w:val="20"/>
              </w:rPr>
              <w:t>lanreotide</w:t>
            </w:r>
            <w:proofErr w:type="spellEnd"/>
            <w:r w:rsidRPr="00AD4948">
              <w:rPr>
                <w:rFonts w:ascii="Arial Narrow" w:hAnsi="Arial Narrow"/>
                <w:sz w:val="20"/>
              </w:rPr>
              <w:t xml:space="preserve"> and </w:t>
            </w:r>
            <w:proofErr w:type="spellStart"/>
            <w:r w:rsidRPr="00AD4948">
              <w:rPr>
                <w:rFonts w:ascii="Arial Narrow" w:hAnsi="Arial Narrow"/>
                <w:sz w:val="20"/>
              </w:rPr>
              <w:t>pasireotide</w:t>
            </w:r>
            <w:proofErr w:type="spellEnd"/>
          </w:p>
          <w:p w:rsidR="008B4C92" w:rsidRPr="00AD4948" w:rsidRDefault="008B4C92" w:rsidP="00917590">
            <w:pPr>
              <w:snapToGrid w:val="0"/>
              <w:rPr>
                <w:rFonts w:ascii="Arial Narrow" w:hAnsi="Arial Narrow"/>
                <w:sz w:val="20"/>
              </w:rPr>
            </w:pPr>
          </w:p>
          <w:p w:rsidR="008B4C92" w:rsidRPr="00AD4948" w:rsidRDefault="008B4C92" w:rsidP="00917590">
            <w:pPr>
              <w:snapToGrid w:val="0"/>
              <w:rPr>
                <w:rFonts w:ascii="Arial Narrow" w:hAnsi="Arial Narrow"/>
                <w:sz w:val="20"/>
              </w:rPr>
            </w:pPr>
            <w:r w:rsidRPr="00AD4948">
              <w:rPr>
                <w:rFonts w:ascii="Arial Narrow" w:hAnsi="Arial Narrow"/>
                <w:sz w:val="20"/>
              </w:rPr>
              <w:t>Failure to achieve biochemical control is defined as:</w:t>
            </w:r>
          </w:p>
          <w:p w:rsidR="008B4C92" w:rsidRPr="00AD4948" w:rsidRDefault="008B4C92" w:rsidP="00917590">
            <w:pPr>
              <w:snapToGrid w:val="0"/>
              <w:rPr>
                <w:rFonts w:ascii="Arial Narrow" w:hAnsi="Arial Narrow"/>
                <w:sz w:val="20"/>
              </w:rPr>
            </w:pPr>
            <w:r w:rsidRPr="00AD4948">
              <w:rPr>
                <w:rFonts w:ascii="Arial Narrow" w:hAnsi="Arial Narrow"/>
                <w:sz w:val="20"/>
              </w:rPr>
              <w:t xml:space="preserve">1) Growth hormone level is greater than </w:t>
            </w:r>
            <w:r w:rsidR="00A96212" w:rsidRPr="00A96212">
              <w:rPr>
                <w:rFonts w:ascii="Arial Narrow" w:hAnsi="Arial Narrow"/>
                <w:strike/>
                <w:sz w:val="20"/>
              </w:rPr>
              <w:t>2.5</w:t>
            </w:r>
            <w:r w:rsidR="00A96212">
              <w:rPr>
                <w:rFonts w:ascii="Arial Narrow" w:hAnsi="Arial Narrow"/>
                <w:sz w:val="20"/>
              </w:rPr>
              <w:t xml:space="preserve"> </w:t>
            </w:r>
            <w:r w:rsidRPr="00A96212">
              <w:rPr>
                <w:rFonts w:ascii="Arial Narrow" w:hAnsi="Arial Narrow"/>
                <w:i/>
                <w:sz w:val="20"/>
              </w:rPr>
              <w:t>1</w:t>
            </w:r>
            <w:r w:rsidRPr="00AD4948">
              <w:rPr>
                <w:rFonts w:ascii="Arial Narrow" w:hAnsi="Arial Narrow"/>
                <w:sz w:val="20"/>
              </w:rPr>
              <w:t xml:space="preserve"> mcg/L</w:t>
            </w:r>
            <w:r w:rsidR="00EE53B7" w:rsidRPr="00AD4948">
              <w:rPr>
                <w:rFonts w:ascii="Arial Narrow" w:hAnsi="Arial Narrow"/>
                <w:sz w:val="20"/>
              </w:rPr>
              <w:t xml:space="preserve"> or </w:t>
            </w:r>
            <w:r w:rsidR="00EE53B7" w:rsidRPr="00A96212">
              <w:rPr>
                <w:rFonts w:ascii="Arial Narrow" w:hAnsi="Arial Narrow"/>
                <w:i/>
                <w:sz w:val="20"/>
              </w:rPr>
              <w:t>3mIU/L</w:t>
            </w:r>
            <w:r w:rsidRPr="00AD4948">
              <w:rPr>
                <w:rFonts w:ascii="Arial Narrow" w:hAnsi="Arial Narrow"/>
                <w:sz w:val="20"/>
              </w:rPr>
              <w:t xml:space="preserve">; </w:t>
            </w:r>
            <w:r w:rsidR="00A96212" w:rsidRPr="00A96212">
              <w:rPr>
                <w:rFonts w:ascii="Arial Narrow" w:hAnsi="Arial Narrow"/>
                <w:strike/>
                <w:sz w:val="20"/>
              </w:rPr>
              <w:t>and</w:t>
            </w:r>
            <w:r w:rsidR="00A96212">
              <w:rPr>
                <w:rFonts w:ascii="Arial Narrow" w:hAnsi="Arial Narrow"/>
                <w:sz w:val="20"/>
              </w:rPr>
              <w:t xml:space="preserve"> </w:t>
            </w:r>
            <w:r w:rsidR="007C3FEC" w:rsidRPr="00A96212">
              <w:rPr>
                <w:rFonts w:ascii="Arial Narrow" w:hAnsi="Arial Narrow"/>
                <w:i/>
                <w:sz w:val="20"/>
              </w:rPr>
              <w:t>OR</w:t>
            </w:r>
          </w:p>
          <w:p w:rsidR="008B4C92" w:rsidRPr="00AD4948" w:rsidRDefault="008B4C92" w:rsidP="00917590">
            <w:pPr>
              <w:snapToGrid w:val="0"/>
              <w:rPr>
                <w:rFonts w:ascii="Arial Narrow" w:hAnsi="Arial Narrow"/>
                <w:sz w:val="20"/>
              </w:rPr>
            </w:pPr>
            <w:r w:rsidRPr="00AD4948">
              <w:rPr>
                <w:rFonts w:ascii="Arial Narrow" w:hAnsi="Arial Narrow"/>
                <w:sz w:val="20"/>
              </w:rPr>
              <w:t>2) IGF-1 level is greater than</w:t>
            </w:r>
            <w:r w:rsidR="00A96212">
              <w:rPr>
                <w:rFonts w:ascii="Arial Narrow" w:hAnsi="Arial Narrow"/>
                <w:sz w:val="20"/>
              </w:rPr>
              <w:t xml:space="preserve"> </w:t>
            </w:r>
            <w:r w:rsidR="00A96212" w:rsidRPr="00A96212">
              <w:rPr>
                <w:rFonts w:ascii="Arial Narrow" w:hAnsi="Arial Narrow"/>
                <w:strike/>
                <w:sz w:val="20"/>
              </w:rPr>
              <w:t>1.3 times</w:t>
            </w:r>
            <w:r w:rsidRPr="00AD4948">
              <w:rPr>
                <w:rFonts w:ascii="Arial Narrow" w:hAnsi="Arial Narrow"/>
                <w:sz w:val="20"/>
              </w:rPr>
              <w:t xml:space="preserve"> </w:t>
            </w:r>
            <w:r w:rsidRPr="00A96212">
              <w:rPr>
                <w:rFonts w:ascii="Arial Narrow" w:hAnsi="Arial Narrow"/>
                <w:i/>
                <w:sz w:val="20"/>
              </w:rPr>
              <w:t>the</w:t>
            </w:r>
            <w:r w:rsidRPr="00AD4948">
              <w:rPr>
                <w:rFonts w:ascii="Arial Narrow" w:hAnsi="Arial Narrow"/>
                <w:sz w:val="20"/>
              </w:rPr>
              <w:t xml:space="preserve"> age- and sex-adjusted ULN</w:t>
            </w:r>
          </w:p>
          <w:p w:rsidR="008B4C92" w:rsidRPr="00AD4948" w:rsidRDefault="008B4C92" w:rsidP="00917590">
            <w:pPr>
              <w:snapToGrid w:val="0"/>
              <w:rPr>
                <w:rFonts w:ascii="Arial Narrow" w:hAnsi="Arial Narrow"/>
                <w:sz w:val="20"/>
              </w:rPr>
            </w:pPr>
          </w:p>
          <w:p w:rsidR="008B4C92" w:rsidRPr="00AD4948" w:rsidRDefault="008B4C92" w:rsidP="00917590">
            <w:pPr>
              <w:snapToGrid w:val="0"/>
              <w:rPr>
                <w:rFonts w:ascii="Arial Narrow" w:hAnsi="Arial Narrow"/>
                <w:sz w:val="20"/>
              </w:rPr>
            </w:pPr>
            <w:r w:rsidRPr="00AD4948">
              <w:rPr>
                <w:rFonts w:ascii="Arial Narrow" w:hAnsi="Arial Narrow"/>
                <w:sz w:val="20"/>
              </w:rPr>
              <w:t xml:space="preserve">If treatment with octreotide or </w:t>
            </w:r>
            <w:proofErr w:type="spellStart"/>
            <w:r w:rsidRPr="00AD4948">
              <w:rPr>
                <w:rFonts w:ascii="Arial Narrow" w:hAnsi="Arial Narrow"/>
                <w:sz w:val="20"/>
              </w:rPr>
              <w:t>lanreotide</w:t>
            </w:r>
            <w:proofErr w:type="spellEnd"/>
            <w:r w:rsidRPr="00AD4948">
              <w:rPr>
                <w:rFonts w:ascii="Arial Narrow" w:hAnsi="Arial Narrow"/>
                <w:sz w:val="20"/>
              </w:rPr>
              <w:t xml:space="preserve"> </w:t>
            </w:r>
            <w:proofErr w:type="gramStart"/>
            <w:r w:rsidRPr="00AD4948">
              <w:rPr>
                <w:rFonts w:ascii="Arial Narrow" w:hAnsi="Arial Narrow"/>
                <w:sz w:val="20"/>
              </w:rPr>
              <w:t>is contraindicated</w:t>
            </w:r>
            <w:proofErr w:type="gramEnd"/>
            <w:r w:rsidRPr="00AD4948">
              <w:rPr>
                <w:rFonts w:ascii="Arial Narrow" w:hAnsi="Arial Narrow"/>
                <w:sz w:val="20"/>
              </w:rPr>
              <w:t xml:space="preserve"> according to the relevant TGA-approved Product Information, the application must provide details of contraindication.</w:t>
            </w:r>
          </w:p>
          <w:p w:rsidR="008B4C92" w:rsidRPr="00AD4948" w:rsidRDefault="008B4C92" w:rsidP="00917590">
            <w:pPr>
              <w:snapToGrid w:val="0"/>
              <w:rPr>
                <w:rFonts w:ascii="Arial Narrow" w:hAnsi="Arial Narrow"/>
                <w:sz w:val="20"/>
              </w:rPr>
            </w:pPr>
          </w:p>
          <w:p w:rsidR="008B4C92" w:rsidRPr="00AD4948" w:rsidRDefault="008B4C92" w:rsidP="00917590">
            <w:pPr>
              <w:snapToGrid w:val="0"/>
              <w:rPr>
                <w:rFonts w:ascii="Arial Narrow" w:hAnsi="Arial Narrow"/>
                <w:sz w:val="20"/>
              </w:rPr>
            </w:pPr>
            <w:r w:rsidRPr="00AD4948">
              <w:rPr>
                <w:rFonts w:ascii="Arial Narrow" w:hAnsi="Arial Narrow"/>
                <w:sz w:val="20"/>
              </w:rPr>
              <w:t xml:space="preserve">If intolerance to either octreotide or </w:t>
            </w:r>
            <w:proofErr w:type="spellStart"/>
            <w:r w:rsidRPr="00AD4948">
              <w:rPr>
                <w:rFonts w:ascii="Arial Narrow" w:hAnsi="Arial Narrow"/>
                <w:sz w:val="20"/>
              </w:rPr>
              <w:t>lanreotide</w:t>
            </w:r>
            <w:proofErr w:type="spellEnd"/>
            <w:r w:rsidRPr="00AD4948">
              <w:rPr>
                <w:rFonts w:ascii="Arial Narrow" w:hAnsi="Arial Narrow"/>
                <w:sz w:val="20"/>
              </w:rPr>
              <w:t xml:space="preserve"> treatment developed during the relevant period of use which is of a severity to necessitate withdrawal of the treatment, the application must provide details of the nature and severity of this intolerance. </w:t>
            </w:r>
          </w:p>
          <w:p w:rsidR="008B4C92" w:rsidRPr="00AD4948" w:rsidRDefault="008B4C92" w:rsidP="00917590">
            <w:pPr>
              <w:snapToGrid w:val="0"/>
              <w:rPr>
                <w:rFonts w:ascii="Arial Narrow" w:hAnsi="Arial Narrow"/>
                <w:sz w:val="20"/>
              </w:rPr>
            </w:pPr>
          </w:p>
          <w:p w:rsidR="008B4C92" w:rsidRPr="00AD4948" w:rsidRDefault="008B4C92" w:rsidP="00917590">
            <w:pPr>
              <w:rPr>
                <w:rFonts w:ascii="Arial Narrow" w:hAnsi="Arial Narrow"/>
                <w:sz w:val="20"/>
              </w:rPr>
            </w:pPr>
            <w:r w:rsidRPr="00AD4948">
              <w:rPr>
                <w:rFonts w:ascii="Arial Narrow" w:hAnsi="Arial Narrow"/>
                <w:sz w:val="20"/>
              </w:rPr>
              <w:lastRenderedPageBreak/>
              <w:t xml:space="preserve">In a patient treated with radiotherapy, </w:t>
            </w:r>
            <w:proofErr w:type="spellStart"/>
            <w:r w:rsidRPr="00AD4948">
              <w:rPr>
                <w:rFonts w:ascii="Arial Narrow" w:hAnsi="Arial Narrow"/>
                <w:sz w:val="20"/>
              </w:rPr>
              <w:t>pegvisomant</w:t>
            </w:r>
            <w:proofErr w:type="spellEnd"/>
            <w:r w:rsidRPr="00AD4948">
              <w:rPr>
                <w:rFonts w:ascii="Arial Narrow" w:hAnsi="Arial Narrow"/>
                <w:sz w:val="20"/>
              </w:rPr>
              <w:t xml:space="preserve"> </w:t>
            </w:r>
            <w:proofErr w:type="gramStart"/>
            <w:r w:rsidRPr="00AD4948">
              <w:rPr>
                <w:rFonts w:ascii="Arial Narrow" w:hAnsi="Arial Narrow"/>
                <w:sz w:val="20"/>
              </w:rPr>
              <w:t>should be withdrawn</w:t>
            </w:r>
            <w:proofErr w:type="gramEnd"/>
            <w:r w:rsidRPr="00AD4948">
              <w:rPr>
                <w:rFonts w:ascii="Arial Narrow" w:hAnsi="Arial Narrow"/>
                <w:sz w:val="20"/>
              </w:rPr>
              <w:t xml:space="preserve"> every 2 years in the 10 years after completion of radiotherapy for assessment of remission. </w:t>
            </w:r>
            <w:proofErr w:type="spellStart"/>
            <w:r w:rsidRPr="00AD4948">
              <w:rPr>
                <w:rFonts w:ascii="Arial Narrow" w:hAnsi="Arial Narrow"/>
                <w:sz w:val="20"/>
              </w:rPr>
              <w:t>Pegvisomant</w:t>
            </w:r>
            <w:proofErr w:type="spellEnd"/>
            <w:r w:rsidRPr="00AD4948">
              <w:rPr>
                <w:rFonts w:ascii="Arial Narrow" w:hAnsi="Arial Narrow"/>
                <w:sz w:val="20"/>
              </w:rPr>
              <w:t xml:space="preserve"> should be withdrawn at least 8 weeks prior to the assessment of remission. </w:t>
            </w:r>
          </w:p>
          <w:p w:rsidR="008B4C92" w:rsidRPr="00AD4948" w:rsidRDefault="008B4C92" w:rsidP="00917590">
            <w:pPr>
              <w:rPr>
                <w:rFonts w:ascii="Arial Narrow" w:hAnsi="Arial Narrow"/>
                <w:sz w:val="20"/>
              </w:rPr>
            </w:pPr>
          </w:p>
          <w:p w:rsidR="008B4C92" w:rsidRPr="00AD4948" w:rsidRDefault="008B4C92" w:rsidP="00917590">
            <w:pPr>
              <w:rPr>
                <w:rFonts w:ascii="Arial Narrow" w:hAnsi="Arial Narrow"/>
                <w:sz w:val="20"/>
              </w:rPr>
            </w:pPr>
            <w:r w:rsidRPr="00AD4948">
              <w:rPr>
                <w:rFonts w:ascii="Arial Narrow" w:hAnsi="Arial Narrow"/>
                <w:sz w:val="20"/>
              </w:rPr>
              <w:t>Biochemical evidence of remission is defined as normalisation of sex- and age- adjusted insulin-like growth factor 1 (IGF-1).</w:t>
            </w:r>
          </w:p>
          <w:p w:rsidR="008B4C92" w:rsidRPr="00AD4948" w:rsidRDefault="008B4C92" w:rsidP="00917590">
            <w:pPr>
              <w:rPr>
                <w:rFonts w:ascii="Arial Narrow" w:hAnsi="Arial Narrow"/>
                <w:sz w:val="20"/>
              </w:rPr>
            </w:pPr>
          </w:p>
          <w:p w:rsidR="008B4C92" w:rsidRPr="00AD4948" w:rsidRDefault="008B4C92" w:rsidP="00917590">
            <w:pPr>
              <w:pStyle w:val="NormalWeb"/>
              <w:spacing w:after="0"/>
              <w:rPr>
                <w:rFonts w:ascii="Arial Narrow" w:hAnsi="Arial Narrow" w:cs="Arial"/>
                <w:sz w:val="20"/>
                <w:szCs w:val="20"/>
              </w:rPr>
            </w:pPr>
            <w:r w:rsidRPr="00AD4948">
              <w:rPr>
                <w:rFonts w:ascii="Arial Narrow" w:hAnsi="Arial Narrow" w:cs="Arial"/>
                <w:sz w:val="20"/>
                <w:szCs w:val="20"/>
              </w:rPr>
              <w:t xml:space="preserve">Two completed authority prescriptions </w:t>
            </w:r>
            <w:proofErr w:type="gramStart"/>
            <w:r w:rsidRPr="00AD4948">
              <w:rPr>
                <w:rFonts w:ascii="Arial Narrow" w:hAnsi="Arial Narrow" w:cs="Arial"/>
                <w:sz w:val="20"/>
                <w:szCs w:val="20"/>
              </w:rPr>
              <w:t>should be submitted</w:t>
            </w:r>
            <w:proofErr w:type="gramEnd"/>
            <w:r w:rsidRPr="00AD4948">
              <w:rPr>
                <w:rFonts w:ascii="Arial Narrow" w:hAnsi="Arial Narrow" w:cs="Arial"/>
                <w:sz w:val="20"/>
                <w:szCs w:val="20"/>
              </w:rPr>
              <w:t xml:space="preserve"> with the initial application for this drug. One prescription should be for the loading dose of 80 mg for a quantity of 4 vials of 20 mg with no repeats. The second prescription should be for subsequent doses, starting from 10 mg daily, and allowing dose adjustments in increments of 5 mg based on serum IGF-1 levels measured every 4 to 6 weeks in order to maintain the serum IGF-1 level within the age-adjusted normal range based on the dosage recommendations in the TGA-approved Product Information. </w:t>
            </w:r>
          </w:p>
          <w:p w:rsidR="008B4C92" w:rsidRPr="00AD4948" w:rsidRDefault="008B4C92" w:rsidP="00917590">
            <w:pPr>
              <w:pStyle w:val="NormalWeb"/>
              <w:spacing w:after="0"/>
              <w:rPr>
                <w:rFonts w:ascii="Arial Narrow" w:hAnsi="Arial Narrow" w:cs="Arial"/>
                <w:sz w:val="20"/>
                <w:szCs w:val="20"/>
              </w:rPr>
            </w:pPr>
          </w:p>
          <w:p w:rsidR="008B4C92" w:rsidRPr="00AD4948" w:rsidRDefault="008B4C92" w:rsidP="00917590">
            <w:pPr>
              <w:pStyle w:val="NormalWeb"/>
              <w:spacing w:after="0"/>
              <w:rPr>
                <w:rFonts w:ascii="Arial Narrow" w:hAnsi="Arial Narrow" w:cs="Arial"/>
                <w:sz w:val="20"/>
                <w:szCs w:val="20"/>
              </w:rPr>
            </w:pPr>
            <w:r w:rsidRPr="00AD4948">
              <w:rPr>
                <w:rFonts w:ascii="Arial Narrow" w:hAnsi="Arial Narrow" w:cs="Arial"/>
                <w:sz w:val="20"/>
                <w:szCs w:val="20"/>
              </w:rPr>
              <w:t>The authority application must be made in writing and must include:</w:t>
            </w:r>
          </w:p>
          <w:p w:rsidR="008B4C92" w:rsidRPr="00AD4948" w:rsidRDefault="008B4C92" w:rsidP="00917590">
            <w:pPr>
              <w:pStyle w:val="NormalWeb"/>
              <w:spacing w:after="0"/>
              <w:rPr>
                <w:rFonts w:ascii="Arial Narrow" w:hAnsi="Arial Narrow" w:cs="Arial"/>
                <w:sz w:val="20"/>
                <w:szCs w:val="20"/>
              </w:rPr>
            </w:pPr>
            <w:r w:rsidRPr="00AD4948">
              <w:rPr>
                <w:rFonts w:ascii="Arial Narrow" w:hAnsi="Arial Narrow" w:cs="Arial"/>
                <w:sz w:val="20"/>
                <w:szCs w:val="20"/>
              </w:rPr>
              <w:t>a) two completed authority prescription forms ; and</w:t>
            </w:r>
          </w:p>
          <w:p w:rsidR="008B4C92" w:rsidRPr="00AD4948" w:rsidRDefault="008B4C92" w:rsidP="00917590">
            <w:pPr>
              <w:pStyle w:val="NormalWeb"/>
              <w:spacing w:after="0"/>
              <w:rPr>
                <w:rFonts w:ascii="Arial Narrow" w:hAnsi="Arial Narrow" w:cs="Arial"/>
                <w:sz w:val="20"/>
                <w:szCs w:val="20"/>
              </w:rPr>
            </w:pPr>
            <w:r w:rsidRPr="00AD4948">
              <w:rPr>
                <w:rFonts w:ascii="Arial Narrow" w:hAnsi="Arial Narrow" w:cs="Arial"/>
                <w:sz w:val="20"/>
                <w:szCs w:val="20"/>
              </w:rPr>
              <w:t xml:space="preserve">b) a completed Acromegaly </w:t>
            </w:r>
            <w:proofErr w:type="spellStart"/>
            <w:r w:rsidRPr="00AD4948">
              <w:rPr>
                <w:rFonts w:ascii="Arial Narrow" w:hAnsi="Arial Narrow" w:cs="Arial"/>
                <w:sz w:val="20"/>
                <w:szCs w:val="20"/>
              </w:rPr>
              <w:t>Pegvisomant</w:t>
            </w:r>
            <w:proofErr w:type="spellEnd"/>
            <w:r w:rsidRPr="00AD4948">
              <w:rPr>
                <w:rFonts w:ascii="Arial Narrow" w:hAnsi="Arial Narrow" w:cs="Arial"/>
                <w:sz w:val="20"/>
                <w:szCs w:val="20"/>
              </w:rPr>
              <w:t xml:space="preserve"> initial PBS Authority Application - Supporting Information Form; and </w:t>
            </w:r>
          </w:p>
          <w:p w:rsidR="008B4C92" w:rsidRPr="00AD4948" w:rsidRDefault="008B4C92" w:rsidP="00917590">
            <w:pPr>
              <w:pStyle w:val="NormalWeb"/>
              <w:spacing w:after="0"/>
              <w:rPr>
                <w:rFonts w:ascii="Arial Narrow" w:hAnsi="Arial Narrow" w:cs="Arial"/>
                <w:sz w:val="20"/>
                <w:szCs w:val="20"/>
              </w:rPr>
            </w:pPr>
            <w:r w:rsidRPr="00AD4948">
              <w:rPr>
                <w:rFonts w:ascii="Arial Narrow" w:hAnsi="Arial Narrow" w:cs="Arial"/>
                <w:sz w:val="20"/>
                <w:szCs w:val="20"/>
              </w:rPr>
              <w:t xml:space="preserve">c) in a patient who has been previously treated with radiotherapy for this condition, the date of completion of radiotherapy, the date and result of IGF-1 levels taken at the most recent two yearly assessment in the 10 years after completion of radiotherapy; and </w:t>
            </w:r>
          </w:p>
          <w:p w:rsidR="008B4C92" w:rsidRPr="00AD4948" w:rsidRDefault="008B4C92" w:rsidP="00917590">
            <w:pPr>
              <w:pStyle w:val="NormalWeb"/>
              <w:spacing w:after="0"/>
              <w:rPr>
                <w:rFonts w:ascii="Arial Narrow" w:hAnsi="Arial Narrow" w:cs="Arial"/>
                <w:sz w:val="20"/>
                <w:szCs w:val="20"/>
              </w:rPr>
            </w:pPr>
            <w:r w:rsidRPr="00AD4948">
              <w:rPr>
                <w:rFonts w:ascii="Arial Narrow" w:hAnsi="Arial Narrow" w:cs="Arial"/>
                <w:sz w:val="20"/>
                <w:szCs w:val="20"/>
              </w:rPr>
              <w:t>d) a recent result of the IGF-1 level and the date of assessment; and</w:t>
            </w:r>
          </w:p>
          <w:p w:rsidR="008B4C92" w:rsidRPr="00AD4948" w:rsidRDefault="008B4C92" w:rsidP="00917590">
            <w:pPr>
              <w:rPr>
                <w:rFonts w:ascii="Arial Narrow" w:hAnsi="Arial Narrow" w:cs="Arial"/>
                <w:sz w:val="20"/>
                <w:szCs w:val="20"/>
              </w:rPr>
            </w:pPr>
            <w:r w:rsidRPr="00AD4948">
              <w:rPr>
                <w:rFonts w:ascii="Arial Narrow" w:hAnsi="Arial Narrow" w:cs="Arial"/>
                <w:sz w:val="20"/>
                <w:szCs w:val="20"/>
              </w:rPr>
              <w:t xml:space="preserve">e) demonstration of failure to achieve biochemical control after completion of a prior therapy with either octreotide or </w:t>
            </w:r>
            <w:proofErr w:type="spellStart"/>
            <w:r w:rsidRPr="00AD4948">
              <w:rPr>
                <w:rFonts w:ascii="Arial Narrow" w:hAnsi="Arial Narrow" w:cs="Arial"/>
                <w:sz w:val="20"/>
                <w:szCs w:val="20"/>
              </w:rPr>
              <w:t>lanreotide</w:t>
            </w:r>
            <w:proofErr w:type="spellEnd"/>
          </w:p>
          <w:p w:rsidR="008B4C92" w:rsidRPr="00AD4948" w:rsidRDefault="008B4C92" w:rsidP="00917590">
            <w:pPr>
              <w:rPr>
                <w:rFonts w:ascii="Arial Narrow" w:hAnsi="Arial Narrow" w:cs="Arial"/>
                <w:sz w:val="20"/>
                <w:szCs w:val="20"/>
              </w:rPr>
            </w:pPr>
          </w:p>
        </w:tc>
      </w:tr>
      <w:tr w:rsidR="008B4C92" w:rsidRPr="00AD4948" w:rsidTr="000A69AC">
        <w:tblPrEx>
          <w:tblLook w:val="04A0" w:firstRow="1" w:lastRow="0" w:firstColumn="1" w:lastColumn="0" w:noHBand="0" w:noVBand="1"/>
        </w:tblPrEx>
        <w:trPr>
          <w:trHeight w:val="489"/>
          <w:jc w:val="center"/>
        </w:trPr>
        <w:tc>
          <w:tcPr>
            <w:tcW w:w="971"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b/>
                <w:sz w:val="20"/>
              </w:rPr>
            </w:pPr>
            <w:r w:rsidRPr="00AD4948">
              <w:rPr>
                <w:rFonts w:ascii="Arial Narrow" w:hAnsi="Arial Narrow"/>
                <w:b/>
                <w:sz w:val="20"/>
              </w:rPr>
              <w:lastRenderedPageBreak/>
              <w:t>Administrative advice</w:t>
            </w:r>
          </w:p>
        </w:tc>
        <w:tc>
          <w:tcPr>
            <w:tcW w:w="4029" w:type="pct"/>
            <w:gridSpan w:val="5"/>
            <w:tcBorders>
              <w:top w:val="single" w:sz="4" w:space="0" w:color="auto"/>
              <w:left w:val="single" w:sz="4" w:space="0" w:color="auto"/>
              <w:bottom w:val="single" w:sz="4" w:space="0" w:color="auto"/>
              <w:right w:val="single" w:sz="4" w:space="0" w:color="auto"/>
            </w:tcBorders>
          </w:tcPr>
          <w:p w:rsidR="008B4C92" w:rsidRPr="00AD4948" w:rsidRDefault="008B4C92" w:rsidP="00917590">
            <w:pPr>
              <w:snapToGrid w:val="0"/>
              <w:rPr>
                <w:rFonts w:ascii="Arial Narrow" w:hAnsi="Arial Narrow"/>
                <w:sz w:val="20"/>
              </w:rPr>
            </w:pPr>
            <w:r w:rsidRPr="00AD4948">
              <w:rPr>
                <w:rFonts w:ascii="Arial Narrow" w:hAnsi="Arial Narrow"/>
                <w:sz w:val="20"/>
              </w:rPr>
              <w:t>No increase in the maximum quantity or number of units may be authorised for the loading dose.</w:t>
            </w:r>
            <w:r w:rsidRPr="00AD4948">
              <w:rPr>
                <w:rFonts w:ascii="Arial Narrow" w:hAnsi="Arial Narrow"/>
                <w:sz w:val="20"/>
              </w:rPr>
              <w:br/>
              <w:t xml:space="preserve"> </w:t>
            </w:r>
          </w:p>
        </w:tc>
      </w:tr>
    </w:tbl>
    <w:p w:rsidR="008B4C92" w:rsidRPr="00782F30" w:rsidRDefault="0005567B" w:rsidP="000E7F34">
      <w:pPr>
        <w:spacing w:before="120" w:after="120"/>
        <w:rPr>
          <w:rFonts w:asciiTheme="minorHAnsi" w:hAnsiTheme="minorHAnsi" w:cstheme="minorHAnsi"/>
        </w:rPr>
      </w:pPr>
      <w:r w:rsidRPr="00AD4948">
        <w:br/>
      </w:r>
      <w:r w:rsidR="008B4C92" w:rsidRPr="00AD4948">
        <w:rPr>
          <w:rFonts w:asciiTheme="minorHAnsi" w:hAnsiTheme="minorHAnsi" w:cstheme="minorHAnsi"/>
          <w:bCs/>
        </w:rPr>
        <w:t xml:space="preserve">Amend existing listing for </w:t>
      </w:r>
      <w:proofErr w:type="spellStart"/>
      <w:r w:rsidR="008B4C92" w:rsidRPr="00AD4948">
        <w:rPr>
          <w:rFonts w:asciiTheme="minorHAnsi" w:hAnsiTheme="minorHAnsi" w:cstheme="minorHAnsi"/>
          <w:bCs/>
        </w:rPr>
        <w:t>Pasireotide</w:t>
      </w:r>
      <w:proofErr w:type="spellEnd"/>
      <w:r w:rsidR="008B4C92" w:rsidRPr="00AD4948">
        <w:rPr>
          <w:rFonts w:asciiTheme="minorHAnsi" w:hAnsiTheme="minorHAnsi" w:cstheme="minorHAnsi"/>
          <w:bCs/>
        </w:rPr>
        <w:t xml:space="preserve"> as follows: </w:t>
      </w:r>
    </w:p>
    <w:tbl>
      <w:tblPr>
        <w:tblW w:w="5000" w:type="pct"/>
        <w:tblLook w:val="04A0" w:firstRow="1" w:lastRow="0" w:firstColumn="1" w:lastColumn="0" w:noHBand="0" w:noVBand="1"/>
      </w:tblPr>
      <w:tblGrid>
        <w:gridCol w:w="1922"/>
        <w:gridCol w:w="7094"/>
      </w:tblGrid>
      <w:tr w:rsidR="008B4C92" w:rsidRPr="00AD4948" w:rsidTr="00D17CA0">
        <w:trPr>
          <w:cantSplit/>
          <w:trHeight w:val="360"/>
        </w:trPr>
        <w:tc>
          <w:tcPr>
            <w:tcW w:w="1066" w:type="pct"/>
            <w:tcBorders>
              <w:top w:val="single" w:sz="4" w:space="0" w:color="auto"/>
              <w:left w:val="single" w:sz="4" w:space="0" w:color="auto"/>
              <w:bottom w:val="single" w:sz="4" w:space="0" w:color="auto"/>
              <w:right w:val="single" w:sz="4" w:space="0" w:color="auto"/>
            </w:tcBorders>
            <w:hideMark/>
          </w:tcPr>
          <w:p w:rsidR="008B4C92" w:rsidRPr="00AD4948" w:rsidRDefault="008B4C92" w:rsidP="00917590">
            <w:pPr>
              <w:rPr>
                <w:rFonts w:ascii="Arial Narrow" w:hAnsi="Arial Narrow"/>
                <w:b/>
                <w:sz w:val="20"/>
              </w:rPr>
            </w:pPr>
            <w:r w:rsidRPr="00AD4948">
              <w:rPr>
                <w:rFonts w:ascii="Arial Narrow" w:hAnsi="Arial Narrow"/>
                <w:b/>
                <w:sz w:val="20"/>
              </w:rPr>
              <w:t xml:space="preserve">Category / </w:t>
            </w:r>
          </w:p>
          <w:p w:rsidR="008B4C92" w:rsidRPr="00AD4948" w:rsidRDefault="008B4C92" w:rsidP="00917590">
            <w:pPr>
              <w:snapToGrid w:val="0"/>
              <w:rPr>
                <w:rFonts w:ascii="Arial Narrow" w:hAnsi="Arial Narrow"/>
                <w:b/>
                <w:sz w:val="20"/>
              </w:rPr>
            </w:pPr>
            <w:r w:rsidRPr="00AD4948">
              <w:rPr>
                <w:rFonts w:ascii="Arial Narrow" w:hAnsi="Arial Narrow"/>
                <w:b/>
                <w:sz w:val="20"/>
              </w:rPr>
              <w:t>Program</w:t>
            </w:r>
          </w:p>
        </w:tc>
        <w:tc>
          <w:tcPr>
            <w:tcW w:w="3934"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sz w:val="20"/>
              </w:rPr>
            </w:pPr>
            <w:r w:rsidRPr="00AD4948">
              <w:rPr>
                <w:rFonts w:ascii="Arial Narrow" w:hAnsi="Arial Narrow"/>
                <w:sz w:val="20"/>
              </w:rPr>
              <w:t>Section 100 – Highly Specialised Drugs Program</w:t>
            </w:r>
          </w:p>
        </w:tc>
      </w:tr>
      <w:tr w:rsidR="008B4C92" w:rsidRPr="00AD4948" w:rsidTr="00D17CA0">
        <w:trPr>
          <w:cantSplit/>
          <w:trHeight w:val="360"/>
        </w:trPr>
        <w:tc>
          <w:tcPr>
            <w:tcW w:w="1066"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b/>
                <w:sz w:val="20"/>
              </w:rPr>
            </w:pPr>
            <w:r w:rsidRPr="00AD4948">
              <w:rPr>
                <w:rFonts w:ascii="Arial Narrow" w:hAnsi="Arial Narrow"/>
                <w:b/>
                <w:sz w:val="20"/>
              </w:rPr>
              <w:t>Prescriber type:</w:t>
            </w:r>
          </w:p>
          <w:p w:rsidR="008B4C92" w:rsidRPr="00AD4948" w:rsidRDefault="008B4C92" w:rsidP="00917590">
            <w:pPr>
              <w:snapToGrid w:val="0"/>
              <w:rPr>
                <w:rFonts w:ascii="Arial Narrow" w:hAnsi="Arial Narrow"/>
                <w:b/>
                <w:sz w:val="20"/>
              </w:rPr>
            </w:pPr>
          </w:p>
        </w:tc>
        <w:tc>
          <w:tcPr>
            <w:tcW w:w="3934"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sz w:val="20"/>
              </w:rPr>
            </w:pPr>
            <w:r w:rsidRPr="002A4B8F">
              <w:rPr>
                <w:rFonts w:ascii="Arial Narrow" w:hAnsi="Arial Narrow"/>
                <w:sz w:val="20"/>
              </w:rPr>
              <w:fldChar w:fldCharType="begin">
                <w:ffData>
                  <w:name w:val=""/>
                  <w:enabled/>
                  <w:calcOnExit w:val="0"/>
                  <w:checkBox>
                    <w:sizeAuto/>
                    <w:default w:val="1"/>
                  </w:checkBox>
                </w:ffData>
              </w:fldChar>
            </w:r>
            <w:r w:rsidRPr="00AD4948">
              <w:rPr>
                <w:rFonts w:ascii="Arial Narrow" w:hAnsi="Arial Narrow"/>
                <w:sz w:val="20"/>
              </w:rPr>
              <w:instrText xml:space="preserve"> FORMCHECKBOX </w:instrText>
            </w:r>
            <w:r w:rsidR="002E4B38">
              <w:rPr>
                <w:rFonts w:ascii="Arial Narrow" w:hAnsi="Arial Narrow"/>
                <w:sz w:val="20"/>
              </w:rPr>
            </w:r>
            <w:r w:rsidR="002E4B38">
              <w:rPr>
                <w:rFonts w:ascii="Arial Narrow" w:hAnsi="Arial Narrow"/>
                <w:sz w:val="20"/>
              </w:rPr>
              <w:fldChar w:fldCharType="separate"/>
            </w:r>
            <w:r w:rsidRPr="002A4B8F">
              <w:rPr>
                <w:rFonts w:ascii="Arial Narrow" w:hAnsi="Arial Narrow"/>
                <w:sz w:val="20"/>
              </w:rPr>
              <w:fldChar w:fldCharType="end"/>
            </w:r>
            <w:r w:rsidRPr="00AD4948">
              <w:rPr>
                <w:rFonts w:ascii="Arial Narrow" w:hAnsi="Arial Narrow"/>
                <w:sz w:val="20"/>
              </w:rPr>
              <w:t xml:space="preserve">Medical Practitioners  </w:t>
            </w:r>
          </w:p>
        </w:tc>
      </w:tr>
      <w:tr w:rsidR="008B4C92" w:rsidRPr="00AD4948" w:rsidTr="00D17CA0">
        <w:trPr>
          <w:cantSplit/>
          <w:trHeight w:val="360"/>
        </w:trPr>
        <w:tc>
          <w:tcPr>
            <w:tcW w:w="1066" w:type="pct"/>
            <w:tcBorders>
              <w:top w:val="single" w:sz="4" w:space="0" w:color="auto"/>
              <w:left w:val="single" w:sz="4" w:space="0" w:color="auto"/>
              <w:bottom w:val="single" w:sz="4" w:space="0" w:color="auto"/>
              <w:right w:val="single" w:sz="4" w:space="0" w:color="auto"/>
            </w:tcBorders>
            <w:hideMark/>
          </w:tcPr>
          <w:p w:rsidR="008B4C92" w:rsidRPr="00AD4948" w:rsidRDefault="008B4C92" w:rsidP="00917590">
            <w:pPr>
              <w:snapToGrid w:val="0"/>
              <w:rPr>
                <w:rFonts w:ascii="Arial Narrow" w:hAnsi="Arial Narrow"/>
                <w:b/>
                <w:sz w:val="20"/>
              </w:rPr>
            </w:pPr>
            <w:r w:rsidRPr="00AD4948">
              <w:rPr>
                <w:rFonts w:ascii="Arial Narrow" w:hAnsi="Arial Narrow"/>
                <w:b/>
                <w:sz w:val="20"/>
              </w:rPr>
              <w:t>PBS Indication:</w:t>
            </w:r>
          </w:p>
        </w:tc>
        <w:tc>
          <w:tcPr>
            <w:tcW w:w="3934"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snapToGrid w:val="0"/>
              <w:rPr>
                <w:rFonts w:ascii="Arial Narrow" w:hAnsi="Arial Narrow"/>
                <w:sz w:val="20"/>
              </w:rPr>
            </w:pPr>
            <w:r w:rsidRPr="00AD4948">
              <w:rPr>
                <w:rFonts w:ascii="Arial Narrow" w:hAnsi="Arial Narrow"/>
                <w:sz w:val="20"/>
              </w:rPr>
              <w:t>Acromegaly</w:t>
            </w:r>
          </w:p>
        </w:tc>
      </w:tr>
      <w:tr w:rsidR="008B4C92" w:rsidRPr="00AD4948" w:rsidTr="00D17CA0">
        <w:trPr>
          <w:cantSplit/>
          <w:trHeight w:val="360"/>
        </w:trPr>
        <w:tc>
          <w:tcPr>
            <w:tcW w:w="1066"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b/>
                <w:sz w:val="20"/>
              </w:rPr>
            </w:pPr>
            <w:r w:rsidRPr="00AD4948">
              <w:rPr>
                <w:rFonts w:ascii="Arial Narrow" w:hAnsi="Arial Narrow"/>
                <w:b/>
                <w:sz w:val="20"/>
              </w:rPr>
              <w:t>Treatment phase:</w:t>
            </w:r>
          </w:p>
        </w:tc>
        <w:tc>
          <w:tcPr>
            <w:tcW w:w="3934"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snapToGrid w:val="0"/>
              <w:rPr>
                <w:rFonts w:ascii="Arial Narrow" w:hAnsi="Arial Narrow"/>
                <w:sz w:val="20"/>
              </w:rPr>
            </w:pPr>
            <w:r w:rsidRPr="00AD4948">
              <w:rPr>
                <w:rFonts w:ascii="Arial Narrow" w:hAnsi="Arial Narrow"/>
                <w:sz w:val="20"/>
              </w:rPr>
              <w:t xml:space="preserve">Initial treatment </w:t>
            </w:r>
          </w:p>
        </w:tc>
      </w:tr>
      <w:tr w:rsidR="008B4C92" w:rsidRPr="00AD4948" w:rsidTr="00D17CA0">
        <w:trPr>
          <w:cantSplit/>
          <w:trHeight w:val="360"/>
        </w:trPr>
        <w:tc>
          <w:tcPr>
            <w:tcW w:w="1066"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b/>
                <w:sz w:val="20"/>
              </w:rPr>
            </w:pPr>
            <w:r w:rsidRPr="00AD4948">
              <w:rPr>
                <w:rFonts w:ascii="Arial Narrow" w:hAnsi="Arial Narrow"/>
                <w:b/>
                <w:sz w:val="20"/>
              </w:rPr>
              <w:t>Restriction Level / Method:</w:t>
            </w:r>
          </w:p>
        </w:tc>
        <w:tc>
          <w:tcPr>
            <w:tcW w:w="3934"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sz w:val="20"/>
              </w:rPr>
            </w:pPr>
            <w:r w:rsidRPr="002A4B8F">
              <w:rPr>
                <w:rFonts w:ascii="Arial Narrow" w:hAnsi="Arial Narrow"/>
                <w:sz w:val="20"/>
              </w:rPr>
              <w:fldChar w:fldCharType="begin">
                <w:ffData>
                  <w:name w:val=""/>
                  <w:enabled/>
                  <w:calcOnExit w:val="0"/>
                  <w:checkBox>
                    <w:sizeAuto/>
                    <w:default w:val="1"/>
                  </w:checkBox>
                </w:ffData>
              </w:fldChar>
            </w:r>
            <w:r w:rsidRPr="00AD4948">
              <w:rPr>
                <w:rFonts w:ascii="Arial Narrow" w:hAnsi="Arial Narrow"/>
                <w:sz w:val="20"/>
              </w:rPr>
              <w:instrText xml:space="preserve"> FORMCHECKBOX </w:instrText>
            </w:r>
            <w:r w:rsidR="002E4B38">
              <w:rPr>
                <w:rFonts w:ascii="Arial Narrow" w:hAnsi="Arial Narrow"/>
                <w:sz w:val="20"/>
              </w:rPr>
            </w:r>
            <w:r w:rsidR="002E4B38">
              <w:rPr>
                <w:rFonts w:ascii="Arial Narrow" w:hAnsi="Arial Narrow"/>
                <w:sz w:val="20"/>
              </w:rPr>
              <w:fldChar w:fldCharType="separate"/>
            </w:r>
            <w:r w:rsidRPr="002A4B8F">
              <w:rPr>
                <w:rFonts w:ascii="Arial Narrow" w:hAnsi="Arial Narrow"/>
                <w:sz w:val="20"/>
              </w:rPr>
              <w:fldChar w:fldCharType="end"/>
            </w:r>
            <w:r w:rsidRPr="00AD4948">
              <w:rPr>
                <w:rFonts w:ascii="Arial Narrow" w:hAnsi="Arial Narrow"/>
                <w:sz w:val="20"/>
              </w:rPr>
              <w:t>Authority Required - In Writing</w:t>
            </w:r>
          </w:p>
          <w:p w:rsidR="008B4C92" w:rsidRPr="00AD4948" w:rsidRDefault="008B4C92" w:rsidP="00917590">
            <w:pPr>
              <w:snapToGrid w:val="0"/>
              <w:rPr>
                <w:rFonts w:ascii="Arial Narrow" w:hAnsi="Arial Narrow"/>
                <w:sz w:val="20"/>
              </w:rPr>
            </w:pPr>
          </w:p>
        </w:tc>
      </w:tr>
      <w:tr w:rsidR="008B4C92" w:rsidRPr="00AD4948" w:rsidTr="00D17CA0">
        <w:trPr>
          <w:trHeight w:val="360"/>
        </w:trPr>
        <w:tc>
          <w:tcPr>
            <w:tcW w:w="1066"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b/>
                <w:sz w:val="20"/>
              </w:rPr>
            </w:pPr>
            <w:r w:rsidRPr="00AD4948">
              <w:rPr>
                <w:rFonts w:ascii="Arial Narrow" w:hAnsi="Arial Narrow"/>
                <w:b/>
                <w:sz w:val="20"/>
              </w:rPr>
              <w:t>Clinical criteria:</w:t>
            </w:r>
          </w:p>
          <w:p w:rsidR="008B4C92" w:rsidRPr="00AD4948" w:rsidRDefault="008B4C92" w:rsidP="00917590">
            <w:pPr>
              <w:rPr>
                <w:rFonts w:ascii="Arial Narrow" w:hAnsi="Arial Narrow"/>
                <w:sz w:val="20"/>
              </w:rPr>
            </w:pPr>
          </w:p>
          <w:p w:rsidR="008B4C92" w:rsidRPr="00AD4948" w:rsidRDefault="008B4C92" w:rsidP="00917590">
            <w:pPr>
              <w:snapToGrid w:val="0"/>
              <w:rPr>
                <w:rFonts w:ascii="Arial Narrow" w:hAnsi="Arial Narrow"/>
                <w:sz w:val="20"/>
              </w:rPr>
            </w:pPr>
          </w:p>
        </w:tc>
        <w:tc>
          <w:tcPr>
            <w:tcW w:w="3934" w:type="pct"/>
            <w:tcBorders>
              <w:top w:val="single" w:sz="4" w:space="0" w:color="auto"/>
              <w:left w:val="single" w:sz="4" w:space="0" w:color="auto"/>
              <w:bottom w:val="single" w:sz="4" w:space="0" w:color="auto"/>
              <w:right w:val="single" w:sz="4" w:space="0" w:color="auto"/>
            </w:tcBorders>
          </w:tcPr>
          <w:p w:rsidR="008B4C92" w:rsidRPr="00AD4948" w:rsidRDefault="008B4C92" w:rsidP="008B4C92">
            <w:pPr>
              <w:snapToGrid w:val="0"/>
              <w:rPr>
                <w:rFonts w:ascii="Arial Narrow" w:hAnsi="Arial Narrow"/>
                <w:sz w:val="20"/>
              </w:rPr>
            </w:pPr>
            <w:r w:rsidRPr="00AD4948">
              <w:rPr>
                <w:rFonts w:ascii="Arial Narrow" w:hAnsi="Arial Narrow"/>
                <w:sz w:val="20"/>
              </w:rPr>
              <w:t>Patient must not have previously received PBS-subsidised treatment with this drug for this condition,</w:t>
            </w:r>
            <w:r w:rsidRPr="00AD4948">
              <w:rPr>
                <w:rFonts w:ascii="Arial Narrow" w:hAnsi="Arial Narrow"/>
                <w:sz w:val="20"/>
              </w:rPr>
              <w:br/>
            </w:r>
            <w:r w:rsidRPr="00AD4948">
              <w:rPr>
                <w:rFonts w:ascii="Arial Narrow" w:hAnsi="Arial Narrow"/>
                <w:sz w:val="20"/>
              </w:rPr>
              <w:br/>
              <w:t>AND</w:t>
            </w:r>
            <w:r w:rsidRPr="00AD4948">
              <w:rPr>
                <w:rFonts w:ascii="Arial Narrow" w:hAnsi="Arial Narrow"/>
                <w:sz w:val="20"/>
              </w:rPr>
              <w:br/>
            </w:r>
            <w:r w:rsidRPr="00AD4948">
              <w:rPr>
                <w:rFonts w:ascii="Arial Narrow" w:hAnsi="Arial Narrow"/>
                <w:sz w:val="20"/>
              </w:rPr>
              <w:br/>
              <w:t>Patient must have a mean growth hor</w:t>
            </w:r>
            <w:r w:rsidR="00166EAD" w:rsidRPr="00AD4948">
              <w:rPr>
                <w:rFonts w:ascii="Arial Narrow" w:hAnsi="Arial Narrow"/>
                <w:sz w:val="20"/>
              </w:rPr>
              <w:t xml:space="preserve">mone (GH) level greater than </w:t>
            </w:r>
            <w:r w:rsidR="00771153" w:rsidRPr="00771153">
              <w:rPr>
                <w:rFonts w:ascii="Arial Narrow" w:hAnsi="Arial Narrow"/>
                <w:strike/>
                <w:sz w:val="20"/>
              </w:rPr>
              <w:t>2.5</w:t>
            </w:r>
            <w:r w:rsidR="00771153">
              <w:rPr>
                <w:rFonts w:ascii="Arial Narrow" w:hAnsi="Arial Narrow"/>
                <w:sz w:val="20"/>
              </w:rPr>
              <w:t xml:space="preserve"> </w:t>
            </w:r>
            <w:r w:rsidR="00166EAD" w:rsidRPr="00771153">
              <w:rPr>
                <w:rFonts w:ascii="Arial Narrow" w:hAnsi="Arial Narrow"/>
                <w:i/>
                <w:sz w:val="20"/>
              </w:rPr>
              <w:t>1</w:t>
            </w:r>
            <w:r w:rsidR="00166EAD" w:rsidRPr="00AD4948">
              <w:rPr>
                <w:rFonts w:ascii="Arial Narrow" w:hAnsi="Arial Narrow"/>
                <w:sz w:val="20"/>
              </w:rPr>
              <w:t xml:space="preserve"> microgram</w:t>
            </w:r>
            <w:r w:rsidRPr="00AD4948">
              <w:rPr>
                <w:rFonts w:ascii="Arial Narrow" w:hAnsi="Arial Narrow"/>
                <w:sz w:val="20"/>
              </w:rPr>
              <w:t xml:space="preserve"> per litre</w:t>
            </w:r>
            <w:r w:rsidR="00EE53B7" w:rsidRPr="00AD4948">
              <w:rPr>
                <w:rFonts w:ascii="Arial Narrow" w:hAnsi="Arial Narrow"/>
                <w:sz w:val="20"/>
              </w:rPr>
              <w:t xml:space="preserve"> </w:t>
            </w:r>
            <w:r w:rsidR="00EE53B7" w:rsidRPr="00771153">
              <w:rPr>
                <w:rFonts w:ascii="Arial Narrow" w:hAnsi="Arial Narrow"/>
                <w:i/>
                <w:sz w:val="20"/>
              </w:rPr>
              <w:t>or 3mIU</w:t>
            </w:r>
            <w:r w:rsidR="00EE53B7" w:rsidRPr="00771153">
              <w:rPr>
                <w:rFonts w:ascii="Arial Narrow" w:hAnsi="Arial Narrow"/>
                <w:sz w:val="20"/>
              </w:rPr>
              <w:t>/L</w:t>
            </w:r>
            <w:r w:rsidR="00F21FFE" w:rsidRPr="00AD4948">
              <w:rPr>
                <w:rFonts w:ascii="Arial Narrow" w:hAnsi="Arial Narrow"/>
                <w:sz w:val="20"/>
              </w:rPr>
              <w:t xml:space="preserve">, </w:t>
            </w:r>
            <w:r w:rsidR="00F21FFE" w:rsidRPr="00AD4948">
              <w:rPr>
                <w:rFonts w:ascii="Arial Narrow" w:hAnsi="Arial Narrow"/>
                <w:sz w:val="20"/>
              </w:rPr>
              <w:br/>
            </w:r>
            <w:r w:rsidR="00F21FFE" w:rsidRPr="00AD4948">
              <w:rPr>
                <w:rFonts w:ascii="Arial Narrow" w:hAnsi="Arial Narrow"/>
                <w:sz w:val="20"/>
              </w:rPr>
              <w:br/>
            </w:r>
            <w:r w:rsidR="00771153" w:rsidRPr="00771153">
              <w:rPr>
                <w:rFonts w:ascii="Arial Narrow" w:hAnsi="Arial Narrow"/>
                <w:i/>
                <w:strike/>
                <w:sz w:val="20"/>
              </w:rPr>
              <w:t>AND</w:t>
            </w:r>
            <w:r w:rsidR="00771153">
              <w:rPr>
                <w:rFonts w:ascii="Arial Narrow" w:hAnsi="Arial Narrow"/>
                <w:i/>
                <w:sz w:val="20"/>
              </w:rPr>
              <w:t xml:space="preserve"> </w:t>
            </w:r>
            <w:r w:rsidR="007C3FEC" w:rsidRPr="00771153">
              <w:rPr>
                <w:rFonts w:ascii="Arial Narrow" w:hAnsi="Arial Narrow"/>
                <w:i/>
                <w:sz w:val="20"/>
              </w:rPr>
              <w:t>OR</w:t>
            </w:r>
          </w:p>
          <w:p w:rsidR="008B4C92" w:rsidRPr="00AD4948" w:rsidRDefault="008B4C92" w:rsidP="008B4C92">
            <w:pPr>
              <w:snapToGrid w:val="0"/>
              <w:rPr>
                <w:rFonts w:ascii="Arial Narrow" w:hAnsi="Arial Narrow"/>
                <w:sz w:val="20"/>
              </w:rPr>
            </w:pPr>
          </w:p>
          <w:p w:rsidR="008B4C92" w:rsidRPr="00AD4948" w:rsidRDefault="008B4C92" w:rsidP="008B4C92">
            <w:pPr>
              <w:snapToGrid w:val="0"/>
              <w:rPr>
                <w:rFonts w:ascii="Arial Narrow" w:hAnsi="Arial Narrow"/>
                <w:sz w:val="20"/>
              </w:rPr>
            </w:pPr>
            <w:proofErr w:type="gramStart"/>
            <w:r w:rsidRPr="00AD4948">
              <w:rPr>
                <w:rFonts w:ascii="Arial Narrow" w:hAnsi="Arial Narrow"/>
                <w:sz w:val="20"/>
              </w:rPr>
              <w:t>Patient must have an age- and sex- adjusted insulin-like growth factor 1 (IGF-</w:t>
            </w:r>
            <w:r w:rsidR="00166EAD" w:rsidRPr="00AD4948">
              <w:rPr>
                <w:rFonts w:ascii="Arial Narrow" w:hAnsi="Arial Narrow"/>
                <w:sz w:val="20"/>
              </w:rPr>
              <w:t>1) level greater than</w:t>
            </w:r>
            <w:r w:rsidR="00771153">
              <w:rPr>
                <w:rFonts w:ascii="Arial Narrow" w:hAnsi="Arial Narrow"/>
                <w:sz w:val="20"/>
              </w:rPr>
              <w:t xml:space="preserve"> </w:t>
            </w:r>
            <w:r w:rsidR="00771153" w:rsidRPr="00771153">
              <w:rPr>
                <w:rFonts w:ascii="Arial Narrow" w:hAnsi="Arial Narrow"/>
                <w:strike/>
                <w:sz w:val="20"/>
              </w:rPr>
              <w:t xml:space="preserve">1.3 </w:t>
            </w:r>
            <w:r w:rsidR="00771153">
              <w:rPr>
                <w:rFonts w:ascii="Arial Narrow" w:hAnsi="Arial Narrow"/>
                <w:strike/>
                <w:sz w:val="20"/>
              </w:rPr>
              <w:t>times</w:t>
            </w:r>
            <w:r w:rsidR="00166EAD" w:rsidRPr="00771153">
              <w:rPr>
                <w:rFonts w:ascii="Arial Narrow" w:hAnsi="Arial Narrow"/>
                <w:i/>
                <w:sz w:val="20"/>
              </w:rPr>
              <w:t xml:space="preserve"> </w:t>
            </w:r>
            <w:r w:rsidRPr="00771153">
              <w:rPr>
                <w:rFonts w:ascii="Arial Narrow" w:hAnsi="Arial Narrow"/>
                <w:i/>
                <w:sz w:val="20"/>
              </w:rPr>
              <w:t>the</w:t>
            </w:r>
            <w:r w:rsidRPr="00AD4948">
              <w:rPr>
                <w:rFonts w:ascii="Arial Narrow" w:hAnsi="Arial Narrow"/>
                <w:sz w:val="20"/>
              </w:rPr>
              <w:t xml:space="preserve"> upper limit of normal (ULN), </w:t>
            </w:r>
            <w:r w:rsidRPr="00AD4948">
              <w:rPr>
                <w:rFonts w:ascii="Arial Narrow" w:hAnsi="Arial Narrow"/>
                <w:sz w:val="20"/>
              </w:rPr>
              <w:br/>
            </w:r>
            <w:r w:rsidRPr="00AD4948">
              <w:rPr>
                <w:rFonts w:ascii="Arial Narrow" w:hAnsi="Arial Narrow"/>
                <w:sz w:val="20"/>
              </w:rPr>
              <w:br/>
              <w:t>AND</w:t>
            </w:r>
            <w:r w:rsidRPr="00AD4948">
              <w:rPr>
                <w:rFonts w:ascii="Arial Narrow" w:hAnsi="Arial Narrow"/>
                <w:sz w:val="20"/>
              </w:rPr>
              <w:br/>
            </w:r>
            <w:r w:rsidRPr="00AD4948">
              <w:rPr>
                <w:rFonts w:ascii="Arial Narrow" w:hAnsi="Arial Narrow"/>
                <w:sz w:val="20"/>
              </w:rPr>
              <w:br/>
              <w:t xml:space="preserve">The treatment must be after failure to achieve biochemical control with a maximum indicated </w:t>
            </w:r>
            <w:r w:rsidRPr="00AD4948">
              <w:rPr>
                <w:rFonts w:ascii="Arial Narrow" w:hAnsi="Arial Narrow"/>
                <w:sz w:val="20"/>
              </w:rPr>
              <w:lastRenderedPageBreak/>
              <w:t xml:space="preserve">dose of either 30 mg octreotide LAR or 120 mg </w:t>
            </w:r>
            <w:proofErr w:type="spellStart"/>
            <w:r w:rsidRPr="00AD4948">
              <w:rPr>
                <w:rFonts w:ascii="Arial Narrow" w:hAnsi="Arial Narrow"/>
                <w:sz w:val="20"/>
              </w:rPr>
              <w:t>lanreotide</w:t>
            </w:r>
            <w:proofErr w:type="spellEnd"/>
            <w:r w:rsidRPr="00AD4948">
              <w:rPr>
                <w:rFonts w:ascii="Arial Narrow" w:hAnsi="Arial Narrow"/>
                <w:sz w:val="20"/>
              </w:rPr>
              <w:t xml:space="preserve"> ATG every 28 days for 24 weeks; unless contraindicated or not tolerated according to the TGA approved Product Information,</w:t>
            </w:r>
            <w:r w:rsidRPr="00AD4948">
              <w:rPr>
                <w:rFonts w:ascii="Arial Narrow" w:hAnsi="Arial Narrow"/>
                <w:sz w:val="20"/>
              </w:rPr>
              <w:br/>
            </w:r>
            <w:r w:rsidRPr="00AD4948">
              <w:rPr>
                <w:rFonts w:ascii="Arial Narrow" w:hAnsi="Arial Narrow"/>
                <w:sz w:val="20"/>
              </w:rPr>
              <w:br/>
              <w:t xml:space="preserve">AND </w:t>
            </w:r>
            <w:r w:rsidRPr="00AD4948">
              <w:rPr>
                <w:rFonts w:ascii="Arial Narrow" w:hAnsi="Arial Narrow"/>
                <w:sz w:val="20"/>
              </w:rPr>
              <w:br/>
            </w:r>
            <w:r w:rsidRPr="00AD4948">
              <w:rPr>
                <w:rFonts w:ascii="Arial Narrow" w:hAnsi="Arial Narrow"/>
                <w:sz w:val="20"/>
              </w:rPr>
              <w:br/>
              <w:t xml:space="preserve">The treatment must not be given concomitantly with PBS-subsidised </w:t>
            </w:r>
            <w:proofErr w:type="spellStart"/>
            <w:r w:rsidRPr="00AD4948">
              <w:rPr>
                <w:rFonts w:ascii="Arial Narrow" w:hAnsi="Arial Narrow"/>
                <w:sz w:val="20"/>
              </w:rPr>
              <w:t>pegvisomant</w:t>
            </w:r>
            <w:proofErr w:type="spellEnd"/>
            <w:r w:rsidRPr="00AD4948">
              <w:rPr>
                <w:rFonts w:ascii="Arial Narrow" w:hAnsi="Arial Narrow"/>
                <w:sz w:val="20"/>
              </w:rPr>
              <w:t>.</w:t>
            </w:r>
            <w:proofErr w:type="gramEnd"/>
            <w:r w:rsidRPr="00AD4948">
              <w:rPr>
                <w:rFonts w:ascii="Arial Narrow" w:hAnsi="Arial Narrow"/>
                <w:sz w:val="20"/>
              </w:rPr>
              <w:t xml:space="preserve"> </w:t>
            </w:r>
          </w:p>
          <w:p w:rsidR="008B4C92" w:rsidRPr="00AD4948" w:rsidRDefault="008B4C92" w:rsidP="008B4C92">
            <w:pPr>
              <w:snapToGrid w:val="0"/>
              <w:rPr>
                <w:color w:val="222222"/>
                <w:sz w:val="21"/>
                <w:szCs w:val="21"/>
              </w:rPr>
            </w:pPr>
          </w:p>
        </w:tc>
      </w:tr>
      <w:tr w:rsidR="008B4C92" w:rsidRPr="00AD4948" w:rsidTr="00D17CA0">
        <w:trPr>
          <w:trHeight w:val="360"/>
        </w:trPr>
        <w:tc>
          <w:tcPr>
            <w:tcW w:w="1066"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b/>
                <w:sz w:val="20"/>
              </w:rPr>
            </w:pPr>
            <w:r w:rsidRPr="00AD4948">
              <w:rPr>
                <w:rFonts w:ascii="Arial Narrow" w:hAnsi="Arial Narrow"/>
                <w:b/>
                <w:sz w:val="20"/>
              </w:rPr>
              <w:lastRenderedPageBreak/>
              <w:t>Population criteria:</w:t>
            </w:r>
          </w:p>
          <w:p w:rsidR="008B4C92" w:rsidRPr="00AD4948" w:rsidRDefault="008B4C92" w:rsidP="00917590">
            <w:pPr>
              <w:rPr>
                <w:rFonts w:ascii="Arial Narrow" w:hAnsi="Arial Narrow"/>
                <w:b/>
                <w:sz w:val="20"/>
              </w:rPr>
            </w:pPr>
          </w:p>
        </w:tc>
        <w:tc>
          <w:tcPr>
            <w:tcW w:w="3934" w:type="pct"/>
            <w:tcBorders>
              <w:top w:val="single" w:sz="4" w:space="0" w:color="auto"/>
              <w:left w:val="single" w:sz="4" w:space="0" w:color="auto"/>
              <w:bottom w:val="single" w:sz="4" w:space="0" w:color="auto"/>
              <w:right w:val="single" w:sz="4" w:space="0" w:color="auto"/>
            </w:tcBorders>
          </w:tcPr>
          <w:p w:rsidR="008B4C92" w:rsidRPr="00AD4948" w:rsidRDefault="008B4C92" w:rsidP="008B4C92">
            <w:pPr>
              <w:snapToGrid w:val="0"/>
              <w:rPr>
                <w:rFonts w:ascii="Arial Narrow" w:hAnsi="Arial Narrow"/>
                <w:sz w:val="20"/>
              </w:rPr>
            </w:pPr>
            <w:r w:rsidRPr="00AD4948">
              <w:rPr>
                <w:rFonts w:ascii="Arial Narrow" w:hAnsi="Arial Narrow"/>
                <w:sz w:val="20"/>
              </w:rPr>
              <w:t xml:space="preserve">Patient must be aged 18 years or older. </w:t>
            </w:r>
          </w:p>
        </w:tc>
      </w:tr>
      <w:tr w:rsidR="008B4C92" w:rsidRPr="00AD4948" w:rsidTr="00D17CA0">
        <w:trPr>
          <w:trHeight w:val="466"/>
        </w:trPr>
        <w:tc>
          <w:tcPr>
            <w:tcW w:w="1066"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rPr>
                <w:rFonts w:ascii="Arial Narrow" w:hAnsi="Arial Narrow"/>
                <w:b/>
                <w:sz w:val="20"/>
              </w:rPr>
            </w:pPr>
            <w:r w:rsidRPr="00AD4948">
              <w:rPr>
                <w:rFonts w:ascii="Arial Narrow" w:hAnsi="Arial Narrow"/>
                <w:b/>
                <w:sz w:val="20"/>
              </w:rPr>
              <w:t>Prescriber Instructions</w:t>
            </w:r>
          </w:p>
        </w:tc>
        <w:tc>
          <w:tcPr>
            <w:tcW w:w="3934" w:type="pct"/>
            <w:tcBorders>
              <w:top w:val="single" w:sz="4" w:space="0" w:color="auto"/>
              <w:left w:val="single" w:sz="4" w:space="0" w:color="auto"/>
              <w:bottom w:val="single" w:sz="4" w:space="0" w:color="auto"/>
              <w:right w:val="single" w:sz="4" w:space="0" w:color="auto"/>
            </w:tcBorders>
          </w:tcPr>
          <w:p w:rsidR="008B4C92" w:rsidRPr="00AD4948" w:rsidRDefault="008B4C92" w:rsidP="00917590">
            <w:pPr>
              <w:snapToGrid w:val="0"/>
              <w:rPr>
                <w:rFonts w:ascii="Arial Narrow" w:hAnsi="Arial Narrow"/>
                <w:sz w:val="20"/>
              </w:rPr>
            </w:pPr>
            <w:r w:rsidRPr="00AD4948">
              <w:rPr>
                <w:rFonts w:ascii="Arial Narrow" w:hAnsi="Arial Narrow"/>
                <w:sz w:val="20"/>
              </w:rPr>
              <w:t>Failure to achieve biochemical control is defined as:</w:t>
            </w:r>
          </w:p>
          <w:p w:rsidR="008B4C92" w:rsidRPr="00AD4948" w:rsidRDefault="008B4C92" w:rsidP="00917590">
            <w:pPr>
              <w:snapToGrid w:val="0"/>
              <w:rPr>
                <w:rFonts w:ascii="Arial Narrow" w:hAnsi="Arial Narrow"/>
                <w:sz w:val="20"/>
              </w:rPr>
            </w:pPr>
            <w:r w:rsidRPr="00AD4948">
              <w:rPr>
                <w:rFonts w:ascii="Arial Narrow" w:hAnsi="Arial Narrow"/>
                <w:sz w:val="20"/>
              </w:rPr>
              <w:t xml:space="preserve">1) Growth hormone level is greater than </w:t>
            </w:r>
            <w:r w:rsidR="00771153" w:rsidRPr="00771153">
              <w:rPr>
                <w:rFonts w:ascii="Arial Narrow" w:hAnsi="Arial Narrow"/>
                <w:strike/>
                <w:sz w:val="20"/>
              </w:rPr>
              <w:t>2.5</w:t>
            </w:r>
            <w:r w:rsidR="00771153">
              <w:rPr>
                <w:rFonts w:ascii="Arial Narrow" w:hAnsi="Arial Narrow"/>
                <w:sz w:val="20"/>
              </w:rPr>
              <w:t xml:space="preserve"> </w:t>
            </w:r>
            <w:r w:rsidRPr="00A96212">
              <w:rPr>
                <w:rFonts w:ascii="Arial Narrow" w:hAnsi="Arial Narrow"/>
                <w:i/>
                <w:sz w:val="20"/>
              </w:rPr>
              <w:t>1</w:t>
            </w:r>
            <w:r w:rsidRPr="00AD4948">
              <w:rPr>
                <w:rFonts w:ascii="Arial Narrow" w:hAnsi="Arial Narrow"/>
                <w:sz w:val="20"/>
              </w:rPr>
              <w:t xml:space="preserve"> mcg/L</w:t>
            </w:r>
            <w:r w:rsidR="00EE53B7" w:rsidRPr="00AD4948">
              <w:rPr>
                <w:rFonts w:ascii="Arial Narrow" w:hAnsi="Arial Narrow"/>
                <w:sz w:val="20"/>
              </w:rPr>
              <w:t xml:space="preserve"> </w:t>
            </w:r>
            <w:r w:rsidR="00EE53B7" w:rsidRPr="00A96212">
              <w:rPr>
                <w:rFonts w:ascii="Arial Narrow" w:hAnsi="Arial Narrow"/>
                <w:i/>
                <w:sz w:val="20"/>
              </w:rPr>
              <w:t>or 3mIU/L</w:t>
            </w:r>
            <w:r w:rsidRPr="00AD4948">
              <w:rPr>
                <w:rFonts w:ascii="Arial Narrow" w:hAnsi="Arial Narrow"/>
                <w:sz w:val="20"/>
              </w:rPr>
              <w:t xml:space="preserve">; </w:t>
            </w:r>
            <w:r w:rsidR="00771153" w:rsidRPr="00771153">
              <w:rPr>
                <w:rFonts w:ascii="Arial Narrow" w:hAnsi="Arial Narrow"/>
                <w:strike/>
                <w:sz w:val="20"/>
              </w:rPr>
              <w:t>and</w:t>
            </w:r>
            <w:r w:rsidR="00771153">
              <w:rPr>
                <w:rFonts w:ascii="Arial Narrow" w:hAnsi="Arial Narrow"/>
                <w:sz w:val="20"/>
              </w:rPr>
              <w:t xml:space="preserve"> </w:t>
            </w:r>
            <w:r w:rsidR="00FD188D" w:rsidRPr="00771153">
              <w:rPr>
                <w:rFonts w:ascii="Arial Narrow" w:hAnsi="Arial Narrow"/>
                <w:i/>
                <w:sz w:val="20"/>
              </w:rPr>
              <w:t>OR</w:t>
            </w:r>
          </w:p>
          <w:p w:rsidR="008B4C92" w:rsidRPr="00AD4948" w:rsidRDefault="008B4C92" w:rsidP="00917590">
            <w:pPr>
              <w:snapToGrid w:val="0"/>
              <w:rPr>
                <w:rFonts w:ascii="Arial Narrow" w:hAnsi="Arial Narrow"/>
                <w:sz w:val="20"/>
              </w:rPr>
            </w:pPr>
            <w:r w:rsidRPr="00AD4948">
              <w:rPr>
                <w:rFonts w:ascii="Arial Narrow" w:hAnsi="Arial Narrow"/>
                <w:sz w:val="20"/>
              </w:rPr>
              <w:t xml:space="preserve">2) IGF-1 level is greater than </w:t>
            </w:r>
            <w:r w:rsidR="00A96212" w:rsidRPr="00A96212">
              <w:rPr>
                <w:rFonts w:ascii="Arial Narrow" w:hAnsi="Arial Narrow"/>
                <w:strike/>
                <w:sz w:val="20"/>
              </w:rPr>
              <w:t>1.3 times</w:t>
            </w:r>
            <w:r w:rsidR="00A96212" w:rsidRPr="00A96212">
              <w:rPr>
                <w:rFonts w:ascii="Arial Narrow" w:hAnsi="Arial Narrow"/>
                <w:i/>
                <w:sz w:val="20"/>
              </w:rPr>
              <w:t xml:space="preserve"> </w:t>
            </w:r>
            <w:r w:rsidRPr="00A96212">
              <w:rPr>
                <w:rFonts w:ascii="Arial Narrow" w:hAnsi="Arial Narrow"/>
                <w:i/>
                <w:sz w:val="20"/>
              </w:rPr>
              <w:t>the</w:t>
            </w:r>
            <w:r w:rsidRPr="00AD4948">
              <w:rPr>
                <w:rFonts w:ascii="Arial Narrow" w:hAnsi="Arial Narrow"/>
                <w:sz w:val="20"/>
              </w:rPr>
              <w:t xml:space="preserve"> age- and sex-adjusted ULN</w:t>
            </w:r>
          </w:p>
          <w:p w:rsidR="008B4C92" w:rsidRPr="00AD4948" w:rsidRDefault="008B4C92" w:rsidP="00917590">
            <w:pPr>
              <w:snapToGrid w:val="0"/>
              <w:rPr>
                <w:rFonts w:ascii="Arial Narrow" w:hAnsi="Arial Narrow"/>
                <w:sz w:val="20"/>
              </w:rPr>
            </w:pPr>
          </w:p>
          <w:p w:rsidR="008B4C92" w:rsidRPr="00AD4948" w:rsidRDefault="008B4C92" w:rsidP="00917590">
            <w:pPr>
              <w:snapToGrid w:val="0"/>
              <w:rPr>
                <w:rFonts w:ascii="Arial Narrow" w:hAnsi="Arial Narrow"/>
                <w:sz w:val="20"/>
              </w:rPr>
            </w:pPr>
            <w:r w:rsidRPr="00AD4948">
              <w:rPr>
                <w:rFonts w:ascii="Arial Narrow" w:hAnsi="Arial Narrow"/>
                <w:sz w:val="20"/>
              </w:rPr>
              <w:t xml:space="preserve">If treatment with octreotide or </w:t>
            </w:r>
            <w:proofErr w:type="spellStart"/>
            <w:r w:rsidRPr="00AD4948">
              <w:rPr>
                <w:rFonts w:ascii="Arial Narrow" w:hAnsi="Arial Narrow"/>
                <w:sz w:val="20"/>
              </w:rPr>
              <w:t>lanreotide</w:t>
            </w:r>
            <w:proofErr w:type="spellEnd"/>
            <w:r w:rsidRPr="00AD4948">
              <w:rPr>
                <w:rFonts w:ascii="Arial Narrow" w:hAnsi="Arial Narrow"/>
                <w:sz w:val="20"/>
              </w:rPr>
              <w:t xml:space="preserve"> </w:t>
            </w:r>
            <w:proofErr w:type="gramStart"/>
            <w:r w:rsidRPr="00AD4948">
              <w:rPr>
                <w:rFonts w:ascii="Arial Narrow" w:hAnsi="Arial Narrow"/>
                <w:sz w:val="20"/>
              </w:rPr>
              <w:t>is contraindicated</w:t>
            </w:r>
            <w:proofErr w:type="gramEnd"/>
            <w:r w:rsidRPr="00AD4948">
              <w:rPr>
                <w:rFonts w:ascii="Arial Narrow" w:hAnsi="Arial Narrow"/>
                <w:sz w:val="20"/>
              </w:rPr>
              <w:t xml:space="preserve"> according to the relevant TGA-approved Product Information, the application must provide details of contraindication.</w:t>
            </w:r>
          </w:p>
          <w:p w:rsidR="008B4C92" w:rsidRPr="00AD4948" w:rsidRDefault="008B4C92" w:rsidP="00917590">
            <w:pPr>
              <w:snapToGrid w:val="0"/>
              <w:rPr>
                <w:rFonts w:ascii="Arial Narrow" w:hAnsi="Arial Narrow"/>
                <w:sz w:val="20"/>
              </w:rPr>
            </w:pPr>
          </w:p>
          <w:p w:rsidR="008B4C92" w:rsidRPr="00AD4948" w:rsidRDefault="008B4C92" w:rsidP="00917590">
            <w:pPr>
              <w:snapToGrid w:val="0"/>
              <w:rPr>
                <w:rFonts w:ascii="Arial Narrow" w:hAnsi="Arial Narrow"/>
                <w:sz w:val="20"/>
              </w:rPr>
            </w:pPr>
            <w:r w:rsidRPr="00AD4948">
              <w:rPr>
                <w:rFonts w:ascii="Arial Narrow" w:hAnsi="Arial Narrow"/>
                <w:sz w:val="20"/>
              </w:rPr>
              <w:t xml:space="preserve">If intolerance to either octreotide or </w:t>
            </w:r>
            <w:proofErr w:type="spellStart"/>
            <w:r w:rsidRPr="00AD4948">
              <w:rPr>
                <w:rFonts w:ascii="Arial Narrow" w:hAnsi="Arial Narrow"/>
                <w:sz w:val="20"/>
              </w:rPr>
              <w:t>lanreotide</w:t>
            </w:r>
            <w:proofErr w:type="spellEnd"/>
            <w:r w:rsidRPr="00AD4948">
              <w:rPr>
                <w:rFonts w:ascii="Arial Narrow" w:hAnsi="Arial Narrow"/>
                <w:sz w:val="20"/>
              </w:rPr>
              <w:t xml:space="preserve"> treatment developed during the relevant period of use which is of a severity to necessitate withdrawal of the treatment, the application must provide details of the nature and severity of this intolerance. </w:t>
            </w:r>
          </w:p>
          <w:p w:rsidR="008B4C92" w:rsidRPr="00AD4948" w:rsidRDefault="008B4C92" w:rsidP="00917590">
            <w:pPr>
              <w:snapToGrid w:val="0"/>
              <w:rPr>
                <w:rFonts w:ascii="Arial Narrow" w:hAnsi="Arial Narrow"/>
                <w:sz w:val="20"/>
              </w:rPr>
            </w:pPr>
          </w:p>
          <w:p w:rsidR="008B4C92" w:rsidRPr="00AD4948" w:rsidRDefault="008B4C92" w:rsidP="00917590">
            <w:pPr>
              <w:rPr>
                <w:rFonts w:ascii="Arial Narrow" w:hAnsi="Arial Narrow"/>
                <w:sz w:val="20"/>
              </w:rPr>
            </w:pPr>
            <w:r w:rsidRPr="00AD4948">
              <w:rPr>
                <w:rFonts w:ascii="Arial Narrow" w:hAnsi="Arial Narrow"/>
                <w:sz w:val="20"/>
              </w:rPr>
              <w:t>In a patient treate</w:t>
            </w:r>
            <w:r w:rsidR="00166EAD" w:rsidRPr="00AD4948">
              <w:rPr>
                <w:rFonts w:ascii="Arial Narrow" w:hAnsi="Arial Narrow"/>
                <w:sz w:val="20"/>
              </w:rPr>
              <w:t xml:space="preserve">d with radiotherapy, </w:t>
            </w:r>
            <w:proofErr w:type="spellStart"/>
            <w:r w:rsidR="00166EAD" w:rsidRPr="00AD4948">
              <w:rPr>
                <w:rFonts w:ascii="Arial Narrow" w:hAnsi="Arial Narrow"/>
                <w:sz w:val="20"/>
              </w:rPr>
              <w:t>pasireotide</w:t>
            </w:r>
            <w:proofErr w:type="spellEnd"/>
            <w:r w:rsidRPr="00AD4948">
              <w:rPr>
                <w:rFonts w:ascii="Arial Narrow" w:hAnsi="Arial Narrow"/>
                <w:sz w:val="20"/>
              </w:rPr>
              <w:t xml:space="preserve"> </w:t>
            </w:r>
            <w:proofErr w:type="gramStart"/>
            <w:r w:rsidRPr="00AD4948">
              <w:rPr>
                <w:rFonts w:ascii="Arial Narrow" w:hAnsi="Arial Narrow"/>
                <w:sz w:val="20"/>
              </w:rPr>
              <w:t>should be withdrawn</w:t>
            </w:r>
            <w:proofErr w:type="gramEnd"/>
            <w:r w:rsidRPr="00AD4948">
              <w:rPr>
                <w:rFonts w:ascii="Arial Narrow" w:hAnsi="Arial Narrow"/>
                <w:sz w:val="20"/>
              </w:rPr>
              <w:t xml:space="preserve"> every 2 years in the 10 years after completion of radiotherapy for asse</w:t>
            </w:r>
            <w:r w:rsidR="00166EAD" w:rsidRPr="00AD4948">
              <w:rPr>
                <w:rFonts w:ascii="Arial Narrow" w:hAnsi="Arial Narrow"/>
                <w:sz w:val="20"/>
              </w:rPr>
              <w:t xml:space="preserve">ssment of remission. </w:t>
            </w:r>
            <w:proofErr w:type="spellStart"/>
            <w:r w:rsidR="00166EAD" w:rsidRPr="00AD4948">
              <w:rPr>
                <w:rFonts w:ascii="Arial Narrow" w:hAnsi="Arial Narrow"/>
                <w:sz w:val="20"/>
              </w:rPr>
              <w:t>Pasireotide</w:t>
            </w:r>
            <w:proofErr w:type="spellEnd"/>
            <w:r w:rsidRPr="00AD4948">
              <w:rPr>
                <w:rFonts w:ascii="Arial Narrow" w:hAnsi="Arial Narrow"/>
                <w:sz w:val="20"/>
              </w:rPr>
              <w:t xml:space="preserve"> should be withdrawn at least 8 weeks prior to the assessment of remission. </w:t>
            </w:r>
          </w:p>
          <w:p w:rsidR="008B4C92" w:rsidRPr="00AD4948" w:rsidRDefault="008B4C92" w:rsidP="00917590">
            <w:pPr>
              <w:rPr>
                <w:rFonts w:ascii="Arial Narrow" w:hAnsi="Arial Narrow"/>
                <w:sz w:val="20"/>
              </w:rPr>
            </w:pPr>
          </w:p>
          <w:p w:rsidR="00166EAD" w:rsidRPr="00AD4948" w:rsidRDefault="00166EAD" w:rsidP="00166EAD">
            <w:pPr>
              <w:pStyle w:val="NormalWeb"/>
              <w:spacing w:after="0"/>
              <w:rPr>
                <w:rFonts w:ascii="Arial Narrow" w:hAnsi="Arial Narrow" w:cs="Arial"/>
                <w:sz w:val="20"/>
                <w:szCs w:val="20"/>
              </w:rPr>
            </w:pPr>
            <w:r w:rsidRPr="00AD4948">
              <w:rPr>
                <w:rFonts w:ascii="Arial Narrow" w:hAnsi="Arial Narrow" w:cs="Arial"/>
                <w:sz w:val="20"/>
                <w:szCs w:val="20"/>
              </w:rPr>
              <w:t>Biochemical evidence of remission is defined as:</w:t>
            </w:r>
          </w:p>
          <w:p w:rsidR="00166EAD" w:rsidRPr="00AD4948" w:rsidRDefault="00166EAD" w:rsidP="00166EAD">
            <w:pPr>
              <w:pStyle w:val="NormalWeb"/>
              <w:spacing w:after="0"/>
              <w:rPr>
                <w:rFonts w:ascii="Arial Narrow" w:hAnsi="Arial Narrow" w:cs="Arial"/>
                <w:sz w:val="20"/>
                <w:szCs w:val="20"/>
              </w:rPr>
            </w:pPr>
            <w:r w:rsidRPr="00AD4948">
              <w:rPr>
                <w:rFonts w:ascii="Arial Narrow" w:hAnsi="Arial Narrow" w:cs="Arial"/>
                <w:sz w:val="20"/>
                <w:szCs w:val="20"/>
              </w:rPr>
              <w:t xml:space="preserve">1) Growth hormone (GH) levels of less than </w:t>
            </w:r>
            <w:r w:rsidR="00A96212" w:rsidRPr="00A96212">
              <w:rPr>
                <w:rFonts w:ascii="Arial Narrow" w:hAnsi="Arial Narrow" w:cs="Arial"/>
                <w:strike/>
                <w:sz w:val="20"/>
                <w:szCs w:val="20"/>
              </w:rPr>
              <w:t>2.5</w:t>
            </w:r>
            <w:r w:rsidR="00A96212">
              <w:rPr>
                <w:rFonts w:ascii="Arial Narrow" w:hAnsi="Arial Narrow" w:cs="Arial"/>
                <w:sz w:val="20"/>
                <w:szCs w:val="20"/>
              </w:rPr>
              <w:t xml:space="preserve"> </w:t>
            </w:r>
            <w:r w:rsidRPr="00A96212">
              <w:rPr>
                <w:rFonts w:ascii="Arial Narrow" w:hAnsi="Arial Narrow" w:cs="Arial"/>
                <w:i/>
                <w:sz w:val="20"/>
                <w:szCs w:val="20"/>
              </w:rPr>
              <w:t>1</w:t>
            </w:r>
            <w:r w:rsidRPr="00AD4948">
              <w:rPr>
                <w:rFonts w:ascii="Arial Narrow" w:hAnsi="Arial Narrow" w:cs="Arial"/>
                <w:sz w:val="20"/>
                <w:szCs w:val="20"/>
              </w:rPr>
              <w:t xml:space="preserve"> mcg/L</w:t>
            </w:r>
            <w:r w:rsidR="00EE53B7" w:rsidRPr="00AD4948">
              <w:rPr>
                <w:rFonts w:ascii="Arial Narrow" w:hAnsi="Arial Narrow" w:cs="Arial"/>
                <w:sz w:val="20"/>
                <w:szCs w:val="20"/>
              </w:rPr>
              <w:t xml:space="preserve"> </w:t>
            </w:r>
            <w:r w:rsidR="00EE53B7" w:rsidRPr="00771153">
              <w:rPr>
                <w:rFonts w:ascii="Arial Narrow" w:hAnsi="Arial Narrow" w:cs="Arial"/>
                <w:i/>
                <w:sz w:val="20"/>
                <w:szCs w:val="20"/>
              </w:rPr>
              <w:t>or 3mIU/</w:t>
            </w:r>
            <w:r w:rsidR="00EE53B7" w:rsidRPr="00AD4948">
              <w:rPr>
                <w:rFonts w:ascii="Arial Narrow" w:hAnsi="Arial Narrow" w:cs="Arial"/>
                <w:sz w:val="20"/>
                <w:szCs w:val="20"/>
              </w:rPr>
              <w:t>L</w:t>
            </w:r>
            <w:r w:rsidRPr="00AD4948">
              <w:rPr>
                <w:rFonts w:ascii="Arial Narrow" w:hAnsi="Arial Narrow" w:cs="Arial"/>
                <w:sz w:val="20"/>
                <w:szCs w:val="20"/>
              </w:rPr>
              <w:t xml:space="preserve">; </w:t>
            </w:r>
            <w:r w:rsidR="00771153" w:rsidRPr="00A96212">
              <w:rPr>
                <w:rFonts w:ascii="Arial Narrow" w:hAnsi="Arial Narrow" w:cs="Arial"/>
                <w:strike/>
                <w:sz w:val="20"/>
                <w:szCs w:val="20"/>
              </w:rPr>
              <w:t>and</w:t>
            </w:r>
            <w:r w:rsidR="00A96212">
              <w:rPr>
                <w:rFonts w:ascii="Arial Narrow" w:hAnsi="Arial Narrow" w:cs="Arial"/>
                <w:sz w:val="20"/>
                <w:szCs w:val="20"/>
              </w:rPr>
              <w:t xml:space="preserve"> </w:t>
            </w:r>
            <w:r w:rsidR="00A96212" w:rsidRPr="00A96212">
              <w:rPr>
                <w:rFonts w:ascii="Arial Narrow" w:hAnsi="Arial Narrow" w:cs="Arial"/>
                <w:i/>
                <w:sz w:val="20"/>
                <w:szCs w:val="20"/>
              </w:rPr>
              <w:t>OR</w:t>
            </w:r>
          </w:p>
          <w:p w:rsidR="00166EAD" w:rsidRPr="00AD4948" w:rsidRDefault="00166EAD" w:rsidP="00166EAD">
            <w:pPr>
              <w:pStyle w:val="NormalWeb"/>
              <w:spacing w:after="0"/>
              <w:rPr>
                <w:rFonts w:ascii="Arial Narrow" w:hAnsi="Arial Narrow" w:cs="Arial"/>
                <w:sz w:val="20"/>
                <w:szCs w:val="20"/>
              </w:rPr>
            </w:pPr>
            <w:r w:rsidRPr="00AD4948">
              <w:rPr>
                <w:rFonts w:ascii="Arial Narrow" w:hAnsi="Arial Narrow" w:cs="Arial"/>
                <w:sz w:val="20"/>
                <w:szCs w:val="20"/>
              </w:rPr>
              <w:t>2) normalisation of sex- and age- adjusted insulin-like growth factor 1 (IGF-1)</w:t>
            </w:r>
          </w:p>
          <w:p w:rsidR="00166EAD" w:rsidRPr="00AD4948" w:rsidRDefault="00166EAD" w:rsidP="00166EAD">
            <w:pPr>
              <w:pStyle w:val="NormalWeb"/>
              <w:spacing w:after="0"/>
              <w:rPr>
                <w:rFonts w:ascii="Arial Narrow" w:hAnsi="Arial Narrow" w:cs="Arial"/>
                <w:sz w:val="20"/>
                <w:szCs w:val="20"/>
              </w:rPr>
            </w:pPr>
          </w:p>
          <w:p w:rsidR="00166EAD" w:rsidRPr="00AD4948" w:rsidRDefault="00166EAD" w:rsidP="00166EAD">
            <w:pPr>
              <w:pStyle w:val="NormalWeb"/>
              <w:spacing w:after="0"/>
              <w:rPr>
                <w:rFonts w:ascii="Arial Narrow" w:hAnsi="Arial Narrow" w:cs="Arial"/>
                <w:sz w:val="20"/>
                <w:szCs w:val="20"/>
              </w:rPr>
            </w:pPr>
            <w:r w:rsidRPr="00AD4948">
              <w:rPr>
                <w:rFonts w:ascii="Arial Narrow" w:hAnsi="Arial Narrow" w:cs="Arial"/>
                <w:sz w:val="20"/>
                <w:szCs w:val="20"/>
              </w:rPr>
              <w:t>The authority application must be made in writing and must include:</w:t>
            </w:r>
          </w:p>
          <w:p w:rsidR="00166EAD" w:rsidRPr="00AD4948" w:rsidRDefault="00166EAD" w:rsidP="00166EAD">
            <w:pPr>
              <w:pStyle w:val="NormalWeb"/>
              <w:spacing w:after="0"/>
              <w:rPr>
                <w:rFonts w:ascii="Arial Narrow" w:hAnsi="Arial Narrow" w:cs="Arial"/>
                <w:sz w:val="20"/>
                <w:szCs w:val="20"/>
              </w:rPr>
            </w:pPr>
            <w:r w:rsidRPr="00AD4948">
              <w:rPr>
                <w:rFonts w:ascii="Arial Narrow" w:hAnsi="Arial Narrow" w:cs="Arial"/>
                <w:sz w:val="20"/>
                <w:szCs w:val="20"/>
              </w:rPr>
              <w:t>a) a completed authority prescription form; and</w:t>
            </w:r>
          </w:p>
          <w:p w:rsidR="00166EAD" w:rsidRPr="00AD4948" w:rsidRDefault="00166EAD" w:rsidP="00166EAD">
            <w:pPr>
              <w:pStyle w:val="NormalWeb"/>
              <w:spacing w:after="0"/>
              <w:rPr>
                <w:rFonts w:ascii="Arial Narrow" w:hAnsi="Arial Narrow" w:cs="Arial"/>
                <w:sz w:val="20"/>
                <w:szCs w:val="20"/>
              </w:rPr>
            </w:pPr>
            <w:r w:rsidRPr="00AD4948">
              <w:rPr>
                <w:rFonts w:ascii="Arial Narrow" w:hAnsi="Arial Narrow" w:cs="Arial"/>
                <w:sz w:val="20"/>
                <w:szCs w:val="20"/>
              </w:rPr>
              <w:t xml:space="preserve">b) a completed Acromegaly PBS Authority Application - Supporting Information Form; and </w:t>
            </w:r>
          </w:p>
          <w:p w:rsidR="00166EAD" w:rsidRPr="00AD4948" w:rsidRDefault="00166EAD" w:rsidP="00166EAD">
            <w:pPr>
              <w:pStyle w:val="NormalWeb"/>
              <w:spacing w:after="0"/>
              <w:rPr>
                <w:rFonts w:ascii="Arial Narrow" w:hAnsi="Arial Narrow" w:cs="Arial"/>
                <w:sz w:val="20"/>
                <w:szCs w:val="20"/>
              </w:rPr>
            </w:pPr>
            <w:r w:rsidRPr="00AD4948">
              <w:rPr>
                <w:rFonts w:ascii="Arial Narrow" w:hAnsi="Arial Narrow" w:cs="Arial"/>
                <w:sz w:val="20"/>
                <w:szCs w:val="20"/>
              </w:rPr>
              <w:t>c) a signed patient acknowledgment; and</w:t>
            </w:r>
          </w:p>
          <w:p w:rsidR="00166EAD" w:rsidRPr="00AD4948" w:rsidRDefault="00166EAD" w:rsidP="00166EAD">
            <w:pPr>
              <w:pStyle w:val="NormalWeb"/>
              <w:spacing w:after="0"/>
              <w:rPr>
                <w:rFonts w:ascii="Arial Narrow" w:hAnsi="Arial Narrow" w:cs="Arial"/>
                <w:sz w:val="20"/>
                <w:szCs w:val="20"/>
              </w:rPr>
            </w:pPr>
            <w:r w:rsidRPr="00AD4948">
              <w:rPr>
                <w:rFonts w:ascii="Arial Narrow" w:hAnsi="Arial Narrow" w:cs="Arial"/>
                <w:sz w:val="20"/>
                <w:szCs w:val="20"/>
              </w:rPr>
              <w:t xml:space="preserve">d) in a patient who has been previously treated with radiotherapy for this condition, the date of completion of radiotherapy must be provided; and a copy of GH and IGF-1 levels taken at the most recent two yearly assessment in the 10 years after completion of radiotherapy must be provided; and </w:t>
            </w:r>
          </w:p>
          <w:p w:rsidR="008B4C92" w:rsidRPr="00AD4948" w:rsidRDefault="00166EAD" w:rsidP="00166EAD">
            <w:pPr>
              <w:rPr>
                <w:rFonts w:ascii="Arial Narrow" w:hAnsi="Arial Narrow" w:cs="Arial"/>
                <w:sz w:val="20"/>
                <w:szCs w:val="20"/>
              </w:rPr>
            </w:pPr>
            <w:r w:rsidRPr="00AD4948">
              <w:rPr>
                <w:rFonts w:ascii="Arial Narrow" w:hAnsi="Arial Narrow" w:cs="Arial"/>
                <w:sz w:val="20"/>
                <w:szCs w:val="20"/>
              </w:rPr>
              <w:t xml:space="preserve">e) </w:t>
            </w:r>
            <w:proofErr w:type="gramStart"/>
            <w:r w:rsidRPr="00AD4948">
              <w:rPr>
                <w:rFonts w:ascii="Arial Narrow" w:hAnsi="Arial Narrow" w:cs="Arial"/>
                <w:sz w:val="20"/>
                <w:szCs w:val="20"/>
              </w:rPr>
              <w:t>a</w:t>
            </w:r>
            <w:proofErr w:type="gramEnd"/>
            <w:r w:rsidRPr="00AD4948">
              <w:rPr>
                <w:rFonts w:ascii="Arial Narrow" w:hAnsi="Arial Narrow" w:cs="Arial"/>
                <w:sz w:val="20"/>
                <w:szCs w:val="20"/>
              </w:rPr>
              <w:t xml:space="preserve"> recent copy of GH and IGF-1 levels must be provided.</w:t>
            </w:r>
          </w:p>
          <w:p w:rsidR="00166EAD" w:rsidRPr="00AD4948" w:rsidRDefault="00166EAD" w:rsidP="00166EAD">
            <w:pPr>
              <w:rPr>
                <w:rFonts w:ascii="Arial Narrow" w:hAnsi="Arial Narrow" w:cs="Arial"/>
                <w:sz w:val="20"/>
                <w:szCs w:val="20"/>
              </w:rPr>
            </w:pPr>
          </w:p>
        </w:tc>
      </w:tr>
    </w:tbl>
    <w:p w:rsidR="00714049" w:rsidRPr="00714049" w:rsidRDefault="00714049" w:rsidP="000E7F34">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714049">
        <w:rPr>
          <w:rFonts w:asciiTheme="minorHAnsi" w:hAnsiTheme="minorHAnsi"/>
          <w:sz w:val="32"/>
          <w:szCs w:val="32"/>
        </w:rPr>
        <w:t>Context for Decision</w:t>
      </w:r>
    </w:p>
    <w:p w:rsidR="00714049" w:rsidRPr="00C07617" w:rsidRDefault="00714049" w:rsidP="000E7F34">
      <w:pPr>
        <w:spacing w:before="120" w:after="120"/>
        <w:ind w:left="709"/>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14049" w:rsidRPr="00714049" w:rsidRDefault="00714049" w:rsidP="000E7F34">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714049">
        <w:rPr>
          <w:rFonts w:asciiTheme="minorHAnsi" w:hAnsiTheme="minorHAnsi"/>
          <w:sz w:val="32"/>
          <w:szCs w:val="32"/>
        </w:rPr>
        <w:t>Sponsor’s Comment</w:t>
      </w:r>
    </w:p>
    <w:p w:rsidR="008B4C92" w:rsidRPr="000E7F34" w:rsidRDefault="00B552B2" w:rsidP="000E7F34">
      <w:pPr>
        <w:spacing w:before="120" w:after="120"/>
        <w:ind w:left="709"/>
        <w:jc w:val="both"/>
        <w:rPr>
          <w:rFonts w:asciiTheme="minorHAnsi" w:hAnsiTheme="minorHAnsi" w:cs="Arial"/>
        </w:rPr>
      </w:pPr>
      <w:r w:rsidRPr="00B552B2">
        <w:rPr>
          <w:rFonts w:asciiTheme="minorHAnsi" w:hAnsiTheme="minorHAnsi" w:cs="Arial"/>
        </w:rPr>
        <w:t xml:space="preserve">Pfizer is pleased that the PBAC has recommended the changes to the restriction for </w:t>
      </w:r>
      <w:proofErr w:type="spellStart"/>
      <w:proofErr w:type="gramStart"/>
      <w:r w:rsidRPr="00B552B2">
        <w:rPr>
          <w:rFonts w:asciiTheme="minorHAnsi" w:hAnsiTheme="minorHAnsi" w:cs="Arial"/>
        </w:rPr>
        <w:t>pegvisomant</w:t>
      </w:r>
      <w:proofErr w:type="spellEnd"/>
      <w:r w:rsidRPr="00B552B2">
        <w:rPr>
          <w:rFonts w:asciiTheme="minorHAnsi" w:hAnsiTheme="minorHAnsi" w:cs="Arial"/>
        </w:rPr>
        <w:t xml:space="preserve"> which</w:t>
      </w:r>
      <w:proofErr w:type="gramEnd"/>
      <w:r w:rsidRPr="00B552B2">
        <w:rPr>
          <w:rFonts w:asciiTheme="minorHAnsi" w:hAnsiTheme="minorHAnsi" w:cs="Arial"/>
        </w:rPr>
        <w:t xml:space="preserve"> will improve access to this treatment for acromegaly patients.</w:t>
      </w:r>
    </w:p>
    <w:sectPr w:rsidR="008B4C92" w:rsidRPr="000E7F34" w:rsidSect="00B81A8D">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8DE" w:rsidRDefault="005F08DE">
      <w:r>
        <w:separator/>
      </w:r>
    </w:p>
    <w:p w:rsidR="005F08DE" w:rsidRDefault="005F08DE"/>
  </w:endnote>
  <w:endnote w:type="continuationSeparator" w:id="0">
    <w:p w:rsidR="005F08DE" w:rsidRDefault="005F08DE">
      <w:r>
        <w:continuationSeparator/>
      </w:r>
    </w:p>
    <w:p w:rsidR="005F08DE" w:rsidRDefault="005F0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03EB7" w:rsidTr="005A3173">
      <w:trPr>
        <w:trHeight w:val="151"/>
      </w:trPr>
      <w:tc>
        <w:tcPr>
          <w:tcW w:w="2250" w:type="pct"/>
          <w:tcBorders>
            <w:top w:val="nil"/>
            <w:left w:val="nil"/>
            <w:bottom w:val="single" w:sz="4" w:space="0" w:color="4F81BD"/>
            <w:right w:val="nil"/>
          </w:tcBorders>
        </w:tcPr>
        <w:p w:rsidR="00803EB7" w:rsidRPr="005A3173" w:rsidRDefault="00803EB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03EB7" w:rsidRPr="005A3173" w:rsidRDefault="00803EB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03EB7" w:rsidRPr="005A3173" w:rsidRDefault="00803EB7" w:rsidP="005A3173">
          <w:pPr>
            <w:pStyle w:val="Header"/>
            <w:spacing w:line="276" w:lineRule="auto"/>
            <w:rPr>
              <w:rFonts w:ascii="Calibri" w:eastAsia="MS Gothic" w:hAnsi="Calibri"/>
              <w:b/>
              <w:bCs/>
              <w:color w:val="4F81BD"/>
            </w:rPr>
          </w:pPr>
        </w:p>
      </w:tc>
    </w:tr>
    <w:tr w:rsidR="00803EB7" w:rsidTr="005A3173">
      <w:trPr>
        <w:trHeight w:val="150"/>
      </w:trPr>
      <w:tc>
        <w:tcPr>
          <w:tcW w:w="2250" w:type="pct"/>
          <w:tcBorders>
            <w:top w:val="single" w:sz="4" w:space="0" w:color="4F81BD"/>
            <w:left w:val="nil"/>
            <w:bottom w:val="nil"/>
            <w:right w:val="nil"/>
          </w:tcBorders>
        </w:tcPr>
        <w:p w:rsidR="00803EB7" w:rsidRPr="005A3173" w:rsidRDefault="00803EB7" w:rsidP="005A3173">
          <w:pPr>
            <w:pStyle w:val="Header"/>
            <w:spacing w:line="276" w:lineRule="auto"/>
            <w:rPr>
              <w:rFonts w:ascii="Calibri" w:eastAsia="MS Gothic" w:hAnsi="Calibri"/>
              <w:b/>
              <w:bCs/>
              <w:color w:val="4F81BD"/>
            </w:rPr>
          </w:pPr>
        </w:p>
      </w:tc>
      <w:tc>
        <w:tcPr>
          <w:tcW w:w="0" w:type="auto"/>
          <w:vMerge/>
          <w:vAlign w:val="center"/>
          <w:hideMark/>
        </w:tcPr>
        <w:p w:rsidR="00803EB7" w:rsidRPr="005A3173" w:rsidRDefault="00803EB7" w:rsidP="005A3173">
          <w:pPr>
            <w:rPr>
              <w:rFonts w:ascii="Calibri" w:hAnsi="Calibri"/>
              <w:color w:val="365F91"/>
              <w:sz w:val="22"/>
              <w:szCs w:val="22"/>
            </w:rPr>
          </w:pPr>
        </w:p>
      </w:tc>
      <w:tc>
        <w:tcPr>
          <w:tcW w:w="2250" w:type="pct"/>
          <w:tcBorders>
            <w:top w:val="single" w:sz="4" w:space="0" w:color="4F81BD"/>
            <w:left w:val="nil"/>
            <w:bottom w:val="nil"/>
            <w:right w:val="nil"/>
          </w:tcBorders>
        </w:tcPr>
        <w:p w:rsidR="00803EB7" w:rsidRPr="005A3173" w:rsidRDefault="00803EB7" w:rsidP="005A3173">
          <w:pPr>
            <w:pStyle w:val="Header"/>
            <w:spacing w:line="276" w:lineRule="auto"/>
            <w:rPr>
              <w:rFonts w:ascii="Calibri" w:eastAsia="MS Gothic" w:hAnsi="Calibri"/>
              <w:b/>
              <w:bCs/>
              <w:color w:val="4F81BD"/>
            </w:rPr>
          </w:pPr>
        </w:p>
      </w:tc>
    </w:tr>
  </w:tbl>
  <w:p w:rsidR="00803EB7" w:rsidRDefault="00803EB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3EB7" w:rsidRDefault="00803EB7">
    <w:pPr>
      <w:pStyle w:val="Footer"/>
    </w:pPr>
  </w:p>
  <w:p w:rsidR="00803EB7" w:rsidRDefault="00803EB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827638006"/>
      <w:docPartObj>
        <w:docPartGallery w:val="Page Numbers (Bottom of Page)"/>
        <w:docPartUnique/>
      </w:docPartObj>
    </w:sdtPr>
    <w:sdtEndPr>
      <w:rPr>
        <w:b/>
        <w:noProof/>
      </w:rPr>
    </w:sdtEndPr>
    <w:sdtContent>
      <w:p w:rsidR="00803EB7" w:rsidRPr="0076155E" w:rsidRDefault="00803EB7" w:rsidP="004075E3">
        <w:pPr>
          <w:pStyle w:val="Footer"/>
          <w:jc w:val="center"/>
          <w:rPr>
            <w:rFonts w:asciiTheme="minorHAnsi" w:hAnsiTheme="minorHAnsi" w:cstheme="minorHAnsi"/>
            <w:b/>
          </w:rPr>
        </w:pPr>
        <w:r w:rsidRPr="0076155E">
          <w:rPr>
            <w:rFonts w:asciiTheme="minorHAnsi" w:hAnsiTheme="minorHAnsi" w:cstheme="minorHAnsi"/>
            <w:b/>
          </w:rPr>
          <w:fldChar w:fldCharType="begin"/>
        </w:r>
        <w:r w:rsidRPr="0076155E">
          <w:rPr>
            <w:rFonts w:asciiTheme="minorHAnsi" w:hAnsiTheme="minorHAnsi" w:cstheme="minorHAnsi"/>
            <w:b/>
          </w:rPr>
          <w:instrText xml:space="preserve"> PAGE   \* MERGEFORMAT </w:instrText>
        </w:r>
        <w:r w:rsidRPr="0076155E">
          <w:rPr>
            <w:rFonts w:asciiTheme="minorHAnsi" w:hAnsiTheme="minorHAnsi" w:cstheme="minorHAnsi"/>
            <w:b/>
          </w:rPr>
          <w:fldChar w:fldCharType="separate"/>
        </w:r>
        <w:r w:rsidR="002E4B38">
          <w:rPr>
            <w:rFonts w:asciiTheme="minorHAnsi" w:hAnsiTheme="minorHAnsi" w:cstheme="minorHAnsi"/>
            <w:b/>
            <w:noProof/>
          </w:rPr>
          <w:t>13</w:t>
        </w:r>
        <w:r w:rsidRPr="0076155E">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803EB7" w:rsidTr="005A3173">
      <w:trPr>
        <w:trHeight w:val="151"/>
      </w:trPr>
      <w:tc>
        <w:tcPr>
          <w:tcW w:w="2250" w:type="pct"/>
          <w:tcBorders>
            <w:top w:val="nil"/>
            <w:left w:val="nil"/>
            <w:bottom w:val="single" w:sz="4" w:space="0" w:color="4F81BD"/>
            <w:right w:val="nil"/>
          </w:tcBorders>
        </w:tcPr>
        <w:p w:rsidR="00803EB7" w:rsidRPr="005A3173" w:rsidRDefault="00803EB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03EB7" w:rsidRPr="005A3173" w:rsidRDefault="00803EB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03EB7" w:rsidRPr="005A3173" w:rsidRDefault="00803EB7" w:rsidP="005A3173">
          <w:pPr>
            <w:pStyle w:val="Header"/>
            <w:spacing w:line="276" w:lineRule="auto"/>
            <w:rPr>
              <w:rFonts w:ascii="Calibri" w:eastAsia="MS Gothic" w:hAnsi="Calibri"/>
              <w:b/>
              <w:bCs/>
              <w:color w:val="4F81BD"/>
            </w:rPr>
          </w:pPr>
        </w:p>
      </w:tc>
    </w:tr>
    <w:tr w:rsidR="00803EB7" w:rsidTr="005A3173">
      <w:trPr>
        <w:trHeight w:val="150"/>
      </w:trPr>
      <w:tc>
        <w:tcPr>
          <w:tcW w:w="2250" w:type="pct"/>
          <w:tcBorders>
            <w:top w:val="single" w:sz="4" w:space="0" w:color="4F81BD"/>
            <w:left w:val="nil"/>
            <w:bottom w:val="nil"/>
            <w:right w:val="nil"/>
          </w:tcBorders>
        </w:tcPr>
        <w:p w:rsidR="00803EB7" w:rsidRPr="005A3173" w:rsidRDefault="00803EB7" w:rsidP="005A3173">
          <w:pPr>
            <w:pStyle w:val="Header"/>
            <w:spacing w:line="276" w:lineRule="auto"/>
            <w:rPr>
              <w:rFonts w:ascii="Calibri" w:eastAsia="MS Gothic" w:hAnsi="Calibri"/>
              <w:b/>
              <w:bCs/>
              <w:color w:val="4F81BD"/>
            </w:rPr>
          </w:pPr>
        </w:p>
      </w:tc>
      <w:tc>
        <w:tcPr>
          <w:tcW w:w="0" w:type="auto"/>
          <w:vMerge/>
          <w:vAlign w:val="center"/>
          <w:hideMark/>
        </w:tcPr>
        <w:p w:rsidR="00803EB7" w:rsidRPr="005A3173" w:rsidRDefault="00803EB7" w:rsidP="005A3173">
          <w:pPr>
            <w:rPr>
              <w:rFonts w:ascii="Calibri" w:hAnsi="Calibri"/>
              <w:color w:val="365F91"/>
              <w:sz w:val="22"/>
              <w:szCs w:val="22"/>
            </w:rPr>
          </w:pPr>
        </w:p>
      </w:tc>
      <w:tc>
        <w:tcPr>
          <w:tcW w:w="2250" w:type="pct"/>
          <w:tcBorders>
            <w:top w:val="single" w:sz="4" w:space="0" w:color="4F81BD"/>
            <w:left w:val="nil"/>
            <w:bottom w:val="nil"/>
            <w:right w:val="nil"/>
          </w:tcBorders>
        </w:tcPr>
        <w:p w:rsidR="00803EB7" w:rsidRPr="005A3173" w:rsidRDefault="00803EB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03EB7" w:rsidTr="005A3173">
      <w:trPr>
        <w:trHeight w:val="151"/>
      </w:trPr>
      <w:tc>
        <w:tcPr>
          <w:tcW w:w="2250" w:type="pct"/>
          <w:tcBorders>
            <w:top w:val="nil"/>
            <w:left w:val="nil"/>
            <w:bottom w:val="single" w:sz="4" w:space="0" w:color="4F81BD"/>
            <w:right w:val="nil"/>
          </w:tcBorders>
        </w:tcPr>
        <w:p w:rsidR="00803EB7" w:rsidRPr="005A3173" w:rsidRDefault="00803EB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03EB7" w:rsidRPr="005A3173" w:rsidRDefault="00803EB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03EB7" w:rsidRPr="005A3173" w:rsidRDefault="00803EB7" w:rsidP="005A3173">
          <w:pPr>
            <w:pStyle w:val="Header"/>
            <w:spacing w:line="276" w:lineRule="auto"/>
            <w:rPr>
              <w:rFonts w:ascii="Calibri" w:eastAsia="MS Gothic" w:hAnsi="Calibri"/>
              <w:b/>
              <w:bCs/>
              <w:color w:val="4F81BD"/>
            </w:rPr>
          </w:pPr>
        </w:p>
      </w:tc>
    </w:tr>
    <w:tr w:rsidR="00803EB7" w:rsidTr="005A3173">
      <w:trPr>
        <w:trHeight w:val="150"/>
      </w:trPr>
      <w:tc>
        <w:tcPr>
          <w:tcW w:w="2250" w:type="pct"/>
          <w:tcBorders>
            <w:top w:val="single" w:sz="4" w:space="0" w:color="4F81BD"/>
            <w:left w:val="nil"/>
            <w:bottom w:val="nil"/>
            <w:right w:val="nil"/>
          </w:tcBorders>
        </w:tcPr>
        <w:p w:rsidR="00803EB7" w:rsidRPr="005A3173" w:rsidRDefault="00803EB7" w:rsidP="005A3173">
          <w:pPr>
            <w:pStyle w:val="Header"/>
            <w:spacing w:line="276" w:lineRule="auto"/>
            <w:rPr>
              <w:rFonts w:ascii="Calibri" w:eastAsia="MS Gothic" w:hAnsi="Calibri"/>
              <w:b/>
              <w:bCs/>
              <w:color w:val="4F81BD"/>
            </w:rPr>
          </w:pPr>
        </w:p>
      </w:tc>
      <w:tc>
        <w:tcPr>
          <w:tcW w:w="0" w:type="auto"/>
          <w:vMerge/>
          <w:vAlign w:val="center"/>
          <w:hideMark/>
        </w:tcPr>
        <w:p w:rsidR="00803EB7" w:rsidRPr="005A3173" w:rsidRDefault="00803EB7" w:rsidP="005A3173">
          <w:pPr>
            <w:rPr>
              <w:rFonts w:ascii="Calibri" w:hAnsi="Calibri"/>
              <w:color w:val="365F91"/>
              <w:sz w:val="22"/>
              <w:szCs w:val="22"/>
            </w:rPr>
          </w:pPr>
        </w:p>
      </w:tc>
      <w:tc>
        <w:tcPr>
          <w:tcW w:w="2250" w:type="pct"/>
          <w:tcBorders>
            <w:top w:val="single" w:sz="4" w:space="0" w:color="4F81BD"/>
            <w:left w:val="nil"/>
            <w:bottom w:val="nil"/>
            <w:right w:val="nil"/>
          </w:tcBorders>
        </w:tcPr>
        <w:p w:rsidR="00803EB7" w:rsidRPr="005A3173" w:rsidRDefault="00803EB7" w:rsidP="005A3173">
          <w:pPr>
            <w:pStyle w:val="Header"/>
            <w:spacing w:line="276" w:lineRule="auto"/>
            <w:rPr>
              <w:rFonts w:ascii="Calibri" w:eastAsia="MS Gothic" w:hAnsi="Calibri"/>
              <w:b/>
              <w:bCs/>
              <w:color w:val="4F81BD"/>
            </w:rPr>
          </w:pPr>
        </w:p>
      </w:tc>
    </w:tr>
  </w:tbl>
  <w:p w:rsidR="00803EB7" w:rsidRPr="007C0F57" w:rsidRDefault="00803EB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03EB7" w:rsidRPr="007C0F57" w:rsidRDefault="00803EB7" w:rsidP="007C0F57">
    <w:pPr>
      <w:pStyle w:val="Footer"/>
      <w:jc w:val="center"/>
      <w:rPr>
        <w:b/>
        <w:i/>
        <w:sz w:val="20"/>
        <w:szCs w:val="20"/>
      </w:rPr>
    </w:pPr>
    <w:r w:rsidRPr="007C0F57">
      <w:rPr>
        <w:b/>
        <w:i/>
        <w:sz w:val="20"/>
        <w:szCs w:val="20"/>
      </w:rPr>
      <w:t>Commercial-in-Confidence</w:t>
    </w:r>
  </w:p>
  <w:p w:rsidR="00803EB7" w:rsidRDefault="00803E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8DE" w:rsidRDefault="005F08DE">
      <w:r>
        <w:separator/>
      </w:r>
    </w:p>
    <w:p w:rsidR="005F08DE" w:rsidRDefault="005F08DE"/>
  </w:footnote>
  <w:footnote w:type="continuationSeparator" w:id="0">
    <w:p w:rsidR="005F08DE" w:rsidRDefault="005F08DE">
      <w:r>
        <w:continuationSeparator/>
      </w:r>
    </w:p>
    <w:p w:rsidR="005F08DE" w:rsidRDefault="005F08DE"/>
  </w:footnote>
  <w:footnote w:id="1">
    <w:p w:rsidR="00803EB7" w:rsidRDefault="00803EB7" w:rsidP="00A00993">
      <w:pPr>
        <w:spacing w:after="120" w:line="276" w:lineRule="auto"/>
      </w:pPr>
      <w:r w:rsidRPr="00B05322">
        <w:rPr>
          <w:rStyle w:val="FootnoteReference"/>
          <w:rFonts w:asciiTheme="minorHAnsi" w:hAnsiTheme="minorHAnsi" w:cstheme="minorHAnsi"/>
          <w:sz w:val="20"/>
          <w:szCs w:val="20"/>
        </w:rPr>
        <w:footnoteRef/>
      </w:r>
      <w:r w:rsidRPr="00B05322">
        <w:rPr>
          <w:rFonts w:asciiTheme="minorHAnsi" w:hAnsiTheme="minorHAnsi" w:cstheme="minorHAnsi"/>
          <w:sz w:val="20"/>
        </w:rPr>
        <w:t xml:space="preserve"> </w:t>
      </w:r>
      <w:r w:rsidRPr="00B05322">
        <w:rPr>
          <w:rFonts w:asciiTheme="minorHAnsi" w:eastAsia="Arial" w:hAnsiTheme="minorHAnsi" w:cstheme="minorHAnsi"/>
          <w:sz w:val="20"/>
        </w:rPr>
        <w:t xml:space="preserve">Trainer PJ, Drake WM, </w:t>
      </w:r>
      <w:proofErr w:type="spellStart"/>
      <w:r w:rsidRPr="00B05322">
        <w:rPr>
          <w:rFonts w:asciiTheme="minorHAnsi" w:eastAsia="Arial" w:hAnsiTheme="minorHAnsi" w:cstheme="minorHAnsi"/>
          <w:sz w:val="20"/>
        </w:rPr>
        <w:t>Katznelson</w:t>
      </w:r>
      <w:proofErr w:type="spellEnd"/>
      <w:r w:rsidRPr="00B05322">
        <w:rPr>
          <w:rFonts w:asciiTheme="minorHAnsi" w:eastAsia="Arial" w:hAnsiTheme="minorHAnsi" w:cstheme="minorHAnsi"/>
          <w:sz w:val="20"/>
        </w:rPr>
        <w:t xml:space="preserve"> L, Freda PU, Herman BV, van der Lely MD, </w:t>
      </w:r>
      <w:proofErr w:type="spellStart"/>
      <w:r w:rsidRPr="00B05322">
        <w:rPr>
          <w:rFonts w:asciiTheme="minorHAnsi" w:eastAsia="Arial" w:hAnsiTheme="minorHAnsi" w:cstheme="minorHAnsi"/>
          <w:sz w:val="20"/>
        </w:rPr>
        <w:t>Dimaraki</w:t>
      </w:r>
      <w:proofErr w:type="spellEnd"/>
      <w:r w:rsidRPr="00B05322">
        <w:rPr>
          <w:rFonts w:asciiTheme="minorHAnsi" w:eastAsia="Arial" w:hAnsiTheme="minorHAnsi" w:cstheme="minorHAnsi"/>
          <w:sz w:val="20"/>
        </w:rPr>
        <w:t xml:space="preserve"> EV, Stewart PM, Friend KE, Lee V, Besser GM and Scarlett JA. Treatment of acromegaly with the growth hormone-receptor antagonist </w:t>
      </w:r>
      <w:proofErr w:type="spellStart"/>
      <w:r w:rsidRPr="00B05322">
        <w:rPr>
          <w:rFonts w:asciiTheme="minorHAnsi" w:eastAsia="Arial" w:hAnsiTheme="minorHAnsi" w:cstheme="minorHAnsi"/>
          <w:sz w:val="20"/>
        </w:rPr>
        <w:t>pegvisomant</w:t>
      </w:r>
      <w:proofErr w:type="spellEnd"/>
      <w:r w:rsidRPr="00B05322">
        <w:rPr>
          <w:rFonts w:asciiTheme="minorHAnsi" w:eastAsia="Arial" w:hAnsiTheme="minorHAnsi" w:cstheme="minorHAnsi"/>
          <w:sz w:val="20"/>
        </w:rPr>
        <w:t>. New England Journal of Medicine, 2000</w:t>
      </w:r>
      <w:proofErr w:type="gramStart"/>
      <w:r w:rsidRPr="00B05322">
        <w:rPr>
          <w:rFonts w:asciiTheme="minorHAnsi" w:eastAsia="Arial" w:hAnsiTheme="minorHAnsi" w:cstheme="minorHAnsi"/>
          <w:sz w:val="20"/>
        </w:rPr>
        <w:t>;</w:t>
      </w:r>
      <w:proofErr w:type="gramEnd"/>
      <w:r w:rsidRPr="00B05322">
        <w:rPr>
          <w:rFonts w:asciiTheme="minorHAnsi" w:eastAsia="Arial" w:hAnsiTheme="minorHAnsi" w:cstheme="minorHAnsi"/>
          <w:sz w:val="20"/>
        </w:rPr>
        <w:t xml:space="preserve"> 342(16):1171-1177.</w:t>
      </w:r>
    </w:p>
  </w:footnote>
  <w:footnote w:id="2">
    <w:p w:rsidR="00803EB7" w:rsidRPr="00931642" w:rsidRDefault="00803EB7" w:rsidP="00A00993">
      <w:pPr>
        <w:rPr>
          <w:rFonts w:ascii="Arial Narrow" w:hAnsi="Arial Narrow"/>
          <w:b/>
          <w:sz w:val="20"/>
        </w:rPr>
      </w:pPr>
      <w:r>
        <w:rPr>
          <w:rStyle w:val="FootnoteReference"/>
        </w:rPr>
        <w:footnoteRef/>
      </w:r>
      <w:r>
        <w:t xml:space="preserve"> </w:t>
      </w:r>
      <w:r w:rsidRPr="00A00993">
        <w:rPr>
          <w:rFonts w:asciiTheme="minorHAnsi" w:eastAsia="Arial" w:hAnsiTheme="minorHAnsi" w:cstheme="minorHAnsi"/>
          <w:sz w:val="20"/>
        </w:rPr>
        <w:t xml:space="preserve">Gadelha MR, Bronstein MD, Brue T, et al, on behalf of the </w:t>
      </w:r>
      <w:proofErr w:type="spellStart"/>
      <w:r w:rsidRPr="00A00993">
        <w:rPr>
          <w:rFonts w:asciiTheme="minorHAnsi" w:eastAsia="Arial" w:hAnsiTheme="minorHAnsi" w:cstheme="minorHAnsi"/>
          <w:sz w:val="20"/>
        </w:rPr>
        <w:t>Pasireotide</w:t>
      </w:r>
      <w:proofErr w:type="spellEnd"/>
      <w:r w:rsidRPr="00A00993">
        <w:rPr>
          <w:rFonts w:asciiTheme="minorHAnsi" w:eastAsia="Arial" w:hAnsiTheme="minorHAnsi" w:cstheme="minorHAnsi"/>
          <w:sz w:val="20"/>
        </w:rPr>
        <w:t xml:space="preserve"> C2402 Study Group. </w:t>
      </w:r>
      <w:proofErr w:type="spellStart"/>
      <w:r w:rsidRPr="00A00993">
        <w:rPr>
          <w:rFonts w:asciiTheme="minorHAnsi" w:eastAsia="Arial" w:hAnsiTheme="minorHAnsi" w:cstheme="minorHAnsi"/>
          <w:sz w:val="20"/>
        </w:rPr>
        <w:t>Pasireotide</w:t>
      </w:r>
      <w:proofErr w:type="spellEnd"/>
      <w:r w:rsidRPr="00A00993">
        <w:rPr>
          <w:rFonts w:asciiTheme="minorHAnsi" w:eastAsia="Arial" w:hAnsiTheme="minorHAnsi" w:cstheme="minorHAnsi"/>
          <w:sz w:val="20"/>
        </w:rPr>
        <w:t xml:space="preserve"> versus continued treatment with octreotide or </w:t>
      </w:r>
      <w:proofErr w:type="spellStart"/>
      <w:r w:rsidRPr="00A00993">
        <w:rPr>
          <w:rFonts w:asciiTheme="minorHAnsi" w:eastAsia="Arial" w:hAnsiTheme="minorHAnsi" w:cstheme="minorHAnsi"/>
          <w:sz w:val="20"/>
        </w:rPr>
        <w:t>lanreotide</w:t>
      </w:r>
      <w:proofErr w:type="spellEnd"/>
      <w:r w:rsidRPr="00A00993">
        <w:rPr>
          <w:rFonts w:asciiTheme="minorHAnsi" w:eastAsia="Arial" w:hAnsiTheme="minorHAnsi" w:cstheme="minorHAnsi"/>
          <w:sz w:val="20"/>
        </w:rPr>
        <w:t xml:space="preserve"> in patients with inadequately controlled acromegaly (PAOLA): a randomised, phase 3 trial. Lancet Diabetes </w:t>
      </w:r>
      <w:proofErr w:type="spellStart"/>
      <w:r w:rsidRPr="00A00993">
        <w:rPr>
          <w:rFonts w:asciiTheme="minorHAnsi" w:eastAsia="Arial" w:hAnsiTheme="minorHAnsi" w:cstheme="minorHAnsi"/>
          <w:sz w:val="20"/>
        </w:rPr>
        <w:t>Endocrinol</w:t>
      </w:r>
      <w:proofErr w:type="spellEnd"/>
      <w:r w:rsidRPr="00A00993">
        <w:rPr>
          <w:rFonts w:asciiTheme="minorHAnsi" w:eastAsia="Arial" w:hAnsiTheme="minorHAnsi" w:cstheme="minorHAnsi"/>
          <w:sz w:val="20"/>
        </w:rPr>
        <w:t xml:space="preserve"> 2014; 2:875–884.</w:t>
      </w:r>
    </w:p>
    <w:p w:rsidR="00803EB7" w:rsidRPr="00931642" w:rsidRDefault="00803EB7" w:rsidP="00A00993">
      <w:pPr>
        <w:rPr>
          <w:rFonts w:ascii="Arial Narrow" w:hAnsi="Arial Narrow"/>
          <w:b/>
          <w:sz w:val="20"/>
        </w:rPr>
      </w:pPr>
    </w:p>
    <w:p w:rsidR="00803EB7" w:rsidRDefault="00803EB7">
      <w:pPr>
        <w:pStyle w:val="FootnoteText"/>
      </w:pPr>
    </w:p>
  </w:footnote>
  <w:footnote w:id="3">
    <w:p w:rsidR="00803EB7" w:rsidRPr="00EA1C06" w:rsidRDefault="00803EB7" w:rsidP="00EA1C06">
      <w:pPr>
        <w:autoSpaceDE w:val="0"/>
        <w:autoSpaceDN w:val="0"/>
        <w:adjustRightInd w:val="0"/>
        <w:rPr>
          <w:rFonts w:asciiTheme="minorHAnsi" w:hAnsiTheme="minorHAnsi" w:cstheme="minorHAnsi"/>
          <w:sz w:val="20"/>
          <w:szCs w:val="20"/>
        </w:rPr>
      </w:pPr>
      <w:r w:rsidRPr="00565529">
        <w:rPr>
          <w:rStyle w:val="FootnoteReference"/>
          <w:rFonts w:asciiTheme="minorHAnsi" w:hAnsiTheme="minorHAnsi" w:cstheme="minorHAnsi"/>
          <w:sz w:val="20"/>
          <w:szCs w:val="20"/>
        </w:rPr>
        <w:footnoteRef/>
      </w:r>
      <w:r w:rsidRPr="00565529">
        <w:rPr>
          <w:rFonts w:asciiTheme="minorHAnsi" w:hAnsiTheme="minorHAnsi" w:cstheme="minorHAnsi"/>
          <w:sz w:val="20"/>
          <w:szCs w:val="20"/>
        </w:rPr>
        <w:t xml:space="preserve"> </w:t>
      </w:r>
      <w:proofErr w:type="spellStart"/>
      <w:r w:rsidRPr="00565529">
        <w:rPr>
          <w:rFonts w:asciiTheme="minorHAnsi" w:hAnsiTheme="minorHAnsi" w:cstheme="minorHAnsi"/>
          <w:sz w:val="20"/>
          <w:szCs w:val="20"/>
        </w:rPr>
        <w:t>Colao</w:t>
      </w:r>
      <w:proofErr w:type="spellEnd"/>
      <w:r w:rsidRPr="00565529">
        <w:rPr>
          <w:rFonts w:asciiTheme="minorHAnsi" w:hAnsiTheme="minorHAnsi" w:cstheme="minorHAnsi"/>
          <w:sz w:val="20"/>
          <w:szCs w:val="20"/>
        </w:rPr>
        <w:t xml:space="preserve"> A. Are we achieving pharmacological disease control in acromegaly? European</w:t>
      </w:r>
      <w:r>
        <w:rPr>
          <w:rFonts w:asciiTheme="minorHAnsi" w:hAnsiTheme="minorHAnsi" w:cstheme="minorHAnsi"/>
          <w:sz w:val="20"/>
          <w:szCs w:val="20"/>
        </w:rPr>
        <w:t xml:space="preserve"> </w:t>
      </w:r>
      <w:r w:rsidRPr="00EA1C06">
        <w:rPr>
          <w:rFonts w:asciiTheme="minorHAnsi" w:hAnsiTheme="minorHAnsi" w:cstheme="minorHAnsi"/>
          <w:sz w:val="20"/>
          <w:szCs w:val="20"/>
        </w:rPr>
        <w:t>endocrinologist, 2012; 8(2):105–11.</w:t>
      </w:r>
    </w:p>
  </w:footnote>
  <w:footnote w:id="4">
    <w:p w:rsidR="00803EB7" w:rsidRPr="00565529" w:rsidRDefault="00803EB7" w:rsidP="00565529">
      <w:pPr>
        <w:autoSpaceDE w:val="0"/>
        <w:autoSpaceDN w:val="0"/>
        <w:adjustRightInd w:val="0"/>
        <w:rPr>
          <w:rFonts w:asciiTheme="minorHAnsi" w:hAnsiTheme="minorHAnsi" w:cstheme="minorHAnsi"/>
          <w:color w:val="000000"/>
          <w:sz w:val="20"/>
          <w:szCs w:val="20"/>
        </w:rPr>
      </w:pPr>
      <w:r w:rsidRPr="00565529">
        <w:rPr>
          <w:rStyle w:val="FootnoteReference"/>
          <w:rFonts w:asciiTheme="minorHAnsi" w:hAnsiTheme="minorHAnsi" w:cstheme="minorHAnsi"/>
          <w:sz w:val="20"/>
          <w:szCs w:val="20"/>
        </w:rPr>
        <w:footnoteRef/>
      </w:r>
      <w:r w:rsidRPr="00565529">
        <w:rPr>
          <w:rFonts w:asciiTheme="minorHAnsi" w:hAnsiTheme="minorHAnsi" w:cstheme="minorHAnsi"/>
          <w:sz w:val="20"/>
          <w:szCs w:val="20"/>
        </w:rPr>
        <w:t xml:space="preserve"> </w:t>
      </w:r>
      <w:r w:rsidRPr="00565529">
        <w:rPr>
          <w:rFonts w:asciiTheme="minorHAnsi" w:hAnsiTheme="minorHAnsi" w:cstheme="minorHAnsi"/>
          <w:color w:val="000000"/>
          <w:sz w:val="20"/>
          <w:szCs w:val="20"/>
        </w:rPr>
        <w:t>Diaz-Thomas A. Gigantism and acromegaly guidelines. Accessed on 13 December 2018:</w:t>
      </w:r>
    </w:p>
    <w:p w:rsidR="00803EB7" w:rsidRPr="00565529" w:rsidRDefault="002E4B38" w:rsidP="00565529">
      <w:pPr>
        <w:pStyle w:val="FootnoteText"/>
        <w:rPr>
          <w:rFonts w:asciiTheme="minorHAnsi" w:hAnsiTheme="minorHAnsi" w:cstheme="minorHAnsi"/>
        </w:rPr>
      </w:pPr>
      <w:hyperlink r:id="rId1" w:history="1">
        <w:r w:rsidR="00803EB7" w:rsidRPr="00AD6ABF">
          <w:rPr>
            <w:rStyle w:val="Hyperlink"/>
            <w:rFonts w:asciiTheme="minorHAnsi" w:hAnsiTheme="minorHAnsi" w:cstheme="minorHAnsi"/>
          </w:rPr>
          <w:t>https://emedicine.medscape.com/article/925446-guidelines</w:t>
        </w:r>
      </w:hyperlink>
    </w:p>
  </w:footnote>
  <w:footnote w:id="5">
    <w:p w:rsidR="00803EB7" w:rsidRPr="00EA1C06" w:rsidRDefault="00803EB7" w:rsidP="00EA1C06">
      <w:pPr>
        <w:autoSpaceDE w:val="0"/>
        <w:autoSpaceDN w:val="0"/>
        <w:adjustRightInd w:val="0"/>
        <w:rPr>
          <w:rFonts w:asciiTheme="minorHAnsi" w:hAnsiTheme="minorHAnsi" w:cstheme="minorHAnsi"/>
          <w:sz w:val="20"/>
          <w:szCs w:val="20"/>
        </w:rPr>
      </w:pPr>
      <w:r w:rsidRPr="00565529">
        <w:rPr>
          <w:rStyle w:val="FootnoteReference"/>
          <w:rFonts w:asciiTheme="minorHAnsi" w:hAnsiTheme="minorHAnsi" w:cstheme="minorHAnsi"/>
          <w:sz w:val="20"/>
          <w:szCs w:val="20"/>
        </w:rPr>
        <w:footnoteRef/>
      </w:r>
      <w:r w:rsidRPr="00565529">
        <w:rPr>
          <w:rFonts w:asciiTheme="minorHAnsi" w:hAnsiTheme="minorHAnsi" w:cstheme="minorHAnsi"/>
          <w:sz w:val="20"/>
          <w:szCs w:val="20"/>
        </w:rPr>
        <w:t xml:space="preserve"> Granada ML. Biochemical follow-up of treated acromegaly. Limitations of the current</w:t>
      </w:r>
      <w:r>
        <w:rPr>
          <w:rFonts w:asciiTheme="minorHAnsi" w:hAnsiTheme="minorHAnsi" w:cstheme="minorHAnsi"/>
          <w:sz w:val="20"/>
          <w:szCs w:val="20"/>
        </w:rPr>
        <w:t xml:space="preserve"> </w:t>
      </w:r>
      <w:r>
        <w:rPr>
          <w:rFonts w:asciiTheme="minorHAnsi" w:hAnsiTheme="minorHAnsi" w:cstheme="minorHAnsi"/>
        </w:rPr>
        <w:t xml:space="preserve">determinations of </w:t>
      </w:r>
      <w:r w:rsidRPr="00EA1C06">
        <w:rPr>
          <w:rFonts w:asciiTheme="minorHAnsi" w:hAnsiTheme="minorHAnsi" w:cstheme="minorHAnsi"/>
          <w:sz w:val="20"/>
          <w:szCs w:val="20"/>
        </w:rPr>
        <w:t xml:space="preserve">IGF-1 and perspective. Minerva </w:t>
      </w:r>
      <w:proofErr w:type="spellStart"/>
      <w:r w:rsidRPr="00EA1C06">
        <w:rPr>
          <w:rFonts w:asciiTheme="minorHAnsi" w:hAnsiTheme="minorHAnsi" w:cstheme="minorHAnsi"/>
          <w:sz w:val="20"/>
          <w:szCs w:val="20"/>
        </w:rPr>
        <w:t>Medica</w:t>
      </w:r>
      <w:proofErr w:type="spellEnd"/>
      <w:r w:rsidRPr="00EA1C06">
        <w:rPr>
          <w:rFonts w:asciiTheme="minorHAnsi" w:hAnsiTheme="minorHAnsi" w:cstheme="minorHAnsi"/>
          <w:sz w:val="20"/>
          <w:szCs w:val="20"/>
        </w:rPr>
        <w:t>, 2018.</w:t>
      </w:r>
    </w:p>
  </w:footnote>
  <w:footnote w:id="6">
    <w:p w:rsidR="00803EB7" w:rsidRPr="00565529" w:rsidRDefault="00803EB7" w:rsidP="00565529">
      <w:pPr>
        <w:autoSpaceDE w:val="0"/>
        <w:autoSpaceDN w:val="0"/>
        <w:adjustRightInd w:val="0"/>
        <w:rPr>
          <w:rFonts w:asciiTheme="minorHAnsi" w:hAnsiTheme="minorHAnsi" w:cstheme="minorHAnsi"/>
          <w:sz w:val="20"/>
          <w:szCs w:val="20"/>
        </w:rPr>
      </w:pPr>
      <w:r w:rsidRPr="00565529">
        <w:rPr>
          <w:rStyle w:val="FootnoteReference"/>
          <w:rFonts w:asciiTheme="minorHAnsi" w:hAnsiTheme="minorHAnsi" w:cstheme="minorHAnsi"/>
          <w:sz w:val="20"/>
          <w:szCs w:val="20"/>
        </w:rPr>
        <w:footnoteRef/>
      </w:r>
      <w:r w:rsidRPr="00565529">
        <w:rPr>
          <w:rFonts w:asciiTheme="minorHAnsi" w:hAnsiTheme="minorHAnsi" w:cstheme="minorHAnsi"/>
          <w:sz w:val="20"/>
          <w:szCs w:val="20"/>
        </w:rPr>
        <w:t xml:space="preserve"> </w:t>
      </w:r>
      <w:proofErr w:type="spellStart"/>
      <w:r w:rsidRPr="00565529">
        <w:rPr>
          <w:rFonts w:asciiTheme="minorHAnsi" w:hAnsiTheme="minorHAnsi" w:cstheme="minorHAnsi"/>
          <w:sz w:val="20"/>
          <w:szCs w:val="20"/>
        </w:rPr>
        <w:t>Katznelson</w:t>
      </w:r>
      <w:proofErr w:type="spellEnd"/>
      <w:r w:rsidRPr="00565529">
        <w:rPr>
          <w:rFonts w:asciiTheme="minorHAnsi" w:hAnsiTheme="minorHAnsi" w:cstheme="minorHAnsi"/>
          <w:sz w:val="20"/>
          <w:szCs w:val="20"/>
        </w:rPr>
        <w:t xml:space="preserve"> L, Laws ER, </w:t>
      </w:r>
      <w:proofErr w:type="spellStart"/>
      <w:r w:rsidRPr="00565529">
        <w:rPr>
          <w:rFonts w:asciiTheme="minorHAnsi" w:hAnsiTheme="minorHAnsi" w:cstheme="minorHAnsi"/>
          <w:sz w:val="20"/>
          <w:szCs w:val="20"/>
        </w:rPr>
        <w:t>Melmed</w:t>
      </w:r>
      <w:proofErr w:type="spellEnd"/>
      <w:r w:rsidRPr="00565529">
        <w:rPr>
          <w:rFonts w:asciiTheme="minorHAnsi" w:hAnsiTheme="minorHAnsi" w:cstheme="minorHAnsi"/>
          <w:sz w:val="20"/>
          <w:szCs w:val="20"/>
        </w:rPr>
        <w:t xml:space="preserve"> S, </w:t>
      </w:r>
      <w:proofErr w:type="spellStart"/>
      <w:r w:rsidRPr="00565529">
        <w:rPr>
          <w:rFonts w:asciiTheme="minorHAnsi" w:hAnsiTheme="minorHAnsi" w:cstheme="minorHAnsi"/>
          <w:sz w:val="20"/>
          <w:szCs w:val="20"/>
        </w:rPr>
        <w:t>Molitch</w:t>
      </w:r>
      <w:proofErr w:type="spellEnd"/>
      <w:r w:rsidRPr="00565529">
        <w:rPr>
          <w:rFonts w:asciiTheme="minorHAnsi" w:hAnsiTheme="minorHAnsi" w:cstheme="minorHAnsi"/>
          <w:sz w:val="20"/>
          <w:szCs w:val="20"/>
        </w:rPr>
        <w:t xml:space="preserve"> ME, Murad MH, </w:t>
      </w:r>
      <w:proofErr w:type="spellStart"/>
      <w:r w:rsidRPr="00565529">
        <w:rPr>
          <w:rFonts w:asciiTheme="minorHAnsi" w:hAnsiTheme="minorHAnsi" w:cstheme="minorHAnsi"/>
          <w:sz w:val="20"/>
          <w:szCs w:val="20"/>
        </w:rPr>
        <w:t>Utz</w:t>
      </w:r>
      <w:proofErr w:type="spellEnd"/>
      <w:r w:rsidRPr="00565529">
        <w:rPr>
          <w:rFonts w:asciiTheme="minorHAnsi" w:hAnsiTheme="minorHAnsi" w:cstheme="minorHAnsi"/>
          <w:sz w:val="20"/>
          <w:szCs w:val="20"/>
        </w:rPr>
        <w:t xml:space="preserve"> A and </w:t>
      </w:r>
      <w:proofErr w:type="spellStart"/>
      <w:r w:rsidRPr="00565529">
        <w:rPr>
          <w:rFonts w:asciiTheme="minorHAnsi" w:hAnsiTheme="minorHAnsi" w:cstheme="minorHAnsi"/>
          <w:sz w:val="20"/>
          <w:szCs w:val="20"/>
        </w:rPr>
        <w:t>Wass</w:t>
      </w:r>
      <w:proofErr w:type="spellEnd"/>
      <w:r w:rsidRPr="00565529">
        <w:rPr>
          <w:rFonts w:asciiTheme="minorHAnsi" w:hAnsiTheme="minorHAnsi" w:cstheme="minorHAnsi"/>
          <w:sz w:val="20"/>
          <w:szCs w:val="20"/>
        </w:rPr>
        <w:t xml:space="preserve"> JAH.</w:t>
      </w:r>
      <w:r>
        <w:rPr>
          <w:rFonts w:asciiTheme="minorHAnsi" w:hAnsiTheme="minorHAnsi" w:cstheme="minorHAnsi"/>
          <w:sz w:val="20"/>
          <w:szCs w:val="20"/>
        </w:rPr>
        <w:t xml:space="preserve"> </w:t>
      </w:r>
      <w:r w:rsidRPr="00565529">
        <w:rPr>
          <w:rFonts w:asciiTheme="minorHAnsi" w:hAnsiTheme="minorHAnsi" w:cstheme="minorHAnsi"/>
          <w:sz w:val="20"/>
          <w:szCs w:val="20"/>
        </w:rPr>
        <w:t xml:space="preserve">Acromegaly: an Endocrine Society clinical practice guideline. J </w:t>
      </w:r>
      <w:proofErr w:type="spellStart"/>
      <w:r w:rsidRPr="00565529">
        <w:rPr>
          <w:rFonts w:asciiTheme="minorHAnsi" w:hAnsiTheme="minorHAnsi" w:cstheme="minorHAnsi"/>
          <w:sz w:val="20"/>
          <w:szCs w:val="20"/>
        </w:rPr>
        <w:t>Clin</w:t>
      </w:r>
      <w:proofErr w:type="spellEnd"/>
      <w:r w:rsidRPr="00565529">
        <w:rPr>
          <w:rFonts w:asciiTheme="minorHAnsi" w:hAnsiTheme="minorHAnsi" w:cstheme="minorHAnsi"/>
          <w:sz w:val="20"/>
          <w:szCs w:val="20"/>
        </w:rPr>
        <w:t xml:space="preserve"> </w:t>
      </w:r>
      <w:proofErr w:type="spellStart"/>
      <w:r w:rsidRPr="00565529">
        <w:rPr>
          <w:rFonts w:asciiTheme="minorHAnsi" w:hAnsiTheme="minorHAnsi" w:cstheme="minorHAnsi"/>
          <w:sz w:val="20"/>
          <w:szCs w:val="20"/>
        </w:rPr>
        <w:t>Endocrinol</w:t>
      </w:r>
      <w:proofErr w:type="spellEnd"/>
      <w:r w:rsidRPr="00565529">
        <w:rPr>
          <w:rFonts w:asciiTheme="minorHAnsi" w:hAnsiTheme="minorHAnsi" w:cstheme="minorHAnsi"/>
          <w:sz w:val="20"/>
          <w:szCs w:val="20"/>
        </w:rPr>
        <w:t xml:space="preserve"> </w:t>
      </w:r>
      <w:proofErr w:type="spellStart"/>
      <w:r w:rsidRPr="00565529">
        <w:rPr>
          <w:rFonts w:asciiTheme="minorHAnsi" w:hAnsiTheme="minorHAnsi" w:cstheme="minorHAnsi"/>
          <w:sz w:val="20"/>
          <w:szCs w:val="20"/>
        </w:rPr>
        <w:t>Metab</w:t>
      </w:r>
      <w:proofErr w:type="spellEnd"/>
      <w:r w:rsidRPr="00565529">
        <w:rPr>
          <w:rFonts w:asciiTheme="minorHAnsi" w:hAnsiTheme="minorHAnsi" w:cstheme="minorHAnsi"/>
          <w:sz w:val="20"/>
          <w:szCs w:val="20"/>
        </w:rPr>
        <w:t xml:space="preserve"> 2014,</w:t>
      </w:r>
    </w:p>
    <w:p w:rsidR="00803EB7" w:rsidRPr="00565529" w:rsidRDefault="00803EB7" w:rsidP="00565529">
      <w:pPr>
        <w:pStyle w:val="FootnoteText"/>
        <w:rPr>
          <w:rFonts w:asciiTheme="minorHAnsi" w:hAnsiTheme="minorHAnsi" w:cstheme="minorHAnsi"/>
        </w:rPr>
      </w:pPr>
      <w:proofErr w:type="gramStart"/>
      <w:r w:rsidRPr="00565529">
        <w:rPr>
          <w:rFonts w:asciiTheme="minorHAnsi" w:hAnsiTheme="minorHAnsi" w:cstheme="minorHAnsi"/>
        </w:rPr>
        <w:t>99</w:t>
      </w:r>
      <w:proofErr w:type="gramEnd"/>
      <w:r w:rsidRPr="00565529">
        <w:rPr>
          <w:rFonts w:asciiTheme="minorHAnsi" w:hAnsiTheme="minorHAnsi" w:cstheme="minorHAnsi"/>
        </w:rPr>
        <w:t>(11):3933–3951.</w:t>
      </w:r>
    </w:p>
  </w:footnote>
  <w:footnote w:id="7">
    <w:p w:rsidR="00803EB7" w:rsidRPr="00EA1C06" w:rsidRDefault="00803EB7" w:rsidP="00EA1C06">
      <w:pPr>
        <w:autoSpaceDE w:val="0"/>
        <w:autoSpaceDN w:val="0"/>
        <w:adjustRightInd w:val="0"/>
        <w:rPr>
          <w:rFonts w:asciiTheme="minorHAnsi" w:hAnsiTheme="minorHAnsi" w:cstheme="minorHAnsi"/>
          <w:sz w:val="20"/>
          <w:szCs w:val="20"/>
        </w:rPr>
      </w:pPr>
      <w:r w:rsidRPr="00565529">
        <w:rPr>
          <w:rStyle w:val="FootnoteReference"/>
          <w:rFonts w:asciiTheme="minorHAnsi" w:hAnsiTheme="minorHAnsi" w:cstheme="minorHAnsi"/>
          <w:sz w:val="20"/>
          <w:szCs w:val="20"/>
        </w:rPr>
        <w:footnoteRef/>
      </w:r>
      <w:r w:rsidRPr="00565529">
        <w:rPr>
          <w:rFonts w:asciiTheme="minorHAnsi" w:hAnsiTheme="minorHAnsi" w:cstheme="minorHAnsi"/>
          <w:sz w:val="20"/>
          <w:szCs w:val="20"/>
        </w:rPr>
        <w:t xml:space="preserve"> </w:t>
      </w:r>
      <w:proofErr w:type="spellStart"/>
      <w:r w:rsidRPr="00565529">
        <w:rPr>
          <w:rFonts w:asciiTheme="minorHAnsi" w:hAnsiTheme="minorHAnsi" w:cstheme="minorHAnsi"/>
          <w:sz w:val="20"/>
          <w:szCs w:val="20"/>
        </w:rPr>
        <w:t>Melmed</w:t>
      </w:r>
      <w:proofErr w:type="spellEnd"/>
      <w:r w:rsidRPr="00565529">
        <w:rPr>
          <w:rFonts w:asciiTheme="minorHAnsi" w:hAnsiTheme="minorHAnsi" w:cstheme="minorHAnsi"/>
          <w:sz w:val="20"/>
          <w:szCs w:val="20"/>
        </w:rPr>
        <w:t xml:space="preserve"> S, Bronstein MD, Chanson P, </w:t>
      </w:r>
      <w:proofErr w:type="spellStart"/>
      <w:r w:rsidRPr="00565529">
        <w:rPr>
          <w:rFonts w:asciiTheme="minorHAnsi" w:hAnsiTheme="minorHAnsi" w:cstheme="minorHAnsi"/>
          <w:sz w:val="20"/>
          <w:szCs w:val="20"/>
        </w:rPr>
        <w:t>Klibanski</w:t>
      </w:r>
      <w:proofErr w:type="spellEnd"/>
      <w:r w:rsidRPr="00565529">
        <w:rPr>
          <w:rFonts w:asciiTheme="minorHAnsi" w:hAnsiTheme="minorHAnsi" w:cstheme="minorHAnsi"/>
          <w:sz w:val="20"/>
          <w:szCs w:val="20"/>
        </w:rPr>
        <w:t xml:space="preserve"> A, </w:t>
      </w:r>
      <w:proofErr w:type="spellStart"/>
      <w:r w:rsidRPr="00565529">
        <w:rPr>
          <w:rFonts w:asciiTheme="minorHAnsi" w:hAnsiTheme="minorHAnsi" w:cstheme="minorHAnsi"/>
          <w:sz w:val="20"/>
          <w:szCs w:val="20"/>
        </w:rPr>
        <w:t>Casanueva</w:t>
      </w:r>
      <w:proofErr w:type="spellEnd"/>
      <w:r w:rsidRPr="00565529">
        <w:rPr>
          <w:rFonts w:asciiTheme="minorHAnsi" w:hAnsiTheme="minorHAnsi" w:cstheme="minorHAnsi"/>
          <w:sz w:val="20"/>
          <w:szCs w:val="20"/>
        </w:rPr>
        <w:t xml:space="preserve"> FF, </w:t>
      </w:r>
      <w:proofErr w:type="spellStart"/>
      <w:r w:rsidRPr="00565529">
        <w:rPr>
          <w:rFonts w:asciiTheme="minorHAnsi" w:hAnsiTheme="minorHAnsi" w:cstheme="minorHAnsi"/>
          <w:sz w:val="20"/>
          <w:szCs w:val="20"/>
        </w:rPr>
        <w:t>Wass</w:t>
      </w:r>
      <w:proofErr w:type="spellEnd"/>
      <w:r w:rsidRPr="00565529">
        <w:rPr>
          <w:rFonts w:asciiTheme="minorHAnsi" w:hAnsiTheme="minorHAnsi" w:cstheme="minorHAnsi"/>
          <w:sz w:val="20"/>
          <w:szCs w:val="20"/>
        </w:rPr>
        <w:t xml:space="preserve"> JAH, </w:t>
      </w:r>
      <w:proofErr w:type="spellStart"/>
      <w:r w:rsidRPr="00565529">
        <w:rPr>
          <w:rFonts w:asciiTheme="minorHAnsi" w:hAnsiTheme="minorHAnsi" w:cstheme="minorHAnsi"/>
          <w:sz w:val="20"/>
          <w:szCs w:val="20"/>
        </w:rPr>
        <w:t>Stasburger</w:t>
      </w:r>
      <w:proofErr w:type="spellEnd"/>
      <w:r>
        <w:rPr>
          <w:rFonts w:asciiTheme="minorHAnsi" w:hAnsiTheme="minorHAnsi" w:cstheme="minorHAnsi"/>
          <w:sz w:val="20"/>
          <w:szCs w:val="20"/>
        </w:rPr>
        <w:t xml:space="preserve"> </w:t>
      </w:r>
      <w:r w:rsidRPr="00565529">
        <w:rPr>
          <w:rFonts w:asciiTheme="minorHAnsi" w:hAnsiTheme="minorHAnsi" w:cstheme="minorHAnsi"/>
          <w:sz w:val="20"/>
          <w:szCs w:val="20"/>
        </w:rPr>
        <w:t xml:space="preserve">CJ, Luger A, Clemmons DR and </w:t>
      </w:r>
      <w:proofErr w:type="spellStart"/>
      <w:r w:rsidRPr="00565529">
        <w:rPr>
          <w:rFonts w:asciiTheme="minorHAnsi" w:hAnsiTheme="minorHAnsi" w:cstheme="minorHAnsi"/>
          <w:sz w:val="20"/>
          <w:szCs w:val="20"/>
        </w:rPr>
        <w:t>Giustina</w:t>
      </w:r>
      <w:proofErr w:type="spellEnd"/>
      <w:r w:rsidRPr="00565529">
        <w:rPr>
          <w:rFonts w:asciiTheme="minorHAnsi" w:hAnsiTheme="minorHAnsi" w:cstheme="minorHAnsi"/>
          <w:sz w:val="20"/>
          <w:szCs w:val="20"/>
        </w:rPr>
        <w:t xml:space="preserve"> A. A consensus statement on acromegaly</w:t>
      </w:r>
      <w:r>
        <w:rPr>
          <w:rFonts w:asciiTheme="minorHAnsi" w:hAnsiTheme="minorHAnsi" w:cstheme="minorHAnsi"/>
          <w:sz w:val="20"/>
          <w:szCs w:val="20"/>
        </w:rPr>
        <w:t xml:space="preserve"> </w:t>
      </w:r>
      <w:r w:rsidRPr="00EA1C06">
        <w:rPr>
          <w:rFonts w:asciiTheme="minorHAnsi" w:hAnsiTheme="minorHAnsi" w:cstheme="minorHAnsi"/>
          <w:sz w:val="20"/>
          <w:szCs w:val="20"/>
        </w:rPr>
        <w:t>therapeutic outcomes. Nature Reviews: Endocrinology, 2018; 14:552-561.</w:t>
      </w:r>
    </w:p>
  </w:footnote>
  <w:footnote w:id="8">
    <w:p w:rsidR="00803EB7" w:rsidRPr="00CD559A" w:rsidRDefault="00803EB7" w:rsidP="00CD559A">
      <w:pPr>
        <w:autoSpaceDE w:val="0"/>
        <w:autoSpaceDN w:val="0"/>
        <w:adjustRightInd w:val="0"/>
        <w:rPr>
          <w:rFonts w:asciiTheme="minorHAnsi" w:hAnsiTheme="minorHAnsi" w:cstheme="minorHAnsi"/>
          <w:sz w:val="20"/>
          <w:szCs w:val="20"/>
        </w:rPr>
      </w:pPr>
      <w:r w:rsidRPr="00CD559A">
        <w:rPr>
          <w:rStyle w:val="FootnoteReference"/>
          <w:rFonts w:asciiTheme="minorHAnsi" w:hAnsiTheme="minorHAnsi" w:cstheme="minorHAnsi"/>
          <w:sz w:val="20"/>
          <w:szCs w:val="20"/>
        </w:rPr>
        <w:footnoteRef/>
      </w:r>
      <w:r w:rsidRPr="00CD559A">
        <w:rPr>
          <w:rFonts w:asciiTheme="minorHAnsi" w:hAnsiTheme="minorHAnsi" w:cstheme="minorHAnsi"/>
          <w:sz w:val="20"/>
          <w:szCs w:val="20"/>
        </w:rPr>
        <w:t xml:space="preserve"> </w:t>
      </w:r>
      <w:proofErr w:type="spellStart"/>
      <w:r w:rsidRPr="00CD559A">
        <w:rPr>
          <w:rFonts w:asciiTheme="minorHAnsi" w:hAnsiTheme="minorHAnsi" w:cstheme="minorHAnsi"/>
          <w:sz w:val="20"/>
          <w:szCs w:val="20"/>
        </w:rPr>
        <w:t>Katznelson</w:t>
      </w:r>
      <w:proofErr w:type="spellEnd"/>
      <w:r w:rsidRPr="00CD559A">
        <w:rPr>
          <w:rFonts w:asciiTheme="minorHAnsi" w:hAnsiTheme="minorHAnsi" w:cstheme="minorHAnsi"/>
          <w:sz w:val="20"/>
          <w:szCs w:val="20"/>
        </w:rPr>
        <w:t xml:space="preserve"> L, Laws ER, </w:t>
      </w:r>
      <w:proofErr w:type="spellStart"/>
      <w:r w:rsidRPr="00CD559A">
        <w:rPr>
          <w:rFonts w:asciiTheme="minorHAnsi" w:hAnsiTheme="minorHAnsi" w:cstheme="minorHAnsi"/>
          <w:sz w:val="20"/>
          <w:szCs w:val="20"/>
        </w:rPr>
        <w:t>Melmed</w:t>
      </w:r>
      <w:proofErr w:type="spellEnd"/>
      <w:r w:rsidRPr="00CD559A">
        <w:rPr>
          <w:rFonts w:asciiTheme="minorHAnsi" w:hAnsiTheme="minorHAnsi" w:cstheme="minorHAnsi"/>
          <w:sz w:val="20"/>
          <w:szCs w:val="20"/>
        </w:rPr>
        <w:t xml:space="preserve"> S, </w:t>
      </w:r>
      <w:proofErr w:type="spellStart"/>
      <w:r w:rsidRPr="00CD559A">
        <w:rPr>
          <w:rFonts w:asciiTheme="minorHAnsi" w:hAnsiTheme="minorHAnsi" w:cstheme="minorHAnsi"/>
          <w:sz w:val="20"/>
          <w:szCs w:val="20"/>
        </w:rPr>
        <w:t>Molitch</w:t>
      </w:r>
      <w:proofErr w:type="spellEnd"/>
      <w:r w:rsidRPr="00CD559A">
        <w:rPr>
          <w:rFonts w:asciiTheme="minorHAnsi" w:hAnsiTheme="minorHAnsi" w:cstheme="minorHAnsi"/>
          <w:sz w:val="20"/>
          <w:szCs w:val="20"/>
        </w:rPr>
        <w:t xml:space="preserve"> ME, Murad MH, </w:t>
      </w:r>
      <w:proofErr w:type="spellStart"/>
      <w:r w:rsidRPr="00CD559A">
        <w:rPr>
          <w:rFonts w:asciiTheme="minorHAnsi" w:hAnsiTheme="minorHAnsi" w:cstheme="minorHAnsi"/>
          <w:sz w:val="20"/>
          <w:szCs w:val="20"/>
        </w:rPr>
        <w:t>Utz</w:t>
      </w:r>
      <w:proofErr w:type="spellEnd"/>
      <w:r w:rsidRPr="00CD559A">
        <w:rPr>
          <w:rFonts w:asciiTheme="minorHAnsi" w:hAnsiTheme="minorHAnsi" w:cstheme="minorHAnsi"/>
          <w:sz w:val="20"/>
          <w:szCs w:val="20"/>
        </w:rPr>
        <w:t xml:space="preserve"> A and </w:t>
      </w:r>
      <w:proofErr w:type="spellStart"/>
      <w:r w:rsidRPr="00CD559A">
        <w:rPr>
          <w:rFonts w:asciiTheme="minorHAnsi" w:hAnsiTheme="minorHAnsi" w:cstheme="minorHAnsi"/>
          <w:sz w:val="20"/>
          <w:szCs w:val="20"/>
        </w:rPr>
        <w:t>Wass</w:t>
      </w:r>
      <w:proofErr w:type="spellEnd"/>
      <w:r w:rsidRPr="00CD559A">
        <w:rPr>
          <w:rFonts w:asciiTheme="minorHAnsi" w:hAnsiTheme="minorHAnsi" w:cstheme="minorHAnsi"/>
          <w:sz w:val="20"/>
          <w:szCs w:val="20"/>
        </w:rPr>
        <w:t xml:space="preserve"> JAH. Acromegaly: an Endocrine Society clinical practice guideline. J </w:t>
      </w:r>
      <w:proofErr w:type="spellStart"/>
      <w:r w:rsidRPr="00CD559A">
        <w:rPr>
          <w:rFonts w:asciiTheme="minorHAnsi" w:hAnsiTheme="minorHAnsi" w:cstheme="minorHAnsi"/>
          <w:sz w:val="20"/>
          <w:szCs w:val="20"/>
        </w:rPr>
        <w:t>Clin</w:t>
      </w:r>
      <w:proofErr w:type="spellEnd"/>
      <w:r w:rsidRPr="00CD559A">
        <w:rPr>
          <w:rFonts w:asciiTheme="minorHAnsi" w:hAnsiTheme="minorHAnsi" w:cstheme="minorHAnsi"/>
          <w:sz w:val="20"/>
          <w:szCs w:val="20"/>
        </w:rPr>
        <w:t xml:space="preserve"> </w:t>
      </w:r>
      <w:proofErr w:type="spellStart"/>
      <w:r w:rsidRPr="00CD559A">
        <w:rPr>
          <w:rFonts w:asciiTheme="minorHAnsi" w:hAnsiTheme="minorHAnsi" w:cstheme="minorHAnsi"/>
          <w:sz w:val="20"/>
          <w:szCs w:val="20"/>
        </w:rPr>
        <w:t>Endocrinol</w:t>
      </w:r>
      <w:proofErr w:type="spellEnd"/>
      <w:r w:rsidRPr="00CD559A">
        <w:rPr>
          <w:rFonts w:asciiTheme="minorHAnsi" w:hAnsiTheme="minorHAnsi" w:cstheme="minorHAnsi"/>
          <w:sz w:val="20"/>
          <w:szCs w:val="20"/>
        </w:rPr>
        <w:t xml:space="preserve"> </w:t>
      </w:r>
      <w:proofErr w:type="spellStart"/>
      <w:r w:rsidRPr="00CD559A">
        <w:rPr>
          <w:rFonts w:asciiTheme="minorHAnsi" w:hAnsiTheme="minorHAnsi" w:cstheme="minorHAnsi"/>
          <w:sz w:val="20"/>
          <w:szCs w:val="20"/>
        </w:rPr>
        <w:t>Metab</w:t>
      </w:r>
      <w:proofErr w:type="spellEnd"/>
      <w:r w:rsidRPr="00CD559A">
        <w:rPr>
          <w:rFonts w:asciiTheme="minorHAnsi" w:hAnsiTheme="minorHAnsi" w:cstheme="minorHAnsi"/>
          <w:sz w:val="20"/>
          <w:szCs w:val="20"/>
        </w:rPr>
        <w:t xml:space="preserve"> 2014,</w:t>
      </w:r>
    </w:p>
    <w:p w:rsidR="00803EB7" w:rsidRPr="00CD559A" w:rsidRDefault="00803EB7" w:rsidP="00CD559A">
      <w:pPr>
        <w:pStyle w:val="FootnoteText"/>
        <w:rPr>
          <w:rFonts w:asciiTheme="minorHAnsi" w:hAnsiTheme="minorHAnsi" w:cstheme="minorHAnsi"/>
        </w:rPr>
      </w:pPr>
      <w:proofErr w:type="gramStart"/>
      <w:r w:rsidRPr="00CD559A">
        <w:rPr>
          <w:rFonts w:asciiTheme="minorHAnsi" w:hAnsiTheme="minorHAnsi" w:cstheme="minorHAnsi"/>
        </w:rPr>
        <w:t>99</w:t>
      </w:r>
      <w:proofErr w:type="gramEnd"/>
      <w:r w:rsidRPr="00CD559A">
        <w:rPr>
          <w:rFonts w:asciiTheme="minorHAnsi" w:hAnsiTheme="minorHAnsi" w:cstheme="minorHAnsi"/>
        </w:rPr>
        <w:t>(11):3933–3951.</w:t>
      </w:r>
    </w:p>
  </w:footnote>
  <w:footnote w:id="9">
    <w:p w:rsidR="00803EB7" w:rsidRDefault="00803EB7">
      <w:pPr>
        <w:pStyle w:val="FootnoteText"/>
      </w:pPr>
      <w:r w:rsidRPr="00CD559A">
        <w:rPr>
          <w:rStyle w:val="FootnoteReference"/>
          <w:rFonts w:asciiTheme="minorHAnsi" w:hAnsiTheme="minorHAnsi" w:cstheme="minorHAnsi"/>
        </w:rPr>
        <w:footnoteRef/>
      </w:r>
      <w:r w:rsidRPr="00CD559A">
        <w:rPr>
          <w:rFonts w:asciiTheme="minorHAnsi" w:hAnsiTheme="minorHAnsi" w:cstheme="minorHAnsi"/>
        </w:rPr>
        <w:t xml:space="preserve"> </w:t>
      </w:r>
      <w:proofErr w:type="spellStart"/>
      <w:r w:rsidRPr="00CD559A">
        <w:rPr>
          <w:rFonts w:asciiTheme="minorHAnsi" w:hAnsiTheme="minorHAnsi" w:cstheme="minorHAnsi"/>
        </w:rPr>
        <w:t>Giustina</w:t>
      </w:r>
      <w:proofErr w:type="spellEnd"/>
      <w:r w:rsidRPr="00CD559A">
        <w:rPr>
          <w:rFonts w:asciiTheme="minorHAnsi" w:hAnsiTheme="minorHAnsi" w:cstheme="minorHAnsi"/>
        </w:rPr>
        <w:t xml:space="preserve"> A, Chanson P, Bronstein MD, </w:t>
      </w:r>
      <w:proofErr w:type="spellStart"/>
      <w:r w:rsidRPr="00CD559A">
        <w:rPr>
          <w:rFonts w:asciiTheme="minorHAnsi" w:hAnsiTheme="minorHAnsi" w:cstheme="minorHAnsi"/>
        </w:rPr>
        <w:t>Klibanski</w:t>
      </w:r>
      <w:proofErr w:type="spellEnd"/>
      <w:r w:rsidRPr="00CD559A">
        <w:rPr>
          <w:rFonts w:asciiTheme="minorHAnsi" w:hAnsiTheme="minorHAnsi" w:cstheme="minorHAnsi"/>
        </w:rPr>
        <w:t xml:space="preserve"> A, Lambert S, </w:t>
      </w:r>
      <w:proofErr w:type="spellStart"/>
      <w:r w:rsidRPr="00CD559A">
        <w:rPr>
          <w:rFonts w:asciiTheme="minorHAnsi" w:hAnsiTheme="minorHAnsi" w:cstheme="minorHAnsi"/>
        </w:rPr>
        <w:t>Casanueva</w:t>
      </w:r>
      <w:proofErr w:type="spellEnd"/>
      <w:r w:rsidRPr="00CD559A">
        <w:rPr>
          <w:rFonts w:asciiTheme="minorHAnsi" w:hAnsiTheme="minorHAnsi" w:cstheme="minorHAnsi"/>
        </w:rPr>
        <w:t xml:space="preserve"> FF, Trainer P, </w:t>
      </w:r>
      <w:proofErr w:type="spellStart"/>
      <w:r w:rsidRPr="00CD559A">
        <w:rPr>
          <w:rFonts w:asciiTheme="minorHAnsi" w:hAnsiTheme="minorHAnsi" w:cstheme="minorHAnsi"/>
        </w:rPr>
        <w:t>Ghigo</w:t>
      </w:r>
      <w:proofErr w:type="spellEnd"/>
      <w:r w:rsidRPr="00CD559A">
        <w:rPr>
          <w:rFonts w:asciiTheme="minorHAnsi" w:hAnsiTheme="minorHAnsi" w:cstheme="minorHAnsi"/>
        </w:rPr>
        <w:t xml:space="preserve"> E, </w:t>
      </w:r>
      <w:proofErr w:type="spellStart"/>
      <w:r w:rsidRPr="00CD559A">
        <w:rPr>
          <w:rFonts w:asciiTheme="minorHAnsi" w:hAnsiTheme="minorHAnsi" w:cstheme="minorHAnsi"/>
        </w:rPr>
        <w:t>Ho</w:t>
      </w:r>
      <w:proofErr w:type="spellEnd"/>
      <w:r w:rsidRPr="00CD559A">
        <w:rPr>
          <w:rFonts w:asciiTheme="minorHAnsi" w:hAnsiTheme="minorHAnsi" w:cstheme="minorHAnsi"/>
        </w:rPr>
        <w:t xml:space="preserve"> K, </w:t>
      </w:r>
      <w:proofErr w:type="spellStart"/>
      <w:r w:rsidRPr="00CD559A">
        <w:rPr>
          <w:rFonts w:asciiTheme="minorHAnsi" w:hAnsiTheme="minorHAnsi" w:cstheme="minorHAnsi"/>
        </w:rPr>
        <w:t>Melmed</w:t>
      </w:r>
      <w:proofErr w:type="spellEnd"/>
      <w:r w:rsidRPr="00CD559A">
        <w:rPr>
          <w:rFonts w:asciiTheme="minorHAnsi" w:hAnsiTheme="minorHAnsi" w:cstheme="minorHAnsi"/>
        </w:rPr>
        <w:t xml:space="preserve"> S. A Consensus on Criteria for Cure of Acromegaly. J </w:t>
      </w:r>
      <w:proofErr w:type="spellStart"/>
      <w:r w:rsidRPr="00CD559A">
        <w:rPr>
          <w:rFonts w:asciiTheme="minorHAnsi" w:hAnsiTheme="minorHAnsi" w:cstheme="minorHAnsi"/>
        </w:rPr>
        <w:t>Clin</w:t>
      </w:r>
      <w:proofErr w:type="spellEnd"/>
      <w:r w:rsidRPr="00CD559A">
        <w:rPr>
          <w:rFonts w:asciiTheme="minorHAnsi" w:hAnsiTheme="minorHAnsi" w:cstheme="minorHAnsi"/>
        </w:rPr>
        <w:t xml:space="preserve"> </w:t>
      </w:r>
      <w:proofErr w:type="spellStart"/>
      <w:r w:rsidRPr="00CD559A">
        <w:rPr>
          <w:rFonts w:asciiTheme="minorHAnsi" w:hAnsiTheme="minorHAnsi" w:cstheme="minorHAnsi"/>
        </w:rPr>
        <w:t>Endocrinol</w:t>
      </w:r>
      <w:proofErr w:type="spellEnd"/>
      <w:r w:rsidRPr="00CD559A">
        <w:rPr>
          <w:rFonts w:asciiTheme="minorHAnsi" w:hAnsiTheme="minorHAnsi" w:cstheme="minorHAnsi"/>
        </w:rPr>
        <w:t xml:space="preserve"> </w:t>
      </w:r>
      <w:proofErr w:type="spellStart"/>
      <w:r w:rsidRPr="00CD559A">
        <w:rPr>
          <w:rFonts w:asciiTheme="minorHAnsi" w:hAnsiTheme="minorHAnsi" w:cstheme="minorHAnsi"/>
        </w:rPr>
        <w:t>Metab</w:t>
      </w:r>
      <w:proofErr w:type="spellEnd"/>
      <w:r w:rsidRPr="00CD559A">
        <w:rPr>
          <w:rFonts w:asciiTheme="minorHAnsi" w:hAnsiTheme="minorHAnsi" w:cstheme="minorHAnsi"/>
        </w:rPr>
        <w:t xml:space="preserve"> 2010, 95:3131-3148.</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03EB7" w:rsidRPr="008E0D90" w:rsidTr="00A06225">
      <w:trPr>
        <w:trHeight w:val="151"/>
      </w:trPr>
      <w:tc>
        <w:tcPr>
          <w:tcW w:w="2389" w:type="pct"/>
          <w:tcBorders>
            <w:top w:val="nil"/>
            <w:left w:val="nil"/>
            <w:bottom w:val="single" w:sz="4" w:space="0" w:color="4F81BD"/>
            <w:right w:val="nil"/>
          </w:tcBorders>
        </w:tcPr>
        <w:p w:rsidR="00803EB7" w:rsidRPr="00A06225" w:rsidRDefault="00803EB7">
          <w:pPr>
            <w:pStyle w:val="Header"/>
            <w:spacing w:line="276" w:lineRule="auto"/>
            <w:rPr>
              <w:rFonts w:ascii="Cambria" w:eastAsia="MS Gothic" w:hAnsi="Cambria"/>
              <w:b/>
              <w:bCs/>
              <w:color w:val="4F81BD"/>
            </w:rPr>
          </w:pPr>
        </w:p>
      </w:tc>
      <w:tc>
        <w:tcPr>
          <w:tcW w:w="333" w:type="pct"/>
          <w:vMerge w:val="restart"/>
          <w:noWrap/>
          <w:vAlign w:val="center"/>
          <w:hideMark/>
        </w:tcPr>
        <w:p w:rsidR="00803EB7" w:rsidRPr="00A06225" w:rsidRDefault="00803EB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03EB7" w:rsidRPr="00A06225" w:rsidRDefault="00803EB7">
          <w:pPr>
            <w:pStyle w:val="Header"/>
            <w:spacing w:line="276" w:lineRule="auto"/>
            <w:rPr>
              <w:rFonts w:ascii="Cambria" w:eastAsia="MS Gothic" w:hAnsi="Cambria"/>
              <w:b/>
              <w:bCs/>
              <w:color w:val="4F81BD"/>
            </w:rPr>
          </w:pPr>
        </w:p>
      </w:tc>
    </w:tr>
    <w:tr w:rsidR="00803EB7" w:rsidRPr="008E0D90" w:rsidTr="00A06225">
      <w:trPr>
        <w:trHeight w:val="150"/>
      </w:trPr>
      <w:tc>
        <w:tcPr>
          <w:tcW w:w="2389" w:type="pct"/>
          <w:tcBorders>
            <w:top w:val="single" w:sz="4" w:space="0" w:color="4F81BD"/>
            <w:left w:val="nil"/>
            <w:bottom w:val="nil"/>
            <w:right w:val="nil"/>
          </w:tcBorders>
        </w:tcPr>
        <w:p w:rsidR="00803EB7" w:rsidRPr="00A06225" w:rsidRDefault="00803EB7">
          <w:pPr>
            <w:pStyle w:val="Header"/>
            <w:spacing w:line="276" w:lineRule="auto"/>
            <w:rPr>
              <w:rFonts w:ascii="Cambria" w:eastAsia="MS Gothic" w:hAnsi="Cambria"/>
              <w:b/>
              <w:bCs/>
              <w:color w:val="4F81BD"/>
            </w:rPr>
          </w:pPr>
        </w:p>
      </w:tc>
      <w:tc>
        <w:tcPr>
          <w:tcW w:w="0" w:type="auto"/>
          <w:vMerge/>
          <w:vAlign w:val="center"/>
          <w:hideMark/>
        </w:tcPr>
        <w:p w:rsidR="00803EB7" w:rsidRPr="00A06225" w:rsidRDefault="00803EB7">
          <w:pPr>
            <w:rPr>
              <w:rFonts w:ascii="Cambria" w:hAnsi="Cambria"/>
              <w:color w:val="4F81BD"/>
              <w:sz w:val="22"/>
              <w:szCs w:val="22"/>
            </w:rPr>
          </w:pPr>
        </w:p>
      </w:tc>
      <w:tc>
        <w:tcPr>
          <w:tcW w:w="2278" w:type="pct"/>
          <w:tcBorders>
            <w:top w:val="single" w:sz="4" w:space="0" w:color="4F81BD"/>
            <w:left w:val="nil"/>
            <w:bottom w:val="nil"/>
            <w:right w:val="nil"/>
          </w:tcBorders>
        </w:tcPr>
        <w:p w:rsidR="00803EB7" w:rsidRPr="00A06225" w:rsidRDefault="00803EB7">
          <w:pPr>
            <w:pStyle w:val="Header"/>
            <w:spacing w:line="276" w:lineRule="auto"/>
            <w:rPr>
              <w:rFonts w:ascii="Cambria" w:eastAsia="MS Gothic" w:hAnsi="Cambria"/>
              <w:b/>
              <w:bCs/>
              <w:color w:val="4F81BD"/>
            </w:rPr>
          </w:pPr>
        </w:p>
      </w:tc>
    </w:tr>
  </w:tbl>
  <w:p w:rsidR="00803EB7" w:rsidRDefault="00803EB7">
    <w:pPr>
      <w:pStyle w:val="Header"/>
    </w:pPr>
  </w:p>
  <w:p w:rsidR="00803EB7" w:rsidRDefault="00803EB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EB7" w:rsidRPr="005622AA" w:rsidRDefault="00714049" w:rsidP="000D32FA">
    <w:pPr>
      <w:tabs>
        <w:tab w:val="center" w:pos="4153"/>
        <w:tab w:val="right" w:pos="8306"/>
      </w:tabs>
      <w:jc w:val="center"/>
      <w:rPr>
        <w:rFonts w:asciiTheme="minorHAnsi" w:hAnsiTheme="minorHAnsi"/>
        <w:i/>
        <w:color w:val="808080"/>
      </w:rPr>
    </w:pPr>
    <w:r>
      <w:rPr>
        <w:rFonts w:asciiTheme="minorHAnsi" w:hAnsiTheme="minorHAnsi"/>
        <w:i/>
        <w:color w:val="808080"/>
      </w:rPr>
      <w:t>Public Summary Document</w:t>
    </w:r>
    <w:r w:rsidR="00803EB7" w:rsidRPr="005622AA">
      <w:rPr>
        <w:rFonts w:asciiTheme="minorHAnsi" w:hAnsiTheme="minorHAnsi"/>
        <w:i/>
        <w:color w:val="808080"/>
      </w:rPr>
      <w:t xml:space="preserve"> – M</w:t>
    </w:r>
    <w:r w:rsidR="00803EB7">
      <w:rPr>
        <w:rFonts w:asciiTheme="minorHAnsi" w:hAnsiTheme="minorHAnsi"/>
        <w:i/>
        <w:color w:val="808080"/>
      </w:rPr>
      <w:t>arch</w:t>
    </w:r>
    <w:r w:rsidR="00803EB7" w:rsidRPr="005622AA">
      <w:rPr>
        <w:rFonts w:asciiTheme="minorHAnsi" w:hAnsiTheme="minorHAnsi"/>
        <w:i/>
        <w:color w:val="808080"/>
      </w:rPr>
      <w:t xml:space="preserve"> 2019 PBAC Meeting</w:t>
    </w:r>
  </w:p>
  <w:p w:rsidR="000D32FA" w:rsidRPr="004075E3" w:rsidRDefault="000D32FA" w:rsidP="000D32FA">
    <w:pPr>
      <w:tabs>
        <w:tab w:val="center" w:pos="4153"/>
        <w:tab w:val="right" w:pos="8306"/>
      </w:tabs>
      <w:ind w:left="360"/>
      <w:jc w:val="center"/>
      <w:rPr>
        <w:rFonts w:asciiTheme="minorHAnsi" w:hAnsiTheme="minorHAnsi"/>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773B81"/>
    <w:multiLevelType w:val="hybridMultilevel"/>
    <w:tmpl w:val="E9865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4B360B"/>
    <w:multiLevelType w:val="multilevel"/>
    <w:tmpl w:val="F854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9C740C"/>
    <w:multiLevelType w:val="hybridMultilevel"/>
    <w:tmpl w:val="77E88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6F3FA4"/>
    <w:multiLevelType w:val="hybridMultilevel"/>
    <w:tmpl w:val="4CBE8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37957"/>
    <w:multiLevelType w:val="hybridMultilevel"/>
    <w:tmpl w:val="AF22395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4E6825"/>
    <w:multiLevelType w:val="multilevel"/>
    <w:tmpl w:val="18BAFFD6"/>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heme="minorHAnsi" w:hAnsi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D677F14"/>
    <w:multiLevelType w:val="hybridMultilevel"/>
    <w:tmpl w:val="18F61238"/>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95"/>
        </w:tabs>
        <w:ind w:left="1495" w:hanging="360"/>
      </w:pPr>
      <w:rPr>
        <w:rFonts w:ascii="Symbol" w:hAnsi="Symbol" w:hint="default"/>
      </w:rPr>
    </w:lvl>
    <w:lvl w:ilvl="2" w:tplc="04090005">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8"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BC242E"/>
    <w:multiLevelType w:val="hybridMultilevel"/>
    <w:tmpl w:val="458C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86579C"/>
    <w:multiLevelType w:val="hybridMultilevel"/>
    <w:tmpl w:val="816A572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48575F"/>
    <w:multiLevelType w:val="hybridMultilevel"/>
    <w:tmpl w:val="658AD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D21587"/>
    <w:multiLevelType w:val="hybridMultilevel"/>
    <w:tmpl w:val="990AB1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BD7071"/>
    <w:multiLevelType w:val="hybridMultilevel"/>
    <w:tmpl w:val="F45891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9A24661"/>
    <w:multiLevelType w:val="hybridMultilevel"/>
    <w:tmpl w:val="0B8E9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D87F42"/>
    <w:multiLevelType w:val="hybridMultilevel"/>
    <w:tmpl w:val="CD140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5F7F59"/>
    <w:multiLevelType w:val="hybridMultilevel"/>
    <w:tmpl w:val="C176504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6463DBB"/>
    <w:multiLevelType w:val="hybridMultilevel"/>
    <w:tmpl w:val="C78243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84D033C"/>
    <w:multiLevelType w:val="multilevel"/>
    <w:tmpl w:val="6CCC707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81492D"/>
    <w:multiLevelType w:val="hybridMultilevel"/>
    <w:tmpl w:val="05D0770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1C6E02"/>
    <w:multiLevelType w:val="hybridMultilevel"/>
    <w:tmpl w:val="441C70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DB9075F"/>
    <w:multiLevelType w:val="hybridMultilevel"/>
    <w:tmpl w:val="1EF03E7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2"/>
  </w:num>
  <w:num w:numId="2">
    <w:abstractNumId w:val="3"/>
  </w:num>
  <w:num w:numId="3">
    <w:abstractNumId w:val="7"/>
  </w:num>
  <w:num w:numId="4">
    <w:abstractNumId w:val="25"/>
  </w:num>
  <w:num w:numId="5">
    <w:abstractNumId w:val="33"/>
  </w:num>
  <w:num w:numId="6">
    <w:abstractNumId w:val="9"/>
  </w:num>
  <w:num w:numId="7">
    <w:abstractNumId w:val="22"/>
  </w:num>
  <w:num w:numId="8">
    <w:abstractNumId w:val="4"/>
  </w:num>
  <w:num w:numId="9">
    <w:abstractNumId w:val="21"/>
  </w:num>
  <w:num w:numId="10">
    <w:abstractNumId w:val="18"/>
  </w:num>
  <w:num w:numId="11">
    <w:abstractNumId w:val="16"/>
  </w:num>
  <w:num w:numId="12">
    <w:abstractNumId w:val="1"/>
  </w:num>
  <w:num w:numId="13">
    <w:abstractNumId w:val="0"/>
  </w:num>
  <w:num w:numId="14">
    <w:abstractNumId w:val="33"/>
  </w:num>
  <w:num w:numId="15">
    <w:abstractNumId w:val="34"/>
  </w:num>
  <w:num w:numId="16">
    <w:abstractNumId w:val="19"/>
  </w:num>
  <w:num w:numId="17">
    <w:abstractNumId w:val="24"/>
  </w:num>
  <w:num w:numId="18">
    <w:abstractNumId w:val="23"/>
  </w:num>
  <w:num w:numId="19">
    <w:abstractNumId w:val="35"/>
  </w:num>
  <w:num w:numId="20">
    <w:abstractNumId w:val="27"/>
  </w:num>
  <w:num w:numId="21">
    <w:abstractNumId w:val="32"/>
  </w:num>
  <w:num w:numId="22">
    <w:abstractNumId w:val="30"/>
  </w:num>
  <w:num w:numId="23">
    <w:abstractNumId w:val="20"/>
  </w:num>
  <w:num w:numId="24">
    <w:abstractNumId w:val="15"/>
  </w:num>
  <w:num w:numId="25">
    <w:abstractNumId w:val="31"/>
  </w:num>
  <w:num w:numId="26">
    <w:abstractNumId w:val="5"/>
  </w:num>
  <w:num w:numId="27">
    <w:abstractNumId w:val="11"/>
  </w:num>
  <w:num w:numId="28">
    <w:abstractNumId w:val="8"/>
  </w:num>
  <w:num w:numId="29">
    <w:abstractNumId w:val="13"/>
  </w:num>
  <w:num w:numId="30">
    <w:abstractNumId w:val="10"/>
  </w:num>
  <w:num w:numId="31">
    <w:abstractNumId w:val="36"/>
  </w:num>
  <w:num w:numId="32">
    <w:abstractNumId w:val="29"/>
  </w:num>
  <w:num w:numId="33">
    <w:abstractNumId w:val="17"/>
  </w:num>
  <w:num w:numId="34">
    <w:abstractNumId w:val="26"/>
  </w:num>
  <w:num w:numId="35">
    <w:abstractNumId w:val="6"/>
  </w:num>
  <w:num w:numId="36">
    <w:abstractNumId w:val="2"/>
  </w:num>
  <w:num w:numId="37">
    <w:abstractNumId w:val="14"/>
  </w:num>
  <w:num w:numId="38">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03FC"/>
    <w:rsid w:val="000025AD"/>
    <w:rsid w:val="0000335D"/>
    <w:rsid w:val="00010DDF"/>
    <w:rsid w:val="000156D9"/>
    <w:rsid w:val="00022E41"/>
    <w:rsid w:val="0002464A"/>
    <w:rsid w:val="00026397"/>
    <w:rsid w:val="0003106B"/>
    <w:rsid w:val="0003466D"/>
    <w:rsid w:val="0003744B"/>
    <w:rsid w:val="00037EC8"/>
    <w:rsid w:val="000414D2"/>
    <w:rsid w:val="000421A1"/>
    <w:rsid w:val="0004240E"/>
    <w:rsid w:val="00043D04"/>
    <w:rsid w:val="000454FC"/>
    <w:rsid w:val="00045E26"/>
    <w:rsid w:val="000514B5"/>
    <w:rsid w:val="0005345F"/>
    <w:rsid w:val="00055640"/>
    <w:rsid w:val="0005567B"/>
    <w:rsid w:val="0006056C"/>
    <w:rsid w:val="00060679"/>
    <w:rsid w:val="00060E64"/>
    <w:rsid w:val="0006662D"/>
    <w:rsid w:val="00066755"/>
    <w:rsid w:val="000669FF"/>
    <w:rsid w:val="00067A67"/>
    <w:rsid w:val="00070478"/>
    <w:rsid w:val="00077143"/>
    <w:rsid w:val="00082169"/>
    <w:rsid w:val="000846A5"/>
    <w:rsid w:val="00087D38"/>
    <w:rsid w:val="000969AD"/>
    <w:rsid w:val="000969C6"/>
    <w:rsid w:val="00096B4A"/>
    <w:rsid w:val="00097B0A"/>
    <w:rsid w:val="000A3040"/>
    <w:rsid w:val="000A591F"/>
    <w:rsid w:val="000A5D8D"/>
    <w:rsid w:val="000A69AC"/>
    <w:rsid w:val="000B3526"/>
    <w:rsid w:val="000B558D"/>
    <w:rsid w:val="000C171A"/>
    <w:rsid w:val="000C1AE3"/>
    <w:rsid w:val="000C503A"/>
    <w:rsid w:val="000C573D"/>
    <w:rsid w:val="000C6996"/>
    <w:rsid w:val="000C730D"/>
    <w:rsid w:val="000D23BA"/>
    <w:rsid w:val="000D2CAF"/>
    <w:rsid w:val="000D32FA"/>
    <w:rsid w:val="000D3E4B"/>
    <w:rsid w:val="000D7A5E"/>
    <w:rsid w:val="000D7E99"/>
    <w:rsid w:val="000E0D7A"/>
    <w:rsid w:val="000E20C1"/>
    <w:rsid w:val="000E2ABE"/>
    <w:rsid w:val="000E442D"/>
    <w:rsid w:val="000E5D20"/>
    <w:rsid w:val="000E681E"/>
    <w:rsid w:val="000E7F34"/>
    <w:rsid w:val="000F0003"/>
    <w:rsid w:val="000F4E6A"/>
    <w:rsid w:val="0010208A"/>
    <w:rsid w:val="00102FD9"/>
    <w:rsid w:val="00104227"/>
    <w:rsid w:val="0010771E"/>
    <w:rsid w:val="001107BF"/>
    <w:rsid w:val="001169B0"/>
    <w:rsid w:val="001171A8"/>
    <w:rsid w:val="00120835"/>
    <w:rsid w:val="00121C0D"/>
    <w:rsid w:val="00123575"/>
    <w:rsid w:val="00123FA3"/>
    <w:rsid w:val="0012417C"/>
    <w:rsid w:val="0012614B"/>
    <w:rsid w:val="00136266"/>
    <w:rsid w:val="0013767F"/>
    <w:rsid w:val="0014113E"/>
    <w:rsid w:val="00142395"/>
    <w:rsid w:val="00142714"/>
    <w:rsid w:val="00142CDC"/>
    <w:rsid w:val="00144973"/>
    <w:rsid w:val="001452ED"/>
    <w:rsid w:val="00145C5D"/>
    <w:rsid w:val="00147297"/>
    <w:rsid w:val="00153EE1"/>
    <w:rsid w:val="00163329"/>
    <w:rsid w:val="00164623"/>
    <w:rsid w:val="00165B64"/>
    <w:rsid w:val="00166EAD"/>
    <w:rsid w:val="001674D4"/>
    <w:rsid w:val="0017099E"/>
    <w:rsid w:val="0017250A"/>
    <w:rsid w:val="0017431B"/>
    <w:rsid w:val="00180713"/>
    <w:rsid w:val="001830CE"/>
    <w:rsid w:val="0018643B"/>
    <w:rsid w:val="001920D2"/>
    <w:rsid w:val="00194F2A"/>
    <w:rsid w:val="00196307"/>
    <w:rsid w:val="001A1A64"/>
    <w:rsid w:val="001A33EA"/>
    <w:rsid w:val="001A3B16"/>
    <w:rsid w:val="001A4359"/>
    <w:rsid w:val="001A4B95"/>
    <w:rsid w:val="001A4D8E"/>
    <w:rsid w:val="001B017F"/>
    <w:rsid w:val="001B2BBC"/>
    <w:rsid w:val="001B472E"/>
    <w:rsid w:val="001B5129"/>
    <w:rsid w:val="001C04EA"/>
    <w:rsid w:val="001C0EF1"/>
    <w:rsid w:val="001C1195"/>
    <w:rsid w:val="001C192C"/>
    <w:rsid w:val="001D045B"/>
    <w:rsid w:val="001D16E0"/>
    <w:rsid w:val="001D408C"/>
    <w:rsid w:val="001D6C43"/>
    <w:rsid w:val="001E053D"/>
    <w:rsid w:val="001E0DAF"/>
    <w:rsid w:val="001E1887"/>
    <w:rsid w:val="001E3CAB"/>
    <w:rsid w:val="001E3EDC"/>
    <w:rsid w:val="001F1850"/>
    <w:rsid w:val="001F4303"/>
    <w:rsid w:val="001F5E76"/>
    <w:rsid w:val="001F79C5"/>
    <w:rsid w:val="002005CE"/>
    <w:rsid w:val="00203FAC"/>
    <w:rsid w:val="00213CFB"/>
    <w:rsid w:val="002148CC"/>
    <w:rsid w:val="00216BE3"/>
    <w:rsid w:val="00216F46"/>
    <w:rsid w:val="00217BE1"/>
    <w:rsid w:val="00225259"/>
    <w:rsid w:val="0023275E"/>
    <w:rsid w:val="0023653E"/>
    <w:rsid w:val="00242D66"/>
    <w:rsid w:val="00244BD2"/>
    <w:rsid w:val="00246230"/>
    <w:rsid w:val="002463E8"/>
    <w:rsid w:val="00247BD6"/>
    <w:rsid w:val="002528D5"/>
    <w:rsid w:val="00254748"/>
    <w:rsid w:val="00254819"/>
    <w:rsid w:val="0026522B"/>
    <w:rsid w:val="00267CB4"/>
    <w:rsid w:val="00271BA1"/>
    <w:rsid w:val="0027490E"/>
    <w:rsid w:val="00275DEE"/>
    <w:rsid w:val="002762FA"/>
    <w:rsid w:val="00276615"/>
    <w:rsid w:val="00276CE3"/>
    <w:rsid w:val="0027721A"/>
    <w:rsid w:val="00277505"/>
    <w:rsid w:val="00281870"/>
    <w:rsid w:val="00292E2C"/>
    <w:rsid w:val="002938ED"/>
    <w:rsid w:val="0029458F"/>
    <w:rsid w:val="002A0916"/>
    <w:rsid w:val="002A104C"/>
    <w:rsid w:val="002A1162"/>
    <w:rsid w:val="002A4960"/>
    <w:rsid w:val="002A4B8F"/>
    <w:rsid w:val="002B1AE6"/>
    <w:rsid w:val="002B1AFA"/>
    <w:rsid w:val="002B2DE8"/>
    <w:rsid w:val="002B30F8"/>
    <w:rsid w:val="002B5596"/>
    <w:rsid w:val="002B7176"/>
    <w:rsid w:val="002C212F"/>
    <w:rsid w:val="002C2902"/>
    <w:rsid w:val="002C5746"/>
    <w:rsid w:val="002C5855"/>
    <w:rsid w:val="002C587B"/>
    <w:rsid w:val="002D0FFE"/>
    <w:rsid w:val="002D1850"/>
    <w:rsid w:val="002D4543"/>
    <w:rsid w:val="002D6026"/>
    <w:rsid w:val="002E28F2"/>
    <w:rsid w:val="002E3153"/>
    <w:rsid w:val="002E4B38"/>
    <w:rsid w:val="002E534B"/>
    <w:rsid w:val="002E72CA"/>
    <w:rsid w:val="002F4A7F"/>
    <w:rsid w:val="002F600D"/>
    <w:rsid w:val="00300AD6"/>
    <w:rsid w:val="00303C4A"/>
    <w:rsid w:val="00303F3F"/>
    <w:rsid w:val="00305983"/>
    <w:rsid w:val="00305FE1"/>
    <w:rsid w:val="00314EBE"/>
    <w:rsid w:val="0031616A"/>
    <w:rsid w:val="00317C6C"/>
    <w:rsid w:val="00320AF7"/>
    <w:rsid w:val="003211E1"/>
    <w:rsid w:val="00322A80"/>
    <w:rsid w:val="00326E79"/>
    <w:rsid w:val="00330240"/>
    <w:rsid w:val="00332F30"/>
    <w:rsid w:val="0033518A"/>
    <w:rsid w:val="00335C25"/>
    <w:rsid w:val="003367EF"/>
    <w:rsid w:val="003401E8"/>
    <w:rsid w:val="00341AE4"/>
    <w:rsid w:val="00350416"/>
    <w:rsid w:val="00350777"/>
    <w:rsid w:val="003628DF"/>
    <w:rsid w:val="003636EB"/>
    <w:rsid w:val="0036379F"/>
    <w:rsid w:val="00363DF0"/>
    <w:rsid w:val="00366B95"/>
    <w:rsid w:val="00367785"/>
    <w:rsid w:val="00373EAC"/>
    <w:rsid w:val="00377BB3"/>
    <w:rsid w:val="00377D15"/>
    <w:rsid w:val="00381A0B"/>
    <w:rsid w:val="003872CF"/>
    <w:rsid w:val="00391488"/>
    <w:rsid w:val="003960E3"/>
    <w:rsid w:val="0039782C"/>
    <w:rsid w:val="003A227F"/>
    <w:rsid w:val="003A3968"/>
    <w:rsid w:val="003A5B4A"/>
    <w:rsid w:val="003B0693"/>
    <w:rsid w:val="003B23C5"/>
    <w:rsid w:val="003B2A75"/>
    <w:rsid w:val="003B4057"/>
    <w:rsid w:val="003B4072"/>
    <w:rsid w:val="003B6124"/>
    <w:rsid w:val="003B672E"/>
    <w:rsid w:val="003B7377"/>
    <w:rsid w:val="003C2FB5"/>
    <w:rsid w:val="003C5556"/>
    <w:rsid w:val="003D0333"/>
    <w:rsid w:val="003D1E6B"/>
    <w:rsid w:val="003D2530"/>
    <w:rsid w:val="003D3D45"/>
    <w:rsid w:val="003D4AC4"/>
    <w:rsid w:val="003D63B7"/>
    <w:rsid w:val="003D74F0"/>
    <w:rsid w:val="003E297E"/>
    <w:rsid w:val="003E468B"/>
    <w:rsid w:val="003F07FB"/>
    <w:rsid w:val="003F12C9"/>
    <w:rsid w:val="003F3228"/>
    <w:rsid w:val="003F3B63"/>
    <w:rsid w:val="003F5316"/>
    <w:rsid w:val="003F5C8C"/>
    <w:rsid w:val="003F7262"/>
    <w:rsid w:val="00403D5D"/>
    <w:rsid w:val="0040563A"/>
    <w:rsid w:val="004075E3"/>
    <w:rsid w:val="00407D0B"/>
    <w:rsid w:val="004104B9"/>
    <w:rsid w:val="00411612"/>
    <w:rsid w:val="004252EC"/>
    <w:rsid w:val="00427071"/>
    <w:rsid w:val="00427B66"/>
    <w:rsid w:val="004324B3"/>
    <w:rsid w:val="00433A53"/>
    <w:rsid w:val="00435CA0"/>
    <w:rsid w:val="00436AB8"/>
    <w:rsid w:val="00445466"/>
    <w:rsid w:val="004465BD"/>
    <w:rsid w:val="0045792C"/>
    <w:rsid w:val="00457F0C"/>
    <w:rsid w:val="00461B6A"/>
    <w:rsid w:val="004628A0"/>
    <w:rsid w:val="00462D4C"/>
    <w:rsid w:val="00464BD3"/>
    <w:rsid w:val="00466ADA"/>
    <w:rsid w:val="00476245"/>
    <w:rsid w:val="004822BD"/>
    <w:rsid w:val="00483035"/>
    <w:rsid w:val="004835F5"/>
    <w:rsid w:val="00485940"/>
    <w:rsid w:val="0049333D"/>
    <w:rsid w:val="004A2484"/>
    <w:rsid w:val="004A2A72"/>
    <w:rsid w:val="004A5A85"/>
    <w:rsid w:val="004A71D1"/>
    <w:rsid w:val="004A7A63"/>
    <w:rsid w:val="004B082E"/>
    <w:rsid w:val="004B5640"/>
    <w:rsid w:val="004C062B"/>
    <w:rsid w:val="004C1BD7"/>
    <w:rsid w:val="004C31FE"/>
    <w:rsid w:val="004C4A26"/>
    <w:rsid w:val="004C691D"/>
    <w:rsid w:val="004C6C07"/>
    <w:rsid w:val="004C75BC"/>
    <w:rsid w:val="004D1CB0"/>
    <w:rsid w:val="004E1E9A"/>
    <w:rsid w:val="004E2134"/>
    <w:rsid w:val="004E692D"/>
    <w:rsid w:val="004F4B4A"/>
    <w:rsid w:val="00501554"/>
    <w:rsid w:val="00507069"/>
    <w:rsid w:val="00513CF2"/>
    <w:rsid w:val="005149A9"/>
    <w:rsid w:val="00514CD7"/>
    <w:rsid w:val="0052091A"/>
    <w:rsid w:val="00520D27"/>
    <w:rsid w:val="00524A84"/>
    <w:rsid w:val="0052621F"/>
    <w:rsid w:val="00527DBC"/>
    <w:rsid w:val="00530806"/>
    <w:rsid w:val="005319B2"/>
    <w:rsid w:val="00532402"/>
    <w:rsid w:val="00532C74"/>
    <w:rsid w:val="00534E2E"/>
    <w:rsid w:val="00535AFE"/>
    <w:rsid w:val="00544552"/>
    <w:rsid w:val="0054468E"/>
    <w:rsid w:val="00550442"/>
    <w:rsid w:val="00551A49"/>
    <w:rsid w:val="0055355E"/>
    <w:rsid w:val="00557645"/>
    <w:rsid w:val="0056203D"/>
    <w:rsid w:val="00565529"/>
    <w:rsid w:val="00566515"/>
    <w:rsid w:val="00566963"/>
    <w:rsid w:val="00567961"/>
    <w:rsid w:val="00577C4D"/>
    <w:rsid w:val="00581932"/>
    <w:rsid w:val="00586EE7"/>
    <w:rsid w:val="00591EFE"/>
    <w:rsid w:val="005958E8"/>
    <w:rsid w:val="005963BB"/>
    <w:rsid w:val="005A3173"/>
    <w:rsid w:val="005A3223"/>
    <w:rsid w:val="005A3DA3"/>
    <w:rsid w:val="005A3E15"/>
    <w:rsid w:val="005A52C4"/>
    <w:rsid w:val="005A5B64"/>
    <w:rsid w:val="005A6B33"/>
    <w:rsid w:val="005B2734"/>
    <w:rsid w:val="005C6A51"/>
    <w:rsid w:val="005D03AB"/>
    <w:rsid w:val="005D1731"/>
    <w:rsid w:val="005D431E"/>
    <w:rsid w:val="005D5017"/>
    <w:rsid w:val="005E1130"/>
    <w:rsid w:val="005E1333"/>
    <w:rsid w:val="005E40DF"/>
    <w:rsid w:val="005F08DE"/>
    <w:rsid w:val="00601A91"/>
    <w:rsid w:val="00602BA3"/>
    <w:rsid w:val="0060474A"/>
    <w:rsid w:val="00605C87"/>
    <w:rsid w:val="00606EED"/>
    <w:rsid w:val="0061194C"/>
    <w:rsid w:val="006129B5"/>
    <w:rsid w:val="00612E34"/>
    <w:rsid w:val="00614159"/>
    <w:rsid w:val="00615AC7"/>
    <w:rsid w:val="00615B0B"/>
    <w:rsid w:val="006166F5"/>
    <w:rsid w:val="00616B99"/>
    <w:rsid w:val="00617C00"/>
    <w:rsid w:val="00617CD1"/>
    <w:rsid w:val="00625C06"/>
    <w:rsid w:val="006263BF"/>
    <w:rsid w:val="0062748A"/>
    <w:rsid w:val="006274F3"/>
    <w:rsid w:val="00630A2C"/>
    <w:rsid w:val="00632035"/>
    <w:rsid w:val="006320FB"/>
    <w:rsid w:val="00633B9F"/>
    <w:rsid w:val="0063682E"/>
    <w:rsid w:val="00641D92"/>
    <w:rsid w:val="006436CD"/>
    <w:rsid w:val="006459E0"/>
    <w:rsid w:val="00645EB1"/>
    <w:rsid w:val="00651169"/>
    <w:rsid w:val="00651308"/>
    <w:rsid w:val="006518A4"/>
    <w:rsid w:val="006534A5"/>
    <w:rsid w:val="00653D69"/>
    <w:rsid w:val="00661EC9"/>
    <w:rsid w:val="00665BDE"/>
    <w:rsid w:val="00666B8D"/>
    <w:rsid w:val="006670BE"/>
    <w:rsid w:val="00670415"/>
    <w:rsid w:val="00670A76"/>
    <w:rsid w:val="006711AA"/>
    <w:rsid w:val="00672329"/>
    <w:rsid w:val="00672B57"/>
    <w:rsid w:val="006740DA"/>
    <w:rsid w:val="006752EB"/>
    <w:rsid w:val="00675622"/>
    <w:rsid w:val="0067747D"/>
    <w:rsid w:val="00682678"/>
    <w:rsid w:val="006879B4"/>
    <w:rsid w:val="006906DB"/>
    <w:rsid w:val="006915C6"/>
    <w:rsid w:val="00691E6C"/>
    <w:rsid w:val="006925AB"/>
    <w:rsid w:val="00696129"/>
    <w:rsid w:val="00697CF2"/>
    <w:rsid w:val="006A12A5"/>
    <w:rsid w:val="006A4A74"/>
    <w:rsid w:val="006B0D94"/>
    <w:rsid w:val="006B22A0"/>
    <w:rsid w:val="006B485D"/>
    <w:rsid w:val="006B69E7"/>
    <w:rsid w:val="006C708E"/>
    <w:rsid w:val="006D0685"/>
    <w:rsid w:val="006D14E7"/>
    <w:rsid w:val="006D2AC1"/>
    <w:rsid w:val="006D2B56"/>
    <w:rsid w:val="006D3C75"/>
    <w:rsid w:val="006D6493"/>
    <w:rsid w:val="006D6EC7"/>
    <w:rsid w:val="006E6E58"/>
    <w:rsid w:val="006F5125"/>
    <w:rsid w:val="006F6653"/>
    <w:rsid w:val="006F6C36"/>
    <w:rsid w:val="006F7F0B"/>
    <w:rsid w:val="00702B6F"/>
    <w:rsid w:val="00706464"/>
    <w:rsid w:val="00706AB9"/>
    <w:rsid w:val="0071340B"/>
    <w:rsid w:val="00714049"/>
    <w:rsid w:val="007174BB"/>
    <w:rsid w:val="0072001E"/>
    <w:rsid w:val="0072025D"/>
    <w:rsid w:val="007206E3"/>
    <w:rsid w:val="007211A9"/>
    <w:rsid w:val="007222A8"/>
    <w:rsid w:val="0072259F"/>
    <w:rsid w:val="007247CD"/>
    <w:rsid w:val="00726BA3"/>
    <w:rsid w:val="007347A7"/>
    <w:rsid w:val="007348FD"/>
    <w:rsid w:val="007353D3"/>
    <w:rsid w:val="00735A3C"/>
    <w:rsid w:val="00735DBB"/>
    <w:rsid w:val="0074260D"/>
    <w:rsid w:val="007535BF"/>
    <w:rsid w:val="0075382F"/>
    <w:rsid w:val="0075771C"/>
    <w:rsid w:val="00760E6F"/>
    <w:rsid w:val="0076111E"/>
    <w:rsid w:val="0076155E"/>
    <w:rsid w:val="00761AE0"/>
    <w:rsid w:val="0076420C"/>
    <w:rsid w:val="00771153"/>
    <w:rsid w:val="00773047"/>
    <w:rsid w:val="00773F25"/>
    <w:rsid w:val="007753C2"/>
    <w:rsid w:val="00782662"/>
    <w:rsid w:val="00782F30"/>
    <w:rsid w:val="007838B8"/>
    <w:rsid w:val="00786335"/>
    <w:rsid w:val="00793949"/>
    <w:rsid w:val="00795BA1"/>
    <w:rsid w:val="0079614F"/>
    <w:rsid w:val="007A4BF0"/>
    <w:rsid w:val="007A5AA8"/>
    <w:rsid w:val="007B7D3B"/>
    <w:rsid w:val="007C0F57"/>
    <w:rsid w:val="007C196D"/>
    <w:rsid w:val="007C3FEC"/>
    <w:rsid w:val="007C40B6"/>
    <w:rsid w:val="007C729F"/>
    <w:rsid w:val="007D5997"/>
    <w:rsid w:val="007D7918"/>
    <w:rsid w:val="007E1D28"/>
    <w:rsid w:val="007F025F"/>
    <w:rsid w:val="007F2641"/>
    <w:rsid w:val="007F29D8"/>
    <w:rsid w:val="007F3092"/>
    <w:rsid w:val="007F3A0B"/>
    <w:rsid w:val="007F7C36"/>
    <w:rsid w:val="008024CD"/>
    <w:rsid w:val="00802B03"/>
    <w:rsid w:val="00803EB7"/>
    <w:rsid w:val="00806796"/>
    <w:rsid w:val="0081006E"/>
    <w:rsid w:val="0081136A"/>
    <w:rsid w:val="008151D6"/>
    <w:rsid w:val="008161EF"/>
    <w:rsid w:val="00825CF7"/>
    <w:rsid w:val="00826F6D"/>
    <w:rsid w:val="008306F3"/>
    <w:rsid w:val="0083405E"/>
    <w:rsid w:val="00840549"/>
    <w:rsid w:val="00841CBF"/>
    <w:rsid w:val="008430F1"/>
    <w:rsid w:val="00845D76"/>
    <w:rsid w:val="008466E5"/>
    <w:rsid w:val="00847925"/>
    <w:rsid w:val="008537F9"/>
    <w:rsid w:val="008538B6"/>
    <w:rsid w:val="00855867"/>
    <w:rsid w:val="00856986"/>
    <w:rsid w:val="00856DDD"/>
    <w:rsid w:val="00857AC0"/>
    <w:rsid w:val="00857EA4"/>
    <w:rsid w:val="00863E68"/>
    <w:rsid w:val="00880D56"/>
    <w:rsid w:val="00882085"/>
    <w:rsid w:val="00883188"/>
    <w:rsid w:val="00885FA2"/>
    <w:rsid w:val="00887A7B"/>
    <w:rsid w:val="00891145"/>
    <w:rsid w:val="0089126E"/>
    <w:rsid w:val="00891409"/>
    <w:rsid w:val="00895759"/>
    <w:rsid w:val="00897D58"/>
    <w:rsid w:val="00897F22"/>
    <w:rsid w:val="008A05BF"/>
    <w:rsid w:val="008A1956"/>
    <w:rsid w:val="008A4937"/>
    <w:rsid w:val="008A50F1"/>
    <w:rsid w:val="008B3F34"/>
    <w:rsid w:val="008B4C92"/>
    <w:rsid w:val="008B7AD9"/>
    <w:rsid w:val="008C023E"/>
    <w:rsid w:val="008D0C7E"/>
    <w:rsid w:val="008D1B5C"/>
    <w:rsid w:val="008D3C82"/>
    <w:rsid w:val="008D447E"/>
    <w:rsid w:val="008D599A"/>
    <w:rsid w:val="008D6A01"/>
    <w:rsid w:val="008D7A41"/>
    <w:rsid w:val="008E012B"/>
    <w:rsid w:val="008E30A1"/>
    <w:rsid w:val="008E3680"/>
    <w:rsid w:val="008E5870"/>
    <w:rsid w:val="008E5F2A"/>
    <w:rsid w:val="008F1434"/>
    <w:rsid w:val="008F285D"/>
    <w:rsid w:val="008F5A8E"/>
    <w:rsid w:val="008F7096"/>
    <w:rsid w:val="008F72F5"/>
    <w:rsid w:val="008F7355"/>
    <w:rsid w:val="009067B7"/>
    <w:rsid w:val="00907B3F"/>
    <w:rsid w:val="009143C9"/>
    <w:rsid w:val="00917590"/>
    <w:rsid w:val="00921696"/>
    <w:rsid w:val="009249DD"/>
    <w:rsid w:val="00926499"/>
    <w:rsid w:val="00930937"/>
    <w:rsid w:val="0093145F"/>
    <w:rsid w:val="00931ADE"/>
    <w:rsid w:val="0093391B"/>
    <w:rsid w:val="00933E6C"/>
    <w:rsid w:val="00934150"/>
    <w:rsid w:val="00935246"/>
    <w:rsid w:val="00937958"/>
    <w:rsid w:val="00942160"/>
    <w:rsid w:val="00946255"/>
    <w:rsid w:val="009466F9"/>
    <w:rsid w:val="0095146F"/>
    <w:rsid w:val="009602C5"/>
    <w:rsid w:val="009620D6"/>
    <w:rsid w:val="00962223"/>
    <w:rsid w:val="00966D0D"/>
    <w:rsid w:val="00973699"/>
    <w:rsid w:val="00974C21"/>
    <w:rsid w:val="009750BE"/>
    <w:rsid w:val="00981CB6"/>
    <w:rsid w:val="00984BAD"/>
    <w:rsid w:val="00984CAD"/>
    <w:rsid w:val="00985CB2"/>
    <w:rsid w:val="009926A6"/>
    <w:rsid w:val="00996637"/>
    <w:rsid w:val="009971C3"/>
    <w:rsid w:val="009A1F04"/>
    <w:rsid w:val="009A64E1"/>
    <w:rsid w:val="009A7B4A"/>
    <w:rsid w:val="009B0F67"/>
    <w:rsid w:val="009B1619"/>
    <w:rsid w:val="009C1E13"/>
    <w:rsid w:val="009C703C"/>
    <w:rsid w:val="009D0CDF"/>
    <w:rsid w:val="009D0D3B"/>
    <w:rsid w:val="009D3CAA"/>
    <w:rsid w:val="009E40E1"/>
    <w:rsid w:val="009E66F1"/>
    <w:rsid w:val="009E6FB6"/>
    <w:rsid w:val="009F2CD7"/>
    <w:rsid w:val="009F4031"/>
    <w:rsid w:val="009F4E46"/>
    <w:rsid w:val="009F52D5"/>
    <w:rsid w:val="009F5B65"/>
    <w:rsid w:val="009F5F2E"/>
    <w:rsid w:val="009F612B"/>
    <w:rsid w:val="009F6853"/>
    <w:rsid w:val="009F6969"/>
    <w:rsid w:val="009F6A8D"/>
    <w:rsid w:val="009F7B67"/>
    <w:rsid w:val="00A00993"/>
    <w:rsid w:val="00A02044"/>
    <w:rsid w:val="00A06225"/>
    <w:rsid w:val="00A07044"/>
    <w:rsid w:val="00A07488"/>
    <w:rsid w:val="00A10982"/>
    <w:rsid w:val="00A11991"/>
    <w:rsid w:val="00A128E6"/>
    <w:rsid w:val="00A15653"/>
    <w:rsid w:val="00A20615"/>
    <w:rsid w:val="00A21B48"/>
    <w:rsid w:val="00A21E7C"/>
    <w:rsid w:val="00A34E6C"/>
    <w:rsid w:val="00A37C8D"/>
    <w:rsid w:val="00A5273B"/>
    <w:rsid w:val="00A53A9D"/>
    <w:rsid w:val="00A55FEE"/>
    <w:rsid w:val="00A57BCE"/>
    <w:rsid w:val="00A6228F"/>
    <w:rsid w:val="00A62C1A"/>
    <w:rsid w:val="00A6426D"/>
    <w:rsid w:val="00A665C1"/>
    <w:rsid w:val="00A70622"/>
    <w:rsid w:val="00A70977"/>
    <w:rsid w:val="00A728B5"/>
    <w:rsid w:val="00A7516C"/>
    <w:rsid w:val="00A7668E"/>
    <w:rsid w:val="00A7671B"/>
    <w:rsid w:val="00A77613"/>
    <w:rsid w:val="00A77A91"/>
    <w:rsid w:val="00A80782"/>
    <w:rsid w:val="00A82499"/>
    <w:rsid w:val="00A8390C"/>
    <w:rsid w:val="00A83E21"/>
    <w:rsid w:val="00A83E9C"/>
    <w:rsid w:val="00A928BD"/>
    <w:rsid w:val="00A96212"/>
    <w:rsid w:val="00AA1E5B"/>
    <w:rsid w:val="00AA4D1C"/>
    <w:rsid w:val="00AB67B3"/>
    <w:rsid w:val="00AC193C"/>
    <w:rsid w:val="00AC5206"/>
    <w:rsid w:val="00AC680D"/>
    <w:rsid w:val="00AC6AB0"/>
    <w:rsid w:val="00AD053A"/>
    <w:rsid w:val="00AD4948"/>
    <w:rsid w:val="00AD6707"/>
    <w:rsid w:val="00AD7E08"/>
    <w:rsid w:val="00AE11A5"/>
    <w:rsid w:val="00AE13E2"/>
    <w:rsid w:val="00AE22D3"/>
    <w:rsid w:val="00AE5654"/>
    <w:rsid w:val="00AE5856"/>
    <w:rsid w:val="00AE7EE0"/>
    <w:rsid w:val="00AF0554"/>
    <w:rsid w:val="00AF0EE2"/>
    <w:rsid w:val="00AF1E07"/>
    <w:rsid w:val="00AF62DF"/>
    <w:rsid w:val="00AF68CC"/>
    <w:rsid w:val="00AF7D50"/>
    <w:rsid w:val="00B05322"/>
    <w:rsid w:val="00B0605A"/>
    <w:rsid w:val="00B06C33"/>
    <w:rsid w:val="00B1059E"/>
    <w:rsid w:val="00B13BA3"/>
    <w:rsid w:val="00B176C8"/>
    <w:rsid w:val="00B205AA"/>
    <w:rsid w:val="00B22E84"/>
    <w:rsid w:val="00B25F75"/>
    <w:rsid w:val="00B26B3F"/>
    <w:rsid w:val="00B26CC8"/>
    <w:rsid w:val="00B318E0"/>
    <w:rsid w:val="00B329C8"/>
    <w:rsid w:val="00B43E90"/>
    <w:rsid w:val="00B44C09"/>
    <w:rsid w:val="00B467DC"/>
    <w:rsid w:val="00B47B2C"/>
    <w:rsid w:val="00B516A3"/>
    <w:rsid w:val="00B552B2"/>
    <w:rsid w:val="00B55A73"/>
    <w:rsid w:val="00B56118"/>
    <w:rsid w:val="00B5622A"/>
    <w:rsid w:val="00B57B75"/>
    <w:rsid w:val="00B640A7"/>
    <w:rsid w:val="00B6773F"/>
    <w:rsid w:val="00B76554"/>
    <w:rsid w:val="00B77EB5"/>
    <w:rsid w:val="00B801BA"/>
    <w:rsid w:val="00B8137E"/>
    <w:rsid w:val="00B81A8D"/>
    <w:rsid w:val="00B84412"/>
    <w:rsid w:val="00B84D5C"/>
    <w:rsid w:val="00B876CD"/>
    <w:rsid w:val="00B87870"/>
    <w:rsid w:val="00B9053C"/>
    <w:rsid w:val="00B906C1"/>
    <w:rsid w:val="00BA119B"/>
    <w:rsid w:val="00BA4995"/>
    <w:rsid w:val="00BB69F5"/>
    <w:rsid w:val="00BB71E3"/>
    <w:rsid w:val="00BB7EC3"/>
    <w:rsid w:val="00BC434F"/>
    <w:rsid w:val="00BC4B9A"/>
    <w:rsid w:val="00BC553E"/>
    <w:rsid w:val="00BC5B29"/>
    <w:rsid w:val="00BC7248"/>
    <w:rsid w:val="00BD296D"/>
    <w:rsid w:val="00BD4234"/>
    <w:rsid w:val="00BD517F"/>
    <w:rsid w:val="00BD784C"/>
    <w:rsid w:val="00BE309F"/>
    <w:rsid w:val="00BE51EE"/>
    <w:rsid w:val="00BE595E"/>
    <w:rsid w:val="00BF13FB"/>
    <w:rsid w:val="00BF4CB6"/>
    <w:rsid w:val="00BF5083"/>
    <w:rsid w:val="00BF6EEE"/>
    <w:rsid w:val="00C00DA7"/>
    <w:rsid w:val="00C027AB"/>
    <w:rsid w:val="00C03148"/>
    <w:rsid w:val="00C05865"/>
    <w:rsid w:val="00C10202"/>
    <w:rsid w:val="00C11CCD"/>
    <w:rsid w:val="00C12768"/>
    <w:rsid w:val="00C239D0"/>
    <w:rsid w:val="00C27B58"/>
    <w:rsid w:val="00C311CE"/>
    <w:rsid w:val="00C342B2"/>
    <w:rsid w:val="00C35996"/>
    <w:rsid w:val="00C42E26"/>
    <w:rsid w:val="00C4701D"/>
    <w:rsid w:val="00C4747E"/>
    <w:rsid w:val="00C5342C"/>
    <w:rsid w:val="00C5417C"/>
    <w:rsid w:val="00C563FA"/>
    <w:rsid w:val="00C577B3"/>
    <w:rsid w:val="00C603D4"/>
    <w:rsid w:val="00C6256A"/>
    <w:rsid w:val="00C63F08"/>
    <w:rsid w:val="00C661AC"/>
    <w:rsid w:val="00C77891"/>
    <w:rsid w:val="00C812A5"/>
    <w:rsid w:val="00C83259"/>
    <w:rsid w:val="00C832BF"/>
    <w:rsid w:val="00C91449"/>
    <w:rsid w:val="00C92D10"/>
    <w:rsid w:val="00C944C0"/>
    <w:rsid w:val="00CB1937"/>
    <w:rsid w:val="00CB1E7B"/>
    <w:rsid w:val="00CB6841"/>
    <w:rsid w:val="00CB7369"/>
    <w:rsid w:val="00CC4850"/>
    <w:rsid w:val="00CC5362"/>
    <w:rsid w:val="00CC6595"/>
    <w:rsid w:val="00CD1FE1"/>
    <w:rsid w:val="00CD45A1"/>
    <w:rsid w:val="00CD4DD3"/>
    <w:rsid w:val="00CD559A"/>
    <w:rsid w:val="00CE07D7"/>
    <w:rsid w:val="00CE10C4"/>
    <w:rsid w:val="00CE27B5"/>
    <w:rsid w:val="00CE5C4B"/>
    <w:rsid w:val="00CF1A6C"/>
    <w:rsid w:val="00CF2C95"/>
    <w:rsid w:val="00CF68B6"/>
    <w:rsid w:val="00D00D64"/>
    <w:rsid w:val="00D0321E"/>
    <w:rsid w:val="00D03E5E"/>
    <w:rsid w:val="00D109A1"/>
    <w:rsid w:val="00D1455A"/>
    <w:rsid w:val="00D16745"/>
    <w:rsid w:val="00D16747"/>
    <w:rsid w:val="00D17CA0"/>
    <w:rsid w:val="00D224B3"/>
    <w:rsid w:val="00D26E59"/>
    <w:rsid w:val="00D31150"/>
    <w:rsid w:val="00D3138B"/>
    <w:rsid w:val="00D3280C"/>
    <w:rsid w:val="00D3406A"/>
    <w:rsid w:val="00D3514D"/>
    <w:rsid w:val="00D42B30"/>
    <w:rsid w:val="00D4572C"/>
    <w:rsid w:val="00D4586B"/>
    <w:rsid w:val="00D469B2"/>
    <w:rsid w:val="00D5239E"/>
    <w:rsid w:val="00D545BE"/>
    <w:rsid w:val="00D57109"/>
    <w:rsid w:val="00D604C6"/>
    <w:rsid w:val="00D61268"/>
    <w:rsid w:val="00D64684"/>
    <w:rsid w:val="00D72238"/>
    <w:rsid w:val="00D7268D"/>
    <w:rsid w:val="00D741EB"/>
    <w:rsid w:val="00D76666"/>
    <w:rsid w:val="00D83605"/>
    <w:rsid w:val="00D84934"/>
    <w:rsid w:val="00D91271"/>
    <w:rsid w:val="00D9180D"/>
    <w:rsid w:val="00D919F5"/>
    <w:rsid w:val="00D94F03"/>
    <w:rsid w:val="00D953EB"/>
    <w:rsid w:val="00D97DDB"/>
    <w:rsid w:val="00DA2930"/>
    <w:rsid w:val="00DA2CB5"/>
    <w:rsid w:val="00DA4BAC"/>
    <w:rsid w:val="00DA60D1"/>
    <w:rsid w:val="00DA7EBF"/>
    <w:rsid w:val="00DB0F4D"/>
    <w:rsid w:val="00DB56BB"/>
    <w:rsid w:val="00DB753B"/>
    <w:rsid w:val="00DC0905"/>
    <w:rsid w:val="00DC2AE4"/>
    <w:rsid w:val="00DC2F37"/>
    <w:rsid w:val="00DD24B5"/>
    <w:rsid w:val="00DE06E7"/>
    <w:rsid w:val="00DE28EE"/>
    <w:rsid w:val="00DE6D27"/>
    <w:rsid w:val="00DF217D"/>
    <w:rsid w:val="00DF26A7"/>
    <w:rsid w:val="00DF4014"/>
    <w:rsid w:val="00E0547D"/>
    <w:rsid w:val="00E06BC8"/>
    <w:rsid w:val="00E105B1"/>
    <w:rsid w:val="00E12016"/>
    <w:rsid w:val="00E15627"/>
    <w:rsid w:val="00E164B3"/>
    <w:rsid w:val="00E16910"/>
    <w:rsid w:val="00E3338E"/>
    <w:rsid w:val="00E3481F"/>
    <w:rsid w:val="00E42BD8"/>
    <w:rsid w:val="00E42BDB"/>
    <w:rsid w:val="00E42D43"/>
    <w:rsid w:val="00E463D4"/>
    <w:rsid w:val="00E468D6"/>
    <w:rsid w:val="00E52D25"/>
    <w:rsid w:val="00E56893"/>
    <w:rsid w:val="00E57EEB"/>
    <w:rsid w:val="00E6021E"/>
    <w:rsid w:val="00E614FD"/>
    <w:rsid w:val="00E6155F"/>
    <w:rsid w:val="00E62D94"/>
    <w:rsid w:val="00E64FC4"/>
    <w:rsid w:val="00E65E54"/>
    <w:rsid w:val="00E7088B"/>
    <w:rsid w:val="00E70F8A"/>
    <w:rsid w:val="00E80155"/>
    <w:rsid w:val="00E817EC"/>
    <w:rsid w:val="00E81F28"/>
    <w:rsid w:val="00E848C0"/>
    <w:rsid w:val="00E90DB3"/>
    <w:rsid w:val="00E91B96"/>
    <w:rsid w:val="00E941A1"/>
    <w:rsid w:val="00E95CE3"/>
    <w:rsid w:val="00E96BB8"/>
    <w:rsid w:val="00EA1C06"/>
    <w:rsid w:val="00EA2825"/>
    <w:rsid w:val="00EA6011"/>
    <w:rsid w:val="00EB0388"/>
    <w:rsid w:val="00EB0B63"/>
    <w:rsid w:val="00EB1936"/>
    <w:rsid w:val="00EB1B2C"/>
    <w:rsid w:val="00EB5088"/>
    <w:rsid w:val="00EB63A0"/>
    <w:rsid w:val="00EC26DD"/>
    <w:rsid w:val="00EC46B4"/>
    <w:rsid w:val="00ED1644"/>
    <w:rsid w:val="00ED2593"/>
    <w:rsid w:val="00ED7D9C"/>
    <w:rsid w:val="00EE4045"/>
    <w:rsid w:val="00EE53B7"/>
    <w:rsid w:val="00EF03F2"/>
    <w:rsid w:val="00EF44A0"/>
    <w:rsid w:val="00EF4FED"/>
    <w:rsid w:val="00EF750E"/>
    <w:rsid w:val="00EF7A2A"/>
    <w:rsid w:val="00F02312"/>
    <w:rsid w:val="00F02DF8"/>
    <w:rsid w:val="00F050BD"/>
    <w:rsid w:val="00F05657"/>
    <w:rsid w:val="00F13587"/>
    <w:rsid w:val="00F142C2"/>
    <w:rsid w:val="00F20F07"/>
    <w:rsid w:val="00F21FFE"/>
    <w:rsid w:val="00F23B0D"/>
    <w:rsid w:val="00F25578"/>
    <w:rsid w:val="00F258E5"/>
    <w:rsid w:val="00F261C0"/>
    <w:rsid w:val="00F300BC"/>
    <w:rsid w:val="00F309C9"/>
    <w:rsid w:val="00F32756"/>
    <w:rsid w:val="00F3334E"/>
    <w:rsid w:val="00F36CCB"/>
    <w:rsid w:val="00F374E5"/>
    <w:rsid w:val="00F43AF2"/>
    <w:rsid w:val="00F46D80"/>
    <w:rsid w:val="00F5007E"/>
    <w:rsid w:val="00F50EC4"/>
    <w:rsid w:val="00F550CF"/>
    <w:rsid w:val="00F57A6D"/>
    <w:rsid w:val="00F60849"/>
    <w:rsid w:val="00F638CC"/>
    <w:rsid w:val="00F64520"/>
    <w:rsid w:val="00F64CC1"/>
    <w:rsid w:val="00F65393"/>
    <w:rsid w:val="00F70EDD"/>
    <w:rsid w:val="00F72317"/>
    <w:rsid w:val="00F74C31"/>
    <w:rsid w:val="00F80449"/>
    <w:rsid w:val="00F80475"/>
    <w:rsid w:val="00F8247A"/>
    <w:rsid w:val="00F96206"/>
    <w:rsid w:val="00F9629A"/>
    <w:rsid w:val="00F97EFC"/>
    <w:rsid w:val="00FA1E6A"/>
    <w:rsid w:val="00FA5883"/>
    <w:rsid w:val="00FA6055"/>
    <w:rsid w:val="00FB00D4"/>
    <w:rsid w:val="00FB1484"/>
    <w:rsid w:val="00FB1FA7"/>
    <w:rsid w:val="00FB322F"/>
    <w:rsid w:val="00FB442F"/>
    <w:rsid w:val="00FB67E2"/>
    <w:rsid w:val="00FB7853"/>
    <w:rsid w:val="00FC0DC9"/>
    <w:rsid w:val="00FC1929"/>
    <w:rsid w:val="00FC433B"/>
    <w:rsid w:val="00FC5B46"/>
    <w:rsid w:val="00FC637B"/>
    <w:rsid w:val="00FD0ED6"/>
    <w:rsid w:val="00FD188D"/>
    <w:rsid w:val="00FD36A7"/>
    <w:rsid w:val="00FD6D8E"/>
    <w:rsid w:val="00FE0E94"/>
    <w:rsid w:val="00FE14AD"/>
    <w:rsid w:val="00FE2FA7"/>
    <w:rsid w:val="00FE4725"/>
    <w:rsid w:val="00FE5471"/>
    <w:rsid w:val="00FE5DFA"/>
    <w:rsid w:val="00FF00BD"/>
    <w:rsid w:val="00FF1ED4"/>
    <w:rsid w:val="00FF2801"/>
    <w:rsid w:val="00FF66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15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887A7B"/>
    <w:pPr>
      <w:keepNext/>
      <w:keepLines/>
      <w:spacing w:before="40"/>
      <w:ind w:left="1440" w:hanging="1440"/>
      <w:outlineLvl w:val="7"/>
    </w:pPr>
    <w:rPr>
      <w:rFonts w:asciiTheme="majorHAnsi" w:eastAsiaTheme="majorEastAsia" w:hAnsiTheme="majorHAnsi" w:cstheme="majorBidi"/>
      <w:color w:val="272727" w:themeColor="text1" w:themeTint="D8"/>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ullet point,List Paragraph1,List Paragraph11,Recommendation,Styl moj,Akapit z listą11,Bullets Points,Akapit z listą1,Table Legend"/>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ullet point Char,List Paragraph1 Char,List Paragraph11 Char,Recommendation Char,Styl moj Char,Akapit z listą11 Char,Bullets Points Char,Akapit z listą1 Char,Table Legend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FootnoteText">
    <w:name w:val="footnote text"/>
    <w:basedOn w:val="Normal"/>
    <w:link w:val="FootnoteTextChar"/>
    <w:rsid w:val="00FD36A7"/>
    <w:rPr>
      <w:sz w:val="20"/>
      <w:szCs w:val="20"/>
    </w:rPr>
  </w:style>
  <w:style w:type="character" w:customStyle="1" w:styleId="FootnoteTextChar">
    <w:name w:val="Footnote Text Char"/>
    <w:basedOn w:val="DefaultParagraphFont"/>
    <w:link w:val="FootnoteText"/>
    <w:rsid w:val="00FD36A7"/>
  </w:style>
  <w:style w:type="character" w:styleId="FootnoteReference">
    <w:name w:val="footnote reference"/>
    <w:basedOn w:val="DefaultParagraphFont"/>
    <w:rsid w:val="00FD36A7"/>
    <w:rPr>
      <w:vertAlign w:val="superscript"/>
    </w:rPr>
  </w:style>
  <w:style w:type="paragraph" w:customStyle="1" w:styleId="TableTextleftalign">
    <w:name w:val="Table Text left align"/>
    <w:basedOn w:val="TableTitlecentred"/>
    <w:link w:val="TableTextleftalignChar"/>
    <w:qFormat/>
    <w:rsid w:val="00303C4A"/>
    <w:pPr>
      <w:jc w:val="left"/>
    </w:pPr>
    <w:rPr>
      <w:b w:val="0"/>
      <w:szCs w:val="18"/>
    </w:rPr>
  </w:style>
  <w:style w:type="paragraph" w:customStyle="1" w:styleId="TableTextcentred">
    <w:name w:val="Table Text centred"/>
    <w:basedOn w:val="Normal"/>
    <w:link w:val="TableTextcentredChar"/>
    <w:qFormat/>
    <w:rsid w:val="00303C4A"/>
    <w:pPr>
      <w:jc w:val="center"/>
    </w:pPr>
    <w:rPr>
      <w:rFonts w:ascii="Calibri" w:hAnsi="Calibri"/>
      <w:sz w:val="18"/>
      <w:szCs w:val="18"/>
      <w:lang w:eastAsia="en-US"/>
    </w:rPr>
  </w:style>
  <w:style w:type="character" w:customStyle="1" w:styleId="TableTextcentredChar">
    <w:name w:val="Table Text centred Char"/>
    <w:basedOn w:val="DefaultParagraphFont"/>
    <w:link w:val="TableTextcentred"/>
    <w:rsid w:val="00303C4A"/>
    <w:rPr>
      <w:rFonts w:ascii="Calibri" w:hAnsi="Calibri"/>
      <w:sz w:val="18"/>
      <w:szCs w:val="18"/>
      <w:lang w:eastAsia="en-US"/>
    </w:rPr>
  </w:style>
  <w:style w:type="character" w:customStyle="1" w:styleId="TableTextleftalignChar">
    <w:name w:val="Table Text left align Char"/>
    <w:basedOn w:val="DefaultParagraphFont"/>
    <w:link w:val="TableTextleftalign"/>
    <w:rsid w:val="00303C4A"/>
    <w:rPr>
      <w:rFonts w:ascii="Calibri" w:hAnsi="Calibri"/>
      <w:sz w:val="18"/>
      <w:szCs w:val="18"/>
      <w:lang w:eastAsia="en-US"/>
    </w:rPr>
  </w:style>
  <w:style w:type="paragraph" w:customStyle="1" w:styleId="TableTitlecentred">
    <w:name w:val="Table Title centred"/>
    <w:basedOn w:val="Normal"/>
    <w:rsid w:val="00303C4A"/>
    <w:pPr>
      <w:jc w:val="center"/>
    </w:pPr>
    <w:rPr>
      <w:rFonts w:ascii="Calibri" w:hAnsi="Calibri"/>
      <w:b/>
      <w:sz w:val="18"/>
      <w:szCs w:val="2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Caption Char,...,c"/>
    <w:basedOn w:val="Normal"/>
    <w:next w:val="Normal"/>
    <w:link w:val="CaptionChar1"/>
    <w:uiPriority w:val="35"/>
    <w:unhideWhenUsed/>
    <w:qFormat/>
    <w:rsid w:val="00303C4A"/>
    <w:pPr>
      <w:keepNext/>
    </w:pPr>
    <w:rPr>
      <w:rFonts w:ascii="Arial Narrow" w:hAnsi="Arial Narrow"/>
      <w:b/>
      <w:bCs/>
      <w:color w:val="000000" w:themeColor="text1"/>
      <w:sz w:val="20"/>
      <w:szCs w:val="20"/>
    </w:rPr>
  </w:style>
  <w:style w:type="table" w:customStyle="1" w:styleId="Submissionstandard2">
    <w:name w:val="Submission standard2"/>
    <w:basedOn w:val="TableNormal"/>
    <w:uiPriority w:val="99"/>
    <w:qFormat/>
    <w:rsid w:val="00AD053A"/>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table" w:customStyle="1" w:styleId="Submissionstandard8">
    <w:name w:val="Submission standard8"/>
    <w:basedOn w:val="TableNormal"/>
    <w:uiPriority w:val="99"/>
    <w:qFormat/>
    <w:rsid w:val="00123FA3"/>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character" w:customStyle="1" w:styleId="TabletextChar">
    <w:name w:val="Table text Char"/>
    <w:link w:val="Tabletext"/>
    <w:uiPriority w:val="2"/>
    <w:rsid w:val="0014113E"/>
    <w:rPr>
      <w:rFonts w:ascii="Arial" w:hAnsi="Arial"/>
      <w:lang w:eastAsia="en-US"/>
    </w:rPr>
  </w:style>
  <w:style w:type="paragraph" w:styleId="BodyTextIndent">
    <w:name w:val="Body Text Indent"/>
    <w:basedOn w:val="Normal"/>
    <w:link w:val="BodyTextIndentChar"/>
    <w:rsid w:val="000414D2"/>
    <w:pPr>
      <w:spacing w:after="120"/>
      <w:ind w:left="283"/>
    </w:pPr>
  </w:style>
  <w:style w:type="character" w:customStyle="1" w:styleId="BodyTextIndentChar">
    <w:name w:val="Body Text Indent Char"/>
    <w:basedOn w:val="DefaultParagraphFont"/>
    <w:link w:val="BodyTextIndent"/>
    <w:rsid w:val="000414D2"/>
    <w:rPr>
      <w:sz w:val="24"/>
      <w:szCs w:val="24"/>
    </w:rPr>
  </w:style>
  <w:style w:type="character" w:customStyle="1" w:styleId="label-">
    <w:name w:val="label-"/>
    <w:basedOn w:val="DefaultParagraphFont"/>
    <w:rsid w:val="002005CE"/>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link w:val="Caption"/>
    <w:uiPriority w:val="99"/>
    <w:rsid w:val="00427071"/>
    <w:rPr>
      <w:rFonts w:ascii="Arial Narrow" w:hAnsi="Arial Narrow"/>
      <w:b/>
      <w:bCs/>
      <w:color w:val="000000" w:themeColor="text1"/>
    </w:rPr>
  </w:style>
  <w:style w:type="paragraph" w:styleId="BodyText">
    <w:name w:val="Body Text"/>
    <w:basedOn w:val="Normal"/>
    <w:link w:val="BodyTextChar"/>
    <w:rsid w:val="004D1CB0"/>
    <w:pPr>
      <w:spacing w:after="120"/>
    </w:pPr>
  </w:style>
  <w:style w:type="character" w:customStyle="1" w:styleId="BodyTextChar">
    <w:name w:val="Body Text Char"/>
    <w:basedOn w:val="DefaultParagraphFont"/>
    <w:link w:val="BodyText"/>
    <w:rsid w:val="004D1CB0"/>
    <w:rPr>
      <w:sz w:val="24"/>
      <w:szCs w:val="24"/>
    </w:rPr>
  </w:style>
  <w:style w:type="character" w:customStyle="1" w:styleId="Heading8Char">
    <w:name w:val="Heading 8 Char"/>
    <w:basedOn w:val="DefaultParagraphFont"/>
    <w:link w:val="Heading8"/>
    <w:uiPriority w:val="7"/>
    <w:rsid w:val="00887A7B"/>
    <w:rPr>
      <w:rFonts w:asciiTheme="majorHAnsi" w:eastAsiaTheme="majorEastAsia" w:hAnsiTheme="majorHAnsi" w:cstheme="majorBidi"/>
      <w:color w:val="272727" w:themeColor="text1" w:themeTint="D8"/>
      <w:sz w:val="21"/>
      <w:szCs w:val="21"/>
      <w:lang w:val="en-GB" w:eastAsia="en-US"/>
    </w:rPr>
  </w:style>
  <w:style w:type="table" w:customStyle="1" w:styleId="PlainTable21">
    <w:name w:val="Plain Table 21"/>
    <w:basedOn w:val="TableNormal"/>
    <w:uiPriority w:val="42"/>
    <w:rsid w:val="00887A7B"/>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V50CaptionChar">
    <w:name w:val="V5.0 Caption Char"/>
    <w:aliases w:val="Caption Char2 Char Char,Caption Char Char Char2 Char,Caption Char1 Char Char Char1 Char,Caption Char2 Char Char Char1 Char1 Char,Caption Char Char1 Char Char Char1 Char1 Char,Caption Char2 Char1,c Char"/>
    <w:rsid w:val="00887A7B"/>
    <w:rPr>
      <w:rFonts w:ascii="Arial Narrow" w:eastAsia="Calibri" w:hAnsi="Arial Narrow" w:cs="Arial"/>
      <w:b/>
      <w:sz w:val="20"/>
    </w:rPr>
  </w:style>
  <w:style w:type="paragraph" w:customStyle="1" w:styleId="TableNotes0">
    <w:name w:val="TableNotes"/>
    <w:basedOn w:val="Normal"/>
    <w:link w:val="TableNotesChar"/>
    <w:qFormat/>
    <w:rsid w:val="00887A7B"/>
    <w:pPr>
      <w:widowControl w:val="0"/>
      <w:spacing w:after="60"/>
      <w:contextualSpacing/>
      <w:jc w:val="both"/>
    </w:pPr>
    <w:rPr>
      <w:rFonts w:ascii="Arial Narrow" w:hAnsi="Arial Narrow" w:cs="Arial"/>
      <w:snapToGrid w:val="0"/>
      <w:sz w:val="18"/>
      <w:szCs w:val="20"/>
      <w:lang w:val="en-GB" w:eastAsia="en-US"/>
    </w:rPr>
  </w:style>
  <w:style w:type="character" w:customStyle="1" w:styleId="TableNotesChar">
    <w:name w:val="TableNotes Char"/>
    <w:basedOn w:val="DefaultParagraphFont"/>
    <w:link w:val="TableNotes0"/>
    <w:rsid w:val="00887A7B"/>
    <w:rPr>
      <w:rFonts w:ascii="Arial Narrow" w:hAnsi="Arial Narrow" w:cs="Arial"/>
      <w:snapToGrid w:val="0"/>
      <w:sz w:val="18"/>
      <w:lang w:val="en-GB" w:eastAsia="en-US"/>
    </w:rPr>
  </w:style>
  <w:style w:type="paragraph" w:customStyle="1" w:styleId="Default">
    <w:name w:val="Default"/>
    <w:rsid w:val="0093145F"/>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semiHidden/>
    <w:unhideWhenUsed/>
    <w:rsid w:val="008F7096"/>
    <w:pPr>
      <w:spacing w:after="150"/>
    </w:pPr>
    <w:rPr>
      <w:color w:val="222222"/>
    </w:rPr>
  </w:style>
  <w:style w:type="paragraph" w:customStyle="1" w:styleId="TableFooter">
    <w:name w:val="Table Footer"/>
    <w:basedOn w:val="Normal"/>
    <w:qFormat/>
    <w:rsid w:val="00FB1484"/>
    <w:pPr>
      <w:widowControl w:val="0"/>
      <w:jc w:val="both"/>
    </w:pPr>
    <w:rPr>
      <w:rFonts w:ascii="Arial Narrow" w:hAnsi="Arial Narrow" w:cs="Arial"/>
      <w:snapToGrid w:val="0"/>
      <w:sz w:val="18"/>
      <w:szCs w:val="20"/>
      <w:lang w:eastAsia="en-US"/>
    </w:rPr>
  </w:style>
  <w:style w:type="paragraph" w:customStyle="1" w:styleId="COMtbl-textCentred">
    <w:name w:val="COMtbl-text Centred"/>
    <w:basedOn w:val="Normal"/>
    <w:qFormat/>
    <w:rsid w:val="001E1887"/>
    <w:pPr>
      <w:widowControl w:val="0"/>
      <w:tabs>
        <w:tab w:val="left" w:pos="720"/>
      </w:tabs>
      <w:jc w:val="center"/>
    </w:pPr>
    <w:rPr>
      <w:rFonts w:ascii="Arial Narrow" w:hAnsi="Arial Narrow" w:cs="Arial"/>
      <w:snapToGrid w:val="0"/>
      <w:sz w:val="20"/>
      <w:szCs w:val="20"/>
      <w:lang w:eastAsia="en-US"/>
    </w:rPr>
  </w:style>
  <w:style w:type="paragraph" w:customStyle="1" w:styleId="KMC16-Tablecontent">
    <w:name w:val="KMC16 - Table content"/>
    <w:basedOn w:val="Normal"/>
    <w:link w:val="KMC16-TablecontentChar"/>
    <w:qFormat/>
    <w:rsid w:val="001E1887"/>
    <w:pPr>
      <w:spacing w:before="40" w:after="40"/>
      <w:jc w:val="center"/>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1E1887"/>
    <w:rPr>
      <w:rFonts w:ascii="Arial Narrow" w:hAnsi="Arial Narrow" w:cs="Arial"/>
      <w:color w:val="000000"/>
      <w:szCs w:val="22"/>
      <w:lang w:val="en-GB" w:eastAsia="en-US"/>
    </w:rPr>
  </w:style>
  <w:style w:type="paragraph" w:customStyle="1" w:styleId="COMtbl-textLeftAligned">
    <w:name w:val="COMtbl-text Left Aligned"/>
    <w:basedOn w:val="Normal"/>
    <w:qFormat/>
    <w:rsid w:val="001E1887"/>
    <w:pPr>
      <w:widowControl w:val="0"/>
      <w:tabs>
        <w:tab w:val="left" w:pos="720"/>
      </w:tabs>
    </w:pPr>
    <w:rPr>
      <w:rFonts w:ascii="Arial Narrow" w:hAnsi="Arial Narrow" w:cs="Arial"/>
      <w:snapToGrid w:val="0"/>
      <w:sz w:val="20"/>
      <w:szCs w:val="20"/>
      <w:lang w:eastAsia="en-US"/>
    </w:rPr>
  </w:style>
  <w:style w:type="character" w:customStyle="1" w:styleId="MainBodyTextChar">
    <w:name w:val="Main Body Text Char"/>
    <w:link w:val="MainBodyText"/>
    <w:uiPriority w:val="99"/>
    <w:rsid w:val="002B7176"/>
    <w:rPr>
      <w:rFonts w:ascii="Arial" w:hAnsi="Arial"/>
      <w:sz w:val="22"/>
      <w:szCs w:val="22"/>
    </w:rPr>
  </w:style>
  <w:style w:type="paragraph" w:customStyle="1" w:styleId="MainBodyText">
    <w:name w:val="Main Body Text"/>
    <w:basedOn w:val="Normal"/>
    <w:link w:val="MainBodyTextChar"/>
    <w:uiPriority w:val="99"/>
    <w:rsid w:val="002B7176"/>
    <w:pPr>
      <w:spacing w:after="240" w:line="276" w:lineRule="auto"/>
      <w:jc w:val="both"/>
    </w:pPr>
    <w:rPr>
      <w:rFonts w:ascii="Arial" w:hAnsi="Arial"/>
      <w:sz w:val="22"/>
      <w:szCs w:val="22"/>
    </w:rPr>
  </w:style>
  <w:style w:type="paragraph" w:customStyle="1" w:styleId="TableText0">
    <w:name w:val="Table Text"/>
    <w:basedOn w:val="Normal"/>
    <w:uiPriority w:val="99"/>
    <w:rsid w:val="002B7176"/>
    <w:pPr>
      <w:spacing w:before="60" w:after="60"/>
    </w:pPr>
    <w:rPr>
      <w:rFonts w:ascii="Arial" w:hAnsi="Arial"/>
      <w:sz w:val="18"/>
      <w:szCs w:val="20"/>
    </w:rPr>
  </w:style>
  <w:style w:type="paragraph" w:customStyle="1" w:styleId="TableTextHeading">
    <w:name w:val="Table Text Heading"/>
    <w:basedOn w:val="Normal"/>
    <w:rsid w:val="002B7176"/>
    <w:pPr>
      <w:spacing w:before="60" w:after="60"/>
      <w:jc w:val="center"/>
    </w:pPr>
    <w:rPr>
      <w:rFonts w:ascii="Arial Bold" w:hAnsi="Arial Bold"/>
      <w:b/>
      <w:sz w:val="18"/>
      <w:szCs w:val="20"/>
    </w:rPr>
  </w:style>
  <w:style w:type="paragraph" w:styleId="EndnoteText">
    <w:name w:val="endnote text"/>
    <w:basedOn w:val="Normal"/>
    <w:link w:val="EndnoteTextChar"/>
    <w:semiHidden/>
    <w:unhideWhenUsed/>
    <w:rsid w:val="00B05322"/>
    <w:rPr>
      <w:sz w:val="20"/>
      <w:szCs w:val="20"/>
    </w:rPr>
  </w:style>
  <w:style w:type="character" w:customStyle="1" w:styleId="EndnoteTextChar">
    <w:name w:val="Endnote Text Char"/>
    <w:basedOn w:val="DefaultParagraphFont"/>
    <w:link w:val="EndnoteText"/>
    <w:semiHidden/>
    <w:rsid w:val="00B05322"/>
  </w:style>
  <w:style w:type="character" w:styleId="EndnoteReference">
    <w:name w:val="endnote reference"/>
    <w:basedOn w:val="DefaultParagraphFont"/>
    <w:semiHidden/>
    <w:unhideWhenUsed/>
    <w:rsid w:val="00B05322"/>
    <w:rPr>
      <w:vertAlign w:val="superscript"/>
    </w:rPr>
  </w:style>
  <w:style w:type="paragraph" w:styleId="Revision">
    <w:name w:val="Revision"/>
    <w:hidden/>
    <w:uiPriority w:val="71"/>
    <w:semiHidden/>
    <w:rsid w:val="00C102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13390934">
      <w:bodyDiv w:val="1"/>
      <w:marLeft w:val="0"/>
      <w:marRight w:val="0"/>
      <w:marTop w:val="0"/>
      <w:marBottom w:val="0"/>
      <w:divBdr>
        <w:top w:val="none" w:sz="0" w:space="0" w:color="auto"/>
        <w:left w:val="none" w:sz="0" w:space="0" w:color="auto"/>
        <w:bottom w:val="none" w:sz="0" w:space="0" w:color="auto"/>
        <w:right w:val="none" w:sz="0" w:space="0" w:color="auto"/>
      </w:divBdr>
    </w:div>
    <w:div w:id="43112535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6476437">
      <w:bodyDiv w:val="1"/>
      <w:marLeft w:val="0"/>
      <w:marRight w:val="0"/>
      <w:marTop w:val="0"/>
      <w:marBottom w:val="0"/>
      <w:divBdr>
        <w:top w:val="none" w:sz="0" w:space="0" w:color="auto"/>
        <w:left w:val="none" w:sz="0" w:space="0" w:color="auto"/>
        <w:bottom w:val="none" w:sz="0" w:space="0" w:color="auto"/>
        <w:right w:val="none" w:sz="0" w:space="0" w:color="auto"/>
      </w:divBdr>
      <w:divsChild>
        <w:div w:id="1634629415">
          <w:marLeft w:val="0"/>
          <w:marRight w:val="0"/>
          <w:marTop w:val="0"/>
          <w:marBottom w:val="0"/>
          <w:divBdr>
            <w:top w:val="none" w:sz="0" w:space="0" w:color="auto"/>
            <w:left w:val="none" w:sz="0" w:space="0" w:color="auto"/>
            <w:bottom w:val="none" w:sz="0" w:space="0" w:color="auto"/>
            <w:right w:val="none" w:sz="0" w:space="0" w:color="auto"/>
          </w:divBdr>
          <w:divsChild>
            <w:div w:id="644241850">
              <w:marLeft w:val="0"/>
              <w:marRight w:val="0"/>
              <w:marTop w:val="0"/>
              <w:marBottom w:val="0"/>
              <w:divBdr>
                <w:top w:val="none" w:sz="0" w:space="0" w:color="auto"/>
                <w:left w:val="none" w:sz="0" w:space="0" w:color="auto"/>
                <w:bottom w:val="none" w:sz="0" w:space="0" w:color="auto"/>
                <w:right w:val="none" w:sz="0" w:space="0" w:color="auto"/>
              </w:divBdr>
              <w:divsChild>
                <w:div w:id="589848926">
                  <w:marLeft w:val="0"/>
                  <w:marRight w:val="0"/>
                  <w:marTop w:val="0"/>
                  <w:marBottom w:val="0"/>
                  <w:divBdr>
                    <w:top w:val="none" w:sz="0" w:space="0" w:color="auto"/>
                    <w:left w:val="none" w:sz="0" w:space="0" w:color="auto"/>
                    <w:bottom w:val="none" w:sz="0" w:space="0" w:color="auto"/>
                    <w:right w:val="none" w:sz="0" w:space="0" w:color="auto"/>
                  </w:divBdr>
                  <w:divsChild>
                    <w:div w:id="1807121277">
                      <w:marLeft w:val="0"/>
                      <w:marRight w:val="0"/>
                      <w:marTop w:val="0"/>
                      <w:marBottom w:val="0"/>
                      <w:divBdr>
                        <w:top w:val="none" w:sz="0" w:space="0" w:color="auto"/>
                        <w:left w:val="none" w:sz="0" w:space="0" w:color="auto"/>
                        <w:bottom w:val="none" w:sz="0" w:space="0" w:color="auto"/>
                        <w:right w:val="none" w:sz="0" w:space="0" w:color="auto"/>
                      </w:divBdr>
                      <w:divsChild>
                        <w:div w:id="1922521861">
                          <w:marLeft w:val="0"/>
                          <w:marRight w:val="0"/>
                          <w:marTop w:val="0"/>
                          <w:marBottom w:val="0"/>
                          <w:divBdr>
                            <w:top w:val="none" w:sz="0" w:space="0" w:color="auto"/>
                            <w:left w:val="none" w:sz="0" w:space="0" w:color="auto"/>
                            <w:bottom w:val="none" w:sz="0" w:space="0" w:color="auto"/>
                            <w:right w:val="none" w:sz="0" w:space="0" w:color="auto"/>
                          </w:divBdr>
                          <w:divsChild>
                            <w:div w:id="11457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834431">
      <w:bodyDiv w:val="1"/>
      <w:marLeft w:val="0"/>
      <w:marRight w:val="0"/>
      <w:marTop w:val="0"/>
      <w:marBottom w:val="0"/>
      <w:divBdr>
        <w:top w:val="none" w:sz="0" w:space="0" w:color="auto"/>
        <w:left w:val="none" w:sz="0" w:space="0" w:color="auto"/>
        <w:bottom w:val="none" w:sz="0" w:space="0" w:color="auto"/>
        <w:right w:val="none" w:sz="0" w:space="0" w:color="auto"/>
      </w:divBdr>
      <w:divsChild>
        <w:div w:id="1020621043">
          <w:marLeft w:val="0"/>
          <w:marRight w:val="0"/>
          <w:marTop w:val="0"/>
          <w:marBottom w:val="0"/>
          <w:divBdr>
            <w:top w:val="none" w:sz="0" w:space="0" w:color="auto"/>
            <w:left w:val="none" w:sz="0" w:space="0" w:color="auto"/>
            <w:bottom w:val="none" w:sz="0" w:space="0" w:color="auto"/>
            <w:right w:val="none" w:sz="0" w:space="0" w:color="auto"/>
          </w:divBdr>
          <w:divsChild>
            <w:div w:id="122312685">
              <w:marLeft w:val="0"/>
              <w:marRight w:val="0"/>
              <w:marTop w:val="0"/>
              <w:marBottom w:val="0"/>
              <w:divBdr>
                <w:top w:val="none" w:sz="0" w:space="0" w:color="auto"/>
                <w:left w:val="none" w:sz="0" w:space="0" w:color="auto"/>
                <w:bottom w:val="none" w:sz="0" w:space="0" w:color="auto"/>
                <w:right w:val="none" w:sz="0" w:space="0" w:color="auto"/>
              </w:divBdr>
              <w:divsChild>
                <w:div w:id="297730091">
                  <w:marLeft w:val="0"/>
                  <w:marRight w:val="0"/>
                  <w:marTop w:val="0"/>
                  <w:marBottom w:val="0"/>
                  <w:divBdr>
                    <w:top w:val="none" w:sz="0" w:space="0" w:color="auto"/>
                    <w:left w:val="none" w:sz="0" w:space="0" w:color="auto"/>
                    <w:bottom w:val="none" w:sz="0" w:space="0" w:color="auto"/>
                    <w:right w:val="none" w:sz="0" w:space="0" w:color="auto"/>
                  </w:divBdr>
                  <w:divsChild>
                    <w:div w:id="3710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5914">
      <w:bodyDiv w:val="1"/>
      <w:marLeft w:val="0"/>
      <w:marRight w:val="0"/>
      <w:marTop w:val="0"/>
      <w:marBottom w:val="0"/>
      <w:divBdr>
        <w:top w:val="none" w:sz="0" w:space="0" w:color="auto"/>
        <w:left w:val="none" w:sz="0" w:space="0" w:color="auto"/>
        <w:bottom w:val="none" w:sz="0" w:space="0" w:color="auto"/>
        <w:right w:val="none" w:sz="0" w:space="0" w:color="auto"/>
      </w:divBdr>
    </w:div>
    <w:div w:id="1223175846">
      <w:bodyDiv w:val="1"/>
      <w:marLeft w:val="0"/>
      <w:marRight w:val="0"/>
      <w:marTop w:val="0"/>
      <w:marBottom w:val="0"/>
      <w:divBdr>
        <w:top w:val="none" w:sz="0" w:space="0" w:color="auto"/>
        <w:left w:val="none" w:sz="0" w:space="0" w:color="auto"/>
        <w:bottom w:val="none" w:sz="0" w:space="0" w:color="auto"/>
        <w:right w:val="none" w:sz="0" w:space="0" w:color="auto"/>
      </w:divBdr>
    </w:div>
    <w:div w:id="140171161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51792829">
      <w:bodyDiv w:val="1"/>
      <w:marLeft w:val="0"/>
      <w:marRight w:val="0"/>
      <w:marTop w:val="0"/>
      <w:marBottom w:val="0"/>
      <w:divBdr>
        <w:top w:val="none" w:sz="0" w:space="0" w:color="auto"/>
        <w:left w:val="none" w:sz="0" w:space="0" w:color="auto"/>
        <w:bottom w:val="none" w:sz="0" w:space="0" w:color="auto"/>
        <w:right w:val="none" w:sz="0" w:space="0" w:color="auto"/>
      </w:divBdr>
      <w:divsChild>
        <w:div w:id="1703359528">
          <w:marLeft w:val="0"/>
          <w:marRight w:val="0"/>
          <w:marTop w:val="0"/>
          <w:marBottom w:val="0"/>
          <w:divBdr>
            <w:top w:val="none" w:sz="0" w:space="0" w:color="auto"/>
            <w:left w:val="none" w:sz="0" w:space="0" w:color="auto"/>
            <w:bottom w:val="none" w:sz="0" w:space="0" w:color="auto"/>
            <w:right w:val="none" w:sz="0" w:space="0" w:color="auto"/>
          </w:divBdr>
          <w:divsChild>
            <w:div w:id="1437213307">
              <w:marLeft w:val="0"/>
              <w:marRight w:val="0"/>
              <w:marTop w:val="0"/>
              <w:marBottom w:val="0"/>
              <w:divBdr>
                <w:top w:val="none" w:sz="0" w:space="0" w:color="auto"/>
                <w:left w:val="none" w:sz="0" w:space="0" w:color="auto"/>
                <w:bottom w:val="none" w:sz="0" w:space="0" w:color="auto"/>
                <w:right w:val="none" w:sz="0" w:space="0" w:color="auto"/>
              </w:divBdr>
              <w:divsChild>
                <w:div w:id="856649940">
                  <w:marLeft w:val="0"/>
                  <w:marRight w:val="0"/>
                  <w:marTop w:val="0"/>
                  <w:marBottom w:val="0"/>
                  <w:divBdr>
                    <w:top w:val="none" w:sz="0" w:space="0" w:color="auto"/>
                    <w:left w:val="none" w:sz="0" w:space="0" w:color="auto"/>
                    <w:bottom w:val="none" w:sz="0" w:space="0" w:color="auto"/>
                    <w:right w:val="none" w:sz="0" w:space="0" w:color="auto"/>
                  </w:divBdr>
                  <w:divsChild>
                    <w:div w:id="228078347">
                      <w:marLeft w:val="0"/>
                      <w:marRight w:val="0"/>
                      <w:marTop w:val="0"/>
                      <w:marBottom w:val="0"/>
                      <w:divBdr>
                        <w:top w:val="none" w:sz="0" w:space="0" w:color="auto"/>
                        <w:left w:val="none" w:sz="0" w:space="0" w:color="auto"/>
                        <w:bottom w:val="none" w:sz="0" w:space="0" w:color="auto"/>
                        <w:right w:val="none" w:sz="0" w:space="0" w:color="auto"/>
                      </w:divBdr>
                      <w:divsChild>
                        <w:div w:id="718090744">
                          <w:marLeft w:val="0"/>
                          <w:marRight w:val="0"/>
                          <w:marTop w:val="0"/>
                          <w:marBottom w:val="0"/>
                          <w:divBdr>
                            <w:top w:val="none" w:sz="0" w:space="0" w:color="auto"/>
                            <w:left w:val="none" w:sz="0" w:space="0" w:color="auto"/>
                            <w:bottom w:val="none" w:sz="0" w:space="0" w:color="auto"/>
                            <w:right w:val="none" w:sz="0" w:space="0" w:color="auto"/>
                          </w:divBdr>
                          <w:divsChild>
                            <w:div w:id="15021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medicine.medscape.com/article/925446-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B2575-802D-4D78-B01A-76BE5509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4218</Words>
  <Characters>23342</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2019-06-24T03:26:00Z</dcterms:created>
  <dcterms:modified xsi:type="dcterms:W3CDTF">2019-07-01T04:36:00Z</dcterms:modified>
</cp:coreProperties>
</file>