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83" w:rsidRPr="00795225" w:rsidRDefault="001856DB" w:rsidP="007F17E5">
      <w:pPr>
        <w:pStyle w:val="Title"/>
        <w:ind w:left="720" w:hanging="720"/>
        <w:jc w:val="left"/>
        <w:rPr>
          <w:b w:val="0"/>
        </w:rPr>
      </w:pPr>
      <w:r w:rsidRPr="00795225">
        <w:t>7.09</w:t>
      </w:r>
      <w:r w:rsidR="00B60939" w:rsidRPr="00795225">
        <w:tab/>
      </w:r>
      <w:r w:rsidR="007F17E5" w:rsidRPr="00795225">
        <w:t>NIVOLUMAB</w:t>
      </w:r>
      <w:r w:rsidR="007F17E5" w:rsidRPr="00795225">
        <w:br/>
      </w:r>
      <w:r w:rsidRPr="00795225">
        <w:t>Injection c</w:t>
      </w:r>
      <w:r w:rsidR="00E65971" w:rsidRPr="00795225">
        <w:t xml:space="preserve">oncentrate </w:t>
      </w:r>
      <w:r w:rsidRPr="00795225">
        <w:t>fo</w:t>
      </w:r>
      <w:r w:rsidR="00E65971" w:rsidRPr="00795225">
        <w:t>r I.V. infusion 40 mg in 4 mL</w:t>
      </w:r>
      <w:r w:rsidR="00BB5484" w:rsidRPr="00795225">
        <w:t>,</w:t>
      </w:r>
      <w:r w:rsidR="007F17E5" w:rsidRPr="00795225">
        <w:br/>
      </w:r>
      <w:r w:rsidRPr="00795225">
        <w:t>Injection c</w:t>
      </w:r>
      <w:r w:rsidR="00E65971" w:rsidRPr="00795225">
        <w:t>oncentrate for I.V. infusion 100 mg in 10 mL,</w:t>
      </w:r>
      <w:r w:rsidR="007F17E5" w:rsidRPr="00795225">
        <w:br/>
      </w:r>
      <w:proofErr w:type="spellStart"/>
      <w:r w:rsidR="00E65971" w:rsidRPr="00795225">
        <w:t>O</w:t>
      </w:r>
      <w:r w:rsidR="007F5DE1" w:rsidRPr="00795225">
        <w:t>pdivo</w:t>
      </w:r>
      <w:proofErr w:type="spellEnd"/>
      <w:r w:rsidR="00E65971" w:rsidRPr="00795225">
        <w:t>®,</w:t>
      </w:r>
      <w:r w:rsidR="00822007">
        <w:t xml:space="preserve"> </w:t>
      </w:r>
      <w:r w:rsidR="00E65971" w:rsidRPr="00795225">
        <w:t>Bristol-Myers Squibb Australia Pty Ltd</w:t>
      </w:r>
    </w:p>
    <w:p w:rsidR="00410F2D" w:rsidRPr="00795225" w:rsidRDefault="00410F2D" w:rsidP="008D1BDC">
      <w:pPr>
        <w:pStyle w:val="PBACHeading1"/>
        <w:spacing w:before="240" w:after="120"/>
      </w:pPr>
      <w:bookmarkStart w:id="0" w:name="_Toc536007249"/>
      <w:r w:rsidRPr="00795225">
        <w:t>Purpose of Application</w:t>
      </w:r>
      <w:bookmarkEnd w:id="0"/>
    </w:p>
    <w:p w:rsidR="00410F2D" w:rsidRPr="00795225" w:rsidRDefault="00410F2D" w:rsidP="00D736AF">
      <w:pPr>
        <w:pStyle w:val="ListParagraph"/>
        <w:widowControl/>
        <w:numPr>
          <w:ilvl w:val="1"/>
          <w:numId w:val="1"/>
        </w:numPr>
      </w:pPr>
      <w:r w:rsidRPr="00795225">
        <w:t xml:space="preserve">The resubmission requested a Section 100 – Efficient Funding of Chemotherapy program listing for nivolumab monotherapy as adjuvant treatment for completely resected Stage III </w:t>
      </w:r>
      <w:r w:rsidR="008C274F" w:rsidRPr="00795225">
        <w:t xml:space="preserve">or </w:t>
      </w:r>
      <w:r w:rsidRPr="00795225">
        <w:t>completely resected Stage IV melanoma.</w:t>
      </w:r>
      <w:r w:rsidRPr="00795225">
        <w:rPr>
          <w:i/>
        </w:rPr>
        <w:t xml:space="preserve"> </w:t>
      </w:r>
      <w:r w:rsidRPr="00795225">
        <w:t>The first submission was considered by PBAC in July 2018.</w:t>
      </w:r>
    </w:p>
    <w:p w:rsidR="0066267D" w:rsidRPr="00795225" w:rsidRDefault="00DE1438" w:rsidP="00D736AF">
      <w:pPr>
        <w:pStyle w:val="ListParagraph"/>
        <w:widowControl/>
        <w:numPr>
          <w:ilvl w:val="1"/>
          <w:numId w:val="1"/>
        </w:numPr>
      </w:pPr>
      <w:r w:rsidRPr="00795225">
        <w:t>The sponsor made a</w:t>
      </w:r>
      <w:r w:rsidR="0066267D" w:rsidRPr="00795225">
        <w:t xml:space="preserve"> minor submission to the March 2019 PBAC meeting</w:t>
      </w:r>
      <w:r w:rsidR="00D91800" w:rsidRPr="00795225">
        <w:t xml:space="preserve"> for </w:t>
      </w:r>
      <w:r w:rsidR="0066267D" w:rsidRPr="00795225">
        <w:t>nivolumab (</w:t>
      </w:r>
      <w:r w:rsidR="00BF3FC7" w:rsidRPr="00795225">
        <w:t xml:space="preserve">for melanoma, non-small cell lung cancer, renal cell carcinoma, </w:t>
      </w:r>
      <w:r w:rsidR="0005153D" w:rsidRPr="00795225">
        <w:t xml:space="preserve">and </w:t>
      </w:r>
      <w:r w:rsidR="00BF3FC7" w:rsidRPr="00795225">
        <w:t>squamous cell carcinoma of the head and neck)</w:t>
      </w:r>
      <w:r w:rsidR="00D91800" w:rsidRPr="00795225">
        <w:t xml:space="preserve"> to</w:t>
      </w:r>
      <w:r w:rsidR="00A24547" w:rsidRPr="00795225">
        <w:t xml:space="preserve"> amend</w:t>
      </w:r>
      <w:r w:rsidR="00D91800" w:rsidRPr="00795225">
        <w:t xml:space="preserve"> the</w:t>
      </w:r>
      <w:r w:rsidR="00194838" w:rsidRPr="00795225">
        <w:t xml:space="preserve"> current weight-</w:t>
      </w:r>
      <w:r w:rsidR="00BF3FC7" w:rsidRPr="00795225">
        <w:t>based dosing restrictions to include recent TGA approved changes to allow clinicians choice between weight-based and fixed dosing.</w:t>
      </w:r>
      <w:r w:rsidRPr="00795225">
        <w:t xml:space="preserve"> </w:t>
      </w:r>
    </w:p>
    <w:p w:rsidR="00410F2D" w:rsidRPr="00795225" w:rsidRDefault="00410F2D" w:rsidP="00D736AF">
      <w:pPr>
        <w:pStyle w:val="ListParagraph"/>
        <w:widowControl/>
        <w:numPr>
          <w:ilvl w:val="1"/>
          <w:numId w:val="1"/>
        </w:numPr>
        <w:spacing w:after="120"/>
      </w:pPr>
      <w:r w:rsidRPr="00795225">
        <w:t>The requested listing was based on a cost utility analys</w:t>
      </w:r>
      <w:r w:rsidR="00117F74" w:rsidRPr="00795225">
        <w:t>is</w:t>
      </w:r>
      <w:r w:rsidRPr="00795225">
        <w:t xml:space="preserve"> of </w:t>
      </w:r>
      <w:r w:rsidR="00345235" w:rsidRPr="00795225">
        <w:t xml:space="preserve">nivolumab </w:t>
      </w:r>
      <w:r w:rsidRPr="00795225">
        <w:t>compared with observation/watch and wait</w:t>
      </w:r>
      <w:r w:rsidR="0086080D" w:rsidRPr="00795225">
        <w:t xml:space="preserve"> as standard of care (</w:t>
      </w:r>
      <w:proofErr w:type="spellStart"/>
      <w:r w:rsidR="0086080D" w:rsidRPr="00795225">
        <w:t>SoC</w:t>
      </w:r>
      <w:proofErr w:type="spellEnd"/>
      <w:r w:rsidR="0086080D" w:rsidRPr="00795225">
        <w:t>)</w:t>
      </w:r>
      <w:r w:rsidRPr="00795225">
        <w:t xml:space="preserve">. The key </w:t>
      </w:r>
      <w:r w:rsidR="00142E3C" w:rsidRPr="00795225">
        <w:t xml:space="preserve">clinical </w:t>
      </w:r>
      <w:r w:rsidRPr="00795225">
        <w:t xml:space="preserve">components of the resubmission are summarised in </w:t>
      </w:r>
      <w:r w:rsidR="00906BF0" w:rsidRPr="00795225">
        <w:t>the table below</w:t>
      </w:r>
      <w:r w:rsidRPr="00795225">
        <w:t xml:space="preserve">. </w:t>
      </w:r>
      <w:bookmarkStart w:id="1" w:name="_Ref532297471"/>
    </w:p>
    <w:p w:rsidR="00410F2D" w:rsidRPr="00795225" w:rsidRDefault="00410F2D" w:rsidP="000D78DD">
      <w:pPr>
        <w:keepNext/>
        <w:widowControl/>
        <w:rPr>
          <w:rFonts w:ascii="Arial Narrow" w:hAnsi="Arial Narrow"/>
          <w:b/>
          <w:sz w:val="20"/>
          <w:szCs w:val="20"/>
        </w:rPr>
      </w:pPr>
      <w:r w:rsidRPr="00795225">
        <w:rPr>
          <w:rFonts w:ascii="Arial Narrow" w:hAnsi="Arial Narrow"/>
          <w:b/>
          <w:sz w:val="20"/>
          <w:szCs w:val="20"/>
        </w:rPr>
        <w:t xml:space="preserve">Table </w:t>
      </w:r>
      <w:r w:rsidR="00DB5ACC" w:rsidRPr="00795225">
        <w:rPr>
          <w:rFonts w:ascii="Arial Narrow" w:hAnsi="Arial Narrow"/>
          <w:b/>
          <w:sz w:val="20"/>
          <w:szCs w:val="20"/>
        </w:rPr>
        <w:t>1</w:t>
      </w:r>
      <w:bookmarkEnd w:id="1"/>
      <w:r w:rsidRPr="00795225">
        <w:rPr>
          <w:rFonts w:ascii="Arial Narrow" w:hAnsi="Arial Narrow"/>
          <w:b/>
          <w:sz w:val="20"/>
          <w:szCs w:val="20"/>
        </w:rPr>
        <w:t xml:space="preserve">: Key </w:t>
      </w:r>
      <w:r w:rsidR="00142E3C" w:rsidRPr="00795225">
        <w:rPr>
          <w:rFonts w:ascii="Arial Narrow" w:hAnsi="Arial Narrow"/>
          <w:b/>
          <w:sz w:val="20"/>
          <w:szCs w:val="20"/>
        </w:rPr>
        <w:t xml:space="preserve">clinical </w:t>
      </w:r>
      <w:r w:rsidRPr="00795225">
        <w:rPr>
          <w:rFonts w:ascii="Arial Narrow" w:hAnsi="Arial Narrow"/>
          <w:b/>
          <w:sz w:val="20"/>
          <w:szCs w:val="20"/>
        </w:rPr>
        <w:t xml:space="preserve">components </w:t>
      </w:r>
    </w:p>
    <w:tbl>
      <w:tblPr>
        <w:tblStyle w:val="ASDTable1"/>
        <w:tblW w:w="5000" w:type="pct"/>
        <w:tblLook w:val="04A0" w:firstRow="1" w:lastRow="0" w:firstColumn="1" w:lastColumn="0" w:noHBand="0" w:noVBand="1"/>
        <w:tblCaption w:val="Table 1: Key components of the clinical issue addressed by the resubmission"/>
      </w:tblPr>
      <w:tblGrid>
        <w:gridCol w:w="1526"/>
        <w:gridCol w:w="7491"/>
      </w:tblGrid>
      <w:tr w:rsidR="00410F2D" w:rsidRPr="00795225" w:rsidTr="000E7C11">
        <w:trPr>
          <w:tblHeader/>
        </w:trPr>
        <w:tc>
          <w:tcPr>
            <w:tcW w:w="846" w:type="pct"/>
          </w:tcPr>
          <w:p w:rsidR="00410F2D" w:rsidRPr="00795225" w:rsidRDefault="00410F2D" w:rsidP="000D78DD">
            <w:pPr>
              <w:pStyle w:val="Tabletext"/>
              <w:keepNext/>
              <w:rPr>
                <w:b/>
              </w:rPr>
            </w:pPr>
            <w:r w:rsidRPr="00795225">
              <w:rPr>
                <w:b/>
              </w:rPr>
              <w:t>Component</w:t>
            </w:r>
          </w:p>
        </w:tc>
        <w:tc>
          <w:tcPr>
            <w:tcW w:w="4154" w:type="pct"/>
          </w:tcPr>
          <w:p w:rsidR="00410F2D" w:rsidRPr="00795225" w:rsidRDefault="00410F2D" w:rsidP="000D78DD">
            <w:pPr>
              <w:pStyle w:val="Tabletext"/>
              <w:keepNext/>
              <w:rPr>
                <w:b/>
              </w:rPr>
            </w:pPr>
            <w:r w:rsidRPr="00795225">
              <w:rPr>
                <w:b/>
              </w:rPr>
              <w:t>Description</w:t>
            </w:r>
          </w:p>
        </w:tc>
      </w:tr>
      <w:tr w:rsidR="00410F2D" w:rsidRPr="00795225" w:rsidTr="000E7C11">
        <w:tc>
          <w:tcPr>
            <w:tcW w:w="846" w:type="pct"/>
          </w:tcPr>
          <w:p w:rsidR="00410F2D" w:rsidRPr="00795225" w:rsidRDefault="00410F2D" w:rsidP="000D78DD">
            <w:pPr>
              <w:pStyle w:val="Tabletext"/>
              <w:keepNext/>
            </w:pPr>
            <w:r w:rsidRPr="00795225">
              <w:t>Population</w:t>
            </w:r>
          </w:p>
        </w:tc>
        <w:tc>
          <w:tcPr>
            <w:tcW w:w="4154" w:type="pct"/>
          </w:tcPr>
          <w:p w:rsidR="00410F2D" w:rsidRPr="00795225" w:rsidRDefault="00410F2D" w:rsidP="000D78DD">
            <w:pPr>
              <w:pStyle w:val="Tabletext"/>
              <w:keepNext/>
            </w:pPr>
            <w:r w:rsidRPr="00795225">
              <w:t xml:space="preserve">Patients with completely resected Stage III </w:t>
            </w:r>
            <w:r w:rsidR="008C274F" w:rsidRPr="00795225">
              <w:t>or</w:t>
            </w:r>
            <w:r w:rsidRPr="00795225">
              <w:t xml:space="preserve"> IV melanoma</w:t>
            </w:r>
          </w:p>
        </w:tc>
      </w:tr>
      <w:tr w:rsidR="00410F2D" w:rsidRPr="00795225" w:rsidTr="000E7C11">
        <w:tc>
          <w:tcPr>
            <w:tcW w:w="846" w:type="pct"/>
          </w:tcPr>
          <w:p w:rsidR="00410F2D" w:rsidRPr="00795225" w:rsidRDefault="00410F2D" w:rsidP="000D78DD">
            <w:pPr>
              <w:pStyle w:val="Tabletext"/>
              <w:keepNext/>
            </w:pPr>
            <w:r w:rsidRPr="00795225">
              <w:t>Intervention</w:t>
            </w:r>
          </w:p>
        </w:tc>
        <w:tc>
          <w:tcPr>
            <w:tcW w:w="4154" w:type="pct"/>
          </w:tcPr>
          <w:p w:rsidR="00DE1438" w:rsidRPr="00795225" w:rsidRDefault="00410F2D" w:rsidP="000D78DD">
            <w:pPr>
              <w:pStyle w:val="Tabletext"/>
              <w:keepNext/>
              <w:rPr>
                <w:i/>
              </w:rPr>
            </w:pPr>
            <w:r w:rsidRPr="00795225">
              <w:t>Nivolumab 3 mg/kg administered as an IV infusion over 60 minutes Q2W for up to a maximum of 12 months</w:t>
            </w:r>
            <w:r w:rsidR="006A35B5" w:rsidRPr="00795225">
              <w:t>.</w:t>
            </w:r>
          </w:p>
        </w:tc>
      </w:tr>
      <w:tr w:rsidR="00410F2D" w:rsidRPr="00795225" w:rsidTr="000E7C11">
        <w:tc>
          <w:tcPr>
            <w:tcW w:w="846" w:type="pct"/>
          </w:tcPr>
          <w:p w:rsidR="00410F2D" w:rsidRPr="00795225" w:rsidRDefault="00410F2D" w:rsidP="000D78DD">
            <w:pPr>
              <w:pStyle w:val="Tabletext"/>
              <w:keepNext/>
              <w:rPr>
                <w:highlight w:val="yellow"/>
              </w:rPr>
            </w:pPr>
            <w:r w:rsidRPr="00795225">
              <w:t>Comparator</w:t>
            </w:r>
          </w:p>
        </w:tc>
        <w:tc>
          <w:tcPr>
            <w:tcW w:w="4154" w:type="pct"/>
          </w:tcPr>
          <w:p w:rsidR="00410F2D" w:rsidRPr="00795225" w:rsidRDefault="00410F2D" w:rsidP="000D78DD">
            <w:pPr>
              <w:pStyle w:val="Tabletext"/>
              <w:keepNext/>
            </w:pPr>
            <w:r w:rsidRPr="00795225">
              <w:t>Observation/Watch and wait as standard of care (</w:t>
            </w:r>
            <w:proofErr w:type="spellStart"/>
            <w:r w:rsidRPr="00795225">
              <w:t>SoC</w:t>
            </w:r>
            <w:proofErr w:type="spellEnd"/>
            <w:r w:rsidRPr="00795225">
              <w:t>)</w:t>
            </w:r>
          </w:p>
          <w:p w:rsidR="00410F2D" w:rsidRPr="00795225" w:rsidRDefault="00410F2D" w:rsidP="000D78DD">
            <w:pPr>
              <w:pStyle w:val="Tabletext"/>
              <w:keepNext/>
            </w:pPr>
            <w:r w:rsidRPr="00795225">
              <w:t>The submission also provide</w:t>
            </w:r>
            <w:r w:rsidR="00A24547" w:rsidRPr="00795225">
              <w:t>d</w:t>
            </w:r>
            <w:r w:rsidRPr="00795225">
              <w:t xml:space="preserve"> comparisons with near market comparators:</w:t>
            </w:r>
          </w:p>
          <w:p w:rsidR="00410F2D" w:rsidRPr="00795225" w:rsidRDefault="00410F2D" w:rsidP="000D78DD">
            <w:pPr>
              <w:pStyle w:val="Tabletext"/>
              <w:keepNext/>
            </w:pPr>
            <w:proofErr w:type="spellStart"/>
            <w:r w:rsidRPr="00795225">
              <w:t>Dabrafenib</w:t>
            </w:r>
            <w:proofErr w:type="spellEnd"/>
            <w:r w:rsidRPr="00795225">
              <w:t xml:space="preserve"> plus trametinib (DAB+TRAM)</w:t>
            </w:r>
          </w:p>
          <w:p w:rsidR="00410F2D" w:rsidRPr="00795225" w:rsidRDefault="00974FE8" w:rsidP="000D78DD">
            <w:pPr>
              <w:pStyle w:val="Tabletext"/>
              <w:keepNext/>
            </w:pPr>
            <w:r w:rsidRPr="00795225">
              <w:t>Pembrolizumab</w:t>
            </w:r>
          </w:p>
        </w:tc>
      </w:tr>
      <w:tr w:rsidR="00410F2D" w:rsidRPr="00795225" w:rsidTr="000E7C11">
        <w:tc>
          <w:tcPr>
            <w:tcW w:w="846" w:type="pct"/>
            <w:shd w:val="clear" w:color="auto" w:fill="auto"/>
          </w:tcPr>
          <w:p w:rsidR="00410F2D" w:rsidRPr="00795225" w:rsidRDefault="00410F2D" w:rsidP="000D78DD">
            <w:pPr>
              <w:pStyle w:val="Tabletext"/>
              <w:keepNext/>
            </w:pPr>
            <w:r w:rsidRPr="00795225">
              <w:t>Outcomes</w:t>
            </w:r>
          </w:p>
        </w:tc>
        <w:tc>
          <w:tcPr>
            <w:tcW w:w="4154" w:type="pct"/>
            <w:shd w:val="clear" w:color="auto" w:fill="auto"/>
          </w:tcPr>
          <w:p w:rsidR="00410F2D" w:rsidRPr="00795225" w:rsidRDefault="00410F2D" w:rsidP="000D78DD">
            <w:pPr>
              <w:pStyle w:val="Tabletext"/>
              <w:keepNext/>
            </w:pPr>
            <w:r w:rsidRPr="00795225">
              <w:t>Recurrence-free survival (RFS)</w:t>
            </w:r>
          </w:p>
          <w:p w:rsidR="00B34B1E" w:rsidRPr="00795225" w:rsidRDefault="00B34B1E" w:rsidP="000D78DD">
            <w:pPr>
              <w:pStyle w:val="Tabletext"/>
              <w:keepNext/>
            </w:pPr>
            <w:r w:rsidRPr="00795225">
              <w:t>Distant metastases-free survival (DMFS)</w:t>
            </w:r>
          </w:p>
          <w:p w:rsidR="00410F2D" w:rsidRPr="00795225" w:rsidRDefault="00410F2D" w:rsidP="000D78DD">
            <w:pPr>
              <w:pStyle w:val="Tabletext"/>
              <w:keepNext/>
            </w:pPr>
            <w:r w:rsidRPr="00795225">
              <w:t>Overall survival (OS)</w:t>
            </w:r>
          </w:p>
          <w:p w:rsidR="00410F2D" w:rsidRPr="00795225" w:rsidRDefault="00410F2D" w:rsidP="000D78DD">
            <w:pPr>
              <w:pStyle w:val="Tabletext"/>
              <w:keepNext/>
            </w:pPr>
            <w:r w:rsidRPr="00795225">
              <w:t>Safety</w:t>
            </w:r>
          </w:p>
          <w:p w:rsidR="00B34B1E" w:rsidRPr="00795225" w:rsidRDefault="00410F2D" w:rsidP="000D78DD">
            <w:pPr>
              <w:pStyle w:val="Tabletext"/>
              <w:keepNext/>
            </w:pPr>
            <w:r w:rsidRPr="00795225">
              <w:t>Quality Adjusted Life Years (QALYs)</w:t>
            </w:r>
          </w:p>
        </w:tc>
      </w:tr>
      <w:tr w:rsidR="00410F2D" w:rsidRPr="00795225" w:rsidTr="000E7C11">
        <w:tc>
          <w:tcPr>
            <w:tcW w:w="846" w:type="pct"/>
            <w:shd w:val="clear" w:color="auto" w:fill="auto"/>
          </w:tcPr>
          <w:p w:rsidR="00410F2D" w:rsidRPr="00795225" w:rsidRDefault="00410F2D" w:rsidP="000D78DD">
            <w:pPr>
              <w:pStyle w:val="Tabletext"/>
              <w:keepNext/>
              <w:rPr>
                <w:highlight w:val="yellow"/>
              </w:rPr>
            </w:pPr>
            <w:r w:rsidRPr="00795225">
              <w:t>Clinical claims</w:t>
            </w:r>
          </w:p>
        </w:tc>
        <w:tc>
          <w:tcPr>
            <w:tcW w:w="4154" w:type="pct"/>
            <w:shd w:val="clear" w:color="auto" w:fill="auto"/>
          </w:tcPr>
          <w:p w:rsidR="00410F2D" w:rsidRPr="00795225" w:rsidRDefault="00410F2D" w:rsidP="000D78DD">
            <w:pPr>
              <w:pStyle w:val="Tabletext"/>
              <w:keepNext/>
            </w:pPr>
            <w:r w:rsidRPr="00795225">
              <w:t xml:space="preserve">Superior RFS and inferior safety outcomes for patients who receive adjuvant </w:t>
            </w:r>
            <w:r w:rsidR="00974FE8" w:rsidRPr="00795225">
              <w:t>nivolumab</w:t>
            </w:r>
            <w:r w:rsidRPr="00795225">
              <w:t xml:space="preserve"> compared to those who do not (i.e. placebo as a proxy for observation)</w:t>
            </w:r>
          </w:p>
          <w:p w:rsidR="00410F2D" w:rsidRPr="00795225" w:rsidRDefault="00410F2D" w:rsidP="000D78DD">
            <w:pPr>
              <w:pStyle w:val="Tabletext"/>
              <w:keepNext/>
            </w:pPr>
            <w:r w:rsidRPr="00795225">
              <w:t xml:space="preserve">Comparable RFS and superior safety outcomes for patients who receive adjuvant </w:t>
            </w:r>
            <w:r w:rsidR="00974FE8" w:rsidRPr="00795225">
              <w:t>nivolumab</w:t>
            </w:r>
            <w:r w:rsidRPr="00795225">
              <w:t xml:space="preserve"> compared to those who receive DAB+TRAM</w:t>
            </w:r>
          </w:p>
          <w:p w:rsidR="00410F2D" w:rsidRPr="00795225" w:rsidRDefault="00410F2D" w:rsidP="00974FE8">
            <w:pPr>
              <w:pStyle w:val="Tabletext"/>
              <w:keepNext/>
              <w:rPr>
                <w:highlight w:val="yellow"/>
              </w:rPr>
            </w:pPr>
            <w:r w:rsidRPr="00795225">
              <w:t xml:space="preserve">Comparable RFS and non-inferior safety outcomes for patients who receive adjuvant </w:t>
            </w:r>
            <w:r w:rsidR="00974FE8" w:rsidRPr="00795225">
              <w:t>nivolumab</w:t>
            </w:r>
            <w:r w:rsidRPr="00795225">
              <w:t xml:space="preserve"> c</w:t>
            </w:r>
            <w:r w:rsidR="00974FE8" w:rsidRPr="00795225">
              <w:t>ompared to those who receive pembrolizumab</w:t>
            </w:r>
          </w:p>
        </w:tc>
      </w:tr>
    </w:tbl>
    <w:p w:rsidR="00410F2D" w:rsidRPr="00795225" w:rsidRDefault="006A35B5" w:rsidP="008D1BDC">
      <w:pPr>
        <w:widowControl/>
        <w:rPr>
          <w:rFonts w:ascii="Arial Narrow" w:hAnsi="Arial Narrow"/>
          <w:sz w:val="18"/>
          <w:szCs w:val="18"/>
        </w:rPr>
      </w:pPr>
      <w:r w:rsidRPr="00795225">
        <w:rPr>
          <w:rFonts w:ascii="Arial Narrow" w:hAnsi="Arial Narrow"/>
          <w:sz w:val="18"/>
          <w:szCs w:val="18"/>
        </w:rPr>
        <w:t xml:space="preserve">IV = intravenous; </w:t>
      </w:r>
      <w:r w:rsidR="00974FE8" w:rsidRPr="00795225">
        <w:rPr>
          <w:rFonts w:ascii="Arial Narrow" w:hAnsi="Arial Narrow"/>
          <w:sz w:val="18"/>
          <w:szCs w:val="18"/>
        </w:rPr>
        <w:t>Q2W = every two wees</w:t>
      </w:r>
    </w:p>
    <w:p w:rsidR="00410F2D" w:rsidRPr="00795225" w:rsidRDefault="00410F2D" w:rsidP="008D1BDC">
      <w:pPr>
        <w:widowControl/>
        <w:rPr>
          <w:rFonts w:ascii="Arial Narrow" w:hAnsi="Arial Narrow"/>
          <w:sz w:val="18"/>
          <w:szCs w:val="18"/>
        </w:rPr>
      </w:pPr>
      <w:r w:rsidRPr="00795225">
        <w:rPr>
          <w:rFonts w:ascii="Arial Narrow" w:hAnsi="Arial Narrow"/>
          <w:sz w:val="18"/>
          <w:szCs w:val="18"/>
        </w:rPr>
        <w:t>Source: Table 2, p25 of the resubmission.</w:t>
      </w:r>
    </w:p>
    <w:p w:rsidR="00410F2D" w:rsidRPr="00795225" w:rsidRDefault="00410F2D" w:rsidP="008D1BDC">
      <w:pPr>
        <w:widowControl/>
        <w:rPr>
          <w:rFonts w:ascii="Arial Narrow" w:hAnsi="Arial Narrow"/>
          <w:sz w:val="18"/>
          <w:szCs w:val="18"/>
        </w:rPr>
      </w:pPr>
    </w:p>
    <w:p w:rsidR="00473393" w:rsidRPr="000E7C11" w:rsidRDefault="00410F2D" w:rsidP="000E7C11">
      <w:pPr>
        <w:pStyle w:val="PBACHeading1"/>
        <w:keepNext/>
        <w:keepLines/>
        <w:spacing w:before="100" w:beforeAutospacing="1" w:after="120"/>
      </w:pPr>
      <w:bookmarkStart w:id="2" w:name="_Toc536007250"/>
      <w:r w:rsidRPr="00795225">
        <w:lastRenderedPageBreak/>
        <w:t>Requested listing</w:t>
      </w:r>
      <w:bookmarkEnd w:id="2"/>
    </w:p>
    <w:p w:rsidR="00473393" w:rsidRPr="00795225" w:rsidRDefault="00CA7163" w:rsidP="000E7C11">
      <w:pPr>
        <w:pStyle w:val="ListParagraph"/>
        <w:keepNext/>
        <w:keepLines/>
        <w:widowControl/>
        <w:numPr>
          <w:ilvl w:val="1"/>
          <w:numId w:val="1"/>
        </w:numPr>
        <w:spacing w:before="100" w:beforeAutospacing="1"/>
        <w:rPr>
          <w:rFonts w:asciiTheme="minorHAnsi" w:hAnsiTheme="minorHAnsi" w:cstheme="minorHAnsi"/>
          <w:bCs/>
          <w:i/>
        </w:rPr>
      </w:pPr>
      <w:r w:rsidRPr="00795225">
        <w:rPr>
          <w:rFonts w:asciiTheme="minorHAnsi" w:hAnsiTheme="minorHAnsi" w:cstheme="minorHAnsi"/>
          <w:bCs/>
        </w:rPr>
        <w:t xml:space="preserve">The requested listings for nivolumab adjuvant therapy are presented below. </w:t>
      </w:r>
    </w:p>
    <w:tbl>
      <w:tblPr>
        <w:tblW w:w="9100" w:type="dxa"/>
        <w:tblBorders>
          <w:top w:val="single" w:sz="4" w:space="0" w:color="auto"/>
          <w:bottom w:val="single" w:sz="4" w:space="0" w:color="auto"/>
        </w:tblBorders>
        <w:tblLook w:val="04A0" w:firstRow="1" w:lastRow="0" w:firstColumn="1" w:lastColumn="0" w:noHBand="0" w:noVBand="1"/>
      </w:tblPr>
      <w:tblGrid>
        <w:gridCol w:w="2722"/>
        <w:gridCol w:w="1213"/>
        <w:gridCol w:w="1168"/>
        <w:gridCol w:w="2296"/>
        <w:gridCol w:w="1701"/>
      </w:tblGrid>
      <w:tr w:rsidR="00410F2D" w:rsidRPr="00795225" w:rsidTr="00974FE8">
        <w:tc>
          <w:tcPr>
            <w:tcW w:w="2722" w:type="dxa"/>
            <w:tcBorders>
              <w:top w:val="single" w:sz="4" w:space="0" w:color="auto"/>
              <w:bottom w:val="single" w:sz="4" w:space="0" w:color="auto"/>
            </w:tcBorders>
            <w:tcMar>
              <w:left w:w="28" w:type="dxa"/>
              <w:right w:w="28" w:type="dxa"/>
            </w:tcMar>
          </w:tcPr>
          <w:p w:rsidR="00410F2D" w:rsidRPr="00795225" w:rsidRDefault="00410F2D" w:rsidP="00413105">
            <w:pPr>
              <w:pStyle w:val="Tabletext"/>
              <w:keepNext/>
              <w:keepLines/>
              <w:rPr>
                <w:b/>
                <w:bCs/>
              </w:rPr>
            </w:pPr>
            <w:r w:rsidRPr="00795225">
              <w:rPr>
                <w:b/>
              </w:rPr>
              <w:t>Name, restriction, manner of administration, form</w:t>
            </w:r>
          </w:p>
        </w:tc>
        <w:tc>
          <w:tcPr>
            <w:tcW w:w="1213" w:type="dxa"/>
            <w:tcBorders>
              <w:top w:val="single" w:sz="4" w:space="0" w:color="auto"/>
              <w:bottom w:val="single" w:sz="4" w:space="0" w:color="auto"/>
            </w:tcBorders>
            <w:tcMar>
              <w:left w:w="28" w:type="dxa"/>
              <w:right w:w="28" w:type="dxa"/>
            </w:tcMar>
          </w:tcPr>
          <w:p w:rsidR="00410F2D" w:rsidRPr="00795225" w:rsidRDefault="00410F2D" w:rsidP="00413105">
            <w:pPr>
              <w:pStyle w:val="Tabletext"/>
              <w:keepNext/>
              <w:keepLines/>
              <w:jc w:val="center"/>
              <w:rPr>
                <w:b/>
                <w:bCs/>
              </w:rPr>
            </w:pPr>
            <w:r w:rsidRPr="00795225">
              <w:rPr>
                <w:b/>
              </w:rPr>
              <w:t xml:space="preserve">Maximum </w:t>
            </w:r>
            <w:r w:rsidR="00A85496" w:rsidRPr="00795225">
              <w:rPr>
                <w:b/>
              </w:rPr>
              <w:t xml:space="preserve">amount </w:t>
            </w:r>
            <w:r w:rsidRPr="00795225">
              <w:rPr>
                <w:b/>
              </w:rPr>
              <w:t>(units)</w:t>
            </w:r>
          </w:p>
        </w:tc>
        <w:tc>
          <w:tcPr>
            <w:tcW w:w="1168" w:type="dxa"/>
            <w:tcBorders>
              <w:top w:val="single" w:sz="4" w:space="0" w:color="auto"/>
              <w:bottom w:val="single" w:sz="4" w:space="0" w:color="auto"/>
            </w:tcBorders>
            <w:tcMar>
              <w:left w:w="28" w:type="dxa"/>
              <w:right w:w="28" w:type="dxa"/>
            </w:tcMar>
          </w:tcPr>
          <w:p w:rsidR="00410F2D" w:rsidRPr="00795225" w:rsidRDefault="00410F2D" w:rsidP="00413105">
            <w:pPr>
              <w:pStyle w:val="Tabletext"/>
              <w:keepNext/>
              <w:keepLines/>
              <w:jc w:val="center"/>
              <w:rPr>
                <w:b/>
                <w:bCs/>
              </w:rPr>
            </w:pPr>
            <w:r w:rsidRPr="00795225">
              <w:rPr>
                <w:b/>
              </w:rPr>
              <w:t>No. of repeats</w:t>
            </w:r>
          </w:p>
        </w:tc>
        <w:tc>
          <w:tcPr>
            <w:tcW w:w="2296" w:type="dxa"/>
            <w:tcBorders>
              <w:top w:val="single" w:sz="4" w:space="0" w:color="auto"/>
              <w:bottom w:val="single" w:sz="4" w:space="0" w:color="auto"/>
            </w:tcBorders>
            <w:tcMar>
              <w:left w:w="28" w:type="dxa"/>
              <w:right w:w="28" w:type="dxa"/>
            </w:tcMar>
          </w:tcPr>
          <w:p w:rsidR="00410F2D" w:rsidRPr="00795225" w:rsidRDefault="00410F2D" w:rsidP="00413105">
            <w:pPr>
              <w:pStyle w:val="Tabletext"/>
              <w:keepNext/>
              <w:keepLines/>
              <w:jc w:val="center"/>
              <w:rPr>
                <w:b/>
                <w:bCs/>
                <w:vertAlign w:val="superscript"/>
              </w:rPr>
            </w:pPr>
            <w:r w:rsidRPr="00795225">
              <w:rPr>
                <w:b/>
              </w:rPr>
              <w:t xml:space="preserve">Dispensed price for maximum </w:t>
            </w:r>
            <w:proofErr w:type="spellStart"/>
            <w:r w:rsidR="00A85496" w:rsidRPr="00795225">
              <w:rPr>
                <w:b/>
              </w:rPr>
              <w:t>amount</w:t>
            </w:r>
            <w:r w:rsidR="00A85496" w:rsidRPr="00795225">
              <w:rPr>
                <w:b/>
                <w:vertAlign w:val="superscript"/>
              </w:rPr>
              <w:t>a</w:t>
            </w:r>
            <w:proofErr w:type="spellEnd"/>
          </w:p>
        </w:tc>
        <w:tc>
          <w:tcPr>
            <w:tcW w:w="1701" w:type="dxa"/>
            <w:tcBorders>
              <w:top w:val="single" w:sz="4" w:space="0" w:color="auto"/>
              <w:bottom w:val="single" w:sz="4" w:space="0" w:color="auto"/>
            </w:tcBorders>
            <w:tcMar>
              <w:left w:w="28" w:type="dxa"/>
              <w:right w:w="28" w:type="dxa"/>
            </w:tcMar>
          </w:tcPr>
          <w:p w:rsidR="00410F2D" w:rsidRPr="00795225" w:rsidRDefault="00410F2D" w:rsidP="00413105">
            <w:pPr>
              <w:pStyle w:val="Tabletext"/>
              <w:keepNext/>
              <w:keepLines/>
              <w:jc w:val="center"/>
              <w:rPr>
                <w:b/>
                <w:bCs/>
              </w:rPr>
            </w:pPr>
            <w:r w:rsidRPr="00795225">
              <w:rPr>
                <w:b/>
              </w:rPr>
              <w:t>Proprietary name and manufacturer</w:t>
            </w:r>
          </w:p>
        </w:tc>
      </w:tr>
      <w:tr w:rsidR="007833FB" w:rsidRPr="00795225" w:rsidTr="00974FE8">
        <w:tc>
          <w:tcPr>
            <w:tcW w:w="2722" w:type="dxa"/>
            <w:tcBorders>
              <w:top w:val="single" w:sz="4" w:space="0" w:color="auto"/>
            </w:tcBorders>
            <w:tcMar>
              <w:left w:w="28" w:type="dxa"/>
              <w:right w:w="28" w:type="dxa"/>
            </w:tcMar>
          </w:tcPr>
          <w:p w:rsidR="007833FB" w:rsidRPr="00795225" w:rsidRDefault="007833FB" w:rsidP="00413105">
            <w:pPr>
              <w:pStyle w:val="Tabletext"/>
              <w:keepNext/>
              <w:keepLines/>
            </w:pPr>
            <w:r w:rsidRPr="00795225">
              <w:t>NIVOLUMAB</w:t>
            </w:r>
          </w:p>
          <w:p w:rsidR="007833FB" w:rsidRPr="00795225" w:rsidRDefault="007833FB" w:rsidP="00413105">
            <w:pPr>
              <w:pStyle w:val="Tabletext"/>
              <w:keepNext/>
              <w:keepLines/>
            </w:pPr>
            <w:r w:rsidRPr="00795225">
              <w:t>40 mg/4 mL injection, 10 mL vial</w:t>
            </w:r>
          </w:p>
          <w:p w:rsidR="007833FB" w:rsidRPr="00795225" w:rsidRDefault="007833FB" w:rsidP="00413105">
            <w:pPr>
              <w:pStyle w:val="Tabletext"/>
              <w:keepNext/>
              <w:keepLines/>
              <w:rPr>
                <w:bCs/>
              </w:rPr>
            </w:pPr>
            <w:r w:rsidRPr="00795225">
              <w:rPr>
                <w:bCs/>
              </w:rPr>
              <w:t>100 mg/10 mL injection, 10 mL vial</w:t>
            </w:r>
          </w:p>
          <w:p w:rsidR="007833FB" w:rsidRPr="00795225" w:rsidRDefault="007833FB" w:rsidP="00413105">
            <w:pPr>
              <w:pStyle w:val="Tabletext"/>
              <w:keepNext/>
              <w:keepLines/>
              <w:rPr>
                <w:bCs/>
              </w:rPr>
            </w:pPr>
          </w:p>
        </w:tc>
        <w:tc>
          <w:tcPr>
            <w:tcW w:w="1213" w:type="dxa"/>
            <w:tcBorders>
              <w:top w:val="single" w:sz="4" w:space="0" w:color="auto"/>
            </w:tcBorders>
            <w:tcMar>
              <w:left w:w="28" w:type="dxa"/>
              <w:right w:w="28" w:type="dxa"/>
            </w:tcMar>
          </w:tcPr>
          <w:p w:rsidR="007833FB" w:rsidRPr="00795225" w:rsidRDefault="007833FB" w:rsidP="00413105">
            <w:pPr>
              <w:pStyle w:val="Tabletext"/>
              <w:keepNext/>
              <w:keepLines/>
              <w:jc w:val="center"/>
            </w:pPr>
            <w:r w:rsidRPr="00795225">
              <w:t>360 mg</w:t>
            </w:r>
          </w:p>
        </w:tc>
        <w:tc>
          <w:tcPr>
            <w:tcW w:w="1168" w:type="dxa"/>
            <w:tcBorders>
              <w:top w:val="single" w:sz="4" w:space="0" w:color="auto"/>
            </w:tcBorders>
            <w:tcMar>
              <w:left w:w="28" w:type="dxa"/>
              <w:right w:w="28" w:type="dxa"/>
            </w:tcMar>
          </w:tcPr>
          <w:p w:rsidR="007833FB" w:rsidRPr="00795225" w:rsidRDefault="004A1B7C" w:rsidP="00413105">
            <w:pPr>
              <w:pStyle w:val="Tabletext"/>
              <w:keepNext/>
              <w:keepLines/>
              <w:jc w:val="center"/>
            </w:pPr>
            <w:r w:rsidRPr="00795225">
              <w:t>Initial: 8</w:t>
            </w:r>
          </w:p>
          <w:p w:rsidR="004A1B7C" w:rsidRPr="00795225" w:rsidRDefault="004A1B7C" w:rsidP="00413105">
            <w:pPr>
              <w:pStyle w:val="Tabletext"/>
              <w:keepNext/>
              <w:keepLines/>
              <w:jc w:val="center"/>
            </w:pPr>
            <w:r w:rsidRPr="00795225">
              <w:t>Continuing: 11</w:t>
            </w:r>
          </w:p>
        </w:tc>
        <w:tc>
          <w:tcPr>
            <w:tcW w:w="2296" w:type="dxa"/>
            <w:tcBorders>
              <w:top w:val="single" w:sz="4" w:space="0" w:color="auto"/>
            </w:tcBorders>
            <w:tcMar>
              <w:left w:w="28" w:type="dxa"/>
              <w:right w:w="28" w:type="dxa"/>
            </w:tcMar>
          </w:tcPr>
          <w:p w:rsidR="007833FB" w:rsidRPr="00795225" w:rsidRDefault="007833FB" w:rsidP="00413105">
            <w:pPr>
              <w:pStyle w:val="Tabletext"/>
              <w:keepNext/>
              <w:keepLines/>
            </w:pPr>
            <w:r w:rsidRPr="00795225">
              <w:t>Public Hospital</w:t>
            </w:r>
          </w:p>
          <w:p w:rsidR="007833FB" w:rsidRPr="00795225" w:rsidRDefault="007833FB" w:rsidP="00413105">
            <w:pPr>
              <w:pStyle w:val="Tabletext"/>
              <w:keepNext/>
              <w:keepLines/>
            </w:pPr>
            <w:r w:rsidRPr="00795225">
              <w:t>$7,560.74 (published price)</w:t>
            </w:r>
          </w:p>
          <w:p w:rsidR="007833FB" w:rsidRPr="00795225" w:rsidRDefault="007833FB" w:rsidP="00413105">
            <w:pPr>
              <w:pStyle w:val="Tabletext"/>
              <w:keepNext/>
              <w:keepLines/>
            </w:pPr>
            <w:r w:rsidRPr="00795225">
              <w:t>$</w:t>
            </w:r>
            <w:r w:rsidR="002B3E82">
              <w:rPr>
                <w:noProof/>
                <w:color w:val="000000"/>
                <w:highlight w:val="black"/>
              </w:rPr>
              <w:t>'''''''''''''''''''''</w:t>
            </w:r>
            <w:r w:rsidRPr="00795225">
              <w:t xml:space="preserve"> (effective price)</w:t>
            </w:r>
          </w:p>
          <w:p w:rsidR="007833FB" w:rsidRPr="00795225" w:rsidRDefault="007833FB" w:rsidP="00413105">
            <w:pPr>
              <w:pStyle w:val="Tabletext"/>
              <w:keepNext/>
              <w:keepLines/>
            </w:pPr>
          </w:p>
          <w:p w:rsidR="007833FB" w:rsidRPr="00795225" w:rsidRDefault="007833FB" w:rsidP="00413105">
            <w:pPr>
              <w:pStyle w:val="Tabletext"/>
              <w:keepNext/>
              <w:keepLines/>
            </w:pPr>
            <w:r w:rsidRPr="00795225">
              <w:t>Private Hospital</w:t>
            </w:r>
          </w:p>
          <w:p w:rsidR="007833FB" w:rsidRPr="00795225" w:rsidRDefault="007833FB" w:rsidP="00413105">
            <w:pPr>
              <w:pStyle w:val="Tabletext"/>
              <w:keepNext/>
              <w:keepLines/>
            </w:pPr>
            <w:r w:rsidRPr="00795225">
              <w:t>$7,704,62 (published price)</w:t>
            </w:r>
          </w:p>
          <w:p w:rsidR="007833FB" w:rsidRPr="00795225" w:rsidRDefault="007833FB" w:rsidP="00413105">
            <w:pPr>
              <w:pStyle w:val="Tabletext"/>
              <w:keepNext/>
              <w:keepLines/>
              <w:rPr>
                <w:rFonts w:ascii="Times" w:hAnsi="Times"/>
                <w:i/>
              </w:rPr>
            </w:pPr>
            <w:r w:rsidRPr="00795225">
              <w:t>$</w:t>
            </w:r>
            <w:r w:rsidR="002B3E82">
              <w:rPr>
                <w:noProof/>
                <w:color w:val="000000"/>
                <w:highlight w:val="black"/>
              </w:rPr>
              <w:t>''''''''''''''''''''</w:t>
            </w:r>
            <w:r w:rsidRPr="00795225">
              <w:t xml:space="preserve"> (effective price)</w:t>
            </w:r>
          </w:p>
        </w:tc>
        <w:tc>
          <w:tcPr>
            <w:tcW w:w="1701" w:type="dxa"/>
            <w:tcBorders>
              <w:top w:val="single" w:sz="4" w:space="0" w:color="auto"/>
            </w:tcBorders>
            <w:tcMar>
              <w:left w:w="28" w:type="dxa"/>
              <w:right w:w="28" w:type="dxa"/>
            </w:tcMar>
          </w:tcPr>
          <w:p w:rsidR="007833FB" w:rsidRPr="00795225" w:rsidRDefault="007833FB" w:rsidP="00413105">
            <w:pPr>
              <w:pStyle w:val="Tabletext"/>
              <w:keepNext/>
              <w:keepLines/>
              <w:rPr>
                <w:vertAlign w:val="superscript"/>
              </w:rPr>
            </w:pPr>
            <w:proofErr w:type="spellStart"/>
            <w:r w:rsidRPr="00795225">
              <w:t>Opdivo</w:t>
            </w:r>
            <w:proofErr w:type="spellEnd"/>
            <w:r w:rsidRPr="00795225">
              <w:rPr>
                <w:vertAlign w:val="superscript"/>
              </w:rPr>
              <w:t>®</w:t>
            </w:r>
          </w:p>
          <w:p w:rsidR="00CA7163" w:rsidRPr="00795225" w:rsidRDefault="00CA7163" w:rsidP="00413105">
            <w:pPr>
              <w:pStyle w:val="Tabletext"/>
              <w:keepNext/>
              <w:keepLines/>
              <w:rPr>
                <w:vertAlign w:val="superscript"/>
              </w:rPr>
            </w:pPr>
          </w:p>
          <w:p w:rsidR="007833FB" w:rsidRPr="00795225" w:rsidRDefault="007833FB" w:rsidP="00413105">
            <w:pPr>
              <w:pStyle w:val="Tabletext"/>
              <w:keepNext/>
              <w:keepLines/>
              <w:rPr>
                <w:rFonts w:ascii="Times" w:hAnsi="Times"/>
              </w:rPr>
            </w:pPr>
            <w:r w:rsidRPr="00795225">
              <w:t>Bristol Myers Squibb</w:t>
            </w:r>
          </w:p>
        </w:tc>
      </w:tr>
    </w:tbl>
    <w:p w:rsidR="00410F2D" w:rsidRPr="00795225" w:rsidRDefault="00410F2D" w:rsidP="008D1BDC">
      <w:pPr>
        <w:widowControl/>
        <w:rPr>
          <w:rFonts w:ascii="Arial Narrow" w:hAnsi="Arial Narrow"/>
          <w:sz w:val="18"/>
          <w:szCs w:val="18"/>
        </w:rPr>
      </w:pPr>
      <w:proofErr w:type="spellStart"/>
      <w:r w:rsidRPr="00795225">
        <w:rPr>
          <w:rFonts w:ascii="Arial Narrow" w:hAnsi="Arial Narrow"/>
          <w:sz w:val="18"/>
          <w:szCs w:val="18"/>
          <w:vertAlign w:val="superscript"/>
        </w:rPr>
        <w:t>a</w:t>
      </w:r>
      <w:proofErr w:type="spellEnd"/>
      <w:r w:rsidRPr="00795225">
        <w:rPr>
          <w:rFonts w:ascii="Arial Narrow" w:hAnsi="Arial Narrow"/>
          <w:sz w:val="18"/>
          <w:szCs w:val="18"/>
          <w:vertAlign w:val="superscript"/>
        </w:rPr>
        <w:t xml:space="preserve"> </w:t>
      </w:r>
      <w:r w:rsidRPr="00795225">
        <w:rPr>
          <w:rFonts w:ascii="Arial Narrow" w:hAnsi="Arial Narrow"/>
          <w:sz w:val="18"/>
          <w:szCs w:val="18"/>
        </w:rPr>
        <w:t>Does not include the $20 TGA Licensed Compounder fee</w:t>
      </w:r>
    </w:p>
    <w:p w:rsidR="00410F2D" w:rsidRPr="00795225" w:rsidRDefault="00410F2D" w:rsidP="008D1BDC">
      <w:pPr>
        <w:widowControl/>
        <w:rPr>
          <w:rFonts w:ascii="Arial Narrow" w:hAnsi="Arial Narrow"/>
          <w:sz w:val="18"/>
          <w:szCs w:val="18"/>
        </w:rPr>
      </w:pPr>
    </w:p>
    <w:tbl>
      <w:tblPr>
        <w:tblW w:w="9072" w:type="dxa"/>
        <w:tblInd w:w="-5" w:type="dxa"/>
        <w:tblLayout w:type="fixed"/>
        <w:tblLook w:val="0000" w:firstRow="0" w:lastRow="0" w:firstColumn="0" w:lastColumn="0" w:noHBand="0" w:noVBand="0"/>
      </w:tblPr>
      <w:tblGrid>
        <w:gridCol w:w="2268"/>
        <w:gridCol w:w="6804"/>
      </w:tblGrid>
      <w:tr w:rsidR="00410F2D" w:rsidRPr="00795225" w:rsidTr="00B375C8">
        <w:trPr>
          <w:cantSplit/>
          <w:trHeight w:val="101"/>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Category/Program:</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t>Section 100 Efficient Funding of Chemotherapy</w:t>
            </w:r>
          </w:p>
        </w:tc>
      </w:tr>
      <w:tr w:rsidR="00410F2D" w:rsidRPr="00795225" w:rsidTr="00B375C8">
        <w:trPr>
          <w:cantSplit/>
          <w:trHeight w:val="148"/>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Prescriber type:</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fldChar w:fldCharType="begin">
                <w:ffData>
                  <w:name w:val="Check1"/>
                  <w:enabled/>
                  <w:calcOnExit w:val="0"/>
                  <w:checkBox>
                    <w:sizeAuto/>
                    <w:default w:val="0"/>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 xml:space="preserve">Dental </w:t>
            </w:r>
            <w:r w:rsidRPr="00795225">
              <w:rPr>
                <w:rFonts w:eastAsia="Calibri"/>
              </w:rPr>
              <w:fldChar w:fldCharType="begin">
                <w:ffData>
                  <w:name w:val=""/>
                  <w:enabled/>
                  <w:calcOnExit w:val="0"/>
                  <w:checkBox>
                    <w:sizeAuto/>
                    <w:default w:val="1"/>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 xml:space="preserve">Medical Practitioners </w:t>
            </w:r>
            <w:r w:rsidRPr="00795225">
              <w:rPr>
                <w:rFonts w:eastAsia="Calibri"/>
              </w:rPr>
              <w:fldChar w:fldCharType="begin">
                <w:ffData>
                  <w:name w:val="Check3"/>
                  <w:enabled/>
                  <w:calcOnExit w:val="0"/>
                  <w:checkBox>
                    <w:sizeAuto/>
                    <w:default w:val="0"/>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Nurse practitioners</w:t>
            </w:r>
            <w:r w:rsidR="00C35B97" w:rsidRPr="00795225">
              <w:rPr>
                <w:rFonts w:eastAsia="Calibri"/>
              </w:rPr>
              <w:t xml:space="preserve"> </w:t>
            </w:r>
            <w:r w:rsidRPr="00795225">
              <w:rPr>
                <w:rFonts w:eastAsia="Calibri"/>
              </w:rPr>
              <w:fldChar w:fldCharType="begin">
                <w:ffData>
                  <w:name w:val=""/>
                  <w:enabled/>
                  <w:calcOnExit w:val="0"/>
                  <w:checkBox>
                    <w:sizeAuto/>
                    <w:default w:val="0"/>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 xml:space="preserve">Optometrists </w:t>
            </w:r>
            <w:r w:rsidRPr="00795225">
              <w:rPr>
                <w:rFonts w:eastAsia="Calibri"/>
              </w:rPr>
              <w:fldChar w:fldCharType="begin">
                <w:ffData>
                  <w:name w:val="Check5"/>
                  <w:enabled/>
                  <w:calcOnExit w:val="0"/>
                  <w:checkBox>
                    <w:sizeAuto/>
                    <w:default w:val="0"/>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Midwives</w:t>
            </w:r>
          </w:p>
        </w:tc>
      </w:tr>
      <w:tr w:rsidR="00410F2D" w:rsidRPr="00795225" w:rsidTr="00B375C8">
        <w:trPr>
          <w:cantSplit/>
          <w:trHeight w:val="193"/>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Condition:</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t>Malignant melanoma</w:t>
            </w:r>
          </w:p>
        </w:tc>
      </w:tr>
      <w:tr w:rsidR="00410F2D" w:rsidRPr="00795225" w:rsidTr="00B375C8">
        <w:trPr>
          <w:cantSplit/>
          <w:trHeight w:val="98"/>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PBS indication:</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t>Stage III or IV melanoma</w:t>
            </w:r>
            <w:r w:rsidRPr="00795225">
              <w:t xml:space="preserve"> that is </w:t>
            </w:r>
            <w:r w:rsidRPr="00795225">
              <w:rPr>
                <w:rFonts w:eastAsia="Calibri"/>
              </w:rPr>
              <w:t>completely surgically resected</w:t>
            </w:r>
          </w:p>
        </w:tc>
      </w:tr>
      <w:tr w:rsidR="00410F2D" w:rsidRPr="00795225" w:rsidTr="00B375C8">
        <w:trPr>
          <w:cantSplit/>
          <w:trHeight w:val="60"/>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Treatment phase:</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410F2D" w:rsidP="00B375C8">
            <w:pPr>
              <w:pStyle w:val="Tabletext"/>
              <w:rPr>
                <w:rFonts w:eastAsia="Calibri"/>
              </w:rPr>
            </w:pPr>
            <w:r w:rsidRPr="00795225">
              <w:rPr>
                <w:rFonts w:eastAsia="Calibri"/>
              </w:rPr>
              <w:t>Initial treatment</w:t>
            </w:r>
          </w:p>
        </w:tc>
      </w:tr>
      <w:tr w:rsidR="00410F2D" w:rsidRPr="00795225" w:rsidTr="00B375C8">
        <w:trPr>
          <w:cantSplit/>
          <w:trHeight w:val="103"/>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Restriction level/ Method:</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fldChar w:fldCharType="begin">
                <w:ffData>
                  <w:name w:val=""/>
                  <w:enabled/>
                  <w:calcOnExit w:val="0"/>
                  <w:checkBox>
                    <w:sizeAuto/>
                    <w:default w:val="1"/>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Streamlined</w:t>
            </w:r>
          </w:p>
        </w:tc>
      </w:tr>
      <w:tr w:rsidR="00410F2D" w:rsidRPr="00795225" w:rsidTr="00E03FF7">
        <w:trPr>
          <w:cantSplit/>
          <w:trHeight w:val="1493"/>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Clinical criteria:</w:t>
            </w:r>
          </w:p>
          <w:p w:rsidR="00410F2D" w:rsidRPr="00795225" w:rsidRDefault="00410F2D" w:rsidP="008D1BDC">
            <w:pPr>
              <w:pStyle w:val="Tabletext"/>
              <w:rPr>
                <w:rFonts w:eastAsia="Calibri"/>
                <w:b/>
              </w:rPr>
            </w:pP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pPr>
            <w:r w:rsidRPr="00795225">
              <w:t>The patient must have histologically confirmed melanoma that is completely surgically resected; i.e., the patient must have been surgically rendered free of disease with negative margins on resected specimens</w:t>
            </w:r>
          </w:p>
          <w:p w:rsidR="00410F2D" w:rsidRPr="00795225" w:rsidRDefault="00410F2D" w:rsidP="008D1BDC">
            <w:pPr>
              <w:pStyle w:val="Tabletext"/>
            </w:pPr>
            <w:r w:rsidRPr="00795225">
              <w:t>AND</w:t>
            </w:r>
          </w:p>
          <w:p w:rsidR="00410F2D" w:rsidRPr="00795225" w:rsidRDefault="00410F2D" w:rsidP="008D1BDC">
            <w:pPr>
              <w:pStyle w:val="Tabletext"/>
            </w:pPr>
            <w:r w:rsidRPr="00795225">
              <w:t xml:space="preserve">The treatment must be as adjuvant therapy adjunctive to current standard care, </w:t>
            </w:r>
          </w:p>
          <w:p w:rsidR="00410F2D" w:rsidRPr="00795225" w:rsidRDefault="00410F2D" w:rsidP="008D1BDC">
            <w:pPr>
              <w:pStyle w:val="Tabletext"/>
            </w:pPr>
            <w:r w:rsidRPr="00795225">
              <w:t>AND</w:t>
            </w:r>
          </w:p>
          <w:p w:rsidR="00410F2D" w:rsidRPr="00795225" w:rsidRDefault="00410F2D" w:rsidP="008D1BDC">
            <w:pPr>
              <w:pStyle w:val="Tabletext"/>
            </w:pPr>
            <w:r w:rsidRPr="00795225">
              <w:t>The patient must  have an Eastern Cooperative Oncology Group (ECOG) performance status of 0 or 1,</w:t>
            </w:r>
          </w:p>
          <w:p w:rsidR="00410F2D" w:rsidRPr="00795225" w:rsidRDefault="00410F2D" w:rsidP="008D1BDC">
            <w:pPr>
              <w:pStyle w:val="Tabletext"/>
              <w:rPr>
                <w:strike/>
              </w:rPr>
            </w:pPr>
            <w:r w:rsidRPr="00795225">
              <w:rPr>
                <w:strike/>
              </w:rPr>
              <w:t>AND</w:t>
            </w:r>
          </w:p>
          <w:p w:rsidR="00410F2D" w:rsidRPr="00795225" w:rsidRDefault="00410F2D" w:rsidP="008D1BDC">
            <w:pPr>
              <w:pStyle w:val="Tabletext"/>
            </w:pPr>
            <w:r w:rsidRPr="00795225">
              <w:rPr>
                <w:strike/>
              </w:rPr>
              <w:t>The patient must not have received prior treatment with a PD-1 inhibitor for this condition,</w:t>
            </w:r>
          </w:p>
          <w:p w:rsidR="00410F2D" w:rsidRPr="00795225" w:rsidRDefault="00410F2D" w:rsidP="008D1BDC">
            <w:pPr>
              <w:pStyle w:val="Tabletext"/>
            </w:pPr>
            <w:r w:rsidRPr="00795225">
              <w:t xml:space="preserve">AND </w:t>
            </w:r>
          </w:p>
          <w:p w:rsidR="00410F2D" w:rsidRPr="00795225" w:rsidRDefault="00410F2D" w:rsidP="008D1BDC">
            <w:pPr>
              <w:pStyle w:val="Tabletext"/>
              <w:rPr>
                <w:rFonts w:eastAsia="Calibri"/>
              </w:rPr>
            </w:pPr>
            <w:r w:rsidRPr="00795225">
              <w:t>The patient must not have uveal melanoma.</w:t>
            </w:r>
          </w:p>
        </w:tc>
      </w:tr>
      <w:tr w:rsidR="00410F2D" w:rsidRPr="00795225" w:rsidTr="00B375C8">
        <w:trPr>
          <w:cantSplit/>
          <w:trHeight w:val="736"/>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Notes:</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t>Complete resection of Stage III disease must be documented on the surgical and pathology reports</w:t>
            </w:r>
          </w:p>
          <w:p w:rsidR="00410F2D" w:rsidRPr="00795225" w:rsidRDefault="00410F2D" w:rsidP="008D1BDC">
            <w:pPr>
              <w:pStyle w:val="Tabletext"/>
              <w:rPr>
                <w:rFonts w:eastAsia="Calibri"/>
              </w:rPr>
            </w:pPr>
            <w:r w:rsidRPr="00795225">
              <w:rPr>
                <w:rFonts w:eastAsia="Calibri"/>
              </w:rPr>
              <w:t>Complete resection of Stage IV disease with margins negative for disease must be documented on the pathology report.</w:t>
            </w:r>
          </w:p>
        </w:tc>
      </w:tr>
    </w:tbl>
    <w:p w:rsidR="00861DFF" w:rsidRPr="00795225" w:rsidRDefault="00861DFF" w:rsidP="00133D62"/>
    <w:tbl>
      <w:tblPr>
        <w:tblW w:w="9072" w:type="dxa"/>
        <w:tblInd w:w="-5" w:type="dxa"/>
        <w:tblLayout w:type="fixed"/>
        <w:tblLook w:val="0000" w:firstRow="0" w:lastRow="0" w:firstColumn="0" w:lastColumn="0" w:noHBand="0" w:noVBand="0"/>
      </w:tblPr>
      <w:tblGrid>
        <w:gridCol w:w="2268"/>
        <w:gridCol w:w="6804"/>
      </w:tblGrid>
      <w:tr w:rsidR="00410F2D" w:rsidRPr="00795225" w:rsidTr="00B375C8">
        <w:trPr>
          <w:cantSplit/>
          <w:trHeight w:val="147"/>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Treatment phase:</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t>Continuing treatment</w:t>
            </w:r>
          </w:p>
        </w:tc>
      </w:tr>
      <w:tr w:rsidR="00410F2D" w:rsidRPr="00795225" w:rsidTr="00B375C8">
        <w:trPr>
          <w:cantSplit/>
          <w:trHeight w:val="193"/>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Restriction level/ Method:</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fldChar w:fldCharType="begin">
                <w:ffData>
                  <w:name w:val=""/>
                  <w:enabled/>
                  <w:calcOnExit w:val="0"/>
                  <w:checkBox>
                    <w:sizeAuto/>
                    <w:default w:val="1"/>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Streamlined</w:t>
            </w:r>
          </w:p>
        </w:tc>
      </w:tr>
      <w:tr w:rsidR="00410F2D" w:rsidRPr="00795225" w:rsidTr="00E03FF7">
        <w:trPr>
          <w:cantSplit/>
          <w:trHeight w:val="360"/>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b/>
              </w:rPr>
            </w:pPr>
            <w:r w:rsidRPr="00795225">
              <w:rPr>
                <w:rFonts w:eastAsia="Calibri"/>
                <w:b/>
              </w:rPr>
              <w:t>Clinical criteria:</w:t>
            </w:r>
          </w:p>
          <w:p w:rsidR="00410F2D" w:rsidRPr="00795225" w:rsidRDefault="00410F2D" w:rsidP="008D1BDC">
            <w:pPr>
              <w:pStyle w:val="Tabletext"/>
              <w:rPr>
                <w:rFonts w:eastAsia="Calibri"/>
                <w:b/>
              </w:rPr>
            </w:pP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8D1BDC">
            <w:pPr>
              <w:pStyle w:val="Tabletext"/>
              <w:rPr>
                <w:rFonts w:eastAsia="Calibri"/>
              </w:rPr>
            </w:pPr>
            <w:r w:rsidRPr="00795225">
              <w:rPr>
                <w:rFonts w:eastAsia="Calibri"/>
              </w:rPr>
              <w:t>Patient must have previously been issued with an authority prescription to receive this drug as adjuvant therapy for this condition</w:t>
            </w:r>
          </w:p>
          <w:p w:rsidR="00410F2D" w:rsidRPr="00795225" w:rsidRDefault="00410F2D" w:rsidP="008D1BDC">
            <w:pPr>
              <w:pStyle w:val="Tabletext"/>
              <w:rPr>
                <w:rFonts w:eastAsia="Calibri"/>
              </w:rPr>
            </w:pPr>
            <w:r w:rsidRPr="00795225">
              <w:rPr>
                <w:rFonts w:eastAsia="Calibri"/>
              </w:rPr>
              <w:t>AND</w:t>
            </w:r>
          </w:p>
          <w:p w:rsidR="00410F2D" w:rsidRPr="00795225" w:rsidRDefault="00410F2D" w:rsidP="008D1BDC">
            <w:pPr>
              <w:pStyle w:val="Tabletext"/>
              <w:rPr>
                <w:rFonts w:eastAsia="Calibri"/>
              </w:rPr>
            </w:pPr>
            <w:r w:rsidRPr="00795225">
              <w:rPr>
                <w:rFonts w:eastAsia="Calibri"/>
              </w:rPr>
              <w:t>Patient must not have developed recurrent disease while receiving treatment as adjuvant therapy</w:t>
            </w:r>
          </w:p>
          <w:p w:rsidR="00410F2D" w:rsidRPr="00795225" w:rsidRDefault="00410F2D" w:rsidP="008D1BDC">
            <w:pPr>
              <w:pStyle w:val="Tabletext"/>
              <w:rPr>
                <w:rFonts w:eastAsia="Calibri"/>
              </w:rPr>
            </w:pPr>
            <w:r w:rsidRPr="00795225">
              <w:rPr>
                <w:rFonts w:eastAsia="Calibri"/>
              </w:rPr>
              <w:t>AND</w:t>
            </w:r>
          </w:p>
          <w:p w:rsidR="00410F2D" w:rsidRPr="00795225" w:rsidRDefault="00410F2D" w:rsidP="008D1BDC">
            <w:pPr>
              <w:pStyle w:val="Tabletext"/>
              <w:rPr>
                <w:rFonts w:eastAsia="Calibri"/>
              </w:rPr>
            </w:pPr>
            <w:r w:rsidRPr="00795225">
              <w:rPr>
                <w:rFonts w:eastAsia="Calibri"/>
              </w:rPr>
              <w:t>The treatment must not exceed a dose of 3 mg per kg every 2 weeks for a period of 12 months in total (initial plus continuing therapy)</w:t>
            </w:r>
          </w:p>
        </w:tc>
      </w:tr>
    </w:tbl>
    <w:p w:rsidR="00426AF7" w:rsidRPr="00795225" w:rsidRDefault="00426AF7"/>
    <w:tbl>
      <w:tblPr>
        <w:tblW w:w="9072" w:type="dxa"/>
        <w:tblInd w:w="-5" w:type="dxa"/>
        <w:tblLayout w:type="fixed"/>
        <w:tblLook w:val="0000" w:firstRow="0" w:lastRow="0" w:firstColumn="0" w:lastColumn="0" w:noHBand="0" w:noVBand="0"/>
      </w:tblPr>
      <w:tblGrid>
        <w:gridCol w:w="2268"/>
        <w:gridCol w:w="6804"/>
      </w:tblGrid>
      <w:tr w:rsidR="00410F2D" w:rsidRPr="00795225" w:rsidTr="00B375C8">
        <w:trPr>
          <w:cantSplit/>
          <w:trHeight w:val="72"/>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413105">
            <w:pPr>
              <w:pStyle w:val="Tabletext"/>
              <w:keepNext/>
              <w:keepLines/>
              <w:rPr>
                <w:rFonts w:eastAsia="Calibri"/>
                <w:b/>
              </w:rPr>
            </w:pPr>
            <w:r w:rsidRPr="00795225">
              <w:rPr>
                <w:rFonts w:eastAsia="Calibri"/>
                <w:b/>
              </w:rPr>
              <w:lastRenderedPageBreak/>
              <w:t>Treatment phase:</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413105">
            <w:pPr>
              <w:pStyle w:val="Tabletext"/>
              <w:keepNext/>
              <w:keepLines/>
              <w:rPr>
                <w:rFonts w:eastAsia="Calibri"/>
              </w:rPr>
            </w:pPr>
            <w:r w:rsidRPr="00795225">
              <w:rPr>
                <w:rFonts w:eastAsia="Calibri"/>
              </w:rPr>
              <w:t>Grandfather treatment</w:t>
            </w:r>
          </w:p>
        </w:tc>
      </w:tr>
      <w:tr w:rsidR="00410F2D" w:rsidRPr="00795225" w:rsidTr="00B375C8">
        <w:trPr>
          <w:cantSplit/>
          <w:trHeight w:val="117"/>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413105">
            <w:pPr>
              <w:pStyle w:val="Tabletext"/>
              <w:keepNext/>
              <w:keepLines/>
              <w:rPr>
                <w:rFonts w:eastAsia="Calibri"/>
                <w:b/>
              </w:rPr>
            </w:pPr>
            <w:r w:rsidRPr="00795225">
              <w:rPr>
                <w:rFonts w:eastAsia="Calibri"/>
                <w:b/>
              </w:rPr>
              <w:t>Restriction level/ Method:</w:t>
            </w: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413105">
            <w:pPr>
              <w:pStyle w:val="Tabletext"/>
              <w:keepNext/>
              <w:keepLines/>
              <w:rPr>
                <w:rFonts w:eastAsia="Calibri"/>
              </w:rPr>
            </w:pPr>
            <w:r w:rsidRPr="00795225">
              <w:rPr>
                <w:rFonts w:eastAsia="Calibri"/>
              </w:rPr>
              <w:fldChar w:fldCharType="begin">
                <w:ffData>
                  <w:name w:val=""/>
                  <w:enabled/>
                  <w:calcOnExit w:val="0"/>
                  <w:checkBox>
                    <w:sizeAuto/>
                    <w:default w:val="1"/>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Streamlined</w:t>
            </w:r>
          </w:p>
        </w:tc>
      </w:tr>
      <w:tr w:rsidR="00410F2D" w:rsidRPr="00795225" w:rsidTr="00E03FF7">
        <w:trPr>
          <w:cantSplit/>
          <w:trHeight w:val="360"/>
        </w:trPr>
        <w:tc>
          <w:tcPr>
            <w:tcW w:w="2268" w:type="dxa"/>
            <w:tcBorders>
              <w:top w:val="single" w:sz="4" w:space="0" w:color="auto"/>
              <w:left w:val="single" w:sz="4" w:space="0" w:color="auto"/>
              <w:bottom w:val="single" w:sz="4" w:space="0" w:color="auto"/>
              <w:right w:val="single" w:sz="4" w:space="0" w:color="auto"/>
            </w:tcBorders>
          </w:tcPr>
          <w:p w:rsidR="00410F2D" w:rsidRPr="00795225" w:rsidRDefault="00410F2D" w:rsidP="00413105">
            <w:pPr>
              <w:pStyle w:val="Tabletext"/>
              <w:keepNext/>
              <w:keepLines/>
              <w:rPr>
                <w:rFonts w:eastAsia="Calibri"/>
                <w:b/>
              </w:rPr>
            </w:pPr>
            <w:r w:rsidRPr="00795225">
              <w:rPr>
                <w:rFonts w:eastAsia="Calibri"/>
                <w:b/>
              </w:rPr>
              <w:t>Clinical criteria:</w:t>
            </w:r>
          </w:p>
          <w:p w:rsidR="00410F2D" w:rsidRPr="00795225" w:rsidRDefault="00410F2D" w:rsidP="00413105">
            <w:pPr>
              <w:pStyle w:val="Tabletext"/>
              <w:keepNext/>
              <w:keepLines/>
              <w:rPr>
                <w:rFonts w:eastAsia="Calibri"/>
                <w:b/>
              </w:rPr>
            </w:pPr>
          </w:p>
        </w:tc>
        <w:tc>
          <w:tcPr>
            <w:tcW w:w="6804" w:type="dxa"/>
            <w:tcBorders>
              <w:top w:val="single" w:sz="4" w:space="0" w:color="auto"/>
              <w:left w:val="single" w:sz="4" w:space="0" w:color="auto"/>
              <w:bottom w:val="single" w:sz="4" w:space="0" w:color="auto"/>
              <w:right w:val="single" w:sz="4" w:space="0" w:color="auto"/>
            </w:tcBorders>
          </w:tcPr>
          <w:p w:rsidR="00410F2D" w:rsidRPr="00795225" w:rsidRDefault="00410F2D" w:rsidP="00413105">
            <w:pPr>
              <w:pStyle w:val="Tabletext"/>
              <w:keepNext/>
              <w:keepLines/>
              <w:rPr>
                <w:rFonts w:eastAsia="Calibri"/>
                <w:vertAlign w:val="superscript"/>
              </w:rPr>
            </w:pPr>
            <w:r w:rsidRPr="00795225">
              <w:rPr>
                <w:rFonts w:eastAsia="Calibri"/>
              </w:rPr>
              <w:t xml:space="preserve">Patient must have previously been issued with an authority prescription to receive this drug as adjuvant therapy for this </w:t>
            </w:r>
            <w:proofErr w:type="spellStart"/>
            <w:r w:rsidRPr="00795225">
              <w:rPr>
                <w:rFonts w:eastAsia="Calibri"/>
              </w:rPr>
              <w:t>condition</w:t>
            </w:r>
            <w:r w:rsidR="007E462F" w:rsidRPr="00795225">
              <w:rPr>
                <w:rFonts w:eastAsia="Calibri"/>
                <w:vertAlign w:val="superscript"/>
              </w:rPr>
              <w:t>b</w:t>
            </w:r>
            <w:proofErr w:type="spellEnd"/>
          </w:p>
          <w:p w:rsidR="00410F2D" w:rsidRPr="00795225" w:rsidRDefault="00410F2D" w:rsidP="00413105">
            <w:pPr>
              <w:pStyle w:val="Tabletext"/>
              <w:keepNext/>
              <w:keepLines/>
              <w:rPr>
                <w:rFonts w:eastAsia="Calibri"/>
              </w:rPr>
            </w:pPr>
            <w:r w:rsidRPr="00795225">
              <w:rPr>
                <w:rFonts w:eastAsia="Calibri"/>
              </w:rPr>
              <w:t>AND</w:t>
            </w:r>
          </w:p>
          <w:p w:rsidR="00410F2D" w:rsidRPr="00795225" w:rsidRDefault="00410F2D" w:rsidP="00413105">
            <w:pPr>
              <w:pStyle w:val="Tabletext"/>
              <w:keepNext/>
              <w:keepLines/>
              <w:rPr>
                <w:rFonts w:eastAsia="Calibri"/>
              </w:rPr>
            </w:pPr>
            <w:r w:rsidRPr="00795225">
              <w:rPr>
                <w:rFonts w:eastAsia="Calibri"/>
              </w:rPr>
              <w:t>Patient must not have developed recurrent disease while receiving treatment as adjuvant therapy</w:t>
            </w:r>
          </w:p>
          <w:p w:rsidR="00410F2D" w:rsidRPr="00795225" w:rsidRDefault="00410F2D" w:rsidP="00413105">
            <w:pPr>
              <w:pStyle w:val="Tabletext"/>
              <w:keepNext/>
              <w:keepLines/>
              <w:rPr>
                <w:rFonts w:eastAsia="Calibri"/>
              </w:rPr>
            </w:pPr>
            <w:r w:rsidRPr="00795225">
              <w:rPr>
                <w:rFonts w:eastAsia="Calibri"/>
              </w:rPr>
              <w:t>AND</w:t>
            </w:r>
          </w:p>
          <w:p w:rsidR="00410F2D" w:rsidRPr="00795225" w:rsidRDefault="00410F2D" w:rsidP="00413105">
            <w:pPr>
              <w:pStyle w:val="Tabletext"/>
              <w:keepNext/>
              <w:keepLines/>
              <w:rPr>
                <w:rFonts w:eastAsia="Calibri"/>
              </w:rPr>
            </w:pPr>
            <w:r w:rsidRPr="00795225">
              <w:rPr>
                <w:rFonts w:eastAsia="Calibri"/>
              </w:rPr>
              <w:t>The treatment must not exceed a dose of 3 mg per kg every 2 weeks for a period of 12 months in total (initial plus continuing therapy)</w:t>
            </w:r>
          </w:p>
        </w:tc>
      </w:tr>
    </w:tbl>
    <w:p w:rsidR="00410F2D" w:rsidRPr="00795225" w:rsidRDefault="007E462F" w:rsidP="008D1BDC">
      <w:pPr>
        <w:widowControl/>
        <w:tabs>
          <w:tab w:val="left" w:pos="3261"/>
        </w:tabs>
        <w:rPr>
          <w:rFonts w:ascii="Arial Narrow" w:hAnsi="Arial Narrow"/>
          <w:sz w:val="18"/>
          <w:szCs w:val="18"/>
        </w:rPr>
      </w:pPr>
      <w:r w:rsidRPr="00795225">
        <w:rPr>
          <w:rFonts w:ascii="Arial Narrow" w:hAnsi="Arial Narrow"/>
          <w:sz w:val="18"/>
          <w:szCs w:val="18"/>
          <w:vertAlign w:val="superscript"/>
        </w:rPr>
        <w:t>b</w:t>
      </w:r>
      <w:r w:rsidR="009E2E39" w:rsidRPr="00795225">
        <w:rPr>
          <w:rFonts w:ascii="Arial Narrow" w:hAnsi="Arial Narrow"/>
          <w:sz w:val="18"/>
          <w:szCs w:val="18"/>
        </w:rPr>
        <w:t xml:space="preserve"> This clinical criterion appears incorrect for </w:t>
      </w:r>
      <w:r w:rsidR="008C274F" w:rsidRPr="00795225">
        <w:rPr>
          <w:rFonts w:ascii="Arial Narrow" w:hAnsi="Arial Narrow"/>
          <w:sz w:val="18"/>
          <w:szCs w:val="18"/>
        </w:rPr>
        <w:t xml:space="preserve">a </w:t>
      </w:r>
      <w:r w:rsidR="009E2E39" w:rsidRPr="00795225">
        <w:rPr>
          <w:rFonts w:ascii="Arial Narrow" w:hAnsi="Arial Narrow"/>
          <w:sz w:val="18"/>
          <w:szCs w:val="18"/>
        </w:rPr>
        <w:t>grandfathering</w:t>
      </w:r>
      <w:r w:rsidR="008C274F" w:rsidRPr="00795225">
        <w:rPr>
          <w:rFonts w:ascii="Arial Narrow" w:hAnsi="Arial Narrow"/>
          <w:sz w:val="18"/>
          <w:szCs w:val="18"/>
        </w:rPr>
        <w:t xml:space="preserve"> restriction</w:t>
      </w:r>
      <w:r w:rsidR="009E2E39" w:rsidRPr="00795225">
        <w:rPr>
          <w:rFonts w:ascii="Arial Narrow" w:hAnsi="Arial Narrow"/>
          <w:sz w:val="18"/>
          <w:szCs w:val="18"/>
        </w:rPr>
        <w:t>.</w:t>
      </w:r>
      <w:r w:rsidR="008C274F" w:rsidRPr="00795225">
        <w:rPr>
          <w:rFonts w:ascii="Arial Narrow" w:hAnsi="Arial Narrow"/>
          <w:sz w:val="18"/>
          <w:szCs w:val="18"/>
        </w:rPr>
        <w:t xml:space="preserve"> </w:t>
      </w:r>
    </w:p>
    <w:p w:rsidR="009A1BA7" w:rsidRPr="00795225" w:rsidRDefault="009A1BA7" w:rsidP="008D1BDC">
      <w:pPr>
        <w:widowControl/>
        <w:tabs>
          <w:tab w:val="left" w:pos="3261"/>
        </w:tabs>
        <w:rPr>
          <w:rFonts w:ascii="Arial Narrow" w:hAnsi="Arial Narrow"/>
          <w:sz w:val="18"/>
          <w:szCs w:val="18"/>
        </w:rPr>
      </w:pPr>
      <w:r w:rsidRPr="00795225">
        <w:rPr>
          <w:rFonts w:ascii="Arial Narrow" w:hAnsi="Arial Narrow"/>
          <w:sz w:val="18"/>
          <w:szCs w:val="18"/>
        </w:rPr>
        <w:t>Source: Table 19, 20 &amp; 24, p64, 65 &amp; 68 of the resubmission.</w:t>
      </w:r>
    </w:p>
    <w:p w:rsidR="008C274F" w:rsidRPr="00795225" w:rsidRDefault="008C274F" w:rsidP="008D1BDC">
      <w:pPr>
        <w:widowControl/>
        <w:tabs>
          <w:tab w:val="left" w:pos="3261"/>
        </w:tabs>
        <w:rPr>
          <w:rFonts w:ascii="Arial Narrow" w:hAnsi="Arial Narrow"/>
          <w:i/>
          <w:sz w:val="18"/>
          <w:szCs w:val="18"/>
        </w:rPr>
      </w:pPr>
    </w:p>
    <w:p w:rsidR="00B375C8" w:rsidRDefault="00B375C8" w:rsidP="00D736AF">
      <w:pPr>
        <w:pStyle w:val="ListParagraph"/>
        <w:widowControl/>
        <w:numPr>
          <w:ilvl w:val="1"/>
          <w:numId w:val="1"/>
        </w:numPr>
      </w:pPr>
      <w:r w:rsidRPr="00795225">
        <w:t xml:space="preserve">The proposed changes to the initial restrictions for nivolumab and the BRAF inhibitors for the treatment of </w:t>
      </w:r>
      <w:proofErr w:type="spellStart"/>
      <w:r w:rsidRPr="00795225">
        <w:t>unresectable</w:t>
      </w:r>
      <w:proofErr w:type="spellEnd"/>
      <w:r w:rsidRPr="00795225">
        <w:t xml:space="preserve"> Stage III and Stage IV malignant melanoma are presented below.</w:t>
      </w:r>
    </w:p>
    <w:tbl>
      <w:tblPr>
        <w:tblW w:w="9067" w:type="dxa"/>
        <w:tblLayout w:type="fixed"/>
        <w:tblLook w:val="0000" w:firstRow="0" w:lastRow="0" w:firstColumn="0" w:lastColumn="0" w:noHBand="0" w:noVBand="0"/>
      </w:tblPr>
      <w:tblGrid>
        <w:gridCol w:w="2263"/>
        <w:gridCol w:w="6804"/>
      </w:tblGrid>
      <w:tr w:rsidR="00B375C8" w:rsidRPr="00795225" w:rsidTr="00E17047">
        <w:trPr>
          <w:cantSplit/>
          <w:trHeight w:val="186"/>
        </w:trPr>
        <w:tc>
          <w:tcPr>
            <w:tcW w:w="9067" w:type="dxa"/>
            <w:gridSpan w:val="2"/>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Nivolumab</w:t>
            </w:r>
          </w:p>
        </w:tc>
      </w:tr>
      <w:tr w:rsidR="00B375C8" w:rsidRPr="00795225" w:rsidTr="00E17047">
        <w:trPr>
          <w:cantSplit/>
          <w:trHeight w:val="231"/>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Condition:</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t>Malignant melanoma</w:t>
            </w:r>
          </w:p>
        </w:tc>
      </w:tr>
      <w:tr w:rsidR="00B375C8" w:rsidRPr="00795225" w:rsidTr="00E17047">
        <w:trPr>
          <w:cantSplit/>
          <w:trHeight w:val="135"/>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PBS indication:</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proofErr w:type="spellStart"/>
            <w:r w:rsidRPr="00795225">
              <w:rPr>
                <w:rFonts w:eastAsia="Calibri"/>
              </w:rPr>
              <w:t>Unresectable</w:t>
            </w:r>
            <w:proofErr w:type="spellEnd"/>
            <w:r w:rsidRPr="00795225">
              <w:rPr>
                <w:rFonts w:eastAsia="Calibri"/>
              </w:rPr>
              <w:t xml:space="preserve"> Stage III or Stage IV malignant melanoma</w:t>
            </w:r>
          </w:p>
        </w:tc>
      </w:tr>
      <w:tr w:rsidR="00B375C8" w:rsidRPr="00795225" w:rsidTr="00E17047">
        <w:trPr>
          <w:cantSplit/>
          <w:trHeight w:val="181"/>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Treatment phase:</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t>Initial treatment 1</w:t>
            </w:r>
          </w:p>
        </w:tc>
      </w:tr>
      <w:tr w:rsidR="00B375C8" w:rsidRPr="00795225" w:rsidTr="00E17047">
        <w:trPr>
          <w:cantSplit/>
          <w:trHeight w:val="277"/>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Restriction level/ Method:</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fldChar w:fldCharType="begin">
                <w:ffData>
                  <w:name w:val=""/>
                  <w:enabled/>
                  <w:calcOnExit w:val="0"/>
                  <w:checkBox>
                    <w:sizeAuto/>
                    <w:default w:val="1"/>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Streamlined</w:t>
            </w:r>
          </w:p>
        </w:tc>
      </w:tr>
      <w:tr w:rsidR="00B375C8" w:rsidRPr="00795225" w:rsidTr="00E17047">
        <w:trPr>
          <w:cantSplit/>
          <w:trHeight w:val="1493"/>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Clinical criteria:</w:t>
            </w:r>
          </w:p>
          <w:p w:rsidR="00B375C8" w:rsidRPr="00795225" w:rsidRDefault="00B375C8" w:rsidP="00B375C8">
            <w:pPr>
              <w:pStyle w:val="Tabletext"/>
              <w:rPr>
                <w:rFonts w:eastAsia="Calibri"/>
                <w:b/>
              </w:rPr>
            </w:pP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pPr>
            <w:r w:rsidRPr="00795225">
              <w:t>The condition must be positive for a BRAF V600 mutation,</w:t>
            </w:r>
          </w:p>
          <w:p w:rsidR="00B375C8" w:rsidRPr="00795225" w:rsidRDefault="00B375C8" w:rsidP="00B375C8">
            <w:pPr>
              <w:pStyle w:val="Tabletext"/>
            </w:pPr>
            <w:r w:rsidRPr="00795225">
              <w:t>AND</w:t>
            </w:r>
          </w:p>
          <w:p w:rsidR="00B375C8" w:rsidRPr="00795225" w:rsidRDefault="00B375C8" w:rsidP="00B375C8">
            <w:pPr>
              <w:pStyle w:val="Tabletext"/>
            </w:pPr>
            <w:r w:rsidRPr="00795225">
              <w:t>The condition must have progressed following treatment with a BRAF inhibitor (with or without MEK inhibitor) unless contraindicated or not tolerated according to the TGA approved Product Information,</w:t>
            </w:r>
          </w:p>
          <w:p w:rsidR="00B375C8" w:rsidRPr="00795225" w:rsidRDefault="00B375C8" w:rsidP="00B375C8">
            <w:pPr>
              <w:pStyle w:val="Tabletext"/>
            </w:pPr>
            <w:r w:rsidRPr="00795225">
              <w:t>AND</w:t>
            </w:r>
          </w:p>
          <w:p w:rsidR="00B375C8" w:rsidRPr="00795225" w:rsidRDefault="00B375C8" w:rsidP="00B375C8">
            <w:pPr>
              <w:pStyle w:val="Tabletext"/>
              <w:rPr>
                <w:rFonts w:eastAsia="Calibri"/>
                <w:i/>
              </w:rPr>
            </w:pPr>
            <w:r w:rsidRPr="00795225">
              <w:rPr>
                <w:rFonts w:eastAsia="Calibri"/>
              </w:rPr>
              <w:t xml:space="preserve">Patient must not have received prior treatment with </w:t>
            </w:r>
            <w:proofErr w:type="spellStart"/>
            <w:r w:rsidRPr="00795225">
              <w:rPr>
                <w:rFonts w:eastAsia="Calibri"/>
              </w:rPr>
              <w:t>ipilimumab</w:t>
            </w:r>
            <w:proofErr w:type="spellEnd"/>
            <w:r w:rsidRPr="00795225">
              <w:rPr>
                <w:rFonts w:eastAsia="Calibri"/>
              </w:rPr>
              <w:t xml:space="preserve"> or a PD-1 (programmed cell death-1) inhibitor for </w:t>
            </w:r>
            <w:r w:rsidRPr="00795225">
              <w:rPr>
                <w:rFonts w:eastAsia="Calibri"/>
                <w:strike/>
              </w:rPr>
              <w:t>this condition</w:t>
            </w:r>
            <w:r w:rsidRPr="00795225">
              <w:rPr>
                <w:rFonts w:eastAsia="Calibri"/>
              </w:rPr>
              <w:t xml:space="preserve"> </w:t>
            </w:r>
            <w:r w:rsidRPr="00795225">
              <w:rPr>
                <w:rFonts w:eastAsia="Calibri"/>
                <w:i/>
              </w:rPr>
              <w:t xml:space="preserve">the treatment of </w:t>
            </w:r>
            <w:proofErr w:type="spellStart"/>
            <w:r w:rsidRPr="00795225">
              <w:rPr>
                <w:rFonts w:eastAsia="Calibri"/>
                <w:i/>
              </w:rPr>
              <w:t>unresectable</w:t>
            </w:r>
            <w:proofErr w:type="spellEnd"/>
            <w:r w:rsidRPr="00795225">
              <w:rPr>
                <w:rFonts w:eastAsia="Calibri"/>
                <w:i/>
              </w:rPr>
              <w:t xml:space="preserve"> Stage III or Stage IV malignant melanoma,</w:t>
            </w:r>
          </w:p>
          <w:p w:rsidR="00B375C8" w:rsidRPr="00795225" w:rsidRDefault="00B375C8" w:rsidP="00B375C8">
            <w:pPr>
              <w:pStyle w:val="Tabletext"/>
              <w:rPr>
                <w:rFonts w:eastAsia="Calibri"/>
              </w:rPr>
            </w:pPr>
            <w:r w:rsidRPr="00795225">
              <w:rPr>
                <w:rFonts w:eastAsia="Calibri"/>
              </w:rPr>
              <w:t>AND</w:t>
            </w:r>
          </w:p>
          <w:p w:rsidR="00B375C8" w:rsidRPr="00795225" w:rsidRDefault="00B375C8" w:rsidP="00B375C8">
            <w:pPr>
              <w:pStyle w:val="Tabletext"/>
              <w:rPr>
                <w:rFonts w:eastAsia="Calibri"/>
              </w:rPr>
            </w:pPr>
            <w:r w:rsidRPr="00795225">
              <w:rPr>
                <w:rFonts w:eastAsia="Calibri"/>
              </w:rPr>
              <w:t>The treatment must be the sole PBS-subsidised therapy for this condition,</w:t>
            </w:r>
          </w:p>
          <w:p w:rsidR="00B375C8" w:rsidRPr="00795225" w:rsidRDefault="00B375C8" w:rsidP="00B375C8">
            <w:pPr>
              <w:pStyle w:val="Tabletext"/>
              <w:rPr>
                <w:rFonts w:eastAsia="Calibri"/>
              </w:rPr>
            </w:pPr>
            <w:r w:rsidRPr="00795225">
              <w:rPr>
                <w:rFonts w:eastAsia="Calibri"/>
              </w:rPr>
              <w:t>AND</w:t>
            </w:r>
          </w:p>
          <w:p w:rsidR="00B375C8" w:rsidRPr="00795225" w:rsidRDefault="00B375C8" w:rsidP="00B375C8">
            <w:pPr>
              <w:pStyle w:val="Tabletext"/>
              <w:rPr>
                <w:rFonts w:eastAsia="Calibri"/>
              </w:rPr>
            </w:pPr>
            <w:r w:rsidRPr="00795225">
              <w:rPr>
                <w:rFonts w:eastAsia="Calibri"/>
              </w:rPr>
              <w:t>The treatment must not exceed a total of 9 doses at a maximum dose of 3 mg per kg every 2 weeks.</w:t>
            </w:r>
          </w:p>
        </w:tc>
      </w:tr>
    </w:tbl>
    <w:p w:rsidR="00B375C8" w:rsidRPr="00795225" w:rsidRDefault="00B375C8" w:rsidP="00B375C8">
      <w:pPr>
        <w:widowControl/>
      </w:pPr>
    </w:p>
    <w:tbl>
      <w:tblPr>
        <w:tblW w:w="9067" w:type="dxa"/>
        <w:tblLayout w:type="fixed"/>
        <w:tblLook w:val="0000" w:firstRow="0" w:lastRow="0" w:firstColumn="0" w:lastColumn="0" w:noHBand="0" w:noVBand="0"/>
      </w:tblPr>
      <w:tblGrid>
        <w:gridCol w:w="2263"/>
        <w:gridCol w:w="6804"/>
      </w:tblGrid>
      <w:tr w:rsidR="00B375C8" w:rsidRPr="00795225" w:rsidTr="00E17047">
        <w:trPr>
          <w:cantSplit/>
          <w:trHeight w:val="124"/>
        </w:trPr>
        <w:tc>
          <w:tcPr>
            <w:tcW w:w="9067" w:type="dxa"/>
            <w:gridSpan w:val="2"/>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Nivolumab</w:t>
            </w:r>
          </w:p>
        </w:tc>
      </w:tr>
      <w:tr w:rsidR="00B375C8" w:rsidRPr="00795225" w:rsidTr="00E17047">
        <w:trPr>
          <w:cantSplit/>
          <w:trHeight w:val="169"/>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Condition:</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t>Malignant melanoma</w:t>
            </w:r>
          </w:p>
        </w:tc>
      </w:tr>
      <w:tr w:rsidR="00B375C8" w:rsidRPr="00795225" w:rsidTr="00E17047">
        <w:trPr>
          <w:cantSplit/>
          <w:trHeight w:val="74"/>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PBS indication:</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proofErr w:type="spellStart"/>
            <w:r w:rsidRPr="00795225">
              <w:rPr>
                <w:rFonts w:eastAsia="Calibri"/>
              </w:rPr>
              <w:t>Unresectable</w:t>
            </w:r>
            <w:proofErr w:type="spellEnd"/>
            <w:r w:rsidRPr="00795225">
              <w:rPr>
                <w:rFonts w:eastAsia="Calibri"/>
              </w:rPr>
              <w:t xml:space="preserve"> Stage III or Stage IV malignant melanoma</w:t>
            </w:r>
          </w:p>
        </w:tc>
      </w:tr>
      <w:tr w:rsidR="00B375C8" w:rsidRPr="00795225" w:rsidTr="00E17047">
        <w:trPr>
          <w:cantSplit/>
          <w:trHeight w:val="119"/>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Treatment phase:</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t>Initial treatment 2</w:t>
            </w:r>
          </w:p>
        </w:tc>
      </w:tr>
      <w:tr w:rsidR="00B375C8" w:rsidRPr="00795225" w:rsidTr="00E17047">
        <w:trPr>
          <w:cantSplit/>
          <w:trHeight w:val="60"/>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Restriction level/ Method:</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fldChar w:fldCharType="begin">
                <w:ffData>
                  <w:name w:val=""/>
                  <w:enabled/>
                  <w:calcOnExit w:val="0"/>
                  <w:checkBox>
                    <w:sizeAuto/>
                    <w:default w:val="1"/>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Streamlined</w:t>
            </w:r>
          </w:p>
        </w:tc>
      </w:tr>
      <w:tr w:rsidR="00B375C8" w:rsidRPr="00795225" w:rsidTr="00E17047">
        <w:trPr>
          <w:cantSplit/>
          <w:trHeight w:val="1493"/>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Clinical criteria:</w:t>
            </w:r>
          </w:p>
          <w:p w:rsidR="00B375C8" w:rsidRPr="00795225" w:rsidRDefault="00B375C8" w:rsidP="00B375C8">
            <w:pPr>
              <w:pStyle w:val="Tabletext"/>
              <w:rPr>
                <w:rFonts w:eastAsia="Calibri"/>
                <w:b/>
              </w:rPr>
            </w:pP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pPr>
            <w:r w:rsidRPr="00795225">
              <w:t>The condition must be negative for a BRAF V600 mutation,</w:t>
            </w:r>
          </w:p>
          <w:p w:rsidR="00B375C8" w:rsidRPr="00795225" w:rsidRDefault="00B375C8" w:rsidP="00B375C8">
            <w:pPr>
              <w:pStyle w:val="Tabletext"/>
            </w:pPr>
            <w:r w:rsidRPr="00795225">
              <w:t>AND</w:t>
            </w:r>
          </w:p>
          <w:p w:rsidR="00B375C8" w:rsidRPr="00795225" w:rsidRDefault="00B375C8" w:rsidP="00B375C8">
            <w:pPr>
              <w:pStyle w:val="Tabletext"/>
              <w:rPr>
                <w:rFonts w:eastAsia="Calibri"/>
                <w:i/>
              </w:rPr>
            </w:pPr>
            <w:r w:rsidRPr="00795225">
              <w:rPr>
                <w:rFonts w:eastAsia="Calibri"/>
              </w:rPr>
              <w:t xml:space="preserve">Patient must not have received prior treatment with </w:t>
            </w:r>
            <w:proofErr w:type="spellStart"/>
            <w:r w:rsidRPr="00795225">
              <w:rPr>
                <w:rFonts w:eastAsia="Calibri"/>
              </w:rPr>
              <w:t>ipilimumab</w:t>
            </w:r>
            <w:proofErr w:type="spellEnd"/>
            <w:r w:rsidRPr="00795225">
              <w:rPr>
                <w:rFonts w:eastAsia="Calibri"/>
              </w:rPr>
              <w:t xml:space="preserve"> or a PD-1 (programmed cell death-1) inhibitor for </w:t>
            </w:r>
            <w:r w:rsidRPr="00795225">
              <w:rPr>
                <w:rFonts w:eastAsia="Calibri"/>
                <w:strike/>
              </w:rPr>
              <w:t>this condition</w:t>
            </w:r>
            <w:r w:rsidRPr="00795225">
              <w:rPr>
                <w:rFonts w:eastAsia="Calibri"/>
              </w:rPr>
              <w:t xml:space="preserve"> </w:t>
            </w:r>
            <w:r w:rsidRPr="00795225">
              <w:rPr>
                <w:rFonts w:eastAsia="Calibri"/>
                <w:i/>
              </w:rPr>
              <w:t xml:space="preserve">the treatment of </w:t>
            </w:r>
            <w:proofErr w:type="spellStart"/>
            <w:r w:rsidRPr="00795225">
              <w:rPr>
                <w:rFonts w:eastAsia="Calibri"/>
                <w:i/>
              </w:rPr>
              <w:t>unresectable</w:t>
            </w:r>
            <w:proofErr w:type="spellEnd"/>
            <w:r w:rsidRPr="00795225">
              <w:rPr>
                <w:rFonts w:eastAsia="Calibri"/>
                <w:i/>
              </w:rPr>
              <w:t xml:space="preserve"> Stage III or Stage IV malignant melanoma,</w:t>
            </w:r>
          </w:p>
          <w:p w:rsidR="00B375C8" w:rsidRPr="00795225" w:rsidRDefault="00B375C8" w:rsidP="00B375C8">
            <w:pPr>
              <w:pStyle w:val="Tabletext"/>
              <w:rPr>
                <w:rFonts w:eastAsia="Calibri"/>
              </w:rPr>
            </w:pPr>
            <w:r w:rsidRPr="00795225">
              <w:rPr>
                <w:rFonts w:eastAsia="Calibri"/>
              </w:rPr>
              <w:t>AND</w:t>
            </w:r>
          </w:p>
          <w:p w:rsidR="00B375C8" w:rsidRPr="00795225" w:rsidRDefault="00B375C8" w:rsidP="00B375C8">
            <w:pPr>
              <w:pStyle w:val="Tabletext"/>
              <w:rPr>
                <w:rFonts w:eastAsia="Calibri"/>
              </w:rPr>
            </w:pPr>
            <w:r w:rsidRPr="00795225">
              <w:rPr>
                <w:rFonts w:eastAsia="Calibri"/>
              </w:rPr>
              <w:t>The treatment must be the sole PBS-subsidised therapy for this condition,</w:t>
            </w:r>
          </w:p>
          <w:p w:rsidR="00B375C8" w:rsidRPr="00795225" w:rsidRDefault="00B375C8" w:rsidP="00B375C8">
            <w:pPr>
              <w:pStyle w:val="Tabletext"/>
              <w:rPr>
                <w:rFonts w:eastAsia="Calibri"/>
              </w:rPr>
            </w:pPr>
            <w:r w:rsidRPr="00795225">
              <w:rPr>
                <w:rFonts w:eastAsia="Calibri"/>
              </w:rPr>
              <w:t>AND</w:t>
            </w:r>
          </w:p>
          <w:p w:rsidR="00B375C8" w:rsidRPr="00795225" w:rsidRDefault="00B375C8" w:rsidP="00B375C8">
            <w:pPr>
              <w:pStyle w:val="Tabletext"/>
              <w:rPr>
                <w:rFonts w:eastAsia="Calibri"/>
              </w:rPr>
            </w:pPr>
            <w:r w:rsidRPr="00795225">
              <w:rPr>
                <w:rFonts w:eastAsia="Calibri"/>
              </w:rPr>
              <w:t>The treatment must not exceed a total of 9 doses at a maximum dose of 3 mg per kg every 2 weeks.</w:t>
            </w:r>
          </w:p>
        </w:tc>
      </w:tr>
    </w:tbl>
    <w:p w:rsidR="00B375C8" w:rsidRPr="00795225" w:rsidRDefault="00B375C8" w:rsidP="00B375C8">
      <w:pPr>
        <w:widowControl/>
      </w:pPr>
    </w:p>
    <w:tbl>
      <w:tblPr>
        <w:tblW w:w="9067" w:type="dxa"/>
        <w:tblLayout w:type="fixed"/>
        <w:tblLook w:val="0000" w:firstRow="0" w:lastRow="0" w:firstColumn="0" w:lastColumn="0" w:noHBand="0" w:noVBand="0"/>
      </w:tblPr>
      <w:tblGrid>
        <w:gridCol w:w="2263"/>
        <w:gridCol w:w="6804"/>
      </w:tblGrid>
      <w:tr w:rsidR="00B375C8" w:rsidRPr="00795225" w:rsidTr="00E17047">
        <w:trPr>
          <w:cantSplit/>
          <w:trHeight w:val="135"/>
        </w:trPr>
        <w:tc>
          <w:tcPr>
            <w:tcW w:w="9067" w:type="dxa"/>
            <w:gridSpan w:val="2"/>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lastRenderedPageBreak/>
              <w:t>BRAF inhibitors</w:t>
            </w:r>
          </w:p>
        </w:tc>
      </w:tr>
      <w:tr w:rsidR="00B375C8" w:rsidRPr="00795225" w:rsidTr="00E17047">
        <w:trPr>
          <w:cantSplit/>
          <w:trHeight w:val="60"/>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Condition:</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t>Malignant melanoma</w:t>
            </w:r>
          </w:p>
        </w:tc>
      </w:tr>
      <w:tr w:rsidR="00B375C8" w:rsidRPr="00795225" w:rsidTr="00E17047">
        <w:trPr>
          <w:cantSplit/>
          <w:trHeight w:val="85"/>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PBS indication:</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proofErr w:type="spellStart"/>
            <w:r w:rsidRPr="00795225">
              <w:rPr>
                <w:rFonts w:eastAsia="Calibri"/>
              </w:rPr>
              <w:t>Unresectable</w:t>
            </w:r>
            <w:proofErr w:type="spellEnd"/>
            <w:r w:rsidRPr="00795225">
              <w:rPr>
                <w:rFonts w:eastAsia="Calibri"/>
              </w:rPr>
              <w:t xml:space="preserve"> Stage III or Stage IV malignant melanoma</w:t>
            </w:r>
          </w:p>
        </w:tc>
      </w:tr>
      <w:tr w:rsidR="00B375C8" w:rsidRPr="00795225" w:rsidTr="00E17047">
        <w:trPr>
          <w:cantSplit/>
          <w:trHeight w:val="132"/>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Treatment phase:</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t>Initiation</w:t>
            </w:r>
          </w:p>
        </w:tc>
      </w:tr>
      <w:tr w:rsidR="00B375C8" w:rsidRPr="00795225" w:rsidTr="00E17047">
        <w:trPr>
          <w:cantSplit/>
          <w:trHeight w:val="163"/>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Restriction level/ Method:</w:t>
            </w: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rPr>
            </w:pPr>
            <w:r w:rsidRPr="00795225">
              <w:rPr>
                <w:rFonts w:eastAsia="Calibri"/>
              </w:rPr>
              <w:fldChar w:fldCharType="begin">
                <w:ffData>
                  <w:name w:val=""/>
                  <w:enabled/>
                  <w:calcOnExit w:val="0"/>
                  <w:checkBox>
                    <w:sizeAuto/>
                    <w:default w:val="1"/>
                  </w:checkBox>
                </w:ffData>
              </w:fldChar>
            </w:r>
            <w:r w:rsidRPr="00795225">
              <w:rPr>
                <w:rFonts w:eastAsia="Calibri"/>
              </w:rPr>
              <w:instrText xml:space="preserve"> FORMCHECKBOX </w:instrText>
            </w:r>
            <w:r w:rsidR="00713754">
              <w:rPr>
                <w:rFonts w:eastAsia="Calibri"/>
              </w:rPr>
            </w:r>
            <w:r w:rsidR="00713754">
              <w:rPr>
                <w:rFonts w:eastAsia="Calibri"/>
              </w:rPr>
              <w:fldChar w:fldCharType="separate"/>
            </w:r>
            <w:r w:rsidRPr="00795225">
              <w:rPr>
                <w:rFonts w:eastAsia="Calibri"/>
              </w:rPr>
              <w:fldChar w:fldCharType="end"/>
            </w:r>
            <w:r w:rsidRPr="00795225">
              <w:rPr>
                <w:rFonts w:eastAsia="Calibri"/>
              </w:rPr>
              <w:t>Streamlined</w:t>
            </w:r>
          </w:p>
        </w:tc>
      </w:tr>
      <w:tr w:rsidR="00B375C8" w:rsidRPr="00795225" w:rsidTr="00E17047">
        <w:trPr>
          <w:cantSplit/>
          <w:trHeight w:val="1493"/>
        </w:trPr>
        <w:tc>
          <w:tcPr>
            <w:tcW w:w="2263"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rPr>
                <w:rFonts w:eastAsia="Calibri"/>
                <w:b/>
              </w:rPr>
            </w:pPr>
            <w:r w:rsidRPr="00795225">
              <w:rPr>
                <w:rFonts w:eastAsia="Calibri"/>
                <w:b/>
              </w:rPr>
              <w:t>Clinical criteria:</w:t>
            </w:r>
          </w:p>
          <w:p w:rsidR="00B375C8" w:rsidRPr="00795225" w:rsidRDefault="00B375C8" w:rsidP="00B375C8">
            <w:pPr>
              <w:pStyle w:val="Tabletext"/>
              <w:rPr>
                <w:rFonts w:eastAsia="Calibri"/>
                <w:b/>
              </w:rPr>
            </w:pPr>
          </w:p>
        </w:tc>
        <w:tc>
          <w:tcPr>
            <w:tcW w:w="6804" w:type="dxa"/>
            <w:tcBorders>
              <w:top w:val="single" w:sz="4" w:space="0" w:color="auto"/>
              <w:left w:val="single" w:sz="4" w:space="0" w:color="auto"/>
              <w:bottom w:val="single" w:sz="4" w:space="0" w:color="auto"/>
              <w:right w:val="single" w:sz="4" w:space="0" w:color="auto"/>
            </w:tcBorders>
          </w:tcPr>
          <w:p w:rsidR="00B375C8" w:rsidRPr="00795225" w:rsidRDefault="00B375C8" w:rsidP="00B375C8">
            <w:pPr>
              <w:pStyle w:val="Tabletext"/>
            </w:pPr>
            <w:r w:rsidRPr="00795225">
              <w:t>The condition must be positive for a BRAF V600 mutation,</w:t>
            </w:r>
          </w:p>
          <w:p w:rsidR="00B375C8" w:rsidRPr="00795225" w:rsidRDefault="00B375C8" w:rsidP="00B375C8">
            <w:pPr>
              <w:pStyle w:val="Tabletext"/>
            </w:pPr>
            <w:r w:rsidRPr="00795225">
              <w:t>AND</w:t>
            </w:r>
          </w:p>
          <w:p w:rsidR="00B375C8" w:rsidRPr="00795225" w:rsidRDefault="00B375C8" w:rsidP="00B375C8">
            <w:pPr>
              <w:pStyle w:val="Tabletext"/>
              <w:rPr>
                <w:rFonts w:eastAsia="Calibri"/>
              </w:rPr>
            </w:pPr>
            <w:r w:rsidRPr="00795225">
              <w:rPr>
                <w:rFonts w:eastAsia="Calibri"/>
                <w:strike/>
              </w:rPr>
              <w:t>The condition</w:t>
            </w:r>
            <w:r w:rsidRPr="00795225">
              <w:rPr>
                <w:rFonts w:eastAsia="Calibri"/>
              </w:rPr>
              <w:t xml:space="preserve"> </w:t>
            </w:r>
            <w:r w:rsidRPr="00795225">
              <w:rPr>
                <w:rFonts w:eastAsia="Calibri"/>
                <w:i/>
              </w:rPr>
              <w:t>The patient</w:t>
            </w:r>
            <w:r w:rsidRPr="00795225">
              <w:rPr>
                <w:rFonts w:eastAsia="Calibri"/>
              </w:rPr>
              <w:t xml:space="preserve"> must not have been treated previously with PBS subsidised therapy </w:t>
            </w:r>
            <w:r w:rsidRPr="00795225">
              <w:rPr>
                <w:rFonts w:eastAsia="Calibri"/>
                <w:i/>
              </w:rPr>
              <w:t xml:space="preserve">for </w:t>
            </w:r>
            <w:proofErr w:type="spellStart"/>
            <w:r w:rsidRPr="00795225">
              <w:rPr>
                <w:rFonts w:eastAsia="Calibri"/>
                <w:i/>
              </w:rPr>
              <w:t>unresectable</w:t>
            </w:r>
            <w:proofErr w:type="spellEnd"/>
            <w:r w:rsidRPr="00795225">
              <w:rPr>
                <w:rFonts w:eastAsia="Calibri"/>
                <w:i/>
              </w:rPr>
              <w:t xml:space="preserve"> Stage III or Stage IV malignant melanoma,</w:t>
            </w:r>
            <w:r w:rsidRPr="00795225">
              <w:rPr>
                <w:rFonts w:eastAsia="Calibri"/>
              </w:rPr>
              <w:t xml:space="preserve">; </w:t>
            </w:r>
          </w:p>
          <w:p w:rsidR="00B375C8" w:rsidRPr="00795225" w:rsidRDefault="00B375C8" w:rsidP="00B375C8">
            <w:pPr>
              <w:pStyle w:val="Tabletext"/>
              <w:rPr>
                <w:rFonts w:eastAsia="Calibri"/>
              </w:rPr>
            </w:pPr>
            <w:r w:rsidRPr="00795225">
              <w:rPr>
                <w:rFonts w:eastAsia="Calibri"/>
              </w:rPr>
              <w:t xml:space="preserve">OR </w:t>
            </w:r>
          </w:p>
          <w:p w:rsidR="00B375C8" w:rsidRPr="00795225" w:rsidRDefault="00B375C8" w:rsidP="00B375C8">
            <w:pPr>
              <w:pStyle w:val="Tabletext"/>
              <w:rPr>
                <w:rFonts w:eastAsia="Calibri"/>
              </w:rPr>
            </w:pPr>
            <w:r w:rsidRPr="00795225">
              <w:rPr>
                <w:rFonts w:eastAsia="Calibri"/>
              </w:rPr>
              <w:t xml:space="preserve">Patient must have developed intolerance to another BRAF inhibitor of a severity necessitating permanent treatment withdrawal, </w:t>
            </w:r>
          </w:p>
          <w:p w:rsidR="00B375C8" w:rsidRPr="00795225" w:rsidRDefault="00B375C8" w:rsidP="00B375C8">
            <w:pPr>
              <w:pStyle w:val="Tabletext"/>
              <w:rPr>
                <w:rFonts w:eastAsia="Calibri"/>
              </w:rPr>
            </w:pPr>
            <w:r w:rsidRPr="00795225">
              <w:rPr>
                <w:rFonts w:eastAsia="Calibri"/>
              </w:rPr>
              <w:t xml:space="preserve">AND </w:t>
            </w:r>
          </w:p>
          <w:p w:rsidR="00B375C8" w:rsidRPr="00795225" w:rsidRDefault="00B375C8" w:rsidP="00B375C8">
            <w:pPr>
              <w:pStyle w:val="Tabletext"/>
              <w:rPr>
                <w:rFonts w:eastAsia="Calibri"/>
              </w:rPr>
            </w:pPr>
            <w:r w:rsidRPr="00795225">
              <w:rPr>
                <w:rFonts w:eastAsia="Calibri"/>
              </w:rPr>
              <w:t>Patient must have a WHO performance status of 2 or less.</w:t>
            </w:r>
          </w:p>
        </w:tc>
      </w:tr>
    </w:tbl>
    <w:p w:rsidR="00B375C8" w:rsidRPr="00795225" w:rsidRDefault="00B375C8" w:rsidP="00B375C8">
      <w:pPr>
        <w:widowControl/>
      </w:pPr>
    </w:p>
    <w:p w:rsidR="00410F2D" w:rsidRPr="00795225" w:rsidRDefault="00410F2D" w:rsidP="00D736AF">
      <w:pPr>
        <w:pStyle w:val="ListParagraph"/>
        <w:widowControl/>
        <w:numPr>
          <w:ilvl w:val="1"/>
          <w:numId w:val="1"/>
        </w:numPr>
      </w:pPr>
      <w:r w:rsidRPr="00795225">
        <w:t xml:space="preserve">The sponsor proposed that </w:t>
      </w:r>
      <w:r w:rsidR="00A36129" w:rsidRPr="00795225">
        <w:t xml:space="preserve">nivolumab </w:t>
      </w:r>
      <w:r w:rsidRPr="00795225">
        <w:t xml:space="preserve">be listed on the PBS as an adjuvant treatment for completely resected Stage III and IV melanoma via a </w:t>
      </w:r>
      <w:r w:rsidR="001A0A83" w:rsidRPr="00795225">
        <w:t>Special Pricing Arrangement (SPA</w:t>
      </w:r>
      <w:r w:rsidRPr="00795225">
        <w:t xml:space="preserve">). </w:t>
      </w:r>
      <w:r w:rsidR="0086080D" w:rsidRPr="00795225">
        <w:t xml:space="preserve">Although the resubmission proposed a Managed Access Program (MAP), the pre-PBAC response stated that the sponsor was willing to withdraw the proposed MAP and accept a cost-effective price based on the available evidence. </w:t>
      </w:r>
      <w:r w:rsidRPr="00795225">
        <w:t xml:space="preserve">The previous submission did not propose a </w:t>
      </w:r>
      <w:r w:rsidR="009E5EDF" w:rsidRPr="00795225">
        <w:t>MAP</w:t>
      </w:r>
      <w:r w:rsidRPr="00795225">
        <w:t xml:space="preserve"> for </w:t>
      </w:r>
      <w:r w:rsidR="00A36129" w:rsidRPr="00795225">
        <w:t>nivolumab</w:t>
      </w:r>
      <w:r w:rsidR="004F48EF" w:rsidRPr="00795225">
        <w:t>.</w:t>
      </w:r>
    </w:p>
    <w:p w:rsidR="0086080D" w:rsidRPr="00795225" w:rsidRDefault="0086080D" w:rsidP="00D736AF">
      <w:pPr>
        <w:pStyle w:val="ListParagraph"/>
        <w:widowControl/>
        <w:numPr>
          <w:ilvl w:val="1"/>
          <w:numId w:val="1"/>
        </w:numPr>
      </w:pPr>
      <w:r w:rsidRPr="00795225">
        <w:t>There is a Risk Shar</w:t>
      </w:r>
      <w:r w:rsidR="00BC5AE8" w:rsidRPr="00795225">
        <w:t>ing</w:t>
      </w:r>
      <w:r w:rsidRPr="00795225">
        <w:t xml:space="preserve"> Arrangement (RSA), in the form of annual expenditure caps, in place for the treatment of </w:t>
      </w:r>
      <w:proofErr w:type="spellStart"/>
      <w:r w:rsidRPr="00795225">
        <w:t>unresectable</w:t>
      </w:r>
      <w:proofErr w:type="spellEnd"/>
      <w:r w:rsidRPr="00795225">
        <w:t xml:space="preserve"> Stage III or Stage IV </w:t>
      </w:r>
      <w:r w:rsidR="00FB0B6D" w:rsidRPr="00795225">
        <w:t xml:space="preserve">malignant melanoma, which is shared by the sponsors for pembrolizumab and nivolumab. If nivolumab becomes available on the PBS as an adjuvant treatment, this will likely have downstream consequences for the utilisation of the shared caps in the </w:t>
      </w:r>
      <w:proofErr w:type="spellStart"/>
      <w:r w:rsidR="00FB0B6D" w:rsidRPr="00795225">
        <w:t>unresectable</w:t>
      </w:r>
      <w:proofErr w:type="spellEnd"/>
      <w:r w:rsidR="00FB0B6D" w:rsidRPr="00795225">
        <w:t xml:space="preserve"> </w:t>
      </w:r>
      <w:r w:rsidR="00BA5DBD" w:rsidRPr="00795225">
        <w:t xml:space="preserve">or metastatic </w:t>
      </w:r>
      <w:r w:rsidR="00FB0B6D" w:rsidRPr="00795225">
        <w:t>setting (see paragraph</w:t>
      </w:r>
      <w:r w:rsidR="00E17047" w:rsidRPr="00795225">
        <w:t>s</w:t>
      </w:r>
      <w:r w:rsidR="00FB0B6D" w:rsidRPr="00795225">
        <w:t xml:space="preserve"> </w:t>
      </w:r>
      <w:r w:rsidR="00FB0B6D" w:rsidRPr="00EB1C39">
        <w:t>6.</w:t>
      </w:r>
      <w:r w:rsidR="00E17047" w:rsidRPr="00EB1C39">
        <w:t>67 and 6.68</w:t>
      </w:r>
      <w:r w:rsidR="00FB0B6D" w:rsidRPr="00795225">
        <w:t>).</w:t>
      </w:r>
    </w:p>
    <w:p w:rsidR="00C74EA7" w:rsidRPr="00795225" w:rsidRDefault="0033211C" w:rsidP="00E03FF7">
      <w:pPr>
        <w:pStyle w:val="ListParagraph"/>
        <w:widowControl/>
        <w:numPr>
          <w:ilvl w:val="1"/>
          <w:numId w:val="1"/>
        </w:numPr>
      </w:pPr>
      <w:r w:rsidRPr="00795225">
        <w:t xml:space="preserve">Patients with ocular melanoma were excluded from the nivolumab CA238 trial. </w:t>
      </w:r>
      <w:r w:rsidR="00C74EA7" w:rsidRPr="00795225">
        <w:t xml:space="preserve">The resubmission requested that the clinical criteria </w:t>
      </w:r>
      <w:r w:rsidR="00CB6F91" w:rsidRPr="00795225">
        <w:t xml:space="preserve">exclude </w:t>
      </w:r>
      <w:r w:rsidR="00C74EA7" w:rsidRPr="00795225">
        <w:t xml:space="preserve">use in patients with uveal melanoma but not in patients with ocular melanoma in general, based on consultation with the sponsor’s Advisory Board. </w:t>
      </w:r>
      <w:r w:rsidR="007D273A" w:rsidRPr="00795225">
        <w:t xml:space="preserve">The resubmission argued that uveal melanoma is resistant to conventional melanoma treatments, while the term </w:t>
      </w:r>
      <w:r w:rsidR="00F25713" w:rsidRPr="00795225">
        <w:t>“</w:t>
      </w:r>
      <w:r w:rsidR="007D273A" w:rsidRPr="00795225">
        <w:t>ocular melanoma</w:t>
      </w:r>
      <w:r w:rsidR="00F25713" w:rsidRPr="00795225">
        <w:t>”</w:t>
      </w:r>
      <w:r w:rsidR="007D273A" w:rsidRPr="00795225">
        <w:t xml:space="preserve"> was confusing and may imply that conjunctival melanoma would not be eligible for treatment.</w:t>
      </w:r>
      <w:r w:rsidR="00E03FF7" w:rsidRPr="00795225">
        <w:t xml:space="preserve"> The ESC advised that this was reasonable.</w:t>
      </w:r>
    </w:p>
    <w:p w:rsidR="00C72676" w:rsidRPr="00795225" w:rsidRDefault="00410F2D" w:rsidP="00AA56E8">
      <w:pPr>
        <w:pStyle w:val="ListParagraph"/>
        <w:widowControl/>
        <w:numPr>
          <w:ilvl w:val="1"/>
          <w:numId w:val="1"/>
        </w:numPr>
      </w:pPr>
      <w:r w:rsidRPr="00795225">
        <w:t xml:space="preserve">The PBS listing for patients with Stage III and IV completely surgically resected melanoma is broader than the evidence presented in the resubmission. </w:t>
      </w:r>
      <w:r w:rsidR="004D021B" w:rsidRPr="00795225">
        <w:t>When staged using the 7</w:t>
      </w:r>
      <w:r w:rsidR="004D021B" w:rsidRPr="00795225">
        <w:rPr>
          <w:vertAlign w:val="superscript"/>
        </w:rPr>
        <w:t>th</w:t>
      </w:r>
      <w:r w:rsidR="004D021B" w:rsidRPr="00795225">
        <w:t xml:space="preserve"> edition of the American Jo</w:t>
      </w:r>
      <w:r w:rsidR="001C7883" w:rsidRPr="00795225">
        <w:t xml:space="preserve">int Committee on Cancer (AJCC) melanoma staging system (see paragraphs </w:t>
      </w:r>
      <w:r w:rsidR="001C7883" w:rsidRPr="00EB1C39">
        <w:t>6.</w:t>
      </w:r>
      <w:r w:rsidR="00E17047" w:rsidRPr="00EB1C39">
        <w:t>9 and 6.10</w:t>
      </w:r>
      <w:r w:rsidR="001C7883" w:rsidRPr="00795225">
        <w:t xml:space="preserve">) very limited data was provided for patients with </w:t>
      </w:r>
      <w:r w:rsidRPr="00795225">
        <w:t xml:space="preserve">completely resected Stage IIIA melanoma </w:t>
      </w:r>
      <w:r w:rsidR="001C7883" w:rsidRPr="00795225">
        <w:t xml:space="preserve">(2/906; 0.4%) </w:t>
      </w:r>
      <w:r w:rsidRPr="00795225">
        <w:t>and no comparative data w</w:t>
      </w:r>
      <w:r w:rsidR="004F48EF" w:rsidRPr="00795225">
        <w:t>ere</w:t>
      </w:r>
      <w:r w:rsidRPr="00795225">
        <w:t xml:space="preserve"> presented for patients with Stage IV melanoma. </w:t>
      </w:r>
    </w:p>
    <w:p w:rsidR="00A24A4F" w:rsidRPr="00795225" w:rsidRDefault="001C7883" w:rsidP="00AA56E8">
      <w:pPr>
        <w:pStyle w:val="ListParagraph"/>
        <w:widowControl/>
        <w:numPr>
          <w:ilvl w:val="1"/>
          <w:numId w:val="1"/>
        </w:numPr>
      </w:pPr>
      <w:r w:rsidRPr="00795225">
        <w:t>T</w:t>
      </w:r>
      <w:r w:rsidR="00B635AA" w:rsidRPr="00795225">
        <w:t xml:space="preserve">he </w:t>
      </w:r>
      <w:r w:rsidR="00EE1A98" w:rsidRPr="00795225">
        <w:t>Pre-Sub-Committee Response (</w:t>
      </w:r>
      <w:r w:rsidR="00B635AA" w:rsidRPr="00795225">
        <w:t xml:space="preserve">PSCR) </w:t>
      </w:r>
      <w:r w:rsidRPr="00795225">
        <w:t>stated that re-categorisation of patients within Study CA238 using the 8</w:t>
      </w:r>
      <w:r w:rsidRPr="00795225">
        <w:rPr>
          <w:vertAlign w:val="superscript"/>
        </w:rPr>
        <w:t>th</w:t>
      </w:r>
      <w:r w:rsidRPr="00795225">
        <w:t xml:space="preserve"> edition of the AJCC system resulted in 4.7% (43/906) of patients with Stage IIIA disease. The PSCR </w:t>
      </w:r>
      <w:r w:rsidR="00B635AA" w:rsidRPr="00795225">
        <w:t>argued that the treatment effect seen for the total population</w:t>
      </w:r>
      <w:r w:rsidR="00AA56E8" w:rsidRPr="00795225">
        <w:t xml:space="preserve"> in CA238</w:t>
      </w:r>
      <w:r w:rsidR="00B635AA" w:rsidRPr="00795225">
        <w:t xml:space="preserve"> </w:t>
      </w:r>
      <w:r w:rsidR="00BC5AE8" w:rsidRPr="00795225">
        <w:t>wa</w:t>
      </w:r>
      <w:r w:rsidR="00B635AA" w:rsidRPr="00795225">
        <w:t xml:space="preserve">s not diminished </w:t>
      </w:r>
      <w:r w:rsidRPr="00795225">
        <w:t xml:space="preserve">when </w:t>
      </w:r>
      <w:r w:rsidR="00AA56E8" w:rsidRPr="00795225">
        <w:t>Stage IIIA patients</w:t>
      </w:r>
      <w:r w:rsidR="00602803" w:rsidRPr="00795225">
        <w:t xml:space="preserve"> </w:t>
      </w:r>
      <w:r w:rsidRPr="00795225">
        <w:t xml:space="preserve">were </w:t>
      </w:r>
      <w:r w:rsidRPr="00795225">
        <w:lastRenderedPageBreak/>
        <w:t>excluded from the analysis</w:t>
      </w:r>
      <w:r w:rsidR="00AA56E8" w:rsidRPr="00795225">
        <w:t>, indicating that the presence of these patients in the sample d</w:t>
      </w:r>
      <w:r w:rsidR="00BC5AE8" w:rsidRPr="00795225">
        <w:t>id</w:t>
      </w:r>
      <w:r w:rsidR="00AA56E8" w:rsidRPr="00795225">
        <w:t xml:space="preserve"> not materially change the trial result.</w:t>
      </w:r>
      <w:r w:rsidR="00F9127C" w:rsidRPr="00795225">
        <w:t xml:space="preserve"> The ESC noted similar results would be expected given the exclusion of only 4.7% of patients.</w:t>
      </w:r>
      <w:r w:rsidR="00AA56E8" w:rsidRPr="00795225">
        <w:t xml:space="preserve"> The PSCR further argue</w:t>
      </w:r>
      <w:r w:rsidR="00C251EE" w:rsidRPr="00795225">
        <w:t>d</w:t>
      </w:r>
      <w:r w:rsidR="00AA56E8" w:rsidRPr="00795225">
        <w:t xml:space="preserve"> that Stage IIIA patients may self-select to have no treatment</w:t>
      </w:r>
      <w:r w:rsidR="00761F41" w:rsidRPr="00795225">
        <w:t>,</w:t>
      </w:r>
      <w:r w:rsidR="00AA56E8" w:rsidRPr="00795225">
        <w:t xml:space="preserve"> </w:t>
      </w:r>
      <w:r w:rsidR="00FC2988" w:rsidRPr="00795225">
        <w:t>although</w:t>
      </w:r>
      <w:r w:rsidR="00AF7D3D" w:rsidRPr="00795225">
        <w:t xml:space="preserve"> it</w:t>
      </w:r>
      <w:r w:rsidR="00AA56E8" w:rsidRPr="00795225">
        <w:t xml:space="preserve"> </w:t>
      </w:r>
      <w:r w:rsidR="00E251F6" w:rsidRPr="00795225">
        <w:t xml:space="preserve">noted </w:t>
      </w:r>
      <w:r w:rsidR="00AA56E8" w:rsidRPr="00795225">
        <w:t xml:space="preserve">that there is evidence </w:t>
      </w:r>
      <w:r w:rsidR="00AF7D3D" w:rsidRPr="00795225">
        <w:t xml:space="preserve">(from the nivolumab Patient Access Program (PAP)) </w:t>
      </w:r>
      <w:r w:rsidR="00AA56E8" w:rsidRPr="00795225">
        <w:t>of a clinical desire to have adjuvant nivolumab available to this population.</w:t>
      </w:r>
      <w:r w:rsidR="00F9127C" w:rsidRPr="00795225">
        <w:t xml:space="preserve"> The ESC noted that </w:t>
      </w:r>
      <w:r w:rsidR="00EE1A98" w:rsidRPr="00795225">
        <w:t>11</w:t>
      </w:r>
      <w:r w:rsidR="00F9127C" w:rsidRPr="00795225">
        <w:t>%</w:t>
      </w:r>
      <w:r w:rsidR="00EE1A98" w:rsidRPr="00795225">
        <w:t xml:space="preserve"> (59/517)</w:t>
      </w:r>
      <w:r w:rsidR="00F9127C" w:rsidRPr="00795225">
        <w:t xml:space="preserve"> of patients in the nivolumab </w:t>
      </w:r>
      <w:r w:rsidR="00EE1A98" w:rsidRPr="00795225">
        <w:t>PAP</w:t>
      </w:r>
      <w:r w:rsidR="00F9127C" w:rsidRPr="00795225">
        <w:t xml:space="preserve"> had Stage IIIA disease</w:t>
      </w:r>
      <w:r w:rsidR="0044201E" w:rsidRPr="00795225">
        <w:t>, higher than expected based on the proportion of Stage III disease that is Stage IIIA</w:t>
      </w:r>
      <w:r w:rsidR="003D0D27" w:rsidRPr="00795225">
        <w:t xml:space="preserve"> in the Australian sample described by </w:t>
      </w:r>
      <w:proofErr w:type="spellStart"/>
      <w:r w:rsidR="003D0D27" w:rsidRPr="00795225">
        <w:t>Haydu</w:t>
      </w:r>
      <w:proofErr w:type="spellEnd"/>
      <w:r w:rsidR="003D0D27" w:rsidRPr="00795225">
        <w:t xml:space="preserve"> </w:t>
      </w:r>
      <w:r w:rsidR="00D30A8F" w:rsidRPr="00795225">
        <w:t>(</w:t>
      </w:r>
      <w:r w:rsidR="003D0D27" w:rsidRPr="00795225">
        <w:t>2017</w:t>
      </w:r>
      <w:r w:rsidR="00D30A8F" w:rsidRPr="00795225">
        <w:t>)</w:t>
      </w:r>
      <w:r w:rsidR="0044201E" w:rsidRPr="00795225">
        <w:t xml:space="preserve"> </w:t>
      </w:r>
      <w:r w:rsidR="00761F41" w:rsidRPr="00795225">
        <w:t xml:space="preserve">of </w:t>
      </w:r>
      <w:r w:rsidR="0044201E" w:rsidRPr="00795225">
        <w:t>4.</w:t>
      </w:r>
      <w:r w:rsidR="00AF7D3D" w:rsidRPr="00795225">
        <w:t>8</w:t>
      </w:r>
      <w:r w:rsidR="0044201E" w:rsidRPr="00795225">
        <w:t xml:space="preserve">%, suggesting Stage IIIA </w:t>
      </w:r>
      <w:r w:rsidR="00FC2988" w:rsidRPr="00795225">
        <w:t xml:space="preserve">patients </w:t>
      </w:r>
      <w:r w:rsidR="00EE354F" w:rsidRPr="00795225">
        <w:t>frequently</w:t>
      </w:r>
      <w:r w:rsidR="0044201E" w:rsidRPr="00795225">
        <w:t xml:space="preserve"> select to have treatment. </w:t>
      </w:r>
      <w:r w:rsidR="00AA56E8" w:rsidRPr="00795225">
        <w:t>The ESC advised that there</w:t>
      </w:r>
      <w:r w:rsidR="009E3D76" w:rsidRPr="00795225">
        <w:t xml:space="preserve"> </w:t>
      </w:r>
      <w:r w:rsidR="00E251F6" w:rsidRPr="00795225">
        <w:t>was</w:t>
      </w:r>
      <w:r w:rsidR="00AA56E8" w:rsidRPr="00795225">
        <w:t xml:space="preserve"> limited evidence to establish the benefit </w:t>
      </w:r>
      <w:r w:rsidR="00761F41" w:rsidRPr="00795225">
        <w:t xml:space="preserve">to </w:t>
      </w:r>
      <w:r w:rsidR="00AA56E8" w:rsidRPr="00795225">
        <w:t>risk ratio fo</w:t>
      </w:r>
      <w:r w:rsidR="008D7392" w:rsidRPr="00795225">
        <w:t>r Stage IIIA patients.</w:t>
      </w:r>
      <w:r w:rsidR="00E03FF7" w:rsidRPr="00795225">
        <w:t xml:space="preserve"> </w:t>
      </w:r>
    </w:p>
    <w:p w:rsidR="008D7392" w:rsidRPr="00795225" w:rsidRDefault="008D7392" w:rsidP="004F1F64">
      <w:pPr>
        <w:pStyle w:val="ListParagraph"/>
        <w:widowControl/>
        <w:numPr>
          <w:ilvl w:val="1"/>
          <w:numId w:val="1"/>
        </w:numPr>
      </w:pPr>
      <w:r w:rsidRPr="00795225">
        <w:t>In terms of</w:t>
      </w:r>
      <w:r w:rsidR="00C60A4B" w:rsidRPr="00795225">
        <w:t xml:space="preserve"> the</w:t>
      </w:r>
      <w:r w:rsidRPr="00795225">
        <w:t xml:space="preserve"> lack of comparative data to support a listing for Stage IV patients, the PSCR argued that these patients are at high risk of metastatic disease, and that excluding these patients w</w:t>
      </w:r>
      <w:r w:rsidR="0058509A" w:rsidRPr="00795225">
        <w:t>ould</w:t>
      </w:r>
      <w:r w:rsidRPr="00795225">
        <w:t xml:space="preserve"> create an illogical treatment gap for patients with a very high need. </w:t>
      </w:r>
      <w:r w:rsidR="005661B2" w:rsidRPr="00795225">
        <w:t>The ESC advised</w:t>
      </w:r>
      <w:r w:rsidR="004F1F64" w:rsidRPr="00795225">
        <w:t xml:space="preserve"> it would not be appropriate to exclude Stage IV patients from the proposed listing</w:t>
      </w:r>
      <w:r w:rsidR="005661B2" w:rsidRPr="00795225">
        <w:t>.</w:t>
      </w:r>
    </w:p>
    <w:p w:rsidR="00DF43D3" w:rsidRPr="00795225" w:rsidRDefault="00457308" w:rsidP="00506E50">
      <w:pPr>
        <w:pStyle w:val="ListParagraph"/>
        <w:widowControl/>
        <w:numPr>
          <w:ilvl w:val="1"/>
          <w:numId w:val="1"/>
        </w:numPr>
        <w:rPr>
          <w:rFonts w:ascii="Times New Roman" w:hAnsi="Times New Roman" w:cs="Times New Roman"/>
          <w:snapToGrid/>
          <w:szCs w:val="24"/>
          <w:lang w:eastAsia="en-AU"/>
        </w:rPr>
      </w:pPr>
      <w:r w:rsidRPr="00795225">
        <w:t xml:space="preserve">Similar to the original submission, the resubmission proposed the use of a </w:t>
      </w:r>
      <w:r w:rsidR="00D80855" w:rsidRPr="00795225">
        <w:rPr>
          <w:iCs/>
        </w:rPr>
        <w:t>programmed cell death-1 (</w:t>
      </w:r>
      <w:r w:rsidRPr="00795225">
        <w:t>PD</w:t>
      </w:r>
      <w:r w:rsidR="00D80855" w:rsidRPr="00795225">
        <w:t>-</w:t>
      </w:r>
      <w:r w:rsidRPr="00795225">
        <w:t>1</w:t>
      </w:r>
      <w:r w:rsidR="00D80855" w:rsidRPr="00795225">
        <w:t>)</w:t>
      </w:r>
      <w:r w:rsidR="00E65629" w:rsidRPr="00795225">
        <w:t xml:space="preserve"> inhibitor</w:t>
      </w:r>
      <w:r w:rsidRPr="00795225">
        <w:t xml:space="preserve">-containing regimen be allowed in the adjuvant and </w:t>
      </w:r>
      <w:r w:rsidR="00DE7BB8" w:rsidRPr="00795225">
        <w:t xml:space="preserve">then in the </w:t>
      </w:r>
      <w:proofErr w:type="spellStart"/>
      <w:r w:rsidRPr="00795225">
        <w:t>unresectable</w:t>
      </w:r>
      <w:proofErr w:type="spellEnd"/>
      <w:r w:rsidRPr="00795225">
        <w:t xml:space="preserve"> </w:t>
      </w:r>
      <w:r w:rsidR="00BA5DBD" w:rsidRPr="00795225">
        <w:t xml:space="preserve">or metastatic </w:t>
      </w:r>
      <w:r w:rsidRPr="00795225">
        <w:t xml:space="preserve">setting. </w:t>
      </w:r>
      <w:r w:rsidR="00DE7BB8" w:rsidRPr="00795225">
        <w:t xml:space="preserve">The resubmission proposed changes to existing nivolumab (and pembrolizumab) listings, and to BRAF inhibitor listings for BRAF </w:t>
      </w:r>
      <w:r w:rsidR="0058509A" w:rsidRPr="00795225">
        <w:t>mutant</w:t>
      </w:r>
      <w:r w:rsidR="00DE7BB8" w:rsidRPr="00795225">
        <w:t xml:space="preserve"> patients, which it suggested would provide clarity for prescribers</w:t>
      </w:r>
      <w:r w:rsidR="007F4A0F" w:rsidRPr="00795225">
        <w:t xml:space="preserve">, although it </w:t>
      </w:r>
      <w:r w:rsidR="00FD6AED" w:rsidRPr="00795225">
        <w:t xml:space="preserve">also </w:t>
      </w:r>
      <w:r w:rsidR="00DE7BB8" w:rsidRPr="00795225">
        <w:t xml:space="preserve">suggested that the </w:t>
      </w:r>
      <w:r w:rsidR="007F4A0F" w:rsidRPr="00795225">
        <w:t xml:space="preserve">wording of </w:t>
      </w:r>
      <w:r w:rsidR="00DE7BB8" w:rsidRPr="00795225">
        <w:t xml:space="preserve">existing listings are sufficient to allow treatment in </w:t>
      </w:r>
      <w:r w:rsidR="007F4A0F" w:rsidRPr="00795225">
        <w:t>the</w:t>
      </w:r>
      <w:r w:rsidR="00DE7BB8" w:rsidRPr="00795225">
        <w:t xml:space="preserve"> adjuvant and </w:t>
      </w:r>
      <w:r w:rsidR="007F4A0F" w:rsidRPr="00795225">
        <w:t xml:space="preserve">then the </w:t>
      </w:r>
      <w:proofErr w:type="spellStart"/>
      <w:r w:rsidR="00DE7BB8" w:rsidRPr="00795225">
        <w:t>unresectable</w:t>
      </w:r>
      <w:proofErr w:type="spellEnd"/>
      <w:r w:rsidR="00DE7BB8" w:rsidRPr="00795225">
        <w:t xml:space="preserve"> </w:t>
      </w:r>
      <w:r w:rsidR="00BA5DBD" w:rsidRPr="00795225">
        <w:t xml:space="preserve">or metastatic </w:t>
      </w:r>
      <w:r w:rsidR="00DE7BB8" w:rsidRPr="00795225">
        <w:t xml:space="preserve">setting. </w:t>
      </w:r>
      <w:r w:rsidR="003F3BD3" w:rsidRPr="00795225">
        <w:t xml:space="preserve">The PSCR acknowledged there </w:t>
      </w:r>
      <w:r w:rsidR="00AA05FB" w:rsidRPr="00795225">
        <w:t>are</w:t>
      </w:r>
      <w:r w:rsidR="003F3BD3" w:rsidRPr="00795225">
        <w:t xml:space="preserve"> </w:t>
      </w:r>
      <w:r w:rsidR="00E65629" w:rsidRPr="00795225">
        <w:t xml:space="preserve">currently </w:t>
      </w:r>
      <w:r w:rsidR="003F3BD3" w:rsidRPr="00795225">
        <w:t xml:space="preserve">very little data to inform the impact of adjuvant nivolumab treatment on subsequent use of PD-1 inhibitors in the </w:t>
      </w:r>
      <w:proofErr w:type="spellStart"/>
      <w:r w:rsidR="003F3BD3" w:rsidRPr="00795225">
        <w:t>unresectable</w:t>
      </w:r>
      <w:proofErr w:type="spellEnd"/>
      <w:r w:rsidR="00BA5DBD" w:rsidRPr="00795225">
        <w:t xml:space="preserve"> or </w:t>
      </w:r>
      <w:r w:rsidR="003F3BD3" w:rsidRPr="00795225">
        <w:t>metastatic setting</w:t>
      </w:r>
      <w:r w:rsidR="006222FB" w:rsidRPr="00795225">
        <w:t>, but claimed it was unlikely to negatively impact future treatment</w:t>
      </w:r>
      <w:r w:rsidR="003F3BD3" w:rsidRPr="00795225">
        <w:t xml:space="preserve">. Further, the PSCR highlighted an analysis of data collected on outcomes at the end of </w:t>
      </w:r>
      <w:r w:rsidR="008C2FFD" w:rsidRPr="00795225">
        <w:t xml:space="preserve">the </w:t>
      </w:r>
      <w:r w:rsidR="003F3BD3" w:rsidRPr="00795225">
        <w:t>next line treatment</w:t>
      </w:r>
      <w:r w:rsidR="008C2FFD" w:rsidRPr="00795225">
        <w:t xml:space="preserve"> which</w:t>
      </w:r>
      <w:r w:rsidR="003F3BD3" w:rsidRPr="00795225">
        <w:t xml:space="preserve"> suggested a clinically relevant improvement in PFS for </w:t>
      </w:r>
      <w:r w:rsidR="00AA05FB" w:rsidRPr="00795225">
        <w:t>nivolumab</w:t>
      </w:r>
      <w:r w:rsidR="003F3BD3" w:rsidRPr="00795225">
        <w:t xml:space="preserve"> v</w:t>
      </w:r>
      <w:r w:rsidR="009F16BB" w:rsidRPr="00795225">
        <w:t>ersu</w:t>
      </w:r>
      <w:r w:rsidR="003F3BD3" w:rsidRPr="00795225">
        <w:t xml:space="preserve">s </w:t>
      </w:r>
      <w:proofErr w:type="spellStart"/>
      <w:r w:rsidR="00AA05FB" w:rsidRPr="00795225">
        <w:t>ipilimumab</w:t>
      </w:r>
      <w:proofErr w:type="spellEnd"/>
      <w:r w:rsidR="003F3BD3" w:rsidRPr="00795225">
        <w:t xml:space="preserve"> 10</w:t>
      </w:r>
      <w:r w:rsidR="00E65629" w:rsidRPr="00795225">
        <w:t xml:space="preserve"> </w:t>
      </w:r>
      <w:r w:rsidR="003F3BD3" w:rsidRPr="00795225">
        <w:t xml:space="preserve">mg/kg with </w:t>
      </w:r>
      <w:r w:rsidR="009F16BB" w:rsidRPr="00795225">
        <w:t>a hazard ratio (</w:t>
      </w:r>
      <w:r w:rsidR="003F3BD3" w:rsidRPr="00795225">
        <w:t>HR</w:t>
      </w:r>
      <w:r w:rsidR="009F16BB" w:rsidRPr="00795225">
        <w:t>)</w:t>
      </w:r>
      <w:r w:rsidR="003F3BD3" w:rsidRPr="00795225">
        <w:t xml:space="preserve"> </w:t>
      </w:r>
      <w:r w:rsidR="009F16BB" w:rsidRPr="00795225">
        <w:t xml:space="preserve">of </w:t>
      </w:r>
      <w:r w:rsidR="003F3BD3" w:rsidRPr="00795225">
        <w:t xml:space="preserve">0.74 (95% </w:t>
      </w:r>
      <w:r w:rsidR="009F16BB" w:rsidRPr="00795225">
        <w:t>confidence interval (</w:t>
      </w:r>
      <w:r w:rsidR="003F3BD3" w:rsidRPr="00795225">
        <w:t>CI</w:t>
      </w:r>
      <w:r w:rsidR="009F16BB" w:rsidRPr="00795225">
        <w:t>)</w:t>
      </w:r>
      <w:r w:rsidR="003F3BD3" w:rsidRPr="00795225">
        <w:t xml:space="preserve">: 0.57, 0.97; stratified log-rank p=0.0302). </w:t>
      </w:r>
      <w:r w:rsidR="007C7E24" w:rsidRPr="00795225">
        <w:t xml:space="preserve">The PBAC agreed that patients who had tolerated and completed the 12 month course of adjuvant nivolumab treatment </w:t>
      </w:r>
      <w:r w:rsidR="004B321C" w:rsidRPr="00795225">
        <w:t>should</w:t>
      </w:r>
      <w:r w:rsidR="007C7E24" w:rsidRPr="00795225">
        <w:t xml:space="preserve"> be eligible for retreatment with a PD-1 inhibitor </w:t>
      </w:r>
      <w:r w:rsidR="00506E50" w:rsidRPr="00795225">
        <w:t xml:space="preserve">for </w:t>
      </w:r>
      <w:proofErr w:type="spellStart"/>
      <w:r w:rsidR="00506E50" w:rsidRPr="00795225">
        <w:t>unresectable</w:t>
      </w:r>
      <w:proofErr w:type="spellEnd"/>
      <w:r w:rsidR="00506E50" w:rsidRPr="00795225">
        <w:t xml:space="preserve"> Stage III or Stage IV disease. </w:t>
      </w:r>
    </w:p>
    <w:p w:rsidR="006C283A" w:rsidRPr="006C283A" w:rsidRDefault="00C34909" w:rsidP="00506E50">
      <w:pPr>
        <w:pStyle w:val="ListParagraph"/>
        <w:widowControl/>
        <w:numPr>
          <w:ilvl w:val="1"/>
          <w:numId w:val="1"/>
        </w:numPr>
        <w:rPr>
          <w:rFonts w:ascii="Times New Roman" w:hAnsi="Times New Roman" w:cs="Times New Roman"/>
          <w:snapToGrid/>
          <w:szCs w:val="24"/>
          <w:lang w:eastAsia="en-AU"/>
        </w:rPr>
      </w:pPr>
      <w:r w:rsidRPr="00795225">
        <w:t xml:space="preserve">For </w:t>
      </w:r>
      <w:r w:rsidR="004B321C" w:rsidRPr="00795225">
        <w:t xml:space="preserve">the </w:t>
      </w:r>
      <w:r w:rsidRPr="00795225">
        <w:t xml:space="preserve">adjuvant nivolumab </w:t>
      </w:r>
      <w:r w:rsidR="004B321C" w:rsidRPr="00795225">
        <w:t>listing</w:t>
      </w:r>
      <w:r w:rsidRPr="00795225">
        <w:t xml:space="preserve">, the resubmission requested that the PBAC reconsider </w:t>
      </w:r>
      <w:r w:rsidR="00A85496" w:rsidRPr="00795225">
        <w:t xml:space="preserve">its </w:t>
      </w:r>
      <w:r w:rsidRPr="00795225">
        <w:t>recommendation to exclude patients who had received prior treatment with a PD-1 inhibitor. This would allow patients who experienced a subsequent Stage III or IV melanoma</w:t>
      </w:r>
      <w:r w:rsidR="004B321C" w:rsidRPr="00795225">
        <w:t xml:space="preserve"> that was fully resected</w:t>
      </w:r>
      <w:r w:rsidRPr="00795225">
        <w:t xml:space="preserve">, access to retreatment with adjuvant nivolumab. </w:t>
      </w:r>
      <w:r w:rsidR="00FE4914" w:rsidRPr="00795225">
        <w:t xml:space="preserve">The sponsor indicated that up to 11% of patients will have a recurrence of </w:t>
      </w:r>
      <w:proofErr w:type="spellStart"/>
      <w:r w:rsidR="00FE4914" w:rsidRPr="00795225">
        <w:t>resectable</w:t>
      </w:r>
      <w:proofErr w:type="spellEnd"/>
      <w:r w:rsidR="00FE4914" w:rsidRPr="00795225">
        <w:t xml:space="preserve"> disease. </w:t>
      </w:r>
      <w:r w:rsidR="002E218C" w:rsidRPr="00795225">
        <w:t>The resubmission</w:t>
      </w:r>
      <w:r w:rsidR="00863A17" w:rsidRPr="00795225">
        <w:t xml:space="preserve"> </w:t>
      </w:r>
      <w:r w:rsidR="00457308" w:rsidRPr="00795225">
        <w:t xml:space="preserve">further </w:t>
      </w:r>
      <w:r w:rsidR="00863A17" w:rsidRPr="00795225">
        <w:t xml:space="preserve">proposed that </w:t>
      </w:r>
      <w:r w:rsidR="002E218C" w:rsidRPr="00795225">
        <w:t xml:space="preserve">the PBAC </w:t>
      </w:r>
      <w:r w:rsidR="00863A17" w:rsidRPr="00795225">
        <w:t xml:space="preserve">could </w:t>
      </w:r>
      <w:r w:rsidR="002E218C" w:rsidRPr="00795225">
        <w:t xml:space="preserve">consider </w:t>
      </w:r>
      <w:r w:rsidR="00FE4914" w:rsidRPr="00795225">
        <w:t>excluding from retreatment</w:t>
      </w:r>
      <w:r w:rsidR="00301AF4" w:rsidRPr="00795225">
        <w:t xml:space="preserve"> </w:t>
      </w:r>
      <w:r w:rsidR="00FE4914" w:rsidRPr="00795225">
        <w:t>those patients</w:t>
      </w:r>
      <w:r w:rsidR="002E218C" w:rsidRPr="00795225">
        <w:t xml:space="preserve"> </w:t>
      </w:r>
      <w:r w:rsidR="00FE4914" w:rsidRPr="00795225">
        <w:t>who</w:t>
      </w:r>
      <w:r w:rsidR="002E218C" w:rsidRPr="00795225">
        <w:t xml:space="preserve"> developed recurrent disease while receiving adjuvant therapy</w:t>
      </w:r>
      <w:r w:rsidR="00FE4914" w:rsidRPr="00795225">
        <w:t xml:space="preserve"> (i.e. including only patients who develop recurrence post adjuvant therapy)</w:t>
      </w:r>
      <w:r w:rsidR="002E218C" w:rsidRPr="00795225">
        <w:t xml:space="preserve">. </w:t>
      </w:r>
      <w:r w:rsidRPr="00795225">
        <w:t xml:space="preserve">Similar to the previous submission, </w:t>
      </w:r>
      <w:r w:rsidR="00314F71" w:rsidRPr="00795225">
        <w:t xml:space="preserve">limited </w:t>
      </w:r>
      <w:r w:rsidRPr="00795225">
        <w:t xml:space="preserve">evidence was provided </w:t>
      </w:r>
      <w:r w:rsidRPr="00795225">
        <w:lastRenderedPageBreak/>
        <w:t xml:space="preserve">in </w:t>
      </w:r>
      <w:r w:rsidR="008C274F" w:rsidRPr="00795225">
        <w:t>the resubmission to support the effectiveness and safety of using nivolumab as retreatment for fully resected Stage III or IV melanoma.</w:t>
      </w:r>
      <w:r w:rsidR="009F16BB" w:rsidRPr="00795225">
        <w:t xml:space="preserve"> </w:t>
      </w:r>
      <w:r w:rsidR="006C283A" w:rsidRPr="00795225">
        <w:t xml:space="preserve">The ESC advised that, although not proposed by the submission, patients with </w:t>
      </w:r>
      <w:proofErr w:type="spellStart"/>
      <w:r w:rsidR="006C283A" w:rsidRPr="00795225">
        <w:t>unresectable</w:t>
      </w:r>
      <w:proofErr w:type="spellEnd"/>
      <w:r w:rsidR="006C283A" w:rsidRPr="00795225">
        <w:t xml:space="preserve"> or metastatic disease who respond well to nivolumab therapy, and then go on to have complete resection, may also warrant future access to adjuvant nivolumab therapy.</w:t>
      </w:r>
      <w:r w:rsidR="006C283A">
        <w:t xml:space="preserve"> The PBAC noted that no data was presented to support this approach and that patients receiving </w:t>
      </w:r>
      <w:r w:rsidR="004F3CBF">
        <w:t>nivolumab</w:t>
      </w:r>
      <w:r w:rsidR="006C283A">
        <w:t xml:space="preserve"> therapy under the Stage IV </w:t>
      </w:r>
      <w:proofErr w:type="spellStart"/>
      <w:r w:rsidR="006C283A">
        <w:t>unresectable</w:t>
      </w:r>
      <w:proofErr w:type="spellEnd"/>
      <w:r w:rsidR="006C283A">
        <w:t xml:space="preserve"> listing, who then subsequently undergo surgical resection, may still continue to access </w:t>
      </w:r>
      <w:r w:rsidR="004F3CBF">
        <w:t>nivolumab</w:t>
      </w:r>
      <w:r w:rsidR="006C283A">
        <w:t xml:space="preserve"> under the current </w:t>
      </w:r>
      <w:proofErr w:type="spellStart"/>
      <w:r w:rsidR="006C283A">
        <w:t>unresectable</w:t>
      </w:r>
      <w:proofErr w:type="spellEnd"/>
      <w:r w:rsidR="006C283A">
        <w:t xml:space="preserve"> listing, if the clinician deems it appropriate to continue treatment. </w:t>
      </w:r>
      <w:r w:rsidR="008104A8">
        <w:t>The PBAC did not deem it therefore appropriate, without further data presented, for these patients to access nivolumab under the adjuvant listing, which should be reserved for patients who are naïve to nivolumab therapy.</w:t>
      </w:r>
    </w:p>
    <w:p w:rsidR="00457308" w:rsidRPr="00795225" w:rsidRDefault="00457308" w:rsidP="00457308">
      <w:pPr>
        <w:pStyle w:val="ListParagraph"/>
        <w:widowControl/>
        <w:numPr>
          <w:ilvl w:val="1"/>
          <w:numId w:val="1"/>
        </w:numPr>
      </w:pPr>
      <w:r w:rsidRPr="00795225">
        <w:t xml:space="preserve">The resubmission made amendments to the </w:t>
      </w:r>
      <w:r w:rsidR="00BF24D4" w:rsidRPr="00795225">
        <w:t xml:space="preserve">proposed </w:t>
      </w:r>
      <w:r w:rsidRPr="00795225">
        <w:t xml:space="preserve">clinical criteria of adjuvant nivolumab (initiation) based on the PBAC’s recommendations to include patients with an Eastern Cooperative Oncology group (ECOG) performance status of 0 or 1. </w:t>
      </w:r>
    </w:p>
    <w:p w:rsidR="00345A32" w:rsidRPr="00795225" w:rsidRDefault="00410F2D" w:rsidP="00D736AF">
      <w:pPr>
        <w:pStyle w:val="ListParagraph"/>
        <w:widowControl/>
        <w:numPr>
          <w:ilvl w:val="1"/>
          <w:numId w:val="1"/>
        </w:numPr>
      </w:pPr>
      <w:r w:rsidRPr="00795225">
        <w:t xml:space="preserve">The maximum duration of treatment for adjuvant </w:t>
      </w:r>
      <w:r w:rsidR="00F80903" w:rsidRPr="00795225">
        <w:t xml:space="preserve">nivolumab </w:t>
      </w:r>
      <w:r w:rsidRPr="00795225">
        <w:t>(continuing treatment), was amended to include both the maximum dose (3 mg per kg) and dosing interval (every 2 weeks) as well as maximum duration of treatment (12 months)</w:t>
      </w:r>
      <w:r w:rsidR="001C7883" w:rsidRPr="00795225">
        <w:t xml:space="preserve"> </w:t>
      </w:r>
      <w:r w:rsidR="00187AC8" w:rsidRPr="00795225">
        <w:t xml:space="preserve">which </w:t>
      </w:r>
      <w:r w:rsidRPr="00795225">
        <w:t xml:space="preserve">is consistent with the PBS listing for </w:t>
      </w:r>
      <w:r w:rsidR="00F80903" w:rsidRPr="00795225">
        <w:t xml:space="preserve">nivolumab </w:t>
      </w:r>
      <w:r w:rsidRPr="00795225">
        <w:t xml:space="preserve">for </w:t>
      </w:r>
      <w:proofErr w:type="spellStart"/>
      <w:r w:rsidRPr="00795225">
        <w:t>unresectable</w:t>
      </w:r>
      <w:proofErr w:type="spellEnd"/>
      <w:r w:rsidRPr="00795225">
        <w:t xml:space="preserve"> Stage III and </w:t>
      </w:r>
      <w:r w:rsidR="00515EE1" w:rsidRPr="00795225">
        <w:t xml:space="preserve">Stage </w:t>
      </w:r>
      <w:r w:rsidRPr="00795225">
        <w:t xml:space="preserve">IV </w:t>
      </w:r>
      <w:r w:rsidR="00515EE1" w:rsidRPr="00795225">
        <w:t xml:space="preserve">malignant </w:t>
      </w:r>
      <w:r w:rsidRPr="00795225">
        <w:t>melanoma.</w:t>
      </w:r>
      <w:r w:rsidR="00194838" w:rsidRPr="00795225">
        <w:t xml:space="preserve"> </w:t>
      </w:r>
      <w:r w:rsidR="006E213B" w:rsidRPr="00795225">
        <w:t>However, t</w:t>
      </w:r>
      <w:r w:rsidR="00194838" w:rsidRPr="00795225">
        <w:t xml:space="preserve">he sponsor also made a minor submission to the March 2019 PBAC meeting to request amendments to current weight-based dosing restrictions to include recent TGA approved changes to allow clinicians choice between weight-based and fixed dosing (item 6.14 refers). </w:t>
      </w:r>
      <w:r w:rsidR="00D12CAC" w:rsidRPr="00795225">
        <w:t xml:space="preserve">The TGA recommended dosing is now 3 mg/kg every 2 weeks </w:t>
      </w:r>
      <w:r w:rsidR="00D12CAC" w:rsidRPr="00795225">
        <w:rPr>
          <w:b/>
        </w:rPr>
        <w:t>or</w:t>
      </w:r>
      <w:r w:rsidR="00D12CAC" w:rsidRPr="00795225">
        <w:t xml:space="preserve"> 240 mg every 2 weeks </w:t>
      </w:r>
      <w:r w:rsidR="00D12CAC" w:rsidRPr="00795225">
        <w:rPr>
          <w:b/>
        </w:rPr>
        <w:t>or</w:t>
      </w:r>
      <w:r w:rsidR="00D12CAC" w:rsidRPr="00795225">
        <w:t xml:space="preserve"> 480 mg every 4 weeks. The maximum treatment duration for adjuvant melanoma treatment is unchanged at 12 months.</w:t>
      </w:r>
      <w:r w:rsidR="00CB6F91" w:rsidRPr="00795225">
        <w:t xml:space="preserve"> </w:t>
      </w:r>
      <w:r w:rsidR="00E964CF" w:rsidRPr="00795225">
        <w:t xml:space="preserve">The PSCR suggested that the dosing regimen for adjuvant treatment should be aligned with the requested changes to other nivolumab listings, if recommended. The PSCR also </w:t>
      </w:r>
      <w:r w:rsidR="00110B64" w:rsidRPr="00795225">
        <w:t xml:space="preserve">indicated that the 480 mg </w:t>
      </w:r>
      <w:r w:rsidR="0058509A" w:rsidRPr="00795225">
        <w:t>every 4 weeks</w:t>
      </w:r>
      <w:r w:rsidR="00E964CF" w:rsidRPr="00795225">
        <w:t xml:space="preserve"> fixed dosing regimen is likely to be the most utilised regimen for this indication.</w:t>
      </w:r>
    </w:p>
    <w:p w:rsidR="00457308" w:rsidRPr="00795225" w:rsidRDefault="008C274F" w:rsidP="00C12532">
      <w:pPr>
        <w:pStyle w:val="ListParagraph"/>
        <w:widowControl/>
        <w:numPr>
          <w:ilvl w:val="1"/>
          <w:numId w:val="1"/>
        </w:numPr>
      </w:pPr>
      <w:r w:rsidRPr="00795225">
        <w:t>The resubmission requested a grandfather listing</w:t>
      </w:r>
      <w:r w:rsidR="00656601" w:rsidRPr="00795225">
        <w:t>, noting that since the previous submission, the sponsor had launched a nivolumab P</w:t>
      </w:r>
      <w:r w:rsidR="00187AC8" w:rsidRPr="00795225">
        <w:t xml:space="preserve">AP </w:t>
      </w:r>
      <w:r w:rsidR="00656601" w:rsidRPr="00795225">
        <w:t xml:space="preserve">for the use of adjuvant treatment in resected Stage III and IV melanoma. As at 16 October 2018, 241 patients had commenced treatment and the resubmission anticipated that 720 patients (i.e. 100% of PAP patients) would be eligible to transition to PBS stock at time of listing. </w:t>
      </w:r>
    </w:p>
    <w:p w:rsidR="00687F2C" w:rsidRPr="00795225" w:rsidRDefault="00B11B16" w:rsidP="00687F2C">
      <w:pPr>
        <w:pStyle w:val="ListParagraph"/>
        <w:widowControl/>
        <w:numPr>
          <w:ilvl w:val="1"/>
          <w:numId w:val="1"/>
        </w:numPr>
      </w:pPr>
      <w:r w:rsidRPr="00795225">
        <w:t>The ESC noted correspondence from MSAC to the PBAC on 11 February 2019 regarding sentinel lymph node biopsy (S</w:t>
      </w:r>
      <w:r w:rsidR="00BB6A36">
        <w:t>LN</w:t>
      </w:r>
      <w:r w:rsidRPr="00795225">
        <w:t>B) and the implications for emerging adjuvant therapies. The MSAC noted that clinicians and other stakeholders have advised that all patients diagnosed by S</w:t>
      </w:r>
      <w:r w:rsidR="00BB6A36">
        <w:t>LN</w:t>
      </w:r>
      <w:r w:rsidRPr="00795225">
        <w:t xml:space="preserve">B as being Stage IIIA or higher would now be referred to a medical oncologist and multi-disciplinary team to consider whether these patients should be offered systemic adjuvant treatment. The MSAC further noted that, compared to the </w:t>
      </w:r>
      <w:r w:rsidR="007E3877" w:rsidRPr="007579E2">
        <w:t>7</w:t>
      </w:r>
      <w:r w:rsidR="007E3877" w:rsidRPr="007579E2">
        <w:rPr>
          <w:vertAlign w:val="superscript"/>
        </w:rPr>
        <w:t>th</w:t>
      </w:r>
      <w:r w:rsidR="007E3877" w:rsidRPr="007579E2">
        <w:t xml:space="preserve"> edition of the American Joint Committee on Cancer </w:t>
      </w:r>
      <w:r w:rsidR="007E3877" w:rsidRPr="007579E2">
        <w:lastRenderedPageBreak/>
        <w:t xml:space="preserve">(AJCC) melanoma staging system </w:t>
      </w:r>
      <w:r w:rsidRPr="00795225">
        <w:t xml:space="preserve">(as used in CA238), the </w:t>
      </w:r>
      <w:r w:rsidR="007E3877">
        <w:t>8</w:t>
      </w:r>
      <w:r w:rsidR="007E3877" w:rsidRPr="007E3877">
        <w:rPr>
          <w:vertAlign w:val="superscript"/>
        </w:rPr>
        <w:t>th</w:t>
      </w:r>
      <w:r w:rsidR="007E3877">
        <w:t xml:space="preserve"> edition</w:t>
      </w:r>
      <w:r w:rsidRPr="00795225">
        <w:t xml:space="preserve"> </w:t>
      </w:r>
      <w:r w:rsidR="007E3877">
        <w:t>s</w:t>
      </w:r>
      <w:r w:rsidRPr="00795225">
        <w:t xml:space="preserve">taging system, which came into effect in Australia in 2018, has changed the proportions of patients classified into the various subcategories of Stage III, and that the risk of melanoma recurrence has also changed across these subcategories (see paragraph </w:t>
      </w:r>
      <w:r w:rsidR="00133D62" w:rsidRPr="00EB1C39">
        <w:t>6.9</w:t>
      </w:r>
      <w:r w:rsidRPr="00795225">
        <w:t xml:space="preserve">). In particular, more patients are now being classified as having Stage IIIA melanoma, </w:t>
      </w:r>
      <w:r w:rsidR="00A17CAF">
        <w:t>and</w:t>
      </w:r>
      <w:r w:rsidRPr="00795225">
        <w:t xml:space="preserve"> they may have a </w:t>
      </w:r>
      <w:r w:rsidR="00327D81">
        <w:t xml:space="preserve">lower </w:t>
      </w:r>
      <w:r w:rsidRPr="00795225">
        <w:t>risk of recurrence</w:t>
      </w:r>
      <w:r w:rsidR="00327D81">
        <w:t xml:space="preserve"> than patients with Stage IIIB, IIIC or IIID melanoma</w:t>
      </w:r>
      <w:r w:rsidRPr="00795225">
        <w:t>.</w:t>
      </w:r>
      <w:r w:rsidR="00687F2C" w:rsidRPr="00795225">
        <w:t xml:space="preserve"> The MSAC asked the PBAC to review the proposed threshold of melanoma staging for the initiation of adjuvant treatment.</w:t>
      </w:r>
    </w:p>
    <w:p w:rsidR="00687F2C" w:rsidRPr="00795225" w:rsidRDefault="00687F2C" w:rsidP="00687F2C">
      <w:pPr>
        <w:pStyle w:val="ListParagraph"/>
        <w:widowControl/>
        <w:numPr>
          <w:ilvl w:val="1"/>
          <w:numId w:val="1"/>
        </w:numPr>
      </w:pPr>
      <w:r w:rsidRPr="00795225">
        <w:t xml:space="preserve">The MSAC also advised that the second </w:t>
      </w:r>
      <w:proofErr w:type="spellStart"/>
      <w:r w:rsidRPr="00795225">
        <w:t>Multicenter</w:t>
      </w:r>
      <w:proofErr w:type="spellEnd"/>
      <w:r w:rsidRPr="00795225">
        <w:t xml:space="preserve"> Selective Lymphadenectomy Trial (MSLT-II) demonstrated no improvement in 10-year survival with complete lymph node dissection (CLND) versus nodal observation in patients with a tumour-positive sentinel </w:t>
      </w:r>
      <w:r w:rsidR="00217FB4">
        <w:t xml:space="preserve">lymph </w:t>
      </w:r>
      <w:r w:rsidRPr="00795225">
        <w:t>node (</w:t>
      </w:r>
      <w:proofErr w:type="spellStart"/>
      <w:r w:rsidRPr="00795225">
        <w:t>Faries</w:t>
      </w:r>
      <w:proofErr w:type="spellEnd"/>
      <w:r w:rsidRPr="00795225">
        <w:t xml:space="preserve"> et al, 2017)</w:t>
      </w:r>
      <w:r w:rsidR="00EC5537">
        <w:rPr>
          <w:rStyle w:val="FootnoteReference"/>
        </w:rPr>
        <w:footnoteReference w:id="1"/>
      </w:r>
      <w:r w:rsidR="00795225">
        <w:t xml:space="preserve">. </w:t>
      </w:r>
      <w:r w:rsidRPr="00795225">
        <w:t xml:space="preserve">As a result, some patients with a positive sentinel </w:t>
      </w:r>
      <w:r w:rsidR="00217FB4">
        <w:t xml:space="preserve">lymph </w:t>
      </w:r>
      <w:r w:rsidRPr="00795225">
        <w:t>node may no longer go on to an immediate CLND. This means that some patients will present for treatment with residual microscopically positive regional lymph nodes, whereas in the past (and in the C</w:t>
      </w:r>
      <w:r w:rsidR="007E3877">
        <w:t>A238</w:t>
      </w:r>
      <w:r w:rsidRPr="00795225">
        <w:t xml:space="preserve"> trial) this group would have undergone CLND.</w:t>
      </w:r>
    </w:p>
    <w:p w:rsidR="00687F2C" w:rsidRPr="00795225" w:rsidRDefault="00687F2C" w:rsidP="00687F2C">
      <w:pPr>
        <w:pStyle w:val="ListParagraph"/>
        <w:widowControl/>
        <w:numPr>
          <w:ilvl w:val="1"/>
          <w:numId w:val="1"/>
        </w:numPr>
      </w:pPr>
      <w:r w:rsidRPr="00795225">
        <w:t xml:space="preserve">In relation to the patient population, the PBAC </w:t>
      </w:r>
      <w:r w:rsidR="00BB6A36">
        <w:t>foreshadowed</w:t>
      </w:r>
      <w:r w:rsidRPr="00795225">
        <w:t xml:space="preserve"> that </w:t>
      </w:r>
      <w:r w:rsidR="00BB6A36">
        <w:t xml:space="preserve">a recommended PBS listing of </w:t>
      </w:r>
      <w:r w:rsidR="00F1703B">
        <w:t xml:space="preserve">adjuvant </w:t>
      </w:r>
      <w:r w:rsidR="00611904" w:rsidRPr="00795225">
        <w:t>nivolumab</w:t>
      </w:r>
      <w:r w:rsidRPr="00795225">
        <w:t xml:space="preserve"> should be </w:t>
      </w:r>
      <w:r w:rsidR="00BB6A36">
        <w:t xml:space="preserve">limited to </w:t>
      </w:r>
      <w:r w:rsidRPr="00795225">
        <w:t xml:space="preserve">patients with </w:t>
      </w:r>
      <w:r w:rsidR="00AB797A">
        <w:t xml:space="preserve">completely resected </w:t>
      </w:r>
      <w:r w:rsidRPr="00795225">
        <w:t>Stage IIIB</w:t>
      </w:r>
      <w:r w:rsidR="00611904" w:rsidRPr="00795225">
        <w:t xml:space="preserve">, IIIC, IIID and </w:t>
      </w:r>
      <w:r w:rsidRPr="00795225">
        <w:t>Stage I</w:t>
      </w:r>
      <w:r w:rsidR="00611904" w:rsidRPr="00795225">
        <w:t>V</w:t>
      </w:r>
      <w:r w:rsidRPr="00795225">
        <w:t xml:space="preserve"> disease and that it should </w:t>
      </w:r>
      <w:r w:rsidR="00BB6A36">
        <w:t>exclude</w:t>
      </w:r>
      <w:r w:rsidRPr="00795225">
        <w:t xml:space="preserve"> patients with Stage IIIA disease. This was on the basis of:</w:t>
      </w:r>
    </w:p>
    <w:p w:rsidR="00687F2C" w:rsidRPr="00795225" w:rsidRDefault="00687F2C" w:rsidP="00687F2C">
      <w:pPr>
        <w:pStyle w:val="ListParagraph"/>
        <w:numPr>
          <w:ilvl w:val="0"/>
          <w:numId w:val="37"/>
        </w:numPr>
        <w:snapToGrid w:val="0"/>
        <w:spacing w:after="120"/>
      </w:pPr>
      <w:r w:rsidRPr="00795225">
        <w:t xml:space="preserve">Patients with Stage IIIA disease being excluded from the </w:t>
      </w:r>
      <w:r w:rsidR="00611904" w:rsidRPr="00795225">
        <w:t>CA238</w:t>
      </w:r>
      <w:r w:rsidRPr="00795225">
        <w:t xml:space="preserve"> trial.</w:t>
      </w:r>
    </w:p>
    <w:p w:rsidR="00521AD4" w:rsidRPr="00795225" w:rsidRDefault="00521AD4" w:rsidP="00687F2C">
      <w:pPr>
        <w:pStyle w:val="ListParagraph"/>
        <w:numPr>
          <w:ilvl w:val="0"/>
          <w:numId w:val="37"/>
        </w:numPr>
        <w:snapToGrid w:val="0"/>
        <w:spacing w:after="120"/>
      </w:pPr>
      <w:r w:rsidRPr="00795225">
        <w:t>Patients with Stage IIIA disease (classified using the 8</w:t>
      </w:r>
      <w:r w:rsidRPr="00795225">
        <w:rPr>
          <w:vertAlign w:val="superscript"/>
        </w:rPr>
        <w:t>th</w:t>
      </w:r>
      <w:r w:rsidRPr="00795225">
        <w:t xml:space="preserve"> edition of the AJCC melanoma staging system) have a relatively low risk of recurrence and a five year melanoma-specific survival rate of 93% (see paragraph </w:t>
      </w:r>
      <w:r w:rsidRPr="00EB1C39">
        <w:t>6.9</w:t>
      </w:r>
      <w:r w:rsidRPr="00795225">
        <w:t>).</w:t>
      </w:r>
    </w:p>
    <w:p w:rsidR="00687F2C" w:rsidRPr="00795225" w:rsidRDefault="00FA589C" w:rsidP="00687F2C">
      <w:pPr>
        <w:pStyle w:val="ListParagraph"/>
        <w:numPr>
          <w:ilvl w:val="0"/>
          <w:numId w:val="37"/>
        </w:numPr>
        <w:snapToGrid w:val="0"/>
        <w:spacing w:after="120"/>
      </w:pPr>
      <w:r>
        <w:t>P</w:t>
      </w:r>
      <w:r w:rsidR="00687F2C" w:rsidRPr="00795225">
        <w:t>atients with Stage IIIA disease may now</w:t>
      </w:r>
      <w:r w:rsidR="00A17CAF">
        <w:t xml:space="preserve"> only have had sentinel </w:t>
      </w:r>
      <w:r w:rsidR="00217FB4">
        <w:t>lymph node</w:t>
      </w:r>
      <w:r w:rsidR="00A17CAF">
        <w:t xml:space="preserve"> bio</w:t>
      </w:r>
      <w:r w:rsidR="00F1703B">
        <w:t>psy</w:t>
      </w:r>
      <w:r w:rsidR="00687F2C" w:rsidRPr="00795225">
        <w:t xml:space="preserve"> </w:t>
      </w:r>
      <w:r w:rsidR="00F1703B">
        <w:t xml:space="preserve">demonstrating microscopic involvement, </w:t>
      </w:r>
      <w:r w:rsidR="00687F2C" w:rsidRPr="00795225">
        <w:t xml:space="preserve">and the efficacy of </w:t>
      </w:r>
      <w:r w:rsidR="00611904" w:rsidRPr="00795225">
        <w:t>nivolumab</w:t>
      </w:r>
      <w:r w:rsidR="00687F2C" w:rsidRPr="00795225">
        <w:t xml:space="preserve"> in these patients </w:t>
      </w:r>
      <w:r w:rsidR="00187AC8" w:rsidRPr="00795225">
        <w:t>wa</w:t>
      </w:r>
      <w:r w:rsidR="00687F2C" w:rsidRPr="00795225">
        <w:t>s unknown.</w:t>
      </w:r>
    </w:p>
    <w:p w:rsidR="00687F2C" w:rsidRPr="00795225" w:rsidRDefault="00687F2C" w:rsidP="00FA589C">
      <w:pPr>
        <w:snapToGrid w:val="0"/>
        <w:spacing w:after="120"/>
        <w:ind w:left="720"/>
      </w:pPr>
      <w:r w:rsidRPr="00795225">
        <w:t>The PBAC acknowledged that excluding Stage IIIA disease from adjuvant treatment may encourage immediate CLND as this enables improved staging. However, it was noted in the immediate CLND arm of the MSLT-II trial that non-sentinel node metastases were detected on pathological assessment in only 11.5% patients, and that CLND led to a change in disease stage in less than 6% of patients</w:t>
      </w:r>
      <w:r w:rsidR="00EC5537" w:rsidRPr="00EC5537">
        <w:rPr>
          <w:vertAlign w:val="superscript"/>
        </w:rPr>
        <w:t>*</w:t>
      </w:r>
      <w:r w:rsidR="00BB6A36">
        <w:rPr>
          <w:rStyle w:val="FootnoteReference"/>
        </w:rPr>
        <w:footnoteReference w:id="2"/>
      </w:r>
      <w:r w:rsidR="00795225">
        <w:t xml:space="preserve">. </w:t>
      </w:r>
    </w:p>
    <w:p w:rsidR="00687F2C" w:rsidRPr="00795225" w:rsidRDefault="00687F2C" w:rsidP="00687F2C">
      <w:pPr>
        <w:pStyle w:val="ListParagraph"/>
        <w:numPr>
          <w:ilvl w:val="1"/>
          <w:numId w:val="1"/>
        </w:numPr>
        <w:snapToGrid w:val="0"/>
        <w:spacing w:after="120"/>
      </w:pPr>
      <w:r w:rsidRPr="00795225">
        <w:t xml:space="preserve">The PBAC noted </w:t>
      </w:r>
      <w:r w:rsidR="00217FB4" w:rsidRPr="00795225">
        <w:t>that</w:t>
      </w:r>
      <w:r w:rsidR="00217FB4">
        <w:t>,</w:t>
      </w:r>
      <w:r w:rsidR="00217FB4" w:rsidRPr="00795225">
        <w:t xml:space="preserve"> at 5 years </w:t>
      </w:r>
      <w:r w:rsidRPr="00795225">
        <w:t xml:space="preserve">in the nodal observation arm of the MSLT-II trial, 26.1% of patients had disease in non-sentinel nodes on the basis of </w:t>
      </w:r>
      <w:proofErr w:type="spellStart"/>
      <w:r w:rsidRPr="00795225">
        <w:t>ultrasonographic</w:t>
      </w:r>
      <w:proofErr w:type="spellEnd"/>
      <w:r w:rsidRPr="00795225">
        <w:t xml:space="preserve"> or physical examination, and this was statistically significantly higher than for the </w:t>
      </w:r>
      <w:r w:rsidRPr="00795225">
        <w:lastRenderedPageBreak/>
        <w:t>immediate CLND arm (19.9%, p=0.005). The PBAC considered patients classified as having Stage IIIA disease at the time of excision of the primary tumour, and hence not eligible for adjuvant treatment, should be eligible for adjuvant treatment if and when they meet the criteria for Stage IIIB</w:t>
      </w:r>
      <w:r w:rsidR="00BB6A36">
        <w:t xml:space="preserve">, IIIC or </w:t>
      </w:r>
      <w:r w:rsidRPr="00795225">
        <w:t xml:space="preserve">IIID disease and undergo a salvage nodal resection. </w:t>
      </w:r>
      <w:r w:rsidRPr="00EC5537">
        <w:t xml:space="preserve">The PBAC noted </w:t>
      </w:r>
      <w:r w:rsidR="00A37ECF" w:rsidRPr="00EC5537">
        <w:t xml:space="preserve">that the </w:t>
      </w:r>
      <w:r w:rsidRPr="00EC5537">
        <w:t xml:space="preserve">proposed PBS criteria </w:t>
      </w:r>
      <w:r w:rsidR="00A37ECF" w:rsidRPr="00EC5537">
        <w:t xml:space="preserve">did not </w:t>
      </w:r>
      <w:r w:rsidRPr="00EC5537">
        <w:t xml:space="preserve">require patients to commence </w:t>
      </w:r>
      <w:r w:rsidR="00BB6A36" w:rsidRPr="00EC5537">
        <w:t xml:space="preserve">adjuvant </w:t>
      </w:r>
      <w:r w:rsidRPr="00EC5537">
        <w:t xml:space="preserve">treatment within </w:t>
      </w:r>
      <w:r w:rsidR="00A37ECF" w:rsidRPr="00EC5537">
        <w:t xml:space="preserve">a certain period following </w:t>
      </w:r>
      <w:r w:rsidRPr="00EC5537">
        <w:t>complete resection</w:t>
      </w:r>
      <w:r w:rsidR="00E17047" w:rsidRPr="00EC5537">
        <w:t xml:space="preserve"> and advised that commencement within 12 weeks would be reasonable</w:t>
      </w:r>
      <w:r w:rsidR="003C49F5" w:rsidRPr="00EC5537">
        <w:t>.</w:t>
      </w:r>
    </w:p>
    <w:p w:rsidR="00B11B16" w:rsidRPr="00795225" w:rsidRDefault="00687F2C" w:rsidP="00687F2C">
      <w:pPr>
        <w:pStyle w:val="ListParagraph"/>
        <w:numPr>
          <w:ilvl w:val="1"/>
          <w:numId w:val="1"/>
        </w:numPr>
        <w:snapToGrid w:val="0"/>
        <w:spacing w:after="120"/>
      </w:pPr>
      <w:r w:rsidRPr="00795225">
        <w:t xml:space="preserve">Regarding PBS eligibility for patients who have not undergone CLND, noting that CLND was no longer standard of care for all patients with a positive sentinel lymph node, the PBAC considered that “completely resected disease” would, in practice, include all patients with a wide excision of the primary tumour </w:t>
      </w:r>
      <w:r w:rsidR="00A17CAF">
        <w:t xml:space="preserve">and either </w:t>
      </w:r>
      <w:r w:rsidRPr="00795225">
        <w:t xml:space="preserve">CLND </w:t>
      </w:r>
      <w:r w:rsidR="00A17CAF">
        <w:t xml:space="preserve">or sentinel </w:t>
      </w:r>
      <w:r w:rsidR="00327D81">
        <w:t>lymph node</w:t>
      </w:r>
      <w:r w:rsidR="00A17CAF">
        <w:t xml:space="preserve"> biopsy (or both)</w:t>
      </w:r>
      <w:r w:rsidRPr="00795225">
        <w:t xml:space="preserve">. However, it is currently unknown what proportion of patients will forgo a CLND as, although an improvement in melanoma-specific survival with immediate CLND dissection was not demonstrated in the MSLT-II trial, immediate CLND did increased the rate of regional disease control and provided prognostic information in terms of disease in non-sentinel nodes. </w:t>
      </w:r>
      <w:r w:rsidR="006C283A" w:rsidRPr="00795225">
        <w:rPr>
          <w:rFonts w:asciiTheme="minorHAnsi" w:hAnsiTheme="minorHAnsi"/>
          <w:bCs/>
        </w:rPr>
        <w:t xml:space="preserve">The PBAC further noted </w:t>
      </w:r>
      <w:r w:rsidR="006C283A">
        <w:rPr>
          <w:rFonts w:asciiTheme="minorHAnsi" w:hAnsiTheme="minorHAnsi"/>
          <w:bCs/>
        </w:rPr>
        <w:t xml:space="preserve">the value of CLND is currently being debated in the clinical literature, and that immediate CLND is standard of care for patients presenting with clinically positive lymph nodes, and therefore </w:t>
      </w:r>
      <w:r w:rsidR="006C283A" w:rsidRPr="00795225">
        <w:rPr>
          <w:rFonts w:asciiTheme="minorHAnsi" w:hAnsiTheme="minorHAnsi"/>
          <w:bCs/>
        </w:rPr>
        <w:t xml:space="preserve">more likely </w:t>
      </w:r>
      <w:r w:rsidR="006C283A">
        <w:rPr>
          <w:rFonts w:asciiTheme="minorHAnsi" w:hAnsiTheme="minorHAnsi"/>
          <w:bCs/>
        </w:rPr>
        <w:t xml:space="preserve">to be undertaken </w:t>
      </w:r>
      <w:r w:rsidR="006C283A" w:rsidRPr="00795225">
        <w:rPr>
          <w:rFonts w:asciiTheme="minorHAnsi" w:hAnsiTheme="minorHAnsi"/>
          <w:bCs/>
        </w:rPr>
        <w:t>in patients with Stage IIIB, II</w:t>
      </w:r>
      <w:r w:rsidR="00FA589C">
        <w:rPr>
          <w:rFonts w:asciiTheme="minorHAnsi" w:hAnsiTheme="minorHAnsi"/>
          <w:bCs/>
        </w:rPr>
        <w:t>IC or IIID or Stage IV disease.</w:t>
      </w:r>
    </w:p>
    <w:p w:rsidR="00EC5A97" w:rsidRPr="00795225" w:rsidRDefault="00EC5A97" w:rsidP="00EC5A97">
      <w:pPr>
        <w:pStyle w:val="ListParagraph"/>
        <w:widowControl/>
        <w:rPr>
          <w:i/>
        </w:rPr>
      </w:pPr>
      <w:r w:rsidRPr="00795225">
        <w:rPr>
          <w:i/>
        </w:rPr>
        <w:t>For more detail on PBAC’s view, see Section 7 PBAC outcome.</w:t>
      </w:r>
    </w:p>
    <w:p w:rsidR="00634477" w:rsidRPr="00795225" w:rsidRDefault="00410F2D" w:rsidP="00053722">
      <w:pPr>
        <w:pStyle w:val="PBACHeading1"/>
        <w:keepNext/>
        <w:keepLines/>
        <w:spacing w:before="100" w:beforeAutospacing="1" w:after="120"/>
      </w:pPr>
      <w:bookmarkStart w:id="3" w:name="_Toc536007251"/>
      <w:r w:rsidRPr="00795225">
        <w:t>Background</w:t>
      </w:r>
      <w:bookmarkEnd w:id="3"/>
    </w:p>
    <w:p w:rsidR="00410F2D" w:rsidRPr="00795225" w:rsidRDefault="00410F2D" w:rsidP="008D1BDC">
      <w:pPr>
        <w:pStyle w:val="Heading2"/>
        <w:widowControl/>
      </w:pPr>
      <w:bookmarkStart w:id="4" w:name="_Toc536007252"/>
      <w:r w:rsidRPr="00795225">
        <w:t>Registration status</w:t>
      </w:r>
      <w:bookmarkEnd w:id="4"/>
    </w:p>
    <w:p w:rsidR="00A25AC8" w:rsidRPr="00795225" w:rsidRDefault="00A25AC8" w:rsidP="00D736AF">
      <w:pPr>
        <w:pStyle w:val="ListParagraph"/>
        <w:widowControl/>
        <w:numPr>
          <w:ilvl w:val="1"/>
          <w:numId w:val="1"/>
        </w:numPr>
      </w:pPr>
      <w:r w:rsidRPr="00795225">
        <w:t>Nivolumab monotherapy was TGA registered in April 2018 for the adjuvant treatment of patients with melanoma with involvement of lymph nodes or metastatic disease who have undergone complete resection.</w:t>
      </w:r>
      <w:r w:rsidR="002E391A" w:rsidRPr="00795225">
        <w:t xml:space="preserve"> </w:t>
      </w:r>
    </w:p>
    <w:p w:rsidR="00410F2D" w:rsidRPr="00795225" w:rsidRDefault="007D467D" w:rsidP="00D736AF">
      <w:pPr>
        <w:pStyle w:val="ListParagraph"/>
        <w:widowControl/>
        <w:numPr>
          <w:ilvl w:val="1"/>
          <w:numId w:val="1"/>
        </w:numPr>
      </w:pPr>
      <w:r w:rsidRPr="00795225">
        <w:t xml:space="preserve">Nivolumab </w:t>
      </w:r>
      <w:r w:rsidR="00410F2D" w:rsidRPr="00795225">
        <w:t xml:space="preserve">as monotherapy and in combination with </w:t>
      </w:r>
      <w:proofErr w:type="spellStart"/>
      <w:r w:rsidR="00410F2D" w:rsidRPr="00795225">
        <w:t>ipilimumab</w:t>
      </w:r>
      <w:proofErr w:type="spellEnd"/>
      <w:r w:rsidR="00410F2D" w:rsidRPr="00795225">
        <w:t xml:space="preserve"> has also been TGA approved for the treatment of patients with </w:t>
      </w:r>
      <w:proofErr w:type="spellStart"/>
      <w:r w:rsidR="00410F2D" w:rsidRPr="00795225">
        <w:t>unresectable</w:t>
      </w:r>
      <w:proofErr w:type="spellEnd"/>
      <w:r w:rsidR="00410F2D" w:rsidRPr="00795225">
        <w:t xml:space="preserve"> or metastatic melanoma.</w:t>
      </w:r>
    </w:p>
    <w:p w:rsidR="00410F2D" w:rsidRPr="00795225" w:rsidRDefault="00410F2D" w:rsidP="00A84758">
      <w:pPr>
        <w:pStyle w:val="Heading2"/>
        <w:keepNext/>
        <w:widowControl/>
      </w:pPr>
      <w:bookmarkStart w:id="5" w:name="_Toc536007253"/>
      <w:r w:rsidRPr="00795225">
        <w:t>Previous PBAC consideration</w:t>
      </w:r>
      <w:bookmarkEnd w:id="5"/>
      <w:r w:rsidR="00BB6A36">
        <w:t>s</w:t>
      </w:r>
    </w:p>
    <w:p w:rsidR="00410F2D" w:rsidRPr="00795225" w:rsidRDefault="00410F2D" w:rsidP="00A84758">
      <w:pPr>
        <w:pStyle w:val="ListParagraph"/>
        <w:keepNext/>
        <w:widowControl/>
        <w:numPr>
          <w:ilvl w:val="1"/>
          <w:numId w:val="1"/>
        </w:numPr>
      </w:pPr>
      <w:r w:rsidRPr="00795225">
        <w:t>The previous submission was considered by PBAC in July 2018</w:t>
      </w:r>
      <w:r w:rsidR="00B07F5D" w:rsidRPr="00795225">
        <w:t xml:space="preserve">, </w:t>
      </w:r>
      <w:r w:rsidR="00F23CB7" w:rsidRPr="00795225">
        <w:t>and it also</w:t>
      </w:r>
      <w:r w:rsidR="00B07F5D" w:rsidRPr="00795225">
        <w:t xml:space="preserve"> r</w:t>
      </w:r>
      <w:r w:rsidRPr="00795225">
        <w:t xml:space="preserve">equested PBS listing for </w:t>
      </w:r>
      <w:r w:rsidR="004B1019" w:rsidRPr="00795225">
        <w:t xml:space="preserve">nivolumab </w:t>
      </w:r>
      <w:r w:rsidRPr="00795225">
        <w:t>as an adjuvant treatment for completely resected Stage III and completely resected Stage IV melanoma.</w:t>
      </w:r>
    </w:p>
    <w:p w:rsidR="00410F2D" w:rsidRPr="00795225" w:rsidRDefault="00410F2D" w:rsidP="00D736AF">
      <w:pPr>
        <w:pStyle w:val="ListParagraph"/>
        <w:widowControl/>
        <w:numPr>
          <w:ilvl w:val="1"/>
          <w:numId w:val="1"/>
        </w:numPr>
      </w:pPr>
      <w:r w:rsidRPr="00795225">
        <w:t xml:space="preserve">The PBAC decided not to recommend a PBS listing for </w:t>
      </w:r>
      <w:r w:rsidR="004B1019" w:rsidRPr="00795225">
        <w:t xml:space="preserve">nivolumab </w:t>
      </w:r>
      <w:r w:rsidRPr="00795225">
        <w:t xml:space="preserve">in July 2018. </w:t>
      </w:r>
      <w:r w:rsidR="00DB5ACC" w:rsidRPr="00795225">
        <w:t>Table 2</w:t>
      </w:r>
      <w:r w:rsidRPr="00795225">
        <w:t xml:space="preserve"> below summarises the key outstanding matters from the previous PBAC consideration and how the resubmission addressed those concerns.</w:t>
      </w:r>
    </w:p>
    <w:p w:rsidR="00410F2D" w:rsidRPr="00795225" w:rsidRDefault="00410F2D" w:rsidP="008D1BDC">
      <w:pPr>
        <w:pStyle w:val="Caption"/>
        <w:keepLines/>
        <w:widowControl/>
        <w:rPr>
          <w:rStyle w:val="CommentReference"/>
          <w:b/>
          <w:szCs w:val="18"/>
        </w:rPr>
      </w:pPr>
      <w:bookmarkStart w:id="6" w:name="_Ref532455506"/>
      <w:r w:rsidRPr="00795225">
        <w:lastRenderedPageBreak/>
        <w:t xml:space="preserve">Table </w:t>
      </w:r>
      <w:r w:rsidR="00DB5ACC" w:rsidRPr="00795225">
        <w:t>2</w:t>
      </w:r>
      <w:bookmarkEnd w:id="6"/>
      <w:r w:rsidRPr="00795225">
        <w:t xml:space="preserve">: </w:t>
      </w:r>
      <w:r w:rsidRPr="00795225">
        <w:rPr>
          <w:rStyle w:val="CommentReference"/>
          <w:b/>
          <w:szCs w:val="18"/>
        </w:rPr>
        <w:t>Summary of outstanding</w:t>
      </w:r>
      <w:r w:rsidR="00BA52CC" w:rsidRPr="00795225">
        <w:rPr>
          <w:rStyle w:val="CommentReference"/>
          <w:b/>
          <w:szCs w:val="18"/>
        </w:rPr>
        <w:t xml:space="preserve"> </w:t>
      </w:r>
      <w:r w:rsidRPr="00795225">
        <w:rPr>
          <w:rStyle w:val="CommentReference"/>
          <w:b/>
          <w:szCs w:val="18"/>
        </w:rPr>
        <w:t>matters of concern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outstanding matters of concern"/>
      </w:tblPr>
      <w:tblGrid>
        <w:gridCol w:w="4536"/>
        <w:gridCol w:w="4481"/>
      </w:tblGrid>
      <w:tr w:rsidR="003E0A09" w:rsidRPr="00795225" w:rsidTr="00373765">
        <w:trPr>
          <w:tblHeader/>
        </w:trPr>
        <w:tc>
          <w:tcPr>
            <w:tcW w:w="2515" w:type="pct"/>
            <w:vAlign w:val="center"/>
          </w:tcPr>
          <w:p w:rsidR="003E0A09" w:rsidRPr="00795225" w:rsidRDefault="003E0A09" w:rsidP="008D1BDC">
            <w:pPr>
              <w:pStyle w:val="Tabletext"/>
              <w:keepNext/>
              <w:keepLines/>
              <w:jc w:val="center"/>
              <w:rPr>
                <w:b/>
              </w:rPr>
            </w:pPr>
            <w:r w:rsidRPr="00795225">
              <w:rPr>
                <w:b/>
              </w:rPr>
              <w:t>Matter of concern</w:t>
            </w:r>
          </w:p>
        </w:tc>
        <w:tc>
          <w:tcPr>
            <w:tcW w:w="2485" w:type="pct"/>
            <w:vAlign w:val="center"/>
          </w:tcPr>
          <w:p w:rsidR="003E0A09" w:rsidRPr="00795225" w:rsidRDefault="003E0A09" w:rsidP="008D1BDC">
            <w:pPr>
              <w:pStyle w:val="Tabletext"/>
              <w:keepNext/>
              <w:keepLines/>
              <w:jc w:val="center"/>
              <w:rPr>
                <w:b/>
              </w:rPr>
            </w:pPr>
            <w:r w:rsidRPr="00795225">
              <w:rPr>
                <w:b/>
              </w:rPr>
              <w:t>How the resubmission addresses it</w:t>
            </w:r>
          </w:p>
        </w:tc>
      </w:tr>
      <w:tr w:rsidR="00C4667B" w:rsidRPr="00795225" w:rsidTr="00EC5A97">
        <w:tc>
          <w:tcPr>
            <w:tcW w:w="5000" w:type="pct"/>
            <w:gridSpan w:val="2"/>
          </w:tcPr>
          <w:p w:rsidR="00C4667B" w:rsidRPr="00795225" w:rsidRDefault="00C4667B" w:rsidP="008D1BDC">
            <w:pPr>
              <w:pStyle w:val="Tabletext"/>
              <w:keepNext/>
              <w:keepLines/>
              <w:rPr>
                <w:b/>
                <w:szCs w:val="20"/>
              </w:rPr>
            </w:pPr>
            <w:r w:rsidRPr="00795225">
              <w:rPr>
                <w:b/>
              </w:rPr>
              <w:t>Clinical Issues</w:t>
            </w:r>
          </w:p>
        </w:tc>
      </w:tr>
      <w:tr w:rsidR="003E0A09" w:rsidRPr="00795225" w:rsidTr="00373765">
        <w:tc>
          <w:tcPr>
            <w:tcW w:w="2515" w:type="pct"/>
          </w:tcPr>
          <w:p w:rsidR="003E0A09" w:rsidRPr="00795225" w:rsidRDefault="003E0A09" w:rsidP="008D1BDC">
            <w:pPr>
              <w:pStyle w:val="Tabletext"/>
              <w:keepNext/>
              <w:keepLines/>
            </w:pPr>
            <w:r w:rsidRPr="00795225">
              <w:t xml:space="preserve">[Paragraph 7.2, July 2018 PSD] </w:t>
            </w:r>
          </w:p>
          <w:p w:rsidR="003E0A09" w:rsidRPr="00795225" w:rsidRDefault="003E0A09" w:rsidP="008D1BDC">
            <w:pPr>
              <w:pStyle w:val="Tabletext"/>
              <w:keepNext/>
              <w:keepLines/>
            </w:pPr>
            <w:r w:rsidRPr="00795225">
              <w:t xml:space="preserve">If </w:t>
            </w:r>
            <w:r w:rsidR="006B63AA" w:rsidRPr="00795225">
              <w:t>nivolumab beco</w:t>
            </w:r>
            <w:r w:rsidRPr="00795225">
              <w:t>me</w:t>
            </w:r>
            <w:r w:rsidR="006B63AA" w:rsidRPr="00795225">
              <w:t>s</w:t>
            </w:r>
            <w:r w:rsidRPr="00795225">
              <w:t xml:space="preserve"> available for</w:t>
            </w:r>
            <w:r w:rsidR="006B63AA" w:rsidRPr="00795225">
              <w:t xml:space="preserve"> use as adjuvant therapy, it would likely</w:t>
            </w:r>
            <w:r w:rsidRPr="00795225">
              <w:t xml:space="preserve"> alter the use of PD-1 inhibitors in the </w:t>
            </w:r>
            <w:proofErr w:type="spellStart"/>
            <w:r w:rsidRPr="00795225">
              <w:t>unresectable</w:t>
            </w:r>
            <w:proofErr w:type="spellEnd"/>
            <w:r w:rsidRPr="00795225">
              <w:t xml:space="preserve"> setting. </w:t>
            </w:r>
          </w:p>
          <w:p w:rsidR="00910697" w:rsidRPr="00795225" w:rsidRDefault="00910697" w:rsidP="008D1BDC">
            <w:pPr>
              <w:pStyle w:val="Tabletext"/>
              <w:keepNext/>
              <w:keepLines/>
            </w:pPr>
          </w:p>
          <w:p w:rsidR="003E0A09" w:rsidRPr="00795225" w:rsidRDefault="003E0A09" w:rsidP="008D1BDC">
            <w:pPr>
              <w:pStyle w:val="Tabletext"/>
              <w:keepNext/>
              <w:keepLines/>
            </w:pPr>
            <w:r w:rsidRPr="00795225">
              <w:t>[Paragraph 4.6, July 2018 PSD]</w:t>
            </w:r>
          </w:p>
          <w:p w:rsidR="003E0A09" w:rsidRPr="00795225" w:rsidRDefault="006B63AA" w:rsidP="008D1BDC">
            <w:pPr>
              <w:pStyle w:val="Tabletext"/>
              <w:keepNext/>
              <w:keepLines/>
            </w:pPr>
            <w:r w:rsidRPr="00795225">
              <w:t xml:space="preserve">The impact of using nivolumab </w:t>
            </w:r>
            <w:r w:rsidR="003E0A09" w:rsidRPr="00795225">
              <w:t xml:space="preserve">as adjuvant therapy on the effectiveness and safety of PD-1 inhibitors to treat </w:t>
            </w:r>
            <w:proofErr w:type="spellStart"/>
            <w:r w:rsidR="003E0A09" w:rsidRPr="00795225">
              <w:t>unresectable</w:t>
            </w:r>
            <w:proofErr w:type="spellEnd"/>
            <w:r w:rsidR="003E0A09" w:rsidRPr="00795225">
              <w:t xml:space="preserve"> disease in patients who experience recurrence is unknown.</w:t>
            </w:r>
          </w:p>
          <w:p w:rsidR="00567FCB" w:rsidRPr="00795225" w:rsidRDefault="00567FCB" w:rsidP="008D1BDC">
            <w:pPr>
              <w:pStyle w:val="Tabletext"/>
              <w:keepNext/>
              <w:keepLines/>
            </w:pPr>
          </w:p>
          <w:p w:rsidR="00567FCB" w:rsidRPr="00795225" w:rsidRDefault="00567FCB" w:rsidP="00567FCB">
            <w:pPr>
              <w:pStyle w:val="Tabletext"/>
            </w:pPr>
            <w:r w:rsidRPr="00795225">
              <w:t>[Paragraph 2.2, July 2018 PSD]</w:t>
            </w:r>
          </w:p>
          <w:p w:rsidR="00567FCB" w:rsidRPr="00795225" w:rsidRDefault="00567FCB" w:rsidP="00567FCB">
            <w:pPr>
              <w:pStyle w:val="Tabletext"/>
              <w:keepNext/>
              <w:keepLines/>
            </w:pPr>
            <w:r w:rsidRPr="00795225">
              <w:t>The PBAC and ESC advised that there should be included a criterion that patients must not have received prior treatment with a PD-1 inhibitor for this condition in the initial treatment restriction.</w:t>
            </w:r>
          </w:p>
        </w:tc>
        <w:tc>
          <w:tcPr>
            <w:tcW w:w="2485" w:type="pct"/>
          </w:tcPr>
          <w:p w:rsidR="008001F9" w:rsidRPr="00795225" w:rsidRDefault="003E0A09" w:rsidP="008D1BDC">
            <w:pPr>
              <w:keepNext/>
              <w:keepLines/>
              <w:widowControl/>
              <w:rPr>
                <w:rFonts w:ascii="Arial Narrow" w:hAnsi="Arial Narrow"/>
                <w:sz w:val="20"/>
                <w:szCs w:val="20"/>
              </w:rPr>
            </w:pPr>
            <w:r w:rsidRPr="00795225">
              <w:rPr>
                <w:rFonts w:ascii="Arial Narrow" w:hAnsi="Arial Narrow"/>
                <w:sz w:val="20"/>
                <w:szCs w:val="20"/>
              </w:rPr>
              <w:t xml:space="preserve">The resubmission proposed clinical management algorithms for the treatment of </w:t>
            </w:r>
            <w:proofErr w:type="spellStart"/>
            <w:r w:rsidRPr="00795225">
              <w:rPr>
                <w:rFonts w:ascii="Arial Narrow" w:hAnsi="Arial Narrow"/>
                <w:sz w:val="20"/>
                <w:szCs w:val="20"/>
              </w:rPr>
              <w:t>unresectable</w:t>
            </w:r>
            <w:proofErr w:type="spellEnd"/>
            <w:r w:rsidRPr="00795225">
              <w:rPr>
                <w:rFonts w:ascii="Arial Narrow" w:hAnsi="Arial Narrow"/>
                <w:sz w:val="20"/>
                <w:szCs w:val="20"/>
              </w:rPr>
              <w:t xml:space="preserve"> Stage III and IV melanoma, subsequent to </w:t>
            </w:r>
            <w:r w:rsidR="006B63AA" w:rsidRPr="00795225">
              <w:rPr>
                <w:rFonts w:ascii="Arial Narrow" w:hAnsi="Arial Narrow"/>
                <w:sz w:val="20"/>
                <w:szCs w:val="20"/>
              </w:rPr>
              <w:t>the proposed PBS listing of nivolumab</w:t>
            </w:r>
            <w:r w:rsidRPr="00795225">
              <w:rPr>
                <w:rFonts w:ascii="Arial Narrow" w:hAnsi="Arial Narrow"/>
                <w:sz w:val="20"/>
                <w:szCs w:val="20"/>
              </w:rPr>
              <w:t xml:space="preserve"> adjuvant treatment, based on responses to a treatment survey by oncologists</w:t>
            </w:r>
            <w:r w:rsidR="00B07F5D" w:rsidRPr="00795225">
              <w:rPr>
                <w:rFonts w:ascii="Arial Narrow" w:hAnsi="Arial Narrow"/>
                <w:sz w:val="20"/>
                <w:szCs w:val="20"/>
              </w:rPr>
              <w:t xml:space="preserve">. </w:t>
            </w:r>
          </w:p>
          <w:p w:rsidR="003E0A09" w:rsidRPr="00795225" w:rsidRDefault="008001F9" w:rsidP="00010BEE">
            <w:pPr>
              <w:keepNext/>
              <w:keepLines/>
              <w:widowControl/>
              <w:rPr>
                <w:rFonts w:ascii="Arial Narrow" w:hAnsi="Arial Narrow"/>
                <w:sz w:val="20"/>
                <w:szCs w:val="20"/>
              </w:rPr>
            </w:pPr>
            <w:r w:rsidRPr="00795225">
              <w:rPr>
                <w:rFonts w:ascii="Arial Narrow" w:hAnsi="Arial Narrow"/>
                <w:sz w:val="20"/>
                <w:szCs w:val="20"/>
              </w:rPr>
              <w:t>No new clinical trial evidence on the impact of re-treatment on patient health outcomes was presented, so this concern remains outstanding.</w:t>
            </w:r>
            <w:r w:rsidR="00B07F5D" w:rsidRPr="00795225">
              <w:rPr>
                <w:rFonts w:ascii="Arial Narrow" w:hAnsi="Arial Narrow"/>
                <w:sz w:val="20"/>
                <w:szCs w:val="20"/>
              </w:rPr>
              <w:t xml:space="preserve"> </w:t>
            </w:r>
          </w:p>
          <w:p w:rsidR="00567FCB" w:rsidRPr="00795225" w:rsidRDefault="00567FCB" w:rsidP="00010BEE">
            <w:pPr>
              <w:keepNext/>
              <w:keepLines/>
              <w:widowControl/>
              <w:rPr>
                <w:rFonts w:ascii="Arial Narrow" w:hAnsi="Arial Narrow"/>
                <w:sz w:val="20"/>
                <w:szCs w:val="20"/>
              </w:rPr>
            </w:pPr>
          </w:p>
          <w:p w:rsidR="00567FCB" w:rsidRPr="00795225" w:rsidRDefault="00567FCB" w:rsidP="00010BEE">
            <w:pPr>
              <w:keepNext/>
              <w:keepLines/>
              <w:widowControl/>
              <w:rPr>
                <w:i/>
              </w:rPr>
            </w:pPr>
            <w:r w:rsidRPr="00795225">
              <w:rPr>
                <w:rFonts w:ascii="Arial Narrow" w:hAnsi="Arial Narrow"/>
                <w:sz w:val="20"/>
                <w:szCs w:val="20"/>
              </w:rPr>
              <w:t xml:space="preserve">The resubmission requested that the PBAC reconsider this advice and has allowed for retreatment with a PD-1 inhibitor in the proposed restrictions for patients with completely resected or </w:t>
            </w:r>
            <w:proofErr w:type="spellStart"/>
            <w:r w:rsidRPr="00795225">
              <w:rPr>
                <w:rFonts w:ascii="Arial Narrow" w:hAnsi="Arial Narrow"/>
                <w:sz w:val="20"/>
                <w:szCs w:val="20"/>
              </w:rPr>
              <w:t>unresectable</w:t>
            </w:r>
            <w:proofErr w:type="spellEnd"/>
            <w:r w:rsidRPr="00795225">
              <w:rPr>
                <w:rFonts w:ascii="Arial Narrow" w:hAnsi="Arial Narrow"/>
                <w:sz w:val="20"/>
                <w:szCs w:val="20"/>
              </w:rPr>
              <w:t xml:space="preserve"> melanoma. No clinical trial evidence was presented to support this request. This issue remains outstanding.</w:t>
            </w:r>
          </w:p>
        </w:tc>
      </w:tr>
      <w:tr w:rsidR="003E0A09" w:rsidRPr="00795225" w:rsidTr="00373765">
        <w:tc>
          <w:tcPr>
            <w:tcW w:w="2515" w:type="pct"/>
          </w:tcPr>
          <w:p w:rsidR="003E0A09" w:rsidRPr="00795225" w:rsidRDefault="003E0A09" w:rsidP="008D1BDC">
            <w:pPr>
              <w:pStyle w:val="Tabletext"/>
              <w:keepNext/>
              <w:keepLines/>
            </w:pPr>
            <w:r w:rsidRPr="00795225">
              <w:t>[Paragraph 7.3, July 2018 PSD]</w:t>
            </w:r>
          </w:p>
          <w:p w:rsidR="003E0A09" w:rsidRPr="00795225" w:rsidRDefault="003E0A09" w:rsidP="008D1BDC">
            <w:pPr>
              <w:pStyle w:val="Tabletext"/>
              <w:keepNext/>
              <w:keepLines/>
              <w:rPr>
                <w:i/>
              </w:rPr>
            </w:pPr>
            <w:r w:rsidRPr="00795225">
              <w:t>The applicability of the clinical evidence to the requested patient population was questionable. No eviden</w:t>
            </w:r>
            <w:r w:rsidR="006B63AA" w:rsidRPr="00795225">
              <w:t>ce for the effectiveness of nivolumab</w:t>
            </w:r>
            <w:r w:rsidRPr="00795225">
              <w:t xml:space="preserve"> in patients with completely resected Stage IIIA melanoma, and no comparative data for patients with completely resected Stage IIIA or IV melanoma were presented. </w:t>
            </w:r>
          </w:p>
        </w:tc>
        <w:tc>
          <w:tcPr>
            <w:tcW w:w="2485" w:type="pct"/>
          </w:tcPr>
          <w:p w:rsidR="003E0A09" w:rsidRPr="00795225" w:rsidRDefault="003E0A09" w:rsidP="006B63AA">
            <w:pPr>
              <w:keepNext/>
              <w:keepLines/>
              <w:widowControl/>
              <w:rPr>
                <w:rFonts w:ascii="Arial Narrow" w:hAnsi="Arial Narrow"/>
                <w:sz w:val="20"/>
                <w:szCs w:val="20"/>
              </w:rPr>
            </w:pPr>
            <w:r w:rsidRPr="00795225">
              <w:rPr>
                <w:rFonts w:ascii="Arial Narrow" w:hAnsi="Arial Narrow"/>
                <w:sz w:val="20"/>
                <w:szCs w:val="20"/>
              </w:rPr>
              <w:t xml:space="preserve">The resubmission provided </w:t>
            </w:r>
            <w:r w:rsidR="00543126" w:rsidRPr="00795225">
              <w:rPr>
                <w:rFonts w:ascii="Arial Narrow" w:hAnsi="Arial Narrow"/>
                <w:sz w:val="20"/>
                <w:szCs w:val="20"/>
              </w:rPr>
              <w:t xml:space="preserve">an analysis </w:t>
            </w:r>
            <w:r w:rsidRPr="00795225">
              <w:rPr>
                <w:rFonts w:ascii="Arial Narrow" w:hAnsi="Arial Narrow"/>
                <w:sz w:val="20"/>
                <w:szCs w:val="20"/>
              </w:rPr>
              <w:t>to show that the distribution of patients across the Stage III sub</w:t>
            </w:r>
            <w:r w:rsidR="00690FC9" w:rsidRPr="00795225">
              <w:rPr>
                <w:rFonts w:ascii="Arial Narrow" w:hAnsi="Arial Narrow"/>
                <w:sz w:val="20"/>
                <w:szCs w:val="20"/>
              </w:rPr>
              <w:t>-</w:t>
            </w:r>
            <w:r w:rsidR="006B63AA" w:rsidRPr="00795225">
              <w:rPr>
                <w:rFonts w:ascii="Arial Narrow" w:hAnsi="Arial Narrow"/>
                <w:sz w:val="20"/>
                <w:szCs w:val="20"/>
              </w:rPr>
              <w:t>stages receiving nivolumab</w:t>
            </w:r>
            <w:r w:rsidRPr="00795225">
              <w:rPr>
                <w:rFonts w:ascii="Arial Narrow" w:hAnsi="Arial Narrow"/>
                <w:sz w:val="20"/>
                <w:szCs w:val="20"/>
              </w:rPr>
              <w:t xml:space="preserve"> in the clinical trials (CA238 and CA029) was similar after the trial population were re-categorised according to the 8</w:t>
            </w:r>
            <w:r w:rsidRPr="00795225">
              <w:rPr>
                <w:rFonts w:ascii="Arial Narrow" w:hAnsi="Arial Narrow"/>
                <w:sz w:val="20"/>
                <w:szCs w:val="20"/>
                <w:vertAlign w:val="superscript"/>
              </w:rPr>
              <w:t>th</w:t>
            </w:r>
            <w:r w:rsidRPr="00795225">
              <w:rPr>
                <w:rFonts w:ascii="Arial Narrow" w:hAnsi="Arial Narrow"/>
                <w:sz w:val="20"/>
                <w:szCs w:val="20"/>
              </w:rPr>
              <w:t xml:space="preserve"> edition AJCC criteria. This distribution across sub</w:t>
            </w:r>
            <w:r w:rsidR="00690FC9" w:rsidRPr="00795225">
              <w:rPr>
                <w:rFonts w:ascii="Arial Narrow" w:hAnsi="Arial Narrow"/>
                <w:sz w:val="20"/>
                <w:szCs w:val="20"/>
              </w:rPr>
              <w:t>-</w:t>
            </w:r>
            <w:r w:rsidRPr="00795225">
              <w:rPr>
                <w:rFonts w:ascii="Arial Narrow" w:hAnsi="Arial Narrow"/>
                <w:sz w:val="20"/>
                <w:szCs w:val="20"/>
              </w:rPr>
              <w:t xml:space="preserve">stages was also similar to that seen across the </w:t>
            </w:r>
            <w:proofErr w:type="spellStart"/>
            <w:r w:rsidRPr="00795225">
              <w:rPr>
                <w:rFonts w:ascii="Arial Narrow" w:hAnsi="Arial Narrow"/>
                <w:sz w:val="20"/>
                <w:szCs w:val="20"/>
              </w:rPr>
              <w:t>Australian</w:t>
            </w:r>
            <w:r w:rsidRPr="00795225">
              <w:rPr>
                <w:rFonts w:ascii="Arial Narrow" w:hAnsi="Arial Narrow"/>
                <w:sz w:val="20"/>
                <w:szCs w:val="20"/>
                <w:vertAlign w:val="superscript"/>
              </w:rPr>
              <w:t>a,b</w:t>
            </w:r>
            <w:proofErr w:type="spellEnd"/>
            <w:r w:rsidRPr="00795225">
              <w:rPr>
                <w:rFonts w:ascii="Arial Narrow" w:hAnsi="Arial Narrow"/>
                <w:sz w:val="20"/>
                <w:szCs w:val="20"/>
              </w:rPr>
              <w:t xml:space="preserve"> patient population</w:t>
            </w:r>
            <w:r w:rsidR="00DE2867" w:rsidRPr="00795225">
              <w:rPr>
                <w:rFonts w:ascii="Arial Narrow" w:hAnsi="Arial Narrow"/>
                <w:sz w:val="20"/>
                <w:szCs w:val="20"/>
              </w:rPr>
              <w:t xml:space="preserve"> (</w:t>
            </w:r>
            <w:proofErr w:type="spellStart"/>
            <w:r w:rsidR="00DE2867" w:rsidRPr="00795225">
              <w:rPr>
                <w:rFonts w:ascii="Arial Narrow" w:hAnsi="Arial Narrow"/>
                <w:sz w:val="20"/>
                <w:szCs w:val="20"/>
              </w:rPr>
              <w:t>Haydu</w:t>
            </w:r>
            <w:proofErr w:type="spellEnd"/>
            <w:r w:rsidR="00DE2867" w:rsidRPr="00795225">
              <w:rPr>
                <w:rFonts w:ascii="Arial Narrow" w:hAnsi="Arial Narrow"/>
                <w:sz w:val="20"/>
                <w:szCs w:val="20"/>
              </w:rPr>
              <w:t xml:space="preserve"> 2017 and </w:t>
            </w:r>
            <w:r w:rsidR="006B63AA" w:rsidRPr="00795225">
              <w:rPr>
                <w:rFonts w:ascii="Arial Narrow" w:hAnsi="Arial Narrow"/>
                <w:sz w:val="20"/>
                <w:szCs w:val="20"/>
              </w:rPr>
              <w:t>nivolumab</w:t>
            </w:r>
            <w:r w:rsidR="00DE2867" w:rsidRPr="00795225">
              <w:rPr>
                <w:rFonts w:ascii="Arial Narrow" w:hAnsi="Arial Narrow"/>
                <w:sz w:val="20"/>
                <w:szCs w:val="20"/>
              </w:rPr>
              <w:t xml:space="preserve"> PAP)</w:t>
            </w:r>
            <w:r w:rsidRPr="00795225">
              <w:rPr>
                <w:rFonts w:ascii="Arial Narrow" w:hAnsi="Arial Narrow"/>
                <w:sz w:val="20"/>
                <w:szCs w:val="20"/>
              </w:rPr>
              <w:t xml:space="preserve">. </w:t>
            </w:r>
            <w:r w:rsidR="00456772" w:rsidRPr="00795225">
              <w:rPr>
                <w:rFonts w:ascii="Arial Narrow" w:hAnsi="Arial Narrow"/>
                <w:sz w:val="20"/>
                <w:szCs w:val="20"/>
              </w:rPr>
              <w:t>The applicability of the clinical evidence regarding low risk patients (such as those with Stage IIIA) remain</w:t>
            </w:r>
            <w:r w:rsidR="008001F9" w:rsidRPr="00795225">
              <w:rPr>
                <w:rFonts w:ascii="Arial Narrow" w:hAnsi="Arial Narrow"/>
                <w:sz w:val="20"/>
                <w:szCs w:val="20"/>
              </w:rPr>
              <w:t>s</w:t>
            </w:r>
            <w:r w:rsidR="00456772" w:rsidRPr="00795225">
              <w:rPr>
                <w:rFonts w:ascii="Arial Narrow" w:hAnsi="Arial Narrow"/>
                <w:sz w:val="20"/>
                <w:szCs w:val="20"/>
              </w:rPr>
              <w:t xml:space="preserve"> a concern. For Stage IV disease, the magnitude of comparative benefit for nivolumab vs. placebo remains uncertain</w:t>
            </w:r>
            <w:r w:rsidR="00DE2867" w:rsidRPr="00795225">
              <w:rPr>
                <w:rFonts w:ascii="Arial Narrow" w:hAnsi="Arial Narrow"/>
                <w:sz w:val="20"/>
                <w:szCs w:val="20"/>
              </w:rPr>
              <w:t>.</w:t>
            </w:r>
          </w:p>
        </w:tc>
      </w:tr>
      <w:tr w:rsidR="003E0A09" w:rsidRPr="00795225" w:rsidTr="00373765">
        <w:tc>
          <w:tcPr>
            <w:tcW w:w="2515" w:type="pct"/>
          </w:tcPr>
          <w:p w:rsidR="003E0A09" w:rsidRPr="00795225" w:rsidRDefault="003E0A09" w:rsidP="008D1BDC">
            <w:pPr>
              <w:pStyle w:val="Tabletext"/>
            </w:pPr>
            <w:r w:rsidRPr="00795225">
              <w:t xml:space="preserve">[Paragraph 7.4, July 2018 PSD] </w:t>
            </w:r>
            <w:r w:rsidR="006B63AA" w:rsidRPr="00795225">
              <w:br/>
            </w:r>
            <w:r w:rsidRPr="00795225">
              <w:t>The PBAC noted that the submission did not assess the proportional hazard assumption in either of the trials.</w:t>
            </w:r>
          </w:p>
        </w:tc>
        <w:tc>
          <w:tcPr>
            <w:tcW w:w="2485" w:type="pct"/>
          </w:tcPr>
          <w:p w:rsidR="003E0A09" w:rsidRPr="00795225" w:rsidRDefault="003E0A09" w:rsidP="008D1BDC">
            <w:pPr>
              <w:pStyle w:val="Tabletext"/>
              <w:rPr>
                <w:szCs w:val="20"/>
              </w:rPr>
            </w:pPr>
            <w:r w:rsidRPr="00795225">
              <w:t xml:space="preserve">For trial CA238, the resubmission </w:t>
            </w:r>
            <w:r w:rsidR="00793CC8" w:rsidRPr="00795225">
              <w:t>noted that r</w:t>
            </w:r>
            <w:r w:rsidRPr="00795225">
              <w:t>esults of a two-sided Wald Chi-square test in both the 18-month and 24-month follow-ups</w:t>
            </w:r>
            <w:r w:rsidR="00B36BBA" w:rsidRPr="00795225">
              <w:t xml:space="preserve"> which suggested the assumption was reasonable </w:t>
            </w:r>
            <w:r w:rsidRPr="00795225">
              <w:t xml:space="preserve">(p-value 0.5210 and 0.7881 respectively). </w:t>
            </w:r>
          </w:p>
        </w:tc>
      </w:tr>
      <w:tr w:rsidR="003E0A09" w:rsidRPr="00795225" w:rsidTr="00373765">
        <w:tc>
          <w:tcPr>
            <w:tcW w:w="2515" w:type="pct"/>
          </w:tcPr>
          <w:p w:rsidR="003E0A09" w:rsidRPr="00795225" w:rsidRDefault="003E0A09" w:rsidP="008D1BDC">
            <w:pPr>
              <w:pStyle w:val="Tabletext"/>
            </w:pPr>
            <w:r w:rsidRPr="00795225">
              <w:t>[Paragraph 7.3, July 2018 PSD]</w:t>
            </w:r>
          </w:p>
          <w:p w:rsidR="003E0A09" w:rsidRPr="00795225" w:rsidRDefault="00DE2867" w:rsidP="008D1BDC">
            <w:pPr>
              <w:pStyle w:val="Tabletext"/>
            </w:pPr>
            <w:r w:rsidRPr="00795225">
              <w:t xml:space="preserve">The </w:t>
            </w:r>
            <w:r w:rsidR="003E0A09" w:rsidRPr="00795225">
              <w:t xml:space="preserve">PBAC considered that there were a number of transitivity issues between the trials, including duration of follow-up, maturity of the data, average age of </w:t>
            </w:r>
            <w:r w:rsidR="006B63AA" w:rsidRPr="00795225">
              <w:t xml:space="preserve">the patients and duration of </w:t>
            </w:r>
            <w:proofErr w:type="spellStart"/>
            <w:r w:rsidR="006B63AA" w:rsidRPr="00795225">
              <w:t>ipilimumab</w:t>
            </w:r>
            <w:proofErr w:type="spellEnd"/>
            <w:r w:rsidR="003E0A09" w:rsidRPr="00795225">
              <w:t xml:space="preserve"> treatment.</w:t>
            </w:r>
          </w:p>
        </w:tc>
        <w:tc>
          <w:tcPr>
            <w:tcW w:w="2485" w:type="pct"/>
          </w:tcPr>
          <w:p w:rsidR="003E0A09" w:rsidRPr="00795225" w:rsidRDefault="008703E0" w:rsidP="008D1BDC">
            <w:pPr>
              <w:widowControl/>
              <w:rPr>
                <w:rFonts w:ascii="Arial Narrow" w:hAnsi="Arial Narrow"/>
                <w:sz w:val="20"/>
                <w:szCs w:val="20"/>
              </w:rPr>
            </w:pPr>
            <w:r w:rsidRPr="00795225">
              <w:rPr>
                <w:rFonts w:ascii="Arial Narrow" w:hAnsi="Arial Narrow"/>
                <w:sz w:val="20"/>
                <w:szCs w:val="20"/>
                <w:u w:val="single"/>
              </w:rPr>
              <w:t>Duration of follow-up</w:t>
            </w:r>
            <w:r w:rsidRPr="00795225">
              <w:rPr>
                <w:rFonts w:ascii="Arial Narrow" w:hAnsi="Arial Narrow"/>
                <w:sz w:val="20"/>
                <w:szCs w:val="20"/>
              </w:rPr>
              <w:t xml:space="preserve"> – CA238 (NIVO vs. IPI) minimum 24 months vs CA029 (IPI vs. placebo) median 2.7 years. The updated data for CA238 with 24 months follow-up indicated that the treatment effect had remained consistent over the additional 6 month </w:t>
            </w:r>
            <w:r w:rsidR="00793CC8" w:rsidRPr="00795225">
              <w:rPr>
                <w:rFonts w:ascii="Arial Narrow" w:hAnsi="Arial Narrow"/>
                <w:sz w:val="20"/>
                <w:szCs w:val="20"/>
              </w:rPr>
              <w:t xml:space="preserve">data collection </w:t>
            </w:r>
            <w:r w:rsidRPr="00795225">
              <w:rPr>
                <w:rFonts w:ascii="Arial Narrow" w:hAnsi="Arial Narrow"/>
                <w:sz w:val="20"/>
                <w:szCs w:val="20"/>
              </w:rPr>
              <w:t>period.</w:t>
            </w:r>
            <w:r w:rsidRPr="00795225">
              <w:rPr>
                <w:rFonts w:eastAsiaTheme="minorHAnsi" w:cs="Times New Roman"/>
                <w:iCs/>
                <w:snapToGrid/>
                <w:szCs w:val="24"/>
              </w:rPr>
              <w:t xml:space="preserve"> </w:t>
            </w:r>
          </w:p>
          <w:p w:rsidR="003E0A09" w:rsidRPr="00795225" w:rsidRDefault="003E0A09" w:rsidP="008D1BDC">
            <w:pPr>
              <w:widowControl/>
              <w:rPr>
                <w:rFonts w:ascii="Arial Narrow" w:hAnsi="Arial Narrow"/>
                <w:sz w:val="20"/>
                <w:szCs w:val="20"/>
              </w:rPr>
            </w:pPr>
            <w:r w:rsidRPr="00795225">
              <w:rPr>
                <w:rFonts w:ascii="Arial Narrow" w:hAnsi="Arial Narrow"/>
                <w:sz w:val="20"/>
                <w:szCs w:val="20"/>
                <w:u w:val="single"/>
              </w:rPr>
              <w:t>Melanoma types</w:t>
            </w:r>
            <w:r w:rsidRPr="00795225">
              <w:rPr>
                <w:rFonts w:ascii="Arial Narrow" w:hAnsi="Arial Narrow"/>
                <w:sz w:val="20"/>
                <w:szCs w:val="20"/>
              </w:rPr>
              <w:t xml:space="preserve"> – CA238 all melanoma other than ocular/uveal vs CA029 cutaneous melanoma (excluded mucosal and ocular melanoma or melanoma with unknown origin of the primary). </w:t>
            </w:r>
          </w:p>
          <w:p w:rsidR="00793CC8" w:rsidRPr="00795225" w:rsidRDefault="00793CC8" w:rsidP="008D1BDC">
            <w:pPr>
              <w:widowControl/>
              <w:rPr>
                <w:rFonts w:ascii="Arial Narrow" w:hAnsi="Arial Narrow"/>
                <w:sz w:val="20"/>
                <w:szCs w:val="20"/>
              </w:rPr>
            </w:pPr>
            <w:r w:rsidRPr="00795225">
              <w:rPr>
                <w:rFonts w:ascii="Arial Narrow" w:hAnsi="Arial Narrow"/>
                <w:sz w:val="20"/>
                <w:szCs w:val="20"/>
                <w:u w:val="single"/>
              </w:rPr>
              <w:t>Disease stage prior to resection</w:t>
            </w:r>
            <w:r w:rsidRPr="00795225">
              <w:rPr>
                <w:rFonts w:ascii="Arial Narrow" w:hAnsi="Arial Narrow"/>
                <w:sz w:val="20"/>
                <w:szCs w:val="20"/>
              </w:rPr>
              <w:t xml:space="preserve"> – CA238 Stage IIIB, IIIC and IV </w:t>
            </w:r>
            <w:r w:rsidR="007941EB" w:rsidRPr="00795225">
              <w:rPr>
                <w:rFonts w:ascii="Arial Narrow" w:hAnsi="Arial Narrow"/>
                <w:sz w:val="20"/>
                <w:szCs w:val="20"/>
              </w:rPr>
              <w:t>(7</w:t>
            </w:r>
            <w:r w:rsidR="007941EB" w:rsidRPr="00795225">
              <w:rPr>
                <w:rFonts w:ascii="Arial Narrow" w:hAnsi="Arial Narrow"/>
                <w:sz w:val="20"/>
                <w:szCs w:val="20"/>
                <w:vertAlign w:val="superscript"/>
              </w:rPr>
              <w:t>th</w:t>
            </w:r>
            <w:r w:rsidR="007941EB" w:rsidRPr="00795225">
              <w:rPr>
                <w:rFonts w:ascii="Arial Narrow" w:hAnsi="Arial Narrow"/>
                <w:sz w:val="20"/>
                <w:szCs w:val="20"/>
              </w:rPr>
              <w:t xml:space="preserve"> edition) </w:t>
            </w:r>
            <w:r w:rsidRPr="00795225">
              <w:rPr>
                <w:rFonts w:ascii="Arial Narrow" w:hAnsi="Arial Narrow"/>
                <w:sz w:val="20"/>
                <w:szCs w:val="20"/>
              </w:rPr>
              <w:t>vs CA029 Stage IIIA, IIIB and IIIC</w:t>
            </w:r>
            <w:r w:rsidR="007941EB" w:rsidRPr="00795225">
              <w:rPr>
                <w:rFonts w:ascii="Arial Narrow" w:hAnsi="Arial Narrow"/>
                <w:sz w:val="20"/>
                <w:szCs w:val="20"/>
              </w:rPr>
              <w:t xml:space="preserve"> (6</w:t>
            </w:r>
            <w:r w:rsidR="007941EB" w:rsidRPr="00795225">
              <w:rPr>
                <w:rFonts w:ascii="Arial Narrow" w:hAnsi="Arial Narrow"/>
                <w:sz w:val="20"/>
                <w:szCs w:val="20"/>
                <w:vertAlign w:val="superscript"/>
              </w:rPr>
              <w:t>th</w:t>
            </w:r>
            <w:r w:rsidR="007941EB" w:rsidRPr="00795225">
              <w:rPr>
                <w:rFonts w:ascii="Arial Narrow" w:hAnsi="Arial Narrow"/>
                <w:sz w:val="20"/>
                <w:szCs w:val="20"/>
              </w:rPr>
              <w:t xml:space="preserve"> edition)</w:t>
            </w:r>
            <w:r w:rsidRPr="00795225">
              <w:rPr>
                <w:rFonts w:ascii="Arial Narrow" w:hAnsi="Arial Narrow"/>
                <w:sz w:val="20"/>
                <w:szCs w:val="20"/>
              </w:rPr>
              <w:t xml:space="preserve">. </w:t>
            </w:r>
          </w:p>
          <w:p w:rsidR="00793CC8" w:rsidRPr="00795225" w:rsidRDefault="00793CC8" w:rsidP="008D1BDC">
            <w:pPr>
              <w:widowControl/>
              <w:rPr>
                <w:rFonts w:ascii="Arial Narrow" w:hAnsi="Arial Narrow"/>
                <w:sz w:val="20"/>
                <w:szCs w:val="20"/>
              </w:rPr>
            </w:pPr>
            <w:r w:rsidRPr="00795225">
              <w:rPr>
                <w:rFonts w:ascii="Arial Narrow" w:hAnsi="Arial Narrow"/>
                <w:sz w:val="20"/>
                <w:szCs w:val="20"/>
                <w:u w:val="single"/>
              </w:rPr>
              <w:t>Duration of treatment</w:t>
            </w:r>
            <w:r w:rsidRPr="00795225">
              <w:rPr>
                <w:rFonts w:ascii="Arial Narrow" w:hAnsi="Arial Narrow"/>
                <w:sz w:val="20"/>
                <w:szCs w:val="20"/>
              </w:rPr>
              <w:t xml:space="preserve"> – CA238 maximum 12 months vs CA029 maximum of 3</w:t>
            </w:r>
            <w:r w:rsidR="006B63AA" w:rsidRPr="00795225">
              <w:rPr>
                <w:rFonts w:ascii="Arial Narrow" w:hAnsi="Arial Narrow"/>
                <w:sz w:val="20"/>
                <w:szCs w:val="20"/>
              </w:rPr>
              <w:t xml:space="preserve"> years and doses received in </w:t>
            </w:r>
            <w:proofErr w:type="spellStart"/>
            <w:r w:rsidR="006B63AA" w:rsidRPr="00795225">
              <w:rPr>
                <w:rFonts w:ascii="Arial Narrow" w:hAnsi="Arial Narrow"/>
                <w:sz w:val="20"/>
                <w:szCs w:val="20"/>
              </w:rPr>
              <w:t>ipilimumab</w:t>
            </w:r>
            <w:proofErr w:type="spellEnd"/>
            <w:r w:rsidRPr="00795225">
              <w:rPr>
                <w:rFonts w:ascii="Arial Narrow" w:hAnsi="Arial Narrow"/>
                <w:sz w:val="20"/>
                <w:szCs w:val="20"/>
              </w:rPr>
              <w:t xml:space="preserve"> arm CA238 (mean (SD) 4.1 (1.8)) v</w:t>
            </w:r>
            <w:r w:rsidR="00974FE8" w:rsidRPr="00795225">
              <w:rPr>
                <w:rFonts w:ascii="Arial Narrow" w:hAnsi="Arial Narrow"/>
                <w:sz w:val="20"/>
                <w:szCs w:val="20"/>
              </w:rPr>
              <w:t>ersu</w:t>
            </w:r>
            <w:r w:rsidRPr="00795225">
              <w:rPr>
                <w:rFonts w:ascii="Arial Narrow" w:hAnsi="Arial Narrow"/>
                <w:sz w:val="20"/>
                <w:szCs w:val="20"/>
              </w:rPr>
              <w:t>s CA029 (mean (SD) 5.7 (4.3)). The lower exp</w:t>
            </w:r>
            <w:r w:rsidR="006B63AA" w:rsidRPr="00795225">
              <w:rPr>
                <w:rFonts w:ascii="Arial Narrow" w:hAnsi="Arial Narrow"/>
                <w:sz w:val="20"/>
                <w:szCs w:val="20"/>
              </w:rPr>
              <w:t xml:space="preserve">osure to </w:t>
            </w:r>
            <w:proofErr w:type="spellStart"/>
            <w:r w:rsidR="006B63AA" w:rsidRPr="00795225">
              <w:rPr>
                <w:rFonts w:ascii="Arial Narrow" w:hAnsi="Arial Narrow"/>
                <w:sz w:val="20"/>
                <w:szCs w:val="20"/>
              </w:rPr>
              <w:t>ipilimumab</w:t>
            </w:r>
            <w:proofErr w:type="spellEnd"/>
            <w:r w:rsidRPr="00795225">
              <w:rPr>
                <w:rFonts w:ascii="Arial Narrow" w:hAnsi="Arial Narrow"/>
                <w:sz w:val="20"/>
                <w:szCs w:val="20"/>
              </w:rPr>
              <w:t xml:space="preserve"> in the common reference arm in CA238 compared wit</w:t>
            </w:r>
            <w:r w:rsidR="006B63AA" w:rsidRPr="00795225">
              <w:rPr>
                <w:rFonts w:ascii="Arial Narrow" w:hAnsi="Arial Narrow"/>
                <w:sz w:val="20"/>
                <w:szCs w:val="20"/>
              </w:rPr>
              <w:t>h CA029 potentially favours nivolumab</w:t>
            </w:r>
            <w:r w:rsidRPr="00795225">
              <w:rPr>
                <w:rFonts w:ascii="Arial Narrow" w:hAnsi="Arial Narrow"/>
                <w:sz w:val="20"/>
                <w:szCs w:val="20"/>
              </w:rPr>
              <w:t xml:space="preserve"> over placebo</w:t>
            </w:r>
          </w:p>
          <w:p w:rsidR="00793CC8" w:rsidRPr="00795225" w:rsidRDefault="00793CC8" w:rsidP="008D1BDC">
            <w:pPr>
              <w:widowControl/>
              <w:rPr>
                <w:rFonts w:ascii="Arial Narrow" w:hAnsi="Arial Narrow"/>
                <w:sz w:val="20"/>
                <w:szCs w:val="20"/>
              </w:rPr>
            </w:pPr>
            <w:r w:rsidRPr="00795225">
              <w:rPr>
                <w:rFonts w:ascii="Arial Narrow" w:hAnsi="Arial Narrow"/>
                <w:sz w:val="20"/>
                <w:szCs w:val="20"/>
                <w:u w:val="single"/>
              </w:rPr>
              <w:t>Age ≥ 65 years</w:t>
            </w:r>
            <w:r w:rsidRPr="00795225">
              <w:rPr>
                <w:rFonts w:ascii="Arial Narrow" w:hAnsi="Arial Narrow"/>
                <w:sz w:val="20"/>
                <w:szCs w:val="20"/>
              </w:rPr>
              <w:t xml:space="preserve"> – CA238 25.8% vs CA029 17.6%. The subgroup analyses indicated there was no statistically </w:t>
            </w:r>
            <w:r w:rsidRPr="00795225">
              <w:rPr>
                <w:rFonts w:ascii="Arial Narrow" w:hAnsi="Arial Narrow"/>
                <w:sz w:val="20"/>
                <w:szCs w:val="20"/>
              </w:rPr>
              <w:lastRenderedPageBreak/>
              <w:t>significant difference in treatment effect, by age. H</w:t>
            </w:r>
            <w:r w:rsidR="006B63AA" w:rsidRPr="00795225">
              <w:rPr>
                <w:rFonts w:ascii="Arial Narrow" w:hAnsi="Arial Narrow"/>
                <w:sz w:val="20"/>
                <w:szCs w:val="20"/>
              </w:rPr>
              <w:t xml:space="preserve">owever the HR for placebo versus </w:t>
            </w:r>
            <w:proofErr w:type="spellStart"/>
            <w:r w:rsidR="006B63AA" w:rsidRPr="00795225">
              <w:rPr>
                <w:rFonts w:ascii="Arial Narrow" w:hAnsi="Arial Narrow"/>
                <w:sz w:val="20"/>
                <w:szCs w:val="20"/>
              </w:rPr>
              <w:t>ipilimumab</w:t>
            </w:r>
            <w:proofErr w:type="spellEnd"/>
            <w:r w:rsidRPr="00795225">
              <w:rPr>
                <w:rFonts w:ascii="Arial Narrow" w:hAnsi="Arial Narrow"/>
                <w:sz w:val="20"/>
                <w:szCs w:val="20"/>
              </w:rPr>
              <w:t xml:space="preserve"> indicated treatment effect modification with patients aged ≥</w:t>
            </w:r>
            <w:r w:rsidR="006B63AA" w:rsidRPr="00795225">
              <w:rPr>
                <w:rFonts w:ascii="Arial Narrow" w:hAnsi="Arial Narrow"/>
                <w:sz w:val="20"/>
                <w:szCs w:val="20"/>
              </w:rPr>
              <w:t xml:space="preserve"> </w:t>
            </w:r>
            <w:r w:rsidRPr="00795225">
              <w:rPr>
                <w:rFonts w:ascii="Arial Narrow" w:hAnsi="Arial Narrow"/>
                <w:sz w:val="20"/>
                <w:szCs w:val="20"/>
              </w:rPr>
              <w:t>65 years having an HR of 1.09 (95% CI: 0.74, 1.61; N</w:t>
            </w:r>
            <w:r w:rsidR="006B63AA" w:rsidRPr="00795225">
              <w:rPr>
                <w:rFonts w:ascii="Arial Narrow" w:hAnsi="Arial Narrow"/>
                <w:sz w:val="20"/>
                <w:szCs w:val="20"/>
              </w:rPr>
              <w:t xml:space="preserve"> </w:t>
            </w:r>
            <w:r w:rsidRPr="00795225">
              <w:rPr>
                <w:rFonts w:ascii="Arial Narrow" w:hAnsi="Arial Narrow"/>
                <w:sz w:val="20"/>
                <w:szCs w:val="20"/>
              </w:rPr>
              <w:t>=</w:t>
            </w:r>
            <w:r w:rsidR="006B63AA" w:rsidRPr="00795225">
              <w:rPr>
                <w:rFonts w:ascii="Arial Narrow" w:hAnsi="Arial Narrow"/>
                <w:sz w:val="20"/>
                <w:szCs w:val="20"/>
              </w:rPr>
              <w:t xml:space="preserve"> </w:t>
            </w:r>
            <w:r w:rsidRPr="00795225">
              <w:rPr>
                <w:rFonts w:ascii="Arial Narrow" w:hAnsi="Arial Narrow"/>
                <w:sz w:val="20"/>
                <w:szCs w:val="20"/>
              </w:rPr>
              <w:t xml:space="preserve">167), compared with </w:t>
            </w:r>
            <w:r w:rsidR="006B63AA" w:rsidRPr="00795225">
              <w:rPr>
                <w:rFonts w:ascii="Arial Narrow" w:hAnsi="Arial Narrow"/>
                <w:sz w:val="20"/>
                <w:szCs w:val="20"/>
              </w:rPr>
              <w:t xml:space="preserve">a HR of </w:t>
            </w:r>
            <w:r w:rsidRPr="00795225">
              <w:rPr>
                <w:rFonts w:ascii="Arial Narrow" w:hAnsi="Arial Narrow"/>
                <w:sz w:val="20"/>
                <w:szCs w:val="20"/>
              </w:rPr>
              <w:t>1.37 (95% CI: 1.12, 1.64; N</w:t>
            </w:r>
            <w:r w:rsidR="006B63AA" w:rsidRPr="00795225">
              <w:rPr>
                <w:rFonts w:ascii="Arial Narrow" w:hAnsi="Arial Narrow"/>
                <w:sz w:val="20"/>
                <w:szCs w:val="20"/>
              </w:rPr>
              <w:t xml:space="preserve"> </w:t>
            </w:r>
            <w:r w:rsidRPr="00795225">
              <w:rPr>
                <w:rFonts w:ascii="Arial Narrow" w:hAnsi="Arial Narrow"/>
                <w:sz w:val="20"/>
                <w:szCs w:val="20"/>
              </w:rPr>
              <w:t>=</w:t>
            </w:r>
            <w:r w:rsidR="006B63AA" w:rsidRPr="00795225">
              <w:rPr>
                <w:rFonts w:ascii="Arial Narrow" w:hAnsi="Arial Narrow"/>
                <w:sz w:val="20"/>
                <w:szCs w:val="20"/>
              </w:rPr>
              <w:t xml:space="preserve"> </w:t>
            </w:r>
            <w:r w:rsidRPr="00795225">
              <w:rPr>
                <w:rFonts w:ascii="Arial Narrow" w:hAnsi="Arial Narrow"/>
                <w:sz w:val="20"/>
                <w:szCs w:val="20"/>
              </w:rPr>
              <w:t>784) in those aged &lt;</w:t>
            </w:r>
            <w:r w:rsidR="006B63AA" w:rsidRPr="00795225">
              <w:rPr>
                <w:rFonts w:ascii="Arial Narrow" w:hAnsi="Arial Narrow"/>
                <w:sz w:val="20"/>
                <w:szCs w:val="20"/>
              </w:rPr>
              <w:t xml:space="preserve"> </w:t>
            </w:r>
            <w:r w:rsidRPr="00795225">
              <w:rPr>
                <w:rFonts w:ascii="Arial Narrow" w:hAnsi="Arial Narrow"/>
                <w:sz w:val="20"/>
                <w:szCs w:val="20"/>
              </w:rPr>
              <w:t xml:space="preserve">65 years. </w:t>
            </w:r>
          </w:p>
          <w:p w:rsidR="003E0A09" w:rsidRPr="00795225" w:rsidRDefault="00793CC8" w:rsidP="00DE2867">
            <w:pPr>
              <w:widowControl/>
              <w:rPr>
                <w:rFonts w:ascii="Arial Narrow" w:hAnsi="Arial Narrow"/>
                <w:sz w:val="20"/>
                <w:szCs w:val="20"/>
              </w:rPr>
            </w:pPr>
            <w:r w:rsidRPr="00795225">
              <w:rPr>
                <w:rFonts w:ascii="Arial Narrow" w:hAnsi="Arial Narrow"/>
                <w:sz w:val="20"/>
                <w:szCs w:val="20"/>
              </w:rPr>
              <w:t>Uncertainty remains regarding the transitivity and applicability of the trials used in the indirect treatment comparison</w:t>
            </w:r>
            <w:r w:rsidR="00DE2867" w:rsidRPr="00795225">
              <w:rPr>
                <w:rFonts w:ascii="Arial Narrow" w:hAnsi="Arial Narrow"/>
                <w:sz w:val="20"/>
                <w:szCs w:val="20"/>
              </w:rPr>
              <w:t>.</w:t>
            </w:r>
            <w:r w:rsidR="003E0A09" w:rsidRPr="00795225">
              <w:rPr>
                <w:rFonts w:ascii="Arial Narrow" w:hAnsi="Arial Narrow"/>
                <w:sz w:val="20"/>
                <w:szCs w:val="20"/>
              </w:rPr>
              <w:t xml:space="preserve"> </w:t>
            </w:r>
          </w:p>
        </w:tc>
      </w:tr>
      <w:tr w:rsidR="003E0A09" w:rsidRPr="00795225" w:rsidTr="00EC5A97">
        <w:tc>
          <w:tcPr>
            <w:tcW w:w="5000" w:type="pct"/>
            <w:gridSpan w:val="2"/>
          </w:tcPr>
          <w:p w:rsidR="003E0A09" w:rsidRPr="00795225" w:rsidRDefault="003E0A09" w:rsidP="00F75C27">
            <w:pPr>
              <w:widowControl/>
              <w:tabs>
                <w:tab w:val="left" w:pos="5040"/>
              </w:tabs>
              <w:rPr>
                <w:rFonts w:ascii="Arial Narrow" w:hAnsi="Arial Narrow"/>
                <w:b/>
                <w:sz w:val="20"/>
                <w:szCs w:val="20"/>
              </w:rPr>
            </w:pPr>
            <w:r w:rsidRPr="00795225">
              <w:rPr>
                <w:rFonts w:ascii="Arial Narrow" w:hAnsi="Arial Narrow"/>
                <w:b/>
                <w:sz w:val="20"/>
                <w:szCs w:val="20"/>
              </w:rPr>
              <w:lastRenderedPageBreak/>
              <w:t>Economic issues</w:t>
            </w:r>
            <w:r w:rsidR="00F75C27" w:rsidRPr="00795225">
              <w:rPr>
                <w:rFonts w:ascii="Arial Narrow" w:hAnsi="Arial Narrow"/>
                <w:b/>
                <w:sz w:val="20"/>
                <w:szCs w:val="20"/>
              </w:rPr>
              <w:tab/>
            </w:r>
          </w:p>
        </w:tc>
      </w:tr>
      <w:tr w:rsidR="00C06609" w:rsidRPr="00795225" w:rsidTr="00373765">
        <w:tc>
          <w:tcPr>
            <w:tcW w:w="2515" w:type="pct"/>
          </w:tcPr>
          <w:p w:rsidR="00C06609" w:rsidRPr="00795225" w:rsidRDefault="00C06609" w:rsidP="008D1BDC">
            <w:pPr>
              <w:pStyle w:val="Tabletext"/>
              <w:rPr>
                <w:rFonts w:eastAsia="Calibri"/>
              </w:rPr>
            </w:pPr>
            <w:r w:rsidRPr="00795225">
              <w:rPr>
                <w:rFonts w:eastAsia="Calibri"/>
              </w:rPr>
              <w:t xml:space="preserve">[Paragraph 7.6, </w:t>
            </w:r>
            <w:r w:rsidRPr="00795225">
              <w:t>July 2018 PSD]</w:t>
            </w:r>
            <w:r w:rsidRPr="00795225">
              <w:rPr>
                <w:rFonts w:eastAsia="Calibri"/>
              </w:rPr>
              <w:t xml:space="preserve"> </w:t>
            </w:r>
          </w:p>
          <w:p w:rsidR="00C06609" w:rsidRPr="00795225" w:rsidRDefault="00C06609" w:rsidP="008D1BDC">
            <w:pPr>
              <w:pStyle w:val="Tabletext"/>
            </w:pPr>
            <w:r w:rsidRPr="00795225">
              <w:rPr>
                <w:rFonts w:eastAsia="Calibri"/>
              </w:rPr>
              <w:t>The PBAC considered that the ICER presented in the submission was uncertain, highly variable and likely underestimated. The PBAC raised a number of concerns, including:</w:t>
            </w:r>
          </w:p>
        </w:tc>
        <w:tc>
          <w:tcPr>
            <w:tcW w:w="2485" w:type="pct"/>
          </w:tcPr>
          <w:p w:rsidR="00C06609" w:rsidRPr="00795225" w:rsidRDefault="00C06609" w:rsidP="008D1BDC">
            <w:pPr>
              <w:widowControl/>
              <w:rPr>
                <w:rFonts w:ascii="Arial Narrow" w:hAnsi="Arial Narrow"/>
                <w:i/>
                <w:sz w:val="20"/>
                <w:szCs w:val="20"/>
              </w:rPr>
            </w:pPr>
          </w:p>
        </w:tc>
      </w:tr>
      <w:tr w:rsidR="00C06609" w:rsidRPr="00795225" w:rsidTr="00373765">
        <w:tc>
          <w:tcPr>
            <w:tcW w:w="2515" w:type="pct"/>
          </w:tcPr>
          <w:p w:rsidR="00C06609" w:rsidRPr="00795225" w:rsidRDefault="00C06609" w:rsidP="008D1BDC">
            <w:pPr>
              <w:pStyle w:val="Tabletext"/>
              <w:rPr>
                <w:rFonts w:eastAsia="Calibri"/>
              </w:rPr>
            </w:pPr>
            <w:r w:rsidRPr="00795225">
              <w:rPr>
                <w:rFonts w:eastAsia="Calibri"/>
              </w:rPr>
              <w:t xml:space="preserve">[Paragraphs 6.38 to 6.40, </w:t>
            </w:r>
            <w:r w:rsidRPr="00795225">
              <w:t>July 2018 PSD]</w:t>
            </w:r>
          </w:p>
          <w:p w:rsidR="00C06609" w:rsidRPr="00795225" w:rsidRDefault="00C06609" w:rsidP="006B63AA">
            <w:pPr>
              <w:pStyle w:val="Tabletext"/>
            </w:pPr>
            <w:r w:rsidRPr="00795225">
              <w:rPr>
                <w:rFonts w:eastAsia="Calibri"/>
              </w:rPr>
              <w:t xml:space="preserve">The assumption that the RFS </w:t>
            </w:r>
            <w:r w:rsidR="006B63AA" w:rsidRPr="00795225">
              <w:rPr>
                <w:rFonts w:eastAsia="Calibri"/>
              </w:rPr>
              <w:t>HR</w:t>
            </w:r>
            <w:r w:rsidRPr="00795225">
              <w:rPr>
                <w:rFonts w:eastAsia="Calibri"/>
              </w:rPr>
              <w:t xml:space="preserve"> derived from the indirect comparison was a surrogate for the OS </w:t>
            </w:r>
            <w:r w:rsidR="006B63AA" w:rsidRPr="00795225">
              <w:rPr>
                <w:rFonts w:eastAsia="Calibri"/>
              </w:rPr>
              <w:t>HR</w:t>
            </w:r>
            <w:r w:rsidR="00DE2867" w:rsidRPr="00795225">
              <w:rPr>
                <w:rFonts w:eastAsia="Calibri"/>
              </w:rPr>
              <w:t>.</w:t>
            </w:r>
          </w:p>
        </w:tc>
        <w:tc>
          <w:tcPr>
            <w:tcW w:w="2485" w:type="pct"/>
          </w:tcPr>
          <w:p w:rsidR="00C06609" w:rsidRPr="00795225" w:rsidRDefault="00C06609" w:rsidP="008D1BDC">
            <w:pPr>
              <w:pStyle w:val="Tabletext"/>
              <w:rPr>
                <w:rFonts w:eastAsia="Calibri"/>
              </w:rPr>
            </w:pPr>
            <w:r w:rsidRPr="00795225">
              <w:rPr>
                <w:rFonts w:eastAsia="Calibri"/>
              </w:rPr>
              <w:t xml:space="preserve">The RFS to OS surrogate relationship was no longer applied in the model. </w:t>
            </w:r>
            <w:r w:rsidR="007C0F67" w:rsidRPr="00795225">
              <w:rPr>
                <w:rFonts w:eastAsia="Calibri"/>
              </w:rPr>
              <w:t xml:space="preserve">The improvement in OS with nivolumab versus placebo was assumed to be the same as for </w:t>
            </w:r>
            <w:proofErr w:type="spellStart"/>
            <w:r w:rsidR="007C0F67" w:rsidRPr="00795225">
              <w:rPr>
                <w:rFonts w:eastAsia="Calibri"/>
              </w:rPr>
              <w:t>ipilimumab</w:t>
            </w:r>
            <w:proofErr w:type="spellEnd"/>
            <w:r w:rsidR="007C0F67" w:rsidRPr="00795225">
              <w:rPr>
                <w:rFonts w:eastAsia="Calibri"/>
              </w:rPr>
              <w:t xml:space="preserve"> versus placebo.</w:t>
            </w:r>
          </w:p>
        </w:tc>
      </w:tr>
      <w:tr w:rsidR="00C06609" w:rsidRPr="00795225" w:rsidTr="00373765">
        <w:trPr>
          <w:trHeight w:val="1082"/>
        </w:trPr>
        <w:tc>
          <w:tcPr>
            <w:tcW w:w="2515" w:type="pct"/>
          </w:tcPr>
          <w:p w:rsidR="00C06609" w:rsidRPr="00795225" w:rsidRDefault="00C06609" w:rsidP="006B63AA">
            <w:pPr>
              <w:pStyle w:val="Tabletext"/>
              <w:rPr>
                <w:rFonts w:eastAsia="Calibri"/>
              </w:rPr>
            </w:pPr>
            <w:r w:rsidRPr="00795225">
              <w:rPr>
                <w:rFonts w:eastAsia="Calibri"/>
              </w:rPr>
              <w:t xml:space="preserve">[Paragraph 6.51, </w:t>
            </w:r>
            <w:r w:rsidRPr="00795225">
              <w:t xml:space="preserve">July 2018 </w:t>
            </w:r>
            <w:r w:rsidR="00996FEC">
              <w:t>PSD</w:t>
            </w:r>
            <w:r w:rsidRPr="00795225">
              <w:t>]</w:t>
            </w:r>
          </w:p>
          <w:p w:rsidR="00C06609" w:rsidRPr="00795225" w:rsidRDefault="00C06609" w:rsidP="006B63AA">
            <w:pPr>
              <w:pStyle w:val="TableText0"/>
              <w:widowControl/>
              <w:spacing w:before="0" w:after="0"/>
              <w:rPr>
                <w:rFonts w:eastAsia="Calibri" w:cs="Calibri"/>
                <w:i/>
              </w:rPr>
            </w:pPr>
            <w:r w:rsidRPr="00795225">
              <w:rPr>
                <w:rFonts w:eastAsia="Calibri"/>
              </w:rPr>
              <w:t>The application of static costs and utilities to each health state which would not accurately reflect the outcome of patients treated in the adjuvant setting over the time horizon of the model (30 years) as recurrence after adjuvant treatment could include a heterogeneous population</w:t>
            </w:r>
            <w:r w:rsidR="00DE2867" w:rsidRPr="00795225">
              <w:rPr>
                <w:rFonts w:eastAsia="Calibri"/>
              </w:rPr>
              <w:t>.</w:t>
            </w:r>
          </w:p>
        </w:tc>
        <w:tc>
          <w:tcPr>
            <w:tcW w:w="2485" w:type="pct"/>
          </w:tcPr>
          <w:p w:rsidR="00C06609" w:rsidRPr="00795225" w:rsidRDefault="00C06609" w:rsidP="007941EB">
            <w:pPr>
              <w:pStyle w:val="Tabletext"/>
              <w:rPr>
                <w:szCs w:val="20"/>
              </w:rPr>
            </w:pPr>
            <w:r w:rsidRPr="00795225">
              <w:rPr>
                <w:rFonts w:eastAsia="Calibri"/>
              </w:rPr>
              <w:t xml:space="preserve">The disease recurrence health state is split into two health states, patients with </w:t>
            </w:r>
            <w:proofErr w:type="spellStart"/>
            <w:r w:rsidRPr="00795225">
              <w:rPr>
                <w:rFonts w:eastAsia="Calibri"/>
              </w:rPr>
              <w:t>locoregional</w:t>
            </w:r>
            <w:proofErr w:type="spellEnd"/>
            <w:r w:rsidRPr="00795225">
              <w:rPr>
                <w:rFonts w:eastAsia="Calibri"/>
              </w:rPr>
              <w:t xml:space="preserve"> recurrence and patients with distant metastatic recurrence. This </w:t>
            </w:r>
            <w:r w:rsidR="007941EB" w:rsidRPr="00795225">
              <w:rPr>
                <w:rFonts w:eastAsia="Calibri"/>
              </w:rPr>
              <w:t>wa</w:t>
            </w:r>
            <w:r w:rsidRPr="00795225">
              <w:rPr>
                <w:rFonts w:eastAsia="Calibri"/>
              </w:rPr>
              <w:t>s done through the introduction of the DMFS curve resulting in 4 health states, as opposed to 3 in the previous model.</w:t>
            </w:r>
          </w:p>
        </w:tc>
      </w:tr>
      <w:tr w:rsidR="00C06609" w:rsidRPr="00795225" w:rsidTr="00373765">
        <w:tc>
          <w:tcPr>
            <w:tcW w:w="2515" w:type="pct"/>
          </w:tcPr>
          <w:p w:rsidR="00C06609" w:rsidRPr="00795225" w:rsidRDefault="00C06609" w:rsidP="006B63AA">
            <w:pPr>
              <w:pStyle w:val="TableText0"/>
              <w:widowControl/>
              <w:spacing w:before="0" w:after="0"/>
              <w:rPr>
                <w:rFonts w:eastAsia="Calibri"/>
              </w:rPr>
            </w:pPr>
            <w:r w:rsidRPr="00795225">
              <w:rPr>
                <w:rFonts w:eastAsia="Calibri"/>
              </w:rPr>
              <w:t xml:space="preserve">[Paragraphs 6.42 and 6.43, </w:t>
            </w:r>
            <w:r w:rsidRPr="00795225">
              <w:t>July 2018 PSD]</w:t>
            </w:r>
          </w:p>
          <w:p w:rsidR="00C06609" w:rsidRPr="00795225" w:rsidRDefault="00C06609" w:rsidP="006B63AA">
            <w:pPr>
              <w:pStyle w:val="TableText0"/>
              <w:widowControl/>
              <w:spacing w:before="0" w:after="0"/>
              <w:rPr>
                <w:rFonts w:eastAsia="Calibri" w:cs="Calibri"/>
              </w:rPr>
            </w:pPr>
            <w:r w:rsidRPr="00795225">
              <w:rPr>
                <w:rFonts w:eastAsia="Calibri"/>
              </w:rPr>
              <w:t>The population in the model which was based on CA029 (mean age of 51 years, Stage III patients only) was not applicable to the proposed patient population (mean age at diagnosis of 63 years, Stage III and Stage IV patients).</w:t>
            </w:r>
          </w:p>
        </w:tc>
        <w:tc>
          <w:tcPr>
            <w:tcW w:w="2485" w:type="pct"/>
          </w:tcPr>
          <w:p w:rsidR="00C06609" w:rsidRPr="00795225" w:rsidRDefault="00C06609" w:rsidP="00603BAB">
            <w:pPr>
              <w:pStyle w:val="Tabletext"/>
              <w:rPr>
                <w:szCs w:val="20"/>
              </w:rPr>
            </w:pPr>
            <w:r w:rsidRPr="00795225">
              <w:rPr>
                <w:rFonts w:eastAsia="Calibri"/>
              </w:rPr>
              <w:t>OS in the revised model is comprised of melanoma-specific mortality (</w:t>
            </w:r>
            <w:proofErr w:type="spellStart"/>
            <w:r w:rsidRPr="00795225">
              <w:rPr>
                <w:rFonts w:eastAsia="Calibri"/>
              </w:rPr>
              <w:t>Haydu</w:t>
            </w:r>
            <w:proofErr w:type="spellEnd"/>
            <w:r w:rsidRPr="00795225">
              <w:rPr>
                <w:rFonts w:eastAsia="Calibri"/>
              </w:rPr>
              <w:t xml:space="preserve"> 2017), and age specific background mortality (Australian life tables). Patient demographics from </w:t>
            </w:r>
            <w:proofErr w:type="spellStart"/>
            <w:r w:rsidRPr="00795225">
              <w:rPr>
                <w:rFonts w:eastAsia="Calibri"/>
              </w:rPr>
              <w:t>Haydu</w:t>
            </w:r>
            <w:proofErr w:type="spellEnd"/>
            <w:r w:rsidRPr="00795225">
              <w:rPr>
                <w:rFonts w:eastAsia="Calibri"/>
              </w:rPr>
              <w:t xml:space="preserve"> (2017) are now applied in the economic model. See comments below </w:t>
            </w:r>
            <w:r w:rsidR="00DE2867" w:rsidRPr="00795225">
              <w:rPr>
                <w:rFonts w:eastAsia="Calibri"/>
              </w:rPr>
              <w:t>(</w:t>
            </w:r>
            <w:r w:rsidR="00133D62" w:rsidRPr="00795225">
              <w:rPr>
                <w:rFonts w:eastAsia="Calibri"/>
              </w:rPr>
              <w:t xml:space="preserve">paragraph </w:t>
            </w:r>
            <w:r w:rsidR="00133D62" w:rsidRPr="00EB1C39">
              <w:rPr>
                <w:rFonts w:eastAsia="Calibri"/>
              </w:rPr>
              <w:t>6.43</w:t>
            </w:r>
            <w:r w:rsidR="00DE2867" w:rsidRPr="00795225">
              <w:rPr>
                <w:rFonts w:eastAsia="Calibri"/>
              </w:rPr>
              <w:t xml:space="preserve"> </w:t>
            </w:r>
            <w:r w:rsidRPr="00795225">
              <w:rPr>
                <w:rFonts w:eastAsia="Calibri"/>
              </w:rPr>
              <w:t>regarding the applicability of this data source to the proposed PBS population.</w:t>
            </w:r>
          </w:p>
        </w:tc>
      </w:tr>
      <w:tr w:rsidR="00C06609" w:rsidRPr="00795225" w:rsidTr="00373765">
        <w:tc>
          <w:tcPr>
            <w:tcW w:w="2515" w:type="pct"/>
          </w:tcPr>
          <w:p w:rsidR="00C06609" w:rsidRPr="00795225" w:rsidRDefault="00C06609" w:rsidP="006B63AA">
            <w:pPr>
              <w:pStyle w:val="TableText0"/>
              <w:widowControl/>
              <w:spacing w:before="0" w:after="0"/>
              <w:rPr>
                <w:rFonts w:eastAsia="Calibri"/>
              </w:rPr>
            </w:pPr>
            <w:r w:rsidRPr="00795225">
              <w:rPr>
                <w:rFonts w:eastAsia="Calibri"/>
              </w:rPr>
              <w:t xml:space="preserve">[Paragraph 6.44, </w:t>
            </w:r>
            <w:r w:rsidRPr="00795225">
              <w:t xml:space="preserve">July 2018 </w:t>
            </w:r>
            <w:r w:rsidR="00996FEC">
              <w:t>PSD</w:t>
            </w:r>
            <w:r w:rsidRPr="00795225">
              <w:t>]</w:t>
            </w:r>
            <w:r w:rsidRPr="00795225">
              <w:rPr>
                <w:rFonts w:eastAsia="Calibri"/>
              </w:rPr>
              <w:t xml:space="preserve"> </w:t>
            </w:r>
          </w:p>
          <w:p w:rsidR="00C06609" w:rsidRPr="00795225" w:rsidRDefault="00C06609" w:rsidP="006B63AA">
            <w:pPr>
              <w:pStyle w:val="TableText0"/>
              <w:widowControl/>
              <w:spacing w:before="0" w:after="0"/>
              <w:rPr>
                <w:rFonts w:eastAsia="Calibri" w:cs="Calibri"/>
              </w:rPr>
            </w:pPr>
            <w:r w:rsidRPr="00795225">
              <w:rPr>
                <w:rFonts w:eastAsia="Calibri"/>
              </w:rPr>
              <w:t>The ESC further noted that adjusting the population age in the model is unlikely to reflect the cost-effectiveness of adjuvant melanoma in a population of patients with an average age of 63 years because adjusting the age does not impact the RFS curve, which was assumed to have a constant hazard from year 5 to 15, and that the curve remained constant after year 15.</w:t>
            </w:r>
          </w:p>
        </w:tc>
        <w:tc>
          <w:tcPr>
            <w:tcW w:w="2485" w:type="pct"/>
          </w:tcPr>
          <w:p w:rsidR="00C06609" w:rsidRPr="00795225" w:rsidRDefault="00C06609" w:rsidP="00012AC7">
            <w:pPr>
              <w:pStyle w:val="Tabletext"/>
              <w:rPr>
                <w:szCs w:val="20"/>
              </w:rPr>
            </w:pPr>
            <w:r w:rsidRPr="00795225">
              <w:rPr>
                <w:rFonts w:eastAsia="Calibri"/>
              </w:rPr>
              <w:t xml:space="preserve">Age continues to have no impact on the RFS curve. As described above, the economic model uses age adjusted </w:t>
            </w:r>
            <w:r w:rsidR="0079796B" w:rsidRPr="00795225">
              <w:rPr>
                <w:rFonts w:eastAsia="Calibri"/>
              </w:rPr>
              <w:t>OS</w:t>
            </w:r>
            <w:r w:rsidRPr="00795225">
              <w:rPr>
                <w:rFonts w:eastAsia="Calibri"/>
              </w:rPr>
              <w:t xml:space="preserve"> data</w:t>
            </w:r>
            <w:r w:rsidR="002D5B0D" w:rsidRPr="00795225">
              <w:rPr>
                <w:rFonts w:eastAsia="Calibri"/>
              </w:rPr>
              <w:t xml:space="preserve">. </w:t>
            </w:r>
          </w:p>
        </w:tc>
      </w:tr>
      <w:tr w:rsidR="00C06609" w:rsidRPr="00795225" w:rsidTr="00373765">
        <w:tc>
          <w:tcPr>
            <w:tcW w:w="2515" w:type="pct"/>
          </w:tcPr>
          <w:p w:rsidR="00C06609" w:rsidRPr="00795225" w:rsidRDefault="00C06609" w:rsidP="006B63AA">
            <w:pPr>
              <w:pStyle w:val="TableText0"/>
              <w:widowControl/>
              <w:spacing w:before="0" w:after="0"/>
            </w:pPr>
            <w:r w:rsidRPr="00795225">
              <w:rPr>
                <w:rFonts w:eastAsia="Calibri"/>
              </w:rPr>
              <w:t xml:space="preserve">[Paragraph 6.44, </w:t>
            </w:r>
            <w:r w:rsidRPr="00795225">
              <w:t xml:space="preserve">July 2018 PSD] </w:t>
            </w:r>
          </w:p>
          <w:p w:rsidR="00C06609" w:rsidRPr="00795225" w:rsidRDefault="00C06609" w:rsidP="006B63AA">
            <w:pPr>
              <w:pStyle w:val="TableText0"/>
              <w:widowControl/>
              <w:spacing w:before="0" w:after="0"/>
              <w:rPr>
                <w:rFonts w:eastAsia="Calibri"/>
              </w:rPr>
            </w:pPr>
            <w:r w:rsidRPr="00795225">
              <w:rPr>
                <w:rFonts w:eastAsia="Calibri"/>
              </w:rPr>
              <w:t xml:space="preserve">Melanoma-specific survival curve was taken from Balch, </w:t>
            </w:r>
            <w:r w:rsidR="006B63AA" w:rsidRPr="00795225">
              <w:rPr>
                <w:rFonts w:eastAsia="Calibri"/>
              </w:rPr>
              <w:t>(</w:t>
            </w:r>
            <w:r w:rsidRPr="00795225">
              <w:rPr>
                <w:rFonts w:eastAsia="Calibri"/>
              </w:rPr>
              <w:t>2009</w:t>
            </w:r>
            <w:r w:rsidR="006B63AA" w:rsidRPr="00795225">
              <w:rPr>
                <w:rFonts w:eastAsia="Calibri"/>
              </w:rPr>
              <w:t>)</w:t>
            </w:r>
            <w:r w:rsidRPr="00795225">
              <w:rPr>
                <w:rFonts w:eastAsia="Calibri"/>
              </w:rPr>
              <w:t xml:space="preserve">. No information on the patient baseline characteristics were presented in the publication. Therefore the applicability of this data source </w:t>
            </w:r>
            <w:r w:rsidR="00C158C9" w:rsidRPr="00795225">
              <w:rPr>
                <w:rFonts w:eastAsia="Calibri"/>
              </w:rPr>
              <w:t xml:space="preserve">was </w:t>
            </w:r>
            <w:r w:rsidRPr="00795225">
              <w:rPr>
                <w:rFonts w:eastAsia="Calibri"/>
              </w:rPr>
              <w:t xml:space="preserve">uncertain. </w:t>
            </w:r>
          </w:p>
          <w:p w:rsidR="00C06609" w:rsidRPr="00795225" w:rsidRDefault="00C06609" w:rsidP="00373765">
            <w:pPr>
              <w:pStyle w:val="TableText0"/>
              <w:widowControl/>
              <w:spacing w:before="0"/>
              <w:rPr>
                <w:rFonts w:eastAsia="Calibri" w:cs="Calibri"/>
              </w:rPr>
            </w:pPr>
          </w:p>
        </w:tc>
        <w:tc>
          <w:tcPr>
            <w:tcW w:w="2485" w:type="pct"/>
          </w:tcPr>
          <w:p w:rsidR="00C06609" w:rsidRPr="00795225" w:rsidRDefault="00C06609" w:rsidP="00133D62">
            <w:pPr>
              <w:pStyle w:val="Tabletext"/>
              <w:rPr>
                <w:szCs w:val="20"/>
              </w:rPr>
            </w:pPr>
            <w:r w:rsidRPr="00795225">
              <w:rPr>
                <w:rFonts w:eastAsia="Calibri"/>
              </w:rPr>
              <w:t xml:space="preserve">Balch (2009) has been replaced with </w:t>
            </w:r>
            <w:proofErr w:type="spellStart"/>
            <w:r w:rsidRPr="00795225">
              <w:rPr>
                <w:rFonts w:eastAsia="Calibri"/>
              </w:rPr>
              <w:t>Haydu</w:t>
            </w:r>
            <w:proofErr w:type="spellEnd"/>
            <w:r w:rsidRPr="00795225">
              <w:rPr>
                <w:rFonts w:eastAsia="Calibri"/>
              </w:rPr>
              <w:t xml:space="preserve"> (2017). </w:t>
            </w:r>
            <w:proofErr w:type="spellStart"/>
            <w:r w:rsidRPr="00795225">
              <w:rPr>
                <w:rFonts w:eastAsia="Calibri"/>
              </w:rPr>
              <w:t>Haydu</w:t>
            </w:r>
            <w:proofErr w:type="spellEnd"/>
            <w:r w:rsidRPr="00795225">
              <w:rPr>
                <w:rFonts w:eastAsia="Calibri"/>
              </w:rPr>
              <w:t xml:space="preserve"> (2017) reports on </w:t>
            </w:r>
            <w:proofErr w:type="spellStart"/>
            <w:r w:rsidRPr="00795225">
              <w:rPr>
                <w:rFonts w:eastAsia="Calibri"/>
              </w:rPr>
              <w:t>clinicopathologic</w:t>
            </w:r>
            <w:proofErr w:type="spellEnd"/>
            <w:r w:rsidRPr="00795225">
              <w:rPr>
                <w:rFonts w:eastAsia="Calibri"/>
              </w:rPr>
              <w:t xml:space="preserve"> data collected from the Melanoma Institute Australia (MIA) research database, including 4,540 patients with </w:t>
            </w:r>
            <w:proofErr w:type="spellStart"/>
            <w:r w:rsidRPr="00795225">
              <w:rPr>
                <w:rFonts w:eastAsia="Calibri"/>
              </w:rPr>
              <w:t>locoregional</w:t>
            </w:r>
            <w:proofErr w:type="spellEnd"/>
            <w:r w:rsidRPr="00795225">
              <w:rPr>
                <w:rFonts w:eastAsia="Calibri"/>
              </w:rPr>
              <w:t xml:space="preserve"> metastasis and no concurrent or prior diagnosis of distant metastasis. This Australian study does provide baseline characteristics and is expected to be representative of the Australian population. The baseline characteristics from </w:t>
            </w:r>
            <w:proofErr w:type="spellStart"/>
            <w:r w:rsidRPr="00795225">
              <w:rPr>
                <w:rFonts w:eastAsia="Calibri"/>
              </w:rPr>
              <w:t>Haydu</w:t>
            </w:r>
            <w:proofErr w:type="spellEnd"/>
            <w:r w:rsidRPr="00795225">
              <w:rPr>
                <w:rFonts w:eastAsia="Calibri"/>
              </w:rPr>
              <w:t xml:space="preserve"> (2017) are now applied in the model, namely; age (59 years) and sex (40% female). </w:t>
            </w:r>
            <w:proofErr w:type="spellStart"/>
            <w:r w:rsidRPr="00795225">
              <w:rPr>
                <w:rFonts w:eastAsia="Calibri"/>
              </w:rPr>
              <w:t>Haydu</w:t>
            </w:r>
            <w:proofErr w:type="spellEnd"/>
            <w:r w:rsidRPr="00795225">
              <w:rPr>
                <w:rFonts w:eastAsia="Calibri"/>
              </w:rPr>
              <w:t xml:space="preserve"> </w:t>
            </w:r>
            <w:r w:rsidR="006B63AA" w:rsidRPr="00795225">
              <w:rPr>
                <w:rFonts w:eastAsia="Calibri"/>
              </w:rPr>
              <w:t xml:space="preserve">(2017) </w:t>
            </w:r>
            <w:r w:rsidRPr="00795225">
              <w:rPr>
                <w:rFonts w:eastAsia="Calibri"/>
              </w:rPr>
              <w:t xml:space="preserve">included patients (with resected and </w:t>
            </w:r>
            <w:proofErr w:type="spellStart"/>
            <w:r w:rsidRPr="00795225">
              <w:rPr>
                <w:rFonts w:eastAsia="Calibri"/>
              </w:rPr>
              <w:t>unresectable</w:t>
            </w:r>
            <w:proofErr w:type="spellEnd"/>
            <w:r w:rsidRPr="00795225">
              <w:rPr>
                <w:rFonts w:eastAsia="Calibri"/>
              </w:rPr>
              <w:t xml:space="preserve"> disease) from a single Australian institution between 1970 and 2013. </w:t>
            </w:r>
            <w:r w:rsidRPr="00795225">
              <w:rPr>
                <w:rFonts w:eastAsia="Calibri"/>
              </w:rPr>
              <w:lastRenderedPageBreak/>
              <w:t>There are applicability concerns regarding this cohort to the proposed PBS population</w:t>
            </w:r>
            <w:r w:rsidR="00287B5F" w:rsidRPr="00795225">
              <w:rPr>
                <w:rFonts w:eastAsia="Calibri"/>
              </w:rPr>
              <w:t xml:space="preserve"> (see paragraph </w:t>
            </w:r>
            <w:r w:rsidR="00287B5F" w:rsidRPr="00EB1C39">
              <w:rPr>
                <w:rFonts w:eastAsia="Calibri"/>
              </w:rPr>
              <w:t>6.</w:t>
            </w:r>
            <w:r w:rsidR="00133D62" w:rsidRPr="00EB1C39">
              <w:rPr>
                <w:rFonts w:eastAsia="Calibri"/>
              </w:rPr>
              <w:t>43</w:t>
            </w:r>
            <w:r w:rsidR="00065C90" w:rsidRPr="00795225">
              <w:rPr>
                <w:rFonts w:eastAsia="Calibri"/>
              </w:rPr>
              <w:t>)</w:t>
            </w:r>
            <w:r w:rsidRPr="00795225">
              <w:rPr>
                <w:rFonts w:eastAsia="Calibri"/>
              </w:rPr>
              <w:t>.</w:t>
            </w:r>
          </w:p>
        </w:tc>
      </w:tr>
      <w:tr w:rsidR="00C06609" w:rsidRPr="00795225" w:rsidTr="00373765">
        <w:tc>
          <w:tcPr>
            <w:tcW w:w="2515" w:type="pct"/>
          </w:tcPr>
          <w:p w:rsidR="00C06609" w:rsidRPr="00795225" w:rsidRDefault="00C06609" w:rsidP="006B63AA">
            <w:pPr>
              <w:pStyle w:val="TableText0"/>
              <w:widowControl/>
              <w:spacing w:before="0" w:after="0"/>
            </w:pPr>
            <w:r w:rsidRPr="00795225">
              <w:rPr>
                <w:rFonts w:eastAsia="Calibri"/>
              </w:rPr>
              <w:lastRenderedPageBreak/>
              <w:t xml:space="preserve">[Paragraph 6.44, </w:t>
            </w:r>
            <w:r w:rsidRPr="00795225">
              <w:t xml:space="preserve">July 2018 PSD] </w:t>
            </w:r>
          </w:p>
          <w:p w:rsidR="00C06609" w:rsidRPr="00795225" w:rsidRDefault="00C06609" w:rsidP="006B63AA">
            <w:pPr>
              <w:pStyle w:val="TableText0"/>
              <w:widowControl/>
              <w:spacing w:before="0" w:after="0"/>
              <w:rPr>
                <w:rFonts w:eastAsia="Calibri" w:cs="Calibri"/>
              </w:rPr>
            </w:pPr>
            <w:r w:rsidRPr="00795225">
              <w:rPr>
                <w:rFonts w:eastAsia="Calibri"/>
              </w:rPr>
              <w:t>The competing risk of death due to other causes will not be accurately captured in either the RFS or OS curves.</w:t>
            </w:r>
          </w:p>
        </w:tc>
        <w:tc>
          <w:tcPr>
            <w:tcW w:w="2485" w:type="pct"/>
          </w:tcPr>
          <w:p w:rsidR="00C06609" w:rsidRPr="00795225" w:rsidRDefault="00C06609" w:rsidP="008D1BDC">
            <w:pPr>
              <w:pStyle w:val="Tabletext"/>
              <w:rPr>
                <w:szCs w:val="20"/>
              </w:rPr>
            </w:pPr>
            <w:r w:rsidRPr="00795225">
              <w:rPr>
                <w:rFonts w:eastAsia="Calibri"/>
              </w:rPr>
              <w:t xml:space="preserve">See response to PBAC minute 6.45 below. </w:t>
            </w:r>
          </w:p>
        </w:tc>
      </w:tr>
      <w:tr w:rsidR="00C06609" w:rsidRPr="00795225" w:rsidTr="006B63AA">
        <w:trPr>
          <w:trHeight w:val="2151"/>
        </w:trPr>
        <w:tc>
          <w:tcPr>
            <w:tcW w:w="2515" w:type="pct"/>
          </w:tcPr>
          <w:p w:rsidR="00C06609" w:rsidRPr="00795225" w:rsidRDefault="00C06609" w:rsidP="006B63AA">
            <w:pPr>
              <w:pStyle w:val="TableText0"/>
              <w:widowControl/>
              <w:spacing w:before="0" w:after="0"/>
              <w:rPr>
                <w:rFonts w:eastAsia="Calibri"/>
              </w:rPr>
            </w:pPr>
            <w:r w:rsidRPr="00795225">
              <w:rPr>
                <w:rFonts w:eastAsia="Calibri"/>
              </w:rPr>
              <w:t xml:space="preserve">[Paragraph 6.45, </w:t>
            </w:r>
            <w:r w:rsidRPr="00795225">
              <w:t xml:space="preserve">July 2018 </w:t>
            </w:r>
            <w:r w:rsidR="00996FEC">
              <w:t>PSD</w:t>
            </w:r>
            <w:r w:rsidRPr="00795225">
              <w:t xml:space="preserve">] </w:t>
            </w:r>
          </w:p>
          <w:p w:rsidR="00C06609" w:rsidRPr="00795225" w:rsidRDefault="00C06609" w:rsidP="006B63AA">
            <w:pPr>
              <w:pStyle w:val="TableText0"/>
              <w:widowControl/>
              <w:spacing w:before="0" w:after="0"/>
              <w:rPr>
                <w:rFonts w:eastAsia="Calibri" w:cs="Calibri"/>
              </w:rPr>
            </w:pPr>
            <w:r w:rsidRPr="00795225">
              <w:rPr>
                <w:rFonts w:eastAsia="Calibri"/>
              </w:rPr>
              <w:t xml:space="preserve">The submission stated that the RFS curve for years 5 to 15 for the observation arm was based on an exponential extrapolation of the KM curve of the placebo arm of CA184029. The submission did not explore other methods of extrapolation, nor justify the selection of this method. </w:t>
            </w:r>
          </w:p>
        </w:tc>
        <w:tc>
          <w:tcPr>
            <w:tcW w:w="2485" w:type="pct"/>
          </w:tcPr>
          <w:p w:rsidR="00C06609" w:rsidRPr="00795225" w:rsidRDefault="00C06609" w:rsidP="008D1BDC">
            <w:pPr>
              <w:pStyle w:val="Tabletext"/>
              <w:rPr>
                <w:rFonts w:eastAsia="Calibri"/>
              </w:rPr>
            </w:pPr>
            <w:r w:rsidRPr="00795225">
              <w:rPr>
                <w:rFonts w:eastAsia="Calibri"/>
              </w:rPr>
              <w:t xml:space="preserve">A range of parametric survival curves have been fitted to the KM data using </w:t>
            </w:r>
            <w:proofErr w:type="spellStart"/>
            <w:r w:rsidRPr="00795225">
              <w:rPr>
                <w:rFonts w:eastAsia="Calibri"/>
              </w:rPr>
              <w:t>DataFit</w:t>
            </w:r>
            <w:proofErr w:type="spellEnd"/>
            <w:r w:rsidRPr="00795225">
              <w:rPr>
                <w:rFonts w:eastAsia="Calibri"/>
              </w:rPr>
              <w:t xml:space="preserve"> software. </w:t>
            </w:r>
            <w:r w:rsidR="00287B5F" w:rsidRPr="00795225">
              <w:rPr>
                <w:rFonts w:eastAsia="Calibri"/>
              </w:rPr>
              <w:t xml:space="preserve">Placebo </w:t>
            </w:r>
            <w:r w:rsidRPr="00795225">
              <w:rPr>
                <w:rFonts w:eastAsia="Calibri"/>
              </w:rPr>
              <w:t>RFS and DMFS curves from CA029 are extrapolated based on 5</w:t>
            </w:r>
            <w:r w:rsidR="00287B5F" w:rsidRPr="00795225">
              <w:rPr>
                <w:rFonts w:eastAsia="Calibri"/>
              </w:rPr>
              <w:t> </w:t>
            </w:r>
            <w:r w:rsidRPr="00795225">
              <w:rPr>
                <w:rFonts w:eastAsia="Calibri"/>
              </w:rPr>
              <w:t xml:space="preserve">years of data. Survival curve from </w:t>
            </w:r>
            <w:proofErr w:type="spellStart"/>
            <w:r w:rsidRPr="00795225">
              <w:rPr>
                <w:rFonts w:eastAsia="Calibri"/>
              </w:rPr>
              <w:t>Haydu</w:t>
            </w:r>
            <w:proofErr w:type="spellEnd"/>
            <w:r w:rsidRPr="00795225">
              <w:rPr>
                <w:rFonts w:eastAsia="Calibri"/>
              </w:rPr>
              <w:t xml:space="preserve"> (2017) is extrapolated based on 15 years of data.</w:t>
            </w:r>
          </w:p>
          <w:p w:rsidR="00C06609" w:rsidRPr="00795225" w:rsidRDefault="00C06609" w:rsidP="008D1BDC">
            <w:pPr>
              <w:pStyle w:val="Tabletext"/>
              <w:rPr>
                <w:rFonts w:eastAsia="Calibri"/>
              </w:rPr>
            </w:pPr>
          </w:p>
          <w:p w:rsidR="00C06609" w:rsidRPr="00795225" w:rsidRDefault="00C06609" w:rsidP="008D1BDC">
            <w:pPr>
              <w:pStyle w:val="Tabletext"/>
              <w:rPr>
                <w:i/>
                <w:szCs w:val="20"/>
              </w:rPr>
            </w:pPr>
            <w:r w:rsidRPr="00795225">
              <w:rPr>
                <w:rFonts w:eastAsia="Calibri"/>
              </w:rPr>
              <w:t xml:space="preserve">While the resubmission has provided extrapolations based on the usual range of parametric survival curves, concerns remain regarding the applicability of the underlying data sources. </w:t>
            </w:r>
          </w:p>
        </w:tc>
      </w:tr>
      <w:tr w:rsidR="00C06609" w:rsidRPr="00795225" w:rsidTr="00373765">
        <w:tc>
          <w:tcPr>
            <w:tcW w:w="2515" w:type="pct"/>
          </w:tcPr>
          <w:p w:rsidR="00C06609" w:rsidRPr="00795225" w:rsidRDefault="00C06609" w:rsidP="006B63AA">
            <w:pPr>
              <w:pStyle w:val="TableText0"/>
              <w:widowControl/>
              <w:spacing w:before="0" w:after="0"/>
              <w:rPr>
                <w:rFonts w:eastAsia="Calibri"/>
              </w:rPr>
            </w:pPr>
            <w:r w:rsidRPr="00795225">
              <w:rPr>
                <w:rFonts w:eastAsia="Calibri"/>
              </w:rPr>
              <w:t xml:space="preserve">[Paragraph 6.46, </w:t>
            </w:r>
            <w:r w:rsidRPr="00795225">
              <w:t xml:space="preserve">July 2018 PSD] </w:t>
            </w:r>
          </w:p>
          <w:p w:rsidR="00C06609" w:rsidRPr="00795225" w:rsidRDefault="00C06609" w:rsidP="006B63AA">
            <w:pPr>
              <w:pStyle w:val="TableText0"/>
              <w:widowControl/>
              <w:spacing w:before="0" w:after="0"/>
              <w:rPr>
                <w:rFonts w:eastAsia="Calibri" w:cs="Calibri"/>
              </w:rPr>
            </w:pPr>
            <w:r w:rsidRPr="00795225">
              <w:rPr>
                <w:rFonts w:eastAsia="Calibri"/>
              </w:rPr>
              <w:t xml:space="preserve">The application of a constant transition probability for recurrence-free survival does not incorporate the increasing competing risk of death from other causes </w:t>
            </w:r>
            <w:r w:rsidR="006B63AA" w:rsidRPr="00795225">
              <w:rPr>
                <w:rFonts w:eastAsia="Calibri"/>
              </w:rPr>
              <w:t xml:space="preserve">such </w:t>
            </w:r>
            <w:r w:rsidRPr="00795225">
              <w:rPr>
                <w:rFonts w:eastAsia="Calibri"/>
              </w:rPr>
              <w:t>as patients</w:t>
            </w:r>
            <w:r w:rsidR="006B63AA" w:rsidRPr="00795225">
              <w:rPr>
                <w:rFonts w:eastAsia="Calibri"/>
              </w:rPr>
              <w:t>’</w:t>
            </w:r>
            <w:r w:rsidRPr="00795225">
              <w:rPr>
                <w:rFonts w:eastAsia="Calibri"/>
              </w:rPr>
              <w:t xml:space="preserve"> age. This may overestimate the life years gained from treatment with nivolumab compared to observation</w:t>
            </w:r>
            <w:r w:rsidR="00CA7FAF" w:rsidRPr="00795225">
              <w:rPr>
                <w:rFonts w:eastAsia="Calibri"/>
              </w:rPr>
              <w:t>.</w:t>
            </w:r>
          </w:p>
        </w:tc>
        <w:tc>
          <w:tcPr>
            <w:tcW w:w="2485" w:type="pct"/>
          </w:tcPr>
          <w:p w:rsidR="00C06609" w:rsidRPr="00795225" w:rsidRDefault="00C06609" w:rsidP="008D1BDC">
            <w:pPr>
              <w:pStyle w:val="Tabletext"/>
              <w:rPr>
                <w:szCs w:val="20"/>
              </w:rPr>
            </w:pPr>
            <w:r w:rsidRPr="00795225">
              <w:rPr>
                <w:rFonts w:eastAsia="Calibri"/>
              </w:rPr>
              <w:t xml:space="preserve">Death from other causes is now accounted for through the combination of age specific background mortality (Australian life tables) and melanoma specific survival from </w:t>
            </w:r>
            <w:proofErr w:type="spellStart"/>
            <w:r w:rsidRPr="00795225">
              <w:rPr>
                <w:rFonts w:eastAsia="Calibri"/>
              </w:rPr>
              <w:t>Haydu</w:t>
            </w:r>
            <w:proofErr w:type="spellEnd"/>
            <w:r w:rsidRPr="00795225">
              <w:rPr>
                <w:rFonts w:eastAsia="Calibri"/>
              </w:rPr>
              <w:t xml:space="preserve"> (2017). </w:t>
            </w:r>
          </w:p>
        </w:tc>
      </w:tr>
      <w:tr w:rsidR="00C06609" w:rsidRPr="00795225" w:rsidTr="00373765">
        <w:tc>
          <w:tcPr>
            <w:tcW w:w="2515" w:type="pct"/>
          </w:tcPr>
          <w:p w:rsidR="00C06609" w:rsidRPr="00795225" w:rsidRDefault="00C06609" w:rsidP="006B63AA">
            <w:pPr>
              <w:pStyle w:val="TableText0"/>
              <w:widowControl/>
              <w:spacing w:before="0" w:after="0"/>
              <w:rPr>
                <w:rFonts w:eastAsia="Calibri"/>
              </w:rPr>
            </w:pPr>
            <w:r w:rsidRPr="00795225">
              <w:rPr>
                <w:rFonts w:eastAsia="Calibri"/>
              </w:rPr>
              <w:t xml:space="preserve">[Paragraph 6.47, </w:t>
            </w:r>
            <w:r w:rsidRPr="00795225">
              <w:t xml:space="preserve">July 2018 </w:t>
            </w:r>
            <w:r w:rsidR="00996FEC">
              <w:t>PSD</w:t>
            </w:r>
            <w:r w:rsidRPr="00795225">
              <w:t xml:space="preserve">] </w:t>
            </w:r>
          </w:p>
          <w:p w:rsidR="00C06609" w:rsidRPr="00795225" w:rsidRDefault="00C06609" w:rsidP="006B63AA">
            <w:pPr>
              <w:pStyle w:val="TableText0"/>
              <w:widowControl/>
              <w:spacing w:before="0" w:after="0"/>
              <w:rPr>
                <w:rFonts w:eastAsia="Calibri" w:cs="Calibri"/>
              </w:rPr>
            </w:pPr>
            <w:r w:rsidRPr="00795225">
              <w:rPr>
                <w:rFonts w:eastAsia="Calibri"/>
              </w:rPr>
              <w:t>From year 15, the submission assumed that patients were no longer at risk of recurrence. Since the model did not allow patients to transit from recurrence-free to death state, this assumption resulted in the impossible scenario that, patients who remained recurrence-free at year 15 would no longer faced the risk of dying. This is implausible and biased the results of the model in favour of nivolumab.</w:t>
            </w:r>
          </w:p>
        </w:tc>
        <w:tc>
          <w:tcPr>
            <w:tcW w:w="2485" w:type="pct"/>
          </w:tcPr>
          <w:p w:rsidR="00C06609" w:rsidRPr="00795225" w:rsidRDefault="00C06609" w:rsidP="008D1BDC">
            <w:pPr>
              <w:pStyle w:val="Tabletext"/>
              <w:rPr>
                <w:szCs w:val="20"/>
              </w:rPr>
            </w:pPr>
            <w:r w:rsidRPr="00795225">
              <w:rPr>
                <w:rFonts w:eastAsia="Calibri"/>
              </w:rPr>
              <w:t xml:space="preserve">During the latter years of the extrapolation, the per-cycle hazard of dying from all-cause mortality (which is only captured in the OS curve) is greater than the per-cycle hazard of recurrence or death (represented by the RFS curve). This implied that those patients who are recurrence-free during this time have a better survival than the general population. This is inappropriate. </w:t>
            </w:r>
          </w:p>
        </w:tc>
      </w:tr>
      <w:tr w:rsidR="00E2306A" w:rsidRPr="00795225" w:rsidTr="00EC5A97">
        <w:tc>
          <w:tcPr>
            <w:tcW w:w="5000" w:type="pct"/>
            <w:gridSpan w:val="2"/>
          </w:tcPr>
          <w:p w:rsidR="00E2306A" w:rsidRPr="00795225" w:rsidRDefault="00E2306A" w:rsidP="008D1BDC">
            <w:pPr>
              <w:pStyle w:val="Tabletext"/>
              <w:rPr>
                <w:b/>
              </w:rPr>
            </w:pPr>
            <w:r w:rsidRPr="00795225">
              <w:rPr>
                <w:b/>
              </w:rPr>
              <w:t>Financial Issues</w:t>
            </w:r>
          </w:p>
        </w:tc>
      </w:tr>
      <w:tr w:rsidR="00E2306A" w:rsidRPr="00795225" w:rsidTr="00373765">
        <w:tc>
          <w:tcPr>
            <w:tcW w:w="2515" w:type="pct"/>
          </w:tcPr>
          <w:p w:rsidR="00E2306A" w:rsidRPr="00795225" w:rsidRDefault="00E2306A" w:rsidP="006B63AA">
            <w:pPr>
              <w:pStyle w:val="TableText0"/>
              <w:widowControl/>
              <w:spacing w:before="0" w:after="0"/>
            </w:pPr>
            <w:r w:rsidRPr="00795225">
              <w:rPr>
                <w:rFonts w:eastAsia="Calibri"/>
              </w:rPr>
              <w:t xml:space="preserve">[Paragraph 6.60, </w:t>
            </w:r>
            <w:r w:rsidRPr="00795225">
              <w:t xml:space="preserve">July 2018 PSD] </w:t>
            </w:r>
          </w:p>
          <w:p w:rsidR="00E2306A" w:rsidRPr="00795225" w:rsidRDefault="00E2306A" w:rsidP="006B63AA">
            <w:pPr>
              <w:pStyle w:val="TableText0"/>
              <w:widowControl/>
              <w:spacing w:before="0" w:after="0"/>
            </w:pPr>
            <w:r w:rsidRPr="00795225">
              <w:t xml:space="preserve">The PBAC considered that the size of the eligible patient population was uncertain. Key assumptions included the incidence of melanoma and disease stage. </w:t>
            </w:r>
          </w:p>
          <w:p w:rsidR="006B63AA" w:rsidRPr="00795225" w:rsidRDefault="006B63AA" w:rsidP="006B63AA">
            <w:pPr>
              <w:pStyle w:val="TableText0"/>
              <w:widowControl/>
              <w:spacing w:before="0" w:after="0"/>
            </w:pPr>
          </w:p>
          <w:p w:rsidR="00E2306A" w:rsidRPr="00795225" w:rsidRDefault="00E2306A" w:rsidP="006B63AA">
            <w:pPr>
              <w:pStyle w:val="TableText0"/>
              <w:widowControl/>
              <w:spacing w:before="0" w:after="0"/>
            </w:pPr>
            <w:r w:rsidRPr="00795225">
              <w:rPr>
                <w:rFonts w:eastAsia="Calibri"/>
              </w:rPr>
              <w:t xml:space="preserve">[Paragraph 7.2, </w:t>
            </w:r>
            <w:r w:rsidRPr="00795225">
              <w:t xml:space="preserve">July 2018 PSD] </w:t>
            </w:r>
          </w:p>
          <w:p w:rsidR="00E2306A" w:rsidRPr="00795225" w:rsidRDefault="00E2306A" w:rsidP="006B63AA">
            <w:pPr>
              <w:pStyle w:val="TableText0"/>
              <w:widowControl/>
              <w:spacing w:before="0" w:after="0"/>
              <w:rPr>
                <w:rFonts w:eastAsia="Calibri"/>
              </w:rPr>
            </w:pPr>
            <w:r w:rsidRPr="00795225">
              <w:rPr>
                <w:rFonts w:eastAsia="Calibri"/>
              </w:rPr>
              <w:t xml:space="preserve">The submission did not fully capture the treatment pathways for patients who would have recurrence of disease and the downstream consequences of PD-1 inhibitor therapy in the </w:t>
            </w:r>
            <w:proofErr w:type="spellStart"/>
            <w:r w:rsidRPr="00795225">
              <w:rPr>
                <w:rFonts w:eastAsia="Calibri"/>
              </w:rPr>
              <w:t>unresectable</w:t>
            </w:r>
            <w:proofErr w:type="spellEnd"/>
            <w:r w:rsidRPr="00795225">
              <w:rPr>
                <w:rFonts w:eastAsia="Calibri"/>
              </w:rPr>
              <w:t xml:space="preserve"> malignant melanoma setting.</w:t>
            </w:r>
            <w:r w:rsidR="00E42D71" w:rsidRPr="00795225">
              <w:rPr>
                <w:rFonts w:eastAsia="Calibri"/>
              </w:rPr>
              <w:t xml:space="preserve"> </w:t>
            </w:r>
          </w:p>
        </w:tc>
        <w:tc>
          <w:tcPr>
            <w:tcW w:w="2485" w:type="pct"/>
          </w:tcPr>
          <w:p w:rsidR="00FC42FC" w:rsidRPr="00795225" w:rsidRDefault="00E2306A" w:rsidP="008D1BDC">
            <w:pPr>
              <w:pStyle w:val="Tabletext"/>
            </w:pPr>
            <w:r w:rsidRPr="00795225">
              <w:t>The resubmission used a new data source to determine the size of the treatable population and included patients diagnosed with Stage I/II disease that subsequently progress to completely resected Stage III/IV melanoma. This is the one of the main financial uncertainties.</w:t>
            </w:r>
          </w:p>
          <w:p w:rsidR="00E2306A" w:rsidRPr="00795225" w:rsidRDefault="00E2306A" w:rsidP="00FC42FC">
            <w:pPr>
              <w:pStyle w:val="Tabletext"/>
              <w:rPr>
                <w:rFonts w:eastAsia="Calibri"/>
              </w:rPr>
            </w:pPr>
            <w:r w:rsidRPr="00795225">
              <w:t>The size of the patient population diagnosed with earlier stages of disease that subsequently progress to later stages was estimated on the basis of an outdated published study (</w:t>
            </w:r>
            <w:r w:rsidR="00FC42FC" w:rsidRPr="00795225">
              <w:t xml:space="preserve">Turner 2011, </w:t>
            </w:r>
            <w:r w:rsidRPr="00795225">
              <w:t>involving patients first diagnosed with stage I or II melanoma in 1985-2009).</w:t>
            </w:r>
          </w:p>
        </w:tc>
      </w:tr>
      <w:tr w:rsidR="00E2306A" w:rsidRPr="00795225" w:rsidTr="00373765">
        <w:trPr>
          <w:trHeight w:val="432"/>
        </w:trPr>
        <w:tc>
          <w:tcPr>
            <w:tcW w:w="2515" w:type="pct"/>
            <w:shd w:val="clear" w:color="auto" w:fill="auto"/>
          </w:tcPr>
          <w:p w:rsidR="00E2306A" w:rsidRPr="00795225" w:rsidRDefault="00E2306A" w:rsidP="008D1BDC">
            <w:pPr>
              <w:pStyle w:val="Tabletext"/>
              <w:rPr>
                <w:rFonts w:eastAsia="Calibri"/>
              </w:rPr>
            </w:pPr>
            <w:r w:rsidRPr="00795225">
              <w:rPr>
                <w:rFonts w:eastAsia="Calibri"/>
              </w:rPr>
              <w:t xml:space="preserve">[Paragraph 6.63, </w:t>
            </w:r>
            <w:r w:rsidRPr="00795225">
              <w:t>July 2018 PSD]</w:t>
            </w:r>
            <w:r w:rsidRPr="00795225">
              <w:rPr>
                <w:rFonts w:eastAsia="Calibri"/>
              </w:rPr>
              <w:t xml:space="preserve"> </w:t>
            </w:r>
          </w:p>
          <w:p w:rsidR="00E2306A" w:rsidRPr="00795225" w:rsidRDefault="00E2306A" w:rsidP="008D1BDC">
            <w:pPr>
              <w:pStyle w:val="Tabletext"/>
              <w:rPr>
                <w:rFonts w:eastAsia="Calibri"/>
              </w:rPr>
            </w:pPr>
            <w:r w:rsidRPr="00795225">
              <w:rPr>
                <w:rFonts w:eastAsia="Calibri"/>
              </w:rPr>
              <w:t>The PBAC and DUSC considered that the cost</w:t>
            </w:r>
            <w:r w:rsidR="00FC42FC" w:rsidRPr="00795225">
              <w:rPr>
                <w:rFonts w:eastAsia="Calibri"/>
              </w:rPr>
              <w:t xml:space="preserve"> </w:t>
            </w:r>
            <w:r w:rsidRPr="00795225">
              <w:rPr>
                <w:rFonts w:eastAsia="Calibri"/>
              </w:rPr>
              <w:t xml:space="preserve">offsets were overestimated. Key issues were: </w:t>
            </w:r>
          </w:p>
          <w:p w:rsidR="00E2306A" w:rsidRPr="00795225" w:rsidRDefault="00E2306A" w:rsidP="00EC5A97">
            <w:pPr>
              <w:pStyle w:val="Tabletext"/>
              <w:numPr>
                <w:ilvl w:val="0"/>
                <w:numId w:val="9"/>
              </w:numPr>
              <w:ind w:left="313" w:hanging="142"/>
              <w:rPr>
                <w:rFonts w:eastAsia="Calibri"/>
              </w:rPr>
            </w:pPr>
            <w:r w:rsidRPr="00795225">
              <w:rPr>
                <w:rFonts w:eastAsia="Calibri"/>
              </w:rPr>
              <w:t>the estimated cost offsets in the metastatic setting are likely to be overestimated;</w:t>
            </w:r>
          </w:p>
          <w:p w:rsidR="00E2306A" w:rsidRPr="00795225" w:rsidRDefault="00E2306A" w:rsidP="00EC5A97">
            <w:pPr>
              <w:pStyle w:val="Tabletext"/>
              <w:numPr>
                <w:ilvl w:val="0"/>
                <w:numId w:val="9"/>
              </w:numPr>
              <w:ind w:left="313" w:hanging="142"/>
              <w:rPr>
                <w:rFonts w:eastAsia="Calibri"/>
              </w:rPr>
            </w:pPr>
            <w:r w:rsidRPr="00795225">
              <w:rPr>
                <w:rFonts w:eastAsia="Calibri"/>
              </w:rPr>
              <w:t xml:space="preserve">the proposed PBS restriction is broader than the eligibility criteria for the CA238 and CA029 trials; and </w:t>
            </w:r>
          </w:p>
          <w:p w:rsidR="00E2306A" w:rsidRPr="00795225" w:rsidRDefault="00E2306A" w:rsidP="00EC5A97">
            <w:pPr>
              <w:pStyle w:val="Tabletext"/>
              <w:numPr>
                <w:ilvl w:val="0"/>
                <w:numId w:val="9"/>
              </w:numPr>
              <w:ind w:left="313" w:hanging="142"/>
              <w:rPr>
                <w:rFonts w:eastAsia="Calibri"/>
              </w:rPr>
            </w:pPr>
            <w:r w:rsidRPr="00795225">
              <w:rPr>
                <w:rFonts w:eastAsia="Calibri"/>
              </w:rPr>
              <w:t>uptake is likely to be very high overall, but low in patients who have a good prognosis from resection alone (such as patients with Stage IIIA disease) and in older patients.</w:t>
            </w:r>
          </w:p>
        </w:tc>
        <w:tc>
          <w:tcPr>
            <w:tcW w:w="2485" w:type="pct"/>
            <w:shd w:val="clear" w:color="auto" w:fill="auto"/>
          </w:tcPr>
          <w:p w:rsidR="00E2306A" w:rsidRPr="00795225" w:rsidRDefault="00E2306A" w:rsidP="00B36C36">
            <w:pPr>
              <w:pStyle w:val="Tabletext"/>
              <w:rPr>
                <w:rFonts w:eastAsia="Calibri"/>
              </w:rPr>
            </w:pPr>
            <w:r w:rsidRPr="00795225">
              <w:rPr>
                <w:rFonts w:eastAsia="Calibri"/>
              </w:rPr>
              <w:t xml:space="preserve">Cost offsets have been revised based on feedback from Australian clinicians and taking into account current expenditure caps in the </w:t>
            </w:r>
            <w:proofErr w:type="spellStart"/>
            <w:r w:rsidRPr="00795225">
              <w:rPr>
                <w:rFonts w:eastAsia="Calibri"/>
              </w:rPr>
              <w:t>unresectable</w:t>
            </w:r>
            <w:proofErr w:type="spellEnd"/>
            <w:r w:rsidRPr="00795225">
              <w:rPr>
                <w:rFonts w:eastAsia="Calibri"/>
              </w:rPr>
              <w:t xml:space="preserve"> malignant melanoma setting. The estimated overall reduction in utilisation of PBS medicines in the </w:t>
            </w:r>
            <w:proofErr w:type="spellStart"/>
            <w:r w:rsidRPr="00795225">
              <w:rPr>
                <w:rFonts w:eastAsia="Calibri"/>
              </w:rPr>
              <w:t>unresectable</w:t>
            </w:r>
            <w:proofErr w:type="spellEnd"/>
            <w:r w:rsidRPr="00795225">
              <w:rPr>
                <w:rFonts w:eastAsia="Calibri"/>
              </w:rPr>
              <w:t xml:space="preserve"> malignant melanoma setting </w:t>
            </w:r>
            <w:r w:rsidR="00B36C36" w:rsidRPr="00795225">
              <w:rPr>
                <w:rFonts w:eastAsia="Calibri"/>
              </w:rPr>
              <w:t>wa</w:t>
            </w:r>
            <w:r w:rsidRPr="00795225">
              <w:rPr>
                <w:rFonts w:eastAsia="Calibri"/>
              </w:rPr>
              <w:t xml:space="preserve">s based on the proportion of current patients that would have been eligible for adjuvant therapy (58%) and the estimated proportion of patients treated with adjuvant therapy prevented from progressing to Stage IV disease (11.1%) as per the economic model. The submission’s approach was not well justified in terms of the use of DMFS as a proxy for the avoidance of </w:t>
            </w:r>
            <w:r w:rsidRPr="00795225">
              <w:rPr>
                <w:rFonts w:eastAsia="Calibri"/>
              </w:rPr>
              <w:lastRenderedPageBreak/>
              <w:t xml:space="preserve">subsequent treatments for </w:t>
            </w:r>
            <w:proofErr w:type="spellStart"/>
            <w:r w:rsidRPr="00795225">
              <w:rPr>
                <w:rFonts w:eastAsia="Calibri"/>
              </w:rPr>
              <w:t>unresectable</w:t>
            </w:r>
            <w:proofErr w:type="spellEnd"/>
            <w:r w:rsidRPr="00795225">
              <w:rPr>
                <w:rFonts w:eastAsia="Calibri"/>
              </w:rPr>
              <w:t xml:space="preserve"> Stage III or Stage IV melanoma. The change of current RSA caps for treatments in the </w:t>
            </w:r>
            <w:proofErr w:type="spellStart"/>
            <w:r w:rsidRPr="00795225">
              <w:rPr>
                <w:rFonts w:eastAsia="Calibri"/>
              </w:rPr>
              <w:t>unresectable</w:t>
            </w:r>
            <w:proofErr w:type="spellEnd"/>
            <w:r w:rsidRPr="00795225">
              <w:rPr>
                <w:rFonts w:eastAsia="Calibri"/>
              </w:rPr>
              <w:t xml:space="preserve"> setting due to the listing of adjuvant nivolumab is unknown. In addition, the use of the RSA cap in the financial analysis has overestimated the actual government expenditure for </w:t>
            </w:r>
            <w:proofErr w:type="spellStart"/>
            <w:r w:rsidRPr="00795225">
              <w:rPr>
                <w:rFonts w:eastAsia="Calibri"/>
              </w:rPr>
              <w:t>ipilimumab</w:t>
            </w:r>
            <w:proofErr w:type="spellEnd"/>
            <w:r w:rsidR="00FC42FC" w:rsidRPr="00795225">
              <w:rPr>
                <w:rFonts w:eastAsia="Calibri"/>
              </w:rPr>
              <w:t>.</w:t>
            </w:r>
          </w:p>
        </w:tc>
      </w:tr>
      <w:tr w:rsidR="00E2306A" w:rsidRPr="00795225" w:rsidTr="00373765">
        <w:trPr>
          <w:trHeight w:val="319"/>
        </w:trPr>
        <w:tc>
          <w:tcPr>
            <w:tcW w:w="2515" w:type="pct"/>
            <w:shd w:val="clear" w:color="auto" w:fill="auto"/>
          </w:tcPr>
          <w:p w:rsidR="00E2306A" w:rsidRPr="00795225" w:rsidRDefault="00E2306A" w:rsidP="006B63AA">
            <w:pPr>
              <w:pStyle w:val="TableText0"/>
              <w:widowControl/>
              <w:spacing w:before="0" w:after="0"/>
              <w:rPr>
                <w:rFonts w:eastAsia="Calibri"/>
              </w:rPr>
            </w:pPr>
            <w:r w:rsidRPr="00795225">
              <w:rPr>
                <w:rFonts w:eastAsia="Calibri"/>
              </w:rPr>
              <w:lastRenderedPageBreak/>
              <w:t xml:space="preserve">[Paragraph 7.7, </w:t>
            </w:r>
            <w:r w:rsidRPr="00795225">
              <w:t xml:space="preserve">July 2018 </w:t>
            </w:r>
            <w:r w:rsidR="00F924A5">
              <w:t>PSD</w:t>
            </w:r>
            <w:r w:rsidR="00CA7FAF" w:rsidRPr="00795225">
              <w:t>]</w:t>
            </w:r>
            <w:r w:rsidRPr="00795225" w:rsidDel="00E3001C">
              <w:rPr>
                <w:rFonts w:eastAsia="Calibri"/>
              </w:rPr>
              <w:t xml:space="preserve"> </w:t>
            </w:r>
          </w:p>
          <w:p w:rsidR="00E2306A" w:rsidRPr="00795225" w:rsidRDefault="00E2306A" w:rsidP="007B33EB">
            <w:pPr>
              <w:pStyle w:val="TableText0"/>
              <w:rPr>
                <w:rFonts w:eastAsia="Calibri"/>
              </w:rPr>
            </w:pPr>
            <w:r w:rsidRPr="00795225">
              <w:rPr>
                <w:rFonts w:eastAsia="Calibri"/>
              </w:rPr>
              <w:t xml:space="preserve">The PBAC considered that although the financial estimates were uncertain, the financial impact was very high (over </w:t>
            </w:r>
            <w:r w:rsidR="007B33EB">
              <w:rPr>
                <w:rFonts w:eastAsia="Calibri"/>
              </w:rPr>
              <w:t>more than $100 million</w:t>
            </w:r>
            <w:r w:rsidRPr="00795225">
              <w:rPr>
                <w:rFonts w:eastAsia="Calibri"/>
              </w:rPr>
              <w:t xml:space="preserve"> per year for less than </w:t>
            </w:r>
            <w:r w:rsidR="007B33EB">
              <w:rPr>
                <w:rFonts w:eastAsia="Calibri"/>
              </w:rPr>
              <w:t>10,000</w:t>
            </w:r>
            <w:r w:rsidRPr="00795225">
              <w:rPr>
                <w:rFonts w:eastAsia="Calibri"/>
              </w:rPr>
              <w:t xml:space="preserve"> patients per year). This was particularly concerning in the context of the uncertain estimate of cost-effectiveness.</w:t>
            </w:r>
          </w:p>
        </w:tc>
        <w:tc>
          <w:tcPr>
            <w:tcW w:w="2485" w:type="pct"/>
            <w:shd w:val="clear" w:color="auto" w:fill="auto"/>
          </w:tcPr>
          <w:p w:rsidR="00E2306A" w:rsidRPr="00795225" w:rsidRDefault="00E2306A" w:rsidP="008D1BDC">
            <w:pPr>
              <w:pStyle w:val="Tabletext"/>
              <w:rPr>
                <w:rFonts w:eastAsia="Calibri"/>
              </w:rPr>
            </w:pPr>
          </w:p>
        </w:tc>
      </w:tr>
    </w:tbl>
    <w:p w:rsidR="00410F2D" w:rsidRPr="00795225" w:rsidRDefault="00410F2D" w:rsidP="008D1BDC">
      <w:pPr>
        <w:pStyle w:val="TableFooter"/>
        <w:widowControl/>
      </w:pPr>
      <w:r w:rsidRPr="00795225">
        <w:t xml:space="preserve">AJCC = American Joint Committee on Cancer; </w:t>
      </w:r>
      <w:r w:rsidR="0097221E" w:rsidRPr="00795225">
        <w:t xml:space="preserve">DMFS = distant metastasis-free survival; </w:t>
      </w:r>
      <w:r w:rsidR="00974FE8" w:rsidRPr="00795225">
        <w:t xml:space="preserve">DUSC = Drug Utilisation Sub-Committee; </w:t>
      </w:r>
      <w:r w:rsidRPr="00795225">
        <w:t xml:space="preserve">ECOG = Eastern Cooperative Oncology Group; </w:t>
      </w:r>
      <w:r w:rsidR="00974FE8" w:rsidRPr="00795225">
        <w:t xml:space="preserve">ESC = Economic Sub-Committee; </w:t>
      </w:r>
      <w:r w:rsidRPr="00795225">
        <w:t xml:space="preserve">HR = hazard ratio; </w:t>
      </w:r>
      <w:r w:rsidR="00974FE8" w:rsidRPr="00795225">
        <w:t xml:space="preserve">ICER = incremental cost-effectiveness ratio; KM = Kaplan Meier; </w:t>
      </w:r>
      <w:r w:rsidRPr="00795225">
        <w:t xml:space="preserve">IPI = </w:t>
      </w:r>
      <w:proofErr w:type="spellStart"/>
      <w:r w:rsidRPr="00795225">
        <w:t>ipilimumab</w:t>
      </w:r>
      <w:proofErr w:type="spellEnd"/>
      <w:r w:rsidRPr="00795225">
        <w:t xml:space="preserve">; </w:t>
      </w:r>
      <w:r w:rsidR="009E5EDF" w:rsidRPr="00795225">
        <w:t>MAP</w:t>
      </w:r>
      <w:r w:rsidR="00623201" w:rsidRPr="00795225">
        <w:t xml:space="preserve"> = Managed </w:t>
      </w:r>
      <w:r w:rsidR="009E5EDF" w:rsidRPr="00795225">
        <w:t>Access Program</w:t>
      </w:r>
      <w:r w:rsidR="00623201" w:rsidRPr="00795225">
        <w:t xml:space="preserve">; </w:t>
      </w:r>
      <w:r w:rsidRPr="00795225">
        <w:t>N = total patients in the group; NIVO = nivolumab;</w:t>
      </w:r>
      <w:r w:rsidR="006B63AA" w:rsidRPr="00795225">
        <w:t xml:space="preserve"> </w:t>
      </w:r>
      <w:r w:rsidR="00974FE8" w:rsidRPr="00795225">
        <w:t xml:space="preserve">OS = overall survival; </w:t>
      </w:r>
      <w:r w:rsidR="006B63AA" w:rsidRPr="00795225">
        <w:t>PAP = patient access program;</w:t>
      </w:r>
      <w:r w:rsidRPr="00795225">
        <w:t xml:space="preserve"> </w:t>
      </w:r>
      <w:r w:rsidR="00974FE8" w:rsidRPr="00795225">
        <w:t xml:space="preserve">PBAC = Pharmaceutical Benefits Advisory Committee; PBS = Pharmaceutical Benefits Scheme; </w:t>
      </w:r>
      <w:r w:rsidRPr="00795225">
        <w:t xml:space="preserve">PD-1 = programmed cell death 1; PSD = Public Summary Document; RFS = recurrence free survival; </w:t>
      </w:r>
      <w:r w:rsidR="007833FB" w:rsidRPr="00795225">
        <w:t xml:space="preserve">RSA = Risk Sharing Arrangement; </w:t>
      </w:r>
      <w:r w:rsidRPr="00795225">
        <w:t>SD = standard deviation</w:t>
      </w:r>
    </w:p>
    <w:p w:rsidR="00410F2D" w:rsidRPr="00795225" w:rsidRDefault="00410F2D" w:rsidP="008D1BDC">
      <w:pPr>
        <w:pStyle w:val="TableFooter"/>
        <w:widowControl/>
      </w:pPr>
      <w:r w:rsidRPr="00795225">
        <w:rPr>
          <w:vertAlign w:val="superscript"/>
        </w:rPr>
        <w:t xml:space="preserve">a </w:t>
      </w:r>
      <w:r w:rsidRPr="00795225">
        <w:t>Presented data from a study by</w:t>
      </w:r>
      <w:r w:rsidRPr="00795225">
        <w:rPr>
          <w:vertAlign w:val="superscript"/>
        </w:rPr>
        <w:t xml:space="preserve"> </w:t>
      </w:r>
      <w:proofErr w:type="spellStart"/>
      <w:r w:rsidRPr="00795225">
        <w:t>Haydu</w:t>
      </w:r>
      <w:proofErr w:type="spellEnd"/>
      <w:r w:rsidRPr="00795225">
        <w:t xml:space="preserve"> et al. Conditional Survival: An Assessment of the Prognosis of Patients at Time Points After Initial Diagnosis and Treatment of </w:t>
      </w:r>
      <w:proofErr w:type="spellStart"/>
      <w:r w:rsidRPr="00795225">
        <w:t>Locoregional</w:t>
      </w:r>
      <w:proofErr w:type="spellEnd"/>
      <w:r w:rsidRPr="00795225">
        <w:t xml:space="preserve"> Melanoma Metastasis. </w:t>
      </w:r>
      <w:r w:rsidRPr="00795225">
        <w:rPr>
          <w:i/>
        </w:rPr>
        <w:t xml:space="preserve">J </w:t>
      </w:r>
      <w:proofErr w:type="spellStart"/>
      <w:r w:rsidRPr="00795225">
        <w:rPr>
          <w:i/>
        </w:rPr>
        <w:t>Clin</w:t>
      </w:r>
      <w:proofErr w:type="spellEnd"/>
      <w:r w:rsidRPr="00795225">
        <w:rPr>
          <w:i/>
        </w:rPr>
        <w:t xml:space="preserve"> </w:t>
      </w:r>
      <w:proofErr w:type="spellStart"/>
      <w:r w:rsidRPr="00795225">
        <w:rPr>
          <w:i/>
        </w:rPr>
        <w:t>Oncol</w:t>
      </w:r>
      <w:proofErr w:type="spellEnd"/>
      <w:r w:rsidRPr="00795225">
        <w:rPr>
          <w:i/>
        </w:rPr>
        <w:t>.</w:t>
      </w:r>
      <w:r w:rsidRPr="00795225">
        <w:t xml:space="preserve"> 2017; 35(15):1721-9.</w:t>
      </w:r>
    </w:p>
    <w:p w:rsidR="00410F2D" w:rsidRPr="00795225" w:rsidRDefault="00410F2D" w:rsidP="008D1BDC">
      <w:pPr>
        <w:pStyle w:val="TableFooter"/>
        <w:widowControl/>
      </w:pPr>
      <w:r w:rsidRPr="00795225">
        <w:rPr>
          <w:vertAlign w:val="superscript"/>
        </w:rPr>
        <w:t xml:space="preserve">b </w:t>
      </w:r>
      <w:r w:rsidRPr="00795225">
        <w:t>Presented data from nivolumab patient access program (NIVO PAP).</w:t>
      </w:r>
    </w:p>
    <w:p w:rsidR="00410F2D" w:rsidRPr="00795225" w:rsidRDefault="00410F2D" w:rsidP="008D1BDC">
      <w:pPr>
        <w:pStyle w:val="TableFooter"/>
        <w:widowControl/>
      </w:pPr>
      <w:r w:rsidRPr="00795225">
        <w:t>Source: Table constructed during the evaluation.</w:t>
      </w:r>
    </w:p>
    <w:p w:rsidR="00EC5A97" w:rsidRPr="00795225" w:rsidRDefault="00EC5A97" w:rsidP="00EC5A97"/>
    <w:p w:rsidR="00BA52CC" w:rsidRPr="000E7C11" w:rsidRDefault="00EC5A97" w:rsidP="000E7C11">
      <w:pPr>
        <w:rPr>
          <w:i/>
        </w:rPr>
      </w:pPr>
      <w:r w:rsidRPr="00795225">
        <w:tab/>
      </w:r>
      <w:r w:rsidRPr="00795225">
        <w:rPr>
          <w:i/>
        </w:rPr>
        <w:t>For more detail on PBAC’s vi</w:t>
      </w:r>
      <w:r w:rsidR="000E7C11">
        <w:rPr>
          <w:i/>
        </w:rPr>
        <w:t>ew, see Section 7 PBAC outcome.</w:t>
      </w:r>
    </w:p>
    <w:p w:rsidR="00410F2D" w:rsidRPr="00795225" w:rsidRDefault="00410F2D" w:rsidP="008D1BDC">
      <w:pPr>
        <w:pStyle w:val="PBACHeading1"/>
        <w:keepNext/>
        <w:keepLines/>
        <w:spacing w:before="100" w:beforeAutospacing="1" w:after="120"/>
      </w:pPr>
      <w:bookmarkStart w:id="7" w:name="_Toc536007254"/>
      <w:r w:rsidRPr="00795225">
        <w:t>Population and disease</w:t>
      </w:r>
      <w:bookmarkEnd w:id="7"/>
    </w:p>
    <w:p w:rsidR="00410F2D" w:rsidRPr="00795225" w:rsidRDefault="00410F2D" w:rsidP="00D736AF">
      <w:pPr>
        <w:pStyle w:val="ListParagraph"/>
        <w:widowControl/>
        <w:numPr>
          <w:ilvl w:val="1"/>
          <w:numId w:val="1"/>
        </w:numPr>
      </w:pPr>
      <w:r w:rsidRPr="00795225">
        <w:t xml:space="preserve">Melanoma occurs in Australia at eleven times </w:t>
      </w:r>
      <w:r w:rsidR="00974FE8" w:rsidRPr="00795225">
        <w:t>the worldwide rate (35 versus three</w:t>
      </w:r>
      <w:r w:rsidR="008632D0" w:rsidRPr="00795225">
        <w:t> </w:t>
      </w:r>
      <w:r w:rsidRPr="00795225">
        <w:t>incident cases per 100,000)</w:t>
      </w:r>
      <w:r w:rsidR="007D012E" w:rsidRPr="00795225">
        <w:t xml:space="preserve">. In 2016 </w:t>
      </w:r>
      <w:r w:rsidRPr="00795225">
        <w:t xml:space="preserve">over 13,000 </w:t>
      </w:r>
      <w:r w:rsidR="007D012E" w:rsidRPr="00795225">
        <w:t>Australians</w:t>
      </w:r>
      <w:r w:rsidRPr="00795225">
        <w:t xml:space="preserve"> were diagnosed with melanoma and 1,770 died from the condition. The overall rate of melanoma has increased from 27 cases per 100,000 in 1982 to 49 per 100,000 in 2016, and the mortality rate has risen from 4.7 deaths per 100,000 to an estimated 6.2 deaths per 100,000.</w:t>
      </w:r>
      <w:r w:rsidRPr="00795225">
        <w:rPr>
          <w:rStyle w:val="FootnoteReference"/>
        </w:rPr>
        <w:footnoteReference w:id="3"/>
      </w:r>
      <w:r w:rsidRPr="00795225">
        <w:t xml:space="preserve"> </w:t>
      </w:r>
    </w:p>
    <w:p w:rsidR="00410F2D" w:rsidRPr="00795225" w:rsidRDefault="00410F2D" w:rsidP="00D736AF">
      <w:pPr>
        <w:pStyle w:val="ListParagraph"/>
        <w:widowControl/>
        <w:numPr>
          <w:ilvl w:val="1"/>
          <w:numId w:val="1"/>
        </w:numPr>
      </w:pPr>
      <w:r w:rsidRPr="00795225">
        <w:t>Based on the 8</w:t>
      </w:r>
      <w:r w:rsidRPr="00795225">
        <w:rPr>
          <w:vertAlign w:val="superscript"/>
        </w:rPr>
        <w:t>th</w:t>
      </w:r>
      <w:r w:rsidR="00FC42FC" w:rsidRPr="00795225">
        <w:t xml:space="preserve"> </w:t>
      </w:r>
      <w:r w:rsidRPr="00795225">
        <w:t>edition of the American Joint Committee on Cancer (AJCC)</w:t>
      </w:r>
      <w:r w:rsidRPr="00795225">
        <w:rPr>
          <w:rStyle w:val="FootnoteReference"/>
        </w:rPr>
        <w:footnoteReference w:id="4"/>
      </w:r>
      <w:r w:rsidR="008632D0" w:rsidRPr="00795225">
        <w:t>, the 5</w:t>
      </w:r>
      <w:r w:rsidR="008632D0" w:rsidRPr="00795225">
        <w:noBreakHyphen/>
      </w:r>
      <w:r w:rsidRPr="00795225">
        <w:t xml:space="preserve">year melanoma-specific survival (MSS) rate according to Stage III subgroups ranged from 93% in patients with Stage IIIA melanoma to 32% for those with Stage IIID melanoma. The resubmission stated that this information was based on an analysis of data from 43,792 people; of which 40% were patients from Australian centres. </w:t>
      </w:r>
    </w:p>
    <w:p w:rsidR="00410F2D" w:rsidRPr="00795225" w:rsidRDefault="00410F2D" w:rsidP="00D736AF">
      <w:pPr>
        <w:pStyle w:val="ListParagraph"/>
        <w:widowControl/>
        <w:numPr>
          <w:ilvl w:val="1"/>
          <w:numId w:val="1"/>
        </w:numPr>
      </w:pPr>
      <w:r w:rsidRPr="00795225">
        <w:t xml:space="preserve">The proposed place for </w:t>
      </w:r>
      <w:r w:rsidR="00BE6612" w:rsidRPr="00795225">
        <w:t xml:space="preserve">nivolumab </w:t>
      </w:r>
      <w:r w:rsidRPr="00795225">
        <w:t xml:space="preserve">is adjuvant treatment, following completely surgically resected Stage III and IV melanoma. While both Australian and international clinical practice guidelines recommend systemic adjuvant treatment of melanoma </w:t>
      </w:r>
      <w:r w:rsidRPr="00795225">
        <w:lastRenderedPageBreak/>
        <w:t>(including</w:t>
      </w:r>
      <w:r w:rsidR="0058071D" w:rsidRPr="00795225">
        <w:t xml:space="preserve"> with</w:t>
      </w:r>
      <w:r w:rsidRPr="00795225">
        <w:t xml:space="preserve"> </w:t>
      </w:r>
      <w:r w:rsidR="00BE6612" w:rsidRPr="00795225">
        <w:t>nivolumab</w:t>
      </w:r>
      <w:r w:rsidRPr="00795225">
        <w:t xml:space="preserve">) there are currently no PBS-listed systemic treatments available in Australia. </w:t>
      </w:r>
    </w:p>
    <w:p w:rsidR="00EC5A97" w:rsidRPr="00795225" w:rsidRDefault="00EC5A97" w:rsidP="00EC5A97">
      <w:pPr>
        <w:pStyle w:val="ListParagraph"/>
        <w:widowControl/>
        <w:rPr>
          <w:i/>
        </w:rPr>
      </w:pPr>
      <w:r w:rsidRPr="00795225">
        <w:rPr>
          <w:i/>
        </w:rPr>
        <w:t>For more detail on PBAC’s view, see Section 7 PBAC outcome.</w:t>
      </w:r>
    </w:p>
    <w:p w:rsidR="00410F2D" w:rsidRPr="00795225" w:rsidRDefault="00410F2D" w:rsidP="008D1BDC">
      <w:pPr>
        <w:pStyle w:val="PBACHeading1"/>
        <w:keepNext/>
        <w:keepLines/>
        <w:spacing w:before="100" w:beforeAutospacing="1" w:after="120"/>
      </w:pPr>
      <w:bookmarkStart w:id="8" w:name="_Toc536007255"/>
      <w:r w:rsidRPr="00795225">
        <w:t>Comparator</w:t>
      </w:r>
      <w:bookmarkEnd w:id="8"/>
    </w:p>
    <w:p w:rsidR="00410F2D" w:rsidRPr="00795225" w:rsidRDefault="00410F2D" w:rsidP="00D736AF">
      <w:pPr>
        <w:pStyle w:val="ListParagraph"/>
        <w:widowControl/>
        <w:numPr>
          <w:ilvl w:val="1"/>
          <w:numId w:val="1"/>
        </w:numPr>
      </w:pPr>
      <w:r w:rsidRPr="00795225">
        <w:rPr>
          <w:rFonts w:cs="Calibri"/>
          <w:snapToGrid/>
          <w:szCs w:val="24"/>
          <w:lang w:eastAsia="en-AU"/>
        </w:rPr>
        <w:t xml:space="preserve">The resubmission </w:t>
      </w:r>
      <w:r w:rsidR="00187AC8" w:rsidRPr="00795225">
        <w:rPr>
          <w:rFonts w:cs="Calibri"/>
          <w:snapToGrid/>
          <w:szCs w:val="24"/>
          <w:lang w:eastAsia="en-AU"/>
        </w:rPr>
        <w:t xml:space="preserve">again </w:t>
      </w:r>
      <w:r w:rsidRPr="00795225">
        <w:rPr>
          <w:rFonts w:cs="Calibri"/>
          <w:snapToGrid/>
          <w:szCs w:val="24"/>
          <w:lang w:eastAsia="en-AU"/>
        </w:rPr>
        <w:t>nominated observation as standard of care as the main comparator. This</w:t>
      </w:r>
      <w:r w:rsidR="00B454C3" w:rsidRPr="00795225">
        <w:rPr>
          <w:rFonts w:cs="Calibri"/>
          <w:snapToGrid/>
          <w:szCs w:val="24"/>
          <w:lang w:eastAsia="en-AU"/>
        </w:rPr>
        <w:t xml:space="preserve"> </w:t>
      </w:r>
      <w:r w:rsidR="00373765" w:rsidRPr="00795225">
        <w:rPr>
          <w:rFonts w:cs="Calibri"/>
          <w:snapToGrid/>
          <w:szCs w:val="24"/>
          <w:lang w:eastAsia="en-AU"/>
        </w:rPr>
        <w:t xml:space="preserve">ESC considered that this </w:t>
      </w:r>
      <w:r w:rsidR="0058071D" w:rsidRPr="00795225">
        <w:rPr>
          <w:rFonts w:cs="Calibri"/>
          <w:snapToGrid/>
          <w:szCs w:val="24"/>
          <w:lang w:eastAsia="en-AU"/>
        </w:rPr>
        <w:t>was</w:t>
      </w:r>
      <w:r w:rsidRPr="00795225">
        <w:rPr>
          <w:rFonts w:cs="Calibri"/>
          <w:snapToGrid/>
          <w:szCs w:val="24"/>
          <w:lang w:eastAsia="en-AU"/>
        </w:rPr>
        <w:t xml:space="preserve"> reasonable</w:t>
      </w:r>
      <w:r w:rsidR="00A37ECF" w:rsidRPr="00795225">
        <w:rPr>
          <w:rFonts w:cs="Calibri"/>
          <w:snapToGrid/>
          <w:szCs w:val="24"/>
          <w:lang w:eastAsia="en-AU"/>
        </w:rPr>
        <w:t>.</w:t>
      </w:r>
    </w:p>
    <w:p w:rsidR="00410F2D" w:rsidRPr="00795225" w:rsidRDefault="00410F2D" w:rsidP="00F6558C">
      <w:pPr>
        <w:pStyle w:val="ListParagraph"/>
        <w:widowControl/>
        <w:numPr>
          <w:ilvl w:val="1"/>
          <w:numId w:val="1"/>
        </w:numPr>
      </w:pPr>
      <w:r w:rsidRPr="00795225">
        <w:t xml:space="preserve">The resubmission </w:t>
      </w:r>
      <w:r w:rsidR="00187AC8" w:rsidRPr="00795225">
        <w:t xml:space="preserve">again also </w:t>
      </w:r>
      <w:r w:rsidRPr="00795225">
        <w:t xml:space="preserve">nominated </w:t>
      </w:r>
      <w:proofErr w:type="spellStart"/>
      <w:r w:rsidR="00673516" w:rsidRPr="00795225">
        <w:t>dabrafenib</w:t>
      </w:r>
      <w:proofErr w:type="spellEnd"/>
      <w:r w:rsidR="001314A4" w:rsidRPr="00795225">
        <w:t xml:space="preserve"> </w:t>
      </w:r>
      <w:r w:rsidR="00974FE8" w:rsidRPr="00795225">
        <w:t>plus</w:t>
      </w:r>
      <w:r w:rsidR="001314A4" w:rsidRPr="00795225">
        <w:t xml:space="preserve"> </w:t>
      </w:r>
      <w:r w:rsidR="00673516" w:rsidRPr="00795225">
        <w:t xml:space="preserve">trametinib </w:t>
      </w:r>
      <w:r w:rsidR="0045092C" w:rsidRPr="00795225">
        <w:t xml:space="preserve">(DAB+TRAM) </w:t>
      </w:r>
      <w:r w:rsidRPr="00795225">
        <w:t xml:space="preserve">and </w:t>
      </w:r>
      <w:r w:rsidR="00DB65B4" w:rsidRPr="00795225">
        <w:t xml:space="preserve">pembrolizumab </w:t>
      </w:r>
      <w:r w:rsidRPr="00795225">
        <w:t xml:space="preserve">as near market comparators. </w:t>
      </w:r>
    </w:p>
    <w:p w:rsidR="00EC5A97" w:rsidRPr="00795225" w:rsidRDefault="00EC5A97" w:rsidP="00EC5A97">
      <w:pPr>
        <w:pStyle w:val="ListParagraph"/>
        <w:widowControl/>
        <w:rPr>
          <w:i/>
        </w:rPr>
      </w:pPr>
      <w:r w:rsidRPr="00795225">
        <w:rPr>
          <w:i/>
        </w:rPr>
        <w:t>For more detail on PBAC’s view, see Section 7 PBAC outcome.</w:t>
      </w:r>
    </w:p>
    <w:p w:rsidR="00455431" w:rsidRDefault="00BD6CF3" w:rsidP="000E7C11">
      <w:pPr>
        <w:pStyle w:val="PBACHeading1"/>
        <w:keepNext/>
        <w:keepLines/>
        <w:spacing w:before="100" w:beforeAutospacing="1" w:after="120"/>
      </w:pPr>
      <w:bookmarkStart w:id="9" w:name="_Toc536007256"/>
      <w:r w:rsidRPr="00795225">
        <w:t>C</w:t>
      </w:r>
      <w:r w:rsidR="00B50DB8" w:rsidRPr="00795225">
        <w:t>onsideration of the evidence</w:t>
      </w:r>
      <w:bookmarkEnd w:id="9"/>
    </w:p>
    <w:p w:rsidR="00EC5A97" w:rsidRPr="00795225" w:rsidRDefault="00EC5A97" w:rsidP="00597B14">
      <w:pPr>
        <w:pStyle w:val="Heading2"/>
        <w:spacing w:before="120"/>
      </w:pPr>
      <w:r w:rsidRPr="00795225">
        <w:t>Sponsor hearing</w:t>
      </w:r>
    </w:p>
    <w:p w:rsidR="003F200F" w:rsidRPr="00795225" w:rsidRDefault="00EC5A97" w:rsidP="003F200F">
      <w:pPr>
        <w:numPr>
          <w:ilvl w:val="1"/>
          <w:numId w:val="1"/>
        </w:numPr>
        <w:spacing w:after="120"/>
      </w:pPr>
      <w:r w:rsidRPr="00795225">
        <w:rPr>
          <w:rFonts w:asciiTheme="minorHAnsi" w:hAnsiTheme="minorHAnsi"/>
          <w:bCs/>
        </w:rPr>
        <w:t>The sponsor requested a hearing for this item</w:t>
      </w:r>
      <w:r w:rsidR="003C49F5">
        <w:rPr>
          <w:rFonts w:asciiTheme="minorHAnsi" w:hAnsiTheme="minorHAnsi"/>
          <w:bCs/>
        </w:rPr>
        <w:t xml:space="preserve">. </w:t>
      </w:r>
      <w:r w:rsidRPr="00795225">
        <w:rPr>
          <w:rFonts w:asciiTheme="minorHAnsi" w:hAnsiTheme="minorHAnsi"/>
          <w:bCs/>
        </w:rPr>
        <w:t xml:space="preserve">The clinician </w:t>
      </w:r>
      <w:r w:rsidR="003F200F" w:rsidRPr="00795225">
        <w:rPr>
          <w:rFonts w:asciiTheme="minorHAnsi" w:hAnsiTheme="minorHAnsi"/>
          <w:bCs/>
        </w:rPr>
        <w:t xml:space="preserve">discussed the classification and staging of melanoma, </w:t>
      </w:r>
      <w:r w:rsidRPr="00795225">
        <w:rPr>
          <w:rFonts w:asciiTheme="minorHAnsi" w:hAnsiTheme="minorHAnsi"/>
          <w:bCs/>
        </w:rPr>
        <w:t>how the drug would be used in practice, and addressed other matters in response to the Committee’s questions. The PBAC considered that the hearing was informative</w:t>
      </w:r>
      <w:r w:rsidR="003C49F5">
        <w:rPr>
          <w:rFonts w:asciiTheme="minorHAnsi" w:hAnsiTheme="minorHAnsi"/>
          <w:bCs/>
        </w:rPr>
        <w:t>.</w:t>
      </w:r>
    </w:p>
    <w:p w:rsidR="00EC5A97" w:rsidRPr="00795225" w:rsidRDefault="00EC5A97" w:rsidP="003F200F">
      <w:pPr>
        <w:pStyle w:val="Heading2"/>
      </w:pPr>
      <w:r w:rsidRPr="00795225">
        <w:t>Consumer comments</w:t>
      </w:r>
    </w:p>
    <w:p w:rsidR="00EC5A97" w:rsidRPr="00795225" w:rsidRDefault="00EC5A97" w:rsidP="00455431">
      <w:pPr>
        <w:pStyle w:val="ListParagraph"/>
        <w:widowControl/>
        <w:numPr>
          <w:ilvl w:val="1"/>
          <w:numId w:val="1"/>
        </w:numPr>
        <w:rPr>
          <w:rFonts w:asciiTheme="minorHAnsi" w:hAnsiTheme="minorHAnsi"/>
          <w:bCs/>
        </w:rPr>
      </w:pPr>
      <w:r w:rsidRPr="00795225">
        <w:rPr>
          <w:rFonts w:asciiTheme="minorHAnsi" w:hAnsiTheme="minorHAnsi"/>
          <w:bCs/>
        </w:rPr>
        <w:t>The PBAC noted and welcomed the input from individuals (</w:t>
      </w:r>
      <w:r w:rsidR="003F200F" w:rsidRPr="00795225">
        <w:rPr>
          <w:rFonts w:asciiTheme="minorHAnsi" w:hAnsiTheme="minorHAnsi"/>
          <w:bCs/>
        </w:rPr>
        <w:t>67</w:t>
      </w:r>
      <w:r w:rsidRPr="00795225">
        <w:rPr>
          <w:rFonts w:asciiTheme="minorHAnsi" w:hAnsiTheme="minorHAnsi"/>
          <w:bCs/>
        </w:rPr>
        <w:t>)</w:t>
      </w:r>
      <w:r w:rsidR="003F200F" w:rsidRPr="00795225">
        <w:rPr>
          <w:rFonts w:asciiTheme="minorHAnsi" w:hAnsiTheme="minorHAnsi"/>
          <w:bCs/>
        </w:rPr>
        <w:t>, health care professionals (8) and organisations (3</w:t>
      </w:r>
      <w:r w:rsidRPr="00795225">
        <w:rPr>
          <w:rFonts w:asciiTheme="minorHAnsi" w:hAnsiTheme="minorHAnsi"/>
          <w:bCs/>
        </w:rPr>
        <w:t>) via the Consumer Comments facility on the PBS website</w:t>
      </w:r>
      <w:r w:rsidR="003C49F5">
        <w:rPr>
          <w:rFonts w:asciiTheme="minorHAnsi" w:hAnsiTheme="minorHAnsi"/>
          <w:bCs/>
        </w:rPr>
        <w:t xml:space="preserve">. </w:t>
      </w:r>
      <w:r w:rsidRPr="00795225">
        <w:rPr>
          <w:rFonts w:asciiTheme="minorHAnsi" w:hAnsiTheme="minorHAnsi"/>
          <w:bCs/>
        </w:rPr>
        <w:t xml:space="preserve">The comments described a range of benefits of treatment with </w:t>
      </w:r>
      <w:r w:rsidR="003F200F" w:rsidRPr="00795225">
        <w:rPr>
          <w:rFonts w:asciiTheme="minorHAnsi" w:hAnsiTheme="minorHAnsi"/>
          <w:bCs/>
        </w:rPr>
        <w:t>nivolumab</w:t>
      </w:r>
      <w:r w:rsidR="00955173" w:rsidRPr="00795225">
        <w:rPr>
          <w:rFonts w:asciiTheme="minorHAnsi" w:hAnsiTheme="minorHAnsi"/>
          <w:bCs/>
        </w:rPr>
        <w:t xml:space="preserve"> as an adjuvant treatment for completely resected Stage III or Stage IV melanoma</w:t>
      </w:r>
      <w:r w:rsidRPr="00795225">
        <w:rPr>
          <w:rFonts w:asciiTheme="minorHAnsi" w:hAnsiTheme="minorHAnsi"/>
          <w:bCs/>
        </w:rPr>
        <w:t xml:space="preserve"> including </w:t>
      </w:r>
      <w:r w:rsidR="00955173" w:rsidRPr="00795225">
        <w:rPr>
          <w:rFonts w:asciiTheme="minorHAnsi" w:hAnsiTheme="minorHAnsi"/>
          <w:bCs/>
        </w:rPr>
        <w:t>prolonged life, improved quality of life and few side effects</w:t>
      </w:r>
      <w:r w:rsidR="003C49F5">
        <w:rPr>
          <w:rFonts w:asciiTheme="minorHAnsi" w:hAnsiTheme="minorHAnsi"/>
          <w:bCs/>
        </w:rPr>
        <w:t>.</w:t>
      </w:r>
    </w:p>
    <w:p w:rsidR="00955173" w:rsidRPr="00795225" w:rsidRDefault="00955173" w:rsidP="00455431">
      <w:pPr>
        <w:pStyle w:val="ListParagraph"/>
        <w:widowControl/>
        <w:numPr>
          <w:ilvl w:val="1"/>
          <w:numId w:val="1"/>
        </w:numPr>
        <w:rPr>
          <w:rFonts w:asciiTheme="minorHAnsi" w:hAnsiTheme="minorHAnsi"/>
          <w:bCs/>
        </w:rPr>
      </w:pPr>
      <w:r w:rsidRPr="00795225">
        <w:rPr>
          <w:rFonts w:asciiTheme="minorHAnsi" w:hAnsiTheme="minorHAnsi"/>
          <w:bCs/>
        </w:rPr>
        <w:t xml:space="preserve">The PBAC noted the correspondence received from Melanoma Patients Australia Limited and the Australian Melanoma Consumer Alliance supporting access to nivolumab as an adjuvant melanoma treatment and the high clinical need. </w:t>
      </w:r>
    </w:p>
    <w:p w:rsidR="00955173" w:rsidRPr="00795225" w:rsidRDefault="00955173" w:rsidP="00455431">
      <w:pPr>
        <w:pStyle w:val="ListParagraph"/>
        <w:widowControl/>
        <w:numPr>
          <w:ilvl w:val="1"/>
          <w:numId w:val="1"/>
        </w:numPr>
        <w:rPr>
          <w:rFonts w:asciiTheme="minorHAnsi" w:hAnsiTheme="minorHAnsi"/>
          <w:bCs/>
        </w:rPr>
      </w:pPr>
      <w:r w:rsidRPr="00795225">
        <w:rPr>
          <w:rFonts w:asciiTheme="minorHAnsi" w:hAnsiTheme="minorHAnsi"/>
          <w:bCs/>
        </w:rPr>
        <w:t xml:space="preserve">The Medical Oncology Group of Australia (MOGA) also expressed its strong support for the nivolumab </w:t>
      </w:r>
      <w:r w:rsidRPr="00795225">
        <w:t>as an adjuvant treatment for completely resected Stage III or Stage IV melanoma</w:t>
      </w:r>
      <w:r w:rsidRPr="00795225">
        <w:rPr>
          <w:rFonts w:asciiTheme="minorHAnsi" w:hAnsiTheme="minorHAnsi"/>
          <w:bCs/>
        </w:rPr>
        <w:t xml:space="preserve"> submission, categorising it as one of the therapies of ‘highest priority for PBS listing’ on the basis of the CA238 phase 3 trial. The PBAC noted that the MOGA presented the European Society for Medical Oncology Magnitude of Clinical Benefit Scale (ESMO-MCBS) for nivolumab, which was a Grade A (out of C, where A and B represent the grades with substantial improvement for new approaches to adjuvant therapy or new potentially curative therapies which is the highest possible grade and restricted to new curative treatments), based on a comparison with </w:t>
      </w:r>
      <w:proofErr w:type="spellStart"/>
      <w:r w:rsidRPr="00795225">
        <w:rPr>
          <w:rFonts w:asciiTheme="minorHAnsi" w:hAnsiTheme="minorHAnsi"/>
          <w:bCs/>
        </w:rPr>
        <w:t>ipilimumab</w:t>
      </w:r>
      <w:proofErr w:type="spellEnd"/>
      <w:r w:rsidRPr="00795225">
        <w:rPr>
          <w:rFonts w:asciiTheme="minorHAnsi" w:hAnsiTheme="minorHAnsi"/>
          <w:bCs/>
        </w:rPr>
        <w:t xml:space="preserve"> in the CA209238 trial.</w:t>
      </w:r>
      <w:r w:rsidRPr="00795225">
        <w:rPr>
          <w:rStyle w:val="FootnoteReference"/>
          <w:rFonts w:asciiTheme="minorHAnsi" w:hAnsiTheme="minorHAnsi"/>
          <w:bCs/>
        </w:rPr>
        <w:footnoteReference w:id="5"/>
      </w:r>
    </w:p>
    <w:p w:rsidR="00B60939" w:rsidRPr="00795225" w:rsidRDefault="00B60939" w:rsidP="008D1BDC">
      <w:pPr>
        <w:pStyle w:val="Heading2"/>
        <w:widowControl/>
      </w:pPr>
      <w:bookmarkStart w:id="10" w:name="_Toc536007257"/>
      <w:r w:rsidRPr="00795225">
        <w:lastRenderedPageBreak/>
        <w:t>Clinical trials</w:t>
      </w:r>
      <w:bookmarkEnd w:id="10"/>
    </w:p>
    <w:p w:rsidR="00D83D1E" w:rsidRPr="00795225" w:rsidRDefault="00E92D5E" w:rsidP="00D736AF">
      <w:pPr>
        <w:pStyle w:val="ListParagraph"/>
        <w:widowControl/>
        <w:numPr>
          <w:ilvl w:val="1"/>
          <w:numId w:val="1"/>
        </w:numPr>
      </w:pPr>
      <w:r w:rsidRPr="00795225">
        <w:rPr>
          <w:rFonts w:cs="Calibri"/>
          <w:snapToGrid/>
          <w:szCs w:val="24"/>
          <w:lang w:eastAsia="en-AU"/>
        </w:rPr>
        <w:t>The evidence in the resubmission</w:t>
      </w:r>
      <w:r w:rsidR="007C41C3" w:rsidRPr="00795225">
        <w:rPr>
          <w:rFonts w:cs="Calibri"/>
          <w:snapToGrid/>
          <w:szCs w:val="24"/>
          <w:lang w:eastAsia="en-AU"/>
        </w:rPr>
        <w:t xml:space="preserve"> was </w:t>
      </w:r>
      <w:r w:rsidR="00875C6F" w:rsidRPr="00795225">
        <w:rPr>
          <w:rFonts w:cs="Calibri"/>
          <w:snapToGrid/>
          <w:szCs w:val="24"/>
          <w:lang w:eastAsia="en-AU"/>
        </w:rPr>
        <w:t xml:space="preserve">again </w:t>
      </w:r>
      <w:r w:rsidR="007C41C3" w:rsidRPr="00795225">
        <w:rPr>
          <w:rFonts w:cs="Calibri"/>
          <w:snapToGrid/>
          <w:szCs w:val="24"/>
          <w:lang w:eastAsia="en-AU"/>
        </w:rPr>
        <w:t xml:space="preserve">based on an indirect comparison between </w:t>
      </w:r>
      <w:r w:rsidR="00875C6F" w:rsidRPr="00795225">
        <w:rPr>
          <w:rFonts w:cs="Calibri"/>
          <w:snapToGrid/>
          <w:szCs w:val="24"/>
          <w:lang w:eastAsia="en-AU"/>
        </w:rPr>
        <w:t xml:space="preserve">nivolumab and placebo, </w:t>
      </w:r>
      <w:r w:rsidR="007C41C3" w:rsidRPr="00795225">
        <w:rPr>
          <w:rFonts w:cs="Calibri"/>
          <w:snapToGrid/>
          <w:szCs w:val="24"/>
          <w:lang w:eastAsia="en-AU"/>
        </w:rPr>
        <w:t xml:space="preserve">with </w:t>
      </w:r>
      <w:proofErr w:type="spellStart"/>
      <w:r w:rsidR="007C41C3" w:rsidRPr="00795225">
        <w:rPr>
          <w:rFonts w:cs="Calibri"/>
          <w:snapToGrid/>
          <w:szCs w:val="24"/>
          <w:lang w:eastAsia="en-AU"/>
        </w:rPr>
        <w:t>ipilimumab</w:t>
      </w:r>
      <w:proofErr w:type="spellEnd"/>
      <w:r w:rsidR="007C41C3" w:rsidRPr="00795225">
        <w:rPr>
          <w:rFonts w:cs="Calibri"/>
          <w:snapToGrid/>
          <w:szCs w:val="24"/>
          <w:lang w:eastAsia="en-AU"/>
        </w:rPr>
        <w:t xml:space="preserve"> as the common reference</w:t>
      </w:r>
      <w:r w:rsidR="00D83D1E" w:rsidRPr="00795225">
        <w:rPr>
          <w:rFonts w:cs="Calibri"/>
          <w:snapToGrid/>
          <w:szCs w:val="24"/>
          <w:lang w:eastAsia="en-AU"/>
        </w:rPr>
        <w:t>:</w:t>
      </w:r>
    </w:p>
    <w:p w:rsidR="00D83D1E" w:rsidRPr="00795225" w:rsidRDefault="00A46C78" w:rsidP="00D736AF">
      <w:pPr>
        <w:pStyle w:val="ListParagraph"/>
        <w:widowControl/>
        <w:numPr>
          <w:ilvl w:val="0"/>
          <w:numId w:val="5"/>
        </w:numPr>
      </w:pPr>
      <w:r w:rsidRPr="00795225">
        <w:t>CA238</w:t>
      </w:r>
      <w:r w:rsidR="00D83D1E" w:rsidRPr="00795225">
        <w:t>: A randomised, double-blind trial comparing nivolumab (N</w:t>
      </w:r>
      <w:r w:rsidR="00474481" w:rsidRPr="00795225">
        <w:t xml:space="preserve"> </w:t>
      </w:r>
      <w:r w:rsidR="00D83D1E" w:rsidRPr="00795225">
        <w:t>=</w:t>
      </w:r>
      <w:r w:rsidR="00474481" w:rsidRPr="00795225">
        <w:t xml:space="preserve"> </w:t>
      </w:r>
      <w:r w:rsidR="00D83D1E" w:rsidRPr="00795225">
        <w:t xml:space="preserve">453) versus </w:t>
      </w:r>
      <w:proofErr w:type="spellStart"/>
      <w:r w:rsidR="00D83D1E" w:rsidRPr="00795225">
        <w:t>ipilimumab</w:t>
      </w:r>
      <w:proofErr w:type="spellEnd"/>
      <w:r w:rsidR="00D83D1E" w:rsidRPr="00795225">
        <w:t xml:space="preserve"> (N</w:t>
      </w:r>
      <w:r w:rsidR="00474481" w:rsidRPr="00795225">
        <w:t xml:space="preserve"> </w:t>
      </w:r>
      <w:r w:rsidR="00D83D1E" w:rsidRPr="00795225">
        <w:t>=</w:t>
      </w:r>
      <w:r w:rsidR="00474481" w:rsidRPr="00795225">
        <w:t xml:space="preserve"> </w:t>
      </w:r>
      <w:r w:rsidR="00D83D1E" w:rsidRPr="00795225">
        <w:t>453) as adjuvant treatment in patients with complete resection of Stage IIIB/C or Stage IV melanoma (all melanoma subtypes other than ocular melanoma)</w:t>
      </w:r>
      <w:r w:rsidR="00223D21" w:rsidRPr="00795225">
        <w:t xml:space="preserve">. </w:t>
      </w:r>
      <w:r w:rsidRPr="00795225">
        <w:t>An a</w:t>
      </w:r>
      <w:r w:rsidR="00474481" w:rsidRPr="00795225">
        <w:t>dditional six</w:t>
      </w:r>
      <w:r w:rsidR="00223D21" w:rsidRPr="00795225">
        <w:t xml:space="preserve"> months </w:t>
      </w:r>
      <w:r w:rsidRPr="00795225">
        <w:t xml:space="preserve">of updated </w:t>
      </w:r>
      <w:r w:rsidR="00223D21" w:rsidRPr="00795225">
        <w:t xml:space="preserve">RFS data </w:t>
      </w:r>
      <w:r w:rsidRPr="00795225">
        <w:t xml:space="preserve">from this trial were </w:t>
      </w:r>
      <w:r w:rsidR="00223D21" w:rsidRPr="00795225">
        <w:t>provided</w:t>
      </w:r>
      <w:r w:rsidRPr="00795225">
        <w:t xml:space="preserve"> in the resubmission</w:t>
      </w:r>
      <w:r w:rsidR="00D83D1E" w:rsidRPr="00795225">
        <w:t>; and</w:t>
      </w:r>
    </w:p>
    <w:p w:rsidR="007F1017" w:rsidRPr="00795225" w:rsidRDefault="00D83D1E" w:rsidP="00D736AF">
      <w:pPr>
        <w:pStyle w:val="ListParagraph"/>
        <w:widowControl/>
        <w:numPr>
          <w:ilvl w:val="0"/>
          <w:numId w:val="5"/>
        </w:numPr>
      </w:pPr>
      <w:r w:rsidRPr="00795225">
        <w:t xml:space="preserve">CA029: A randomised double-blind trial comparing </w:t>
      </w:r>
      <w:proofErr w:type="spellStart"/>
      <w:r w:rsidRPr="00795225">
        <w:t>ipilimumab</w:t>
      </w:r>
      <w:proofErr w:type="spellEnd"/>
      <w:r w:rsidRPr="00795225">
        <w:t xml:space="preserve"> (N</w:t>
      </w:r>
      <w:r w:rsidR="00474481" w:rsidRPr="00795225">
        <w:t xml:space="preserve"> </w:t>
      </w:r>
      <w:r w:rsidRPr="00795225">
        <w:t>=</w:t>
      </w:r>
      <w:r w:rsidR="00474481" w:rsidRPr="00795225">
        <w:t xml:space="preserve"> </w:t>
      </w:r>
      <w:r w:rsidRPr="00795225">
        <w:t>475) versus placebo (N</w:t>
      </w:r>
      <w:r w:rsidR="00474481" w:rsidRPr="00795225">
        <w:t xml:space="preserve"> </w:t>
      </w:r>
      <w:r w:rsidRPr="00795225">
        <w:t>=</w:t>
      </w:r>
      <w:r w:rsidR="00474481" w:rsidRPr="00795225">
        <w:t xml:space="preserve"> </w:t>
      </w:r>
      <w:r w:rsidRPr="00795225">
        <w:t>476) as adjuvant treatment in patients with complete resection of Stage III cutaneous melanoma.</w:t>
      </w:r>
      <w:r w:rsidR="00702F8F" w:rsidRPr="00795225">
        <w:t xml:space="preserve"> </w:t>
      </w:r>
      <w:r w:rsidR="00E92D5E" w:rsidRPr="00795225">
        <w:t>No updated data from this trial were provided in the resubmission.</w:t>
      </w:r>
    </w:p>
    <w:p w:rsidR="00D83D1E" w:rsidRPr="00795225" w:rsidRDefault="00D83D1E" w:rsidP="00D736AF">
      <w:pPr>
        <w:pStyle w:val="ListParagraph"/>
        <w:widowControl/>
        <w:numPr>
          <w:ilvl w:val="1"/>
          <w:numId w:val="1"/>
        </w:numPr>
      </w:pPr>
      <w:r w:rsidRPr="00795225">
        <w:rPr>
          <w:rFonts w:cs="Calibri"/>
          <w:snapToGrid/>
          <w:szCs w:val="24"/>
          <w:lang w:eastAsia="en-AU"/>
        </w:rPr>
        <w:t xml:space="preserve">Details of the </w:t>
      </w:r>
      <w:r w:rsidR="00B14AC1" w:rsidRPr="00795225">
        <w:rPr>
          <w:rFonts w:cs="Calibri"/>
          <w:snapToGrid/>
          <w:szCs w:val="24"/>
          <w:lang w:eastAsia="en-AU"/>
        </w:rPr>
        <w:t xml:space="preserve">CA238 and CA029 </w:t>
      </w:r>
      <w:r w:rsidRPr="00795225">
        <w:rPr>
          <w:rFonts w:cs="Calibri"/>
          <w:snapToGrid/>
          <w:szCs w:val="24"/>
          <w:lang w:eastAsia="en-AU"/>
        </w:rPr>
        <w:t>trials are provided in</w:t>
      </w:r>
      <w:r w:rsidR="009E380F" w:rsidRPr="00795225">
        <w:rPr>
          <w:rFonts w:cs="Calibri"/>
          <w:snapToGrid/>
          <w:szCs w:val="24"/>
          <w:lang w:eastAsia="en-AU"/>
        </w:rPr>
        <w:t xml:space="preserve"> </w:t>
      </w:r>
      <w:r w:rsidR="00DB5ACC" w:rsidRPr="00795225">
        <w:t>Table 3</w:t>
      </w:r>
      <w:r w:rsidR="00E92D5E" w:rsidRPr="00795225">
        <w:rPr>
          <w:rFonts w:cs="Calibri"/>
          <w:snapToGrid/>
          <w:szCs w:val="24"/>
          <w:lang w:eastAsia="en-AU"/>
        </w:rPr>
        <w:t>.</w:t>
      </w:r>
    </w:p>
    <w:p w:rsidR="009E380F" w:rsidRPr="00795225" w:rsidRDefault="009E380F" w:rsidP="000D78DD">
      <w:pPr>
        <w:pStyle w:val="Caption"/>
        <w:widowControl/>
      </w:pPr>
      <w:bookmarkStart w:id="11" w:name="_Ref533690432"/>
      <w:r w:rsidRPr="00795225">
        <w:lastRenderedPageBreak/>
        <w:t xml:space="preserve">Table </w:t>
      </w:r>
      <w:r w:rsidR="00DB5ACC" w:rsidRPr="00795225">
        <w:t>3</w:t>
      </w:r>
      <w:bookmarkEnd w:id="11"/>
      <w:r w:rsidRPr="00795225">
        <w:rPr>
          <w:rStyle w:val="CommentReference"/>
          <w:b/>
          <w:szCs w:val="18"/>
        </w:rPr>
        <w:t xml:space="preserve">: </w:t>
      </w:r>
      <w:r w:rsidRPr="00795225">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Caption w:val="Table 3: Trials and associated reports presented in the submission"/>
      </w:tblPr>
      <w:tblGrid>
        <w:gridCol w:w="898"/>
        <w:gridCol w:w="5996"/>
        <w:gridCol w:w="2123"/>
      </w:tblGrid>
      <w:tr w:rsidR="00D83D1E" w:rsidRPr="00795225" w:rsidTr="000E7C11">
        <w:trPr>
          <w:tblHeader/>
        </w:trPr>
        <w:tc>
          <w:tcPr>
            <w:tcW w:w="498" w:type="pct"/>
            <w:tcBorders>
              <w:bottom w:val="single" w:sz="4" w:space="0" w:color="auto"/>
            </w:tcBorders>
            <w:vAlign w:val="center"/>
          </w:tcPr>
          <w:p w:rsidR="00D83D1E" w:rsidRPr="00795225" w:rsidRDefault="00D83D1E" w:rsidP="000D78DD">
            <w:pPr>
              <w:pStyle w:val="Tabletext"/>
              <w:keepNext/>
              <w:rPr>
                <w:b/>
              </w:rPr>
            </w:pPr>
            <w:r w:rsidRPr="00795225">
              <w:rPr>
                <w:b/>
              </w:rPr>
              <w:t>Trial ID</w:t>
            </w:r>
          </w:p>
        </w:tc>
        <w:tc>
          <w:tcPr>
            <w:tcW w:w="3325" w:type="pct"/>
            <w:tcBorders>
              <w:bottom w:val="single" w:sz="4" w:space="0" w:color="auto"/>
            </w:tcBorders>
            <w:vAlign w:val="center"/>
          </w:tcPr>
          <w:p w:rsidR="00D83D1E" w:rsidRPr="00795225" w:rsidRDefault="00D83D1E" w:rsidP="000D78DD">
            <w:pPr>
              <w:pStyle w:val="Tabletext"/>
              <w:keepNext/>
              <w:rPr>
                <w:b/>
              </w:rPr>
            </w:pPr>
            <w:r w:rsidRPr="00795225">
              <w:rPr>
                <w:b/>
              </w:rPr>
              <w:t>Protocol title/ Publication title</w:t>
            </w:r>
          </w:p>
        </w:tc>
        <w:tc>
          <w:tcPr>
            <w:tcW w:w="1177" w:type="pct"/>
            <w:tcBorders>
              <w:bottom w:val="single" w:sz="4" w:space="0" w:color="auto"/>
            </w:tcBorders>
            <w:vAlign w:val="center"/>
          </w:tcPr>
          <w:p w:rsidR="00D83D1E" w:rsidRPr="00795225" w:rsidRDefault="00D83D1E" w:rsidP="000D78DD">
            <w:pPr>
              <w:pStyle w:val="Tabletext"/>
              <w:keepNext/>
              <w:rPr>
                <w:b/>
              </w:rPr>
            </w:pPr>
            <w:r w:rsidRPr="00795225">
              <w:rPr>
                <w:b/>
              </w:rPr>
              <w:t>Report/Publication citation</w:t>
            </w:r>
          </w:p>
        </w:tc>
      </w:tr>
      <w:tr w:rsidR="0089272D" w:rsidRPr="00795225" w:rsidTr="000E7C11">
        <w:tc>
          <w:tcPr>
            <w:tcW w:w="498" w:type="pct"/>
            <w:vMerge w:val="restart"/>
            <w:tcBorders>
              <w:bottom w:val="nil"/>
            </w:tcBorders>
          </w:tcPr>
          <w:p w:rsidR="0089272D" w:rsidRPr="00795225" w:rsidRDefault="0089272D" w:rsidP="00EC5A97">
            <w:pPr>
              <w:pStyle w:val="Tabletext"/>
              <w:keepNext/>
            </w:pPr>
            <w:r w:rsidRPr="00795225">
              <w:t>CA238</w:t>
            </w:r>
          </w:p>
        </w:tc>
        <w:tc>
          <w:tcPr>
            <w:tcW w:w="3325" w:type="pct"/>
            <w:tcBorders>
              <w:bottom w:val="nil"/>
            </w:tcBorders>
          </w:tcPr>
          <w:p w:rsidR="0089272D" w:rsidRPr="00795225" w:rsidRDefault="00373765" w:rsidP="00EC5A97">
            <w:pPr>
              <w:pStyle w:val="Tabletext"/>
              <w:keepNext/>
            </w:pPr>
            <w:r w:rsidRPr="00795225">
              <w:t xml:space="preserve">Interim Clinical Study Report for Study CA209238: </w:t>
            </w:r>
            <w:r w:rsidR="0089272D" w:rsidRPr="00795225">
              <w:t xml:space="preserve">A phase 3, randomized, double-blind study of adjuvant immunotherapy with nivolumab versus </w:t>
            </w:r>
            <w:proofErr w:type="spellStart"/>
            <w:r w:rsidR="0089272D" w:rsidRPr="00795225">
              <w:t>ipilimumab</w:t>
            </w:r>
            <w:proofErr w:type="spellEnd"/>
            <w:r w:rsidR="0089272D" w:rsidRPr="00795225">
              <w:t xml:space="preserve"> after complete resection of Stage IIIB/C or Stage IV melanoma in subjects who are at high-risk for recurrence (Data cut</w:t>
            </w:r>
            <w:r w:rsidRPr="00795225">
              <w:t>-</w:t>
            </w:r>
            <w:r w:rsidR="0089272D" w:rsidRPr="00795225">
              <w:t>off for interim report in previous submission: 15 May 2017).</w:t>
            </w:r>
          </w:p>
          <w:p w:rsidR="0089272D" w:rsidRPr="00795225" w:rsidRDefault="0089272D" w:rsidP="00EC5A97">
            <w:pPr>
              <w:pStyle w:val="Tabletext"/>
              <w:keepNext/>
            </w:pPr>
          </w:p>
        </w:tc>
        <w:tc>
          <w:tcPr>
            <w:tcW w:w="1177" w:type="pct"/>
            <w:tcBorders>
              <w:bottom w:val="nil"/>
            </w:tcBorders>
          </w:tcPr>
          <w:p w:rsidR="0089272D" w:rsidRPr="00795225" w:rsidRDefault="0089272D" w:rsidP="00EC5A97">
            <w:pPr>
              <w:pStyle w:val="Tabletext"/>
              <w:keepNext/>
            </w:pPr>
            <w:r w:rsidRPr="00795225">
              <w:t>July 2017</w:t>
            </w:r>
          </w:p>
          <w:p w:rsidR="0089272D" w:rsidRPr="00795225" w:rsidRDefault="0089272D" w:rsidP="00EC5A97">
            <w:pPr>
              <w:pStyle w:val="Tabletext"/>
              <w:keepNext/>
            </w:pPr>
          </w:p>
        </w:tc>
      </w:tr>
      <w:tr w:rsidR="0089272D" w:rsidRPr="00795225" w:rsidTr="000E7C11">
        <w:trPr>
          <w:trHeight w:val="864"/>
        </w:trPr>
        <w:tc>
          <w:tcPr>
            <w:tcW w:w="498" w:type="pct"/>
            <w:vMerge/>
            <w:tcBorders>
              <w:top w:val="nil"/>
              <w:bottom w:val="nil"/>
            </w:tcBorders>
          </w:tcPr>
          <w:p w:rsidR="0089272D" w:rsidRPr="00795225" w:rsidRDefault="0089272D" w:rsidP="00EC5A97">
            <w:pPr>
              <w:pStyle w:val="Tabletext"/>
              <w:keepNext/>
            </w:pPr>
          </w:p>
        </w:tc>
        <w:tc>
          <w:tcPr>
            <w:tcW w:w="3325" w:type="pct"/>
            <w:tcBorders>
              <w:top w:val="nil"/>
              <w:bottom w:val="nil"/>
            </w:tcBorders>
          </w:tcPr>
          <w:p w:rsidR="00EC5A97" w:rsidRPr="00795225" w:rsidRDefault="0089272D" w:rsidP="00EC5A97">
            <w:pPr>
              <w:pStyle w:val="Tabletext"/>
              <w:keepNext/>
            </w:pPr>
            <w:r w:rsidRPr="00795225">
              <w:rPr>
                <w:u w:val="single"/>
              </w:rPr>
              <w:t>6 months updated data from the original submission</w:t>
            </w:r>
            <w:r w:rsidRPr="00795225">
              <w:t>: Addendum 1 to the Interim Clinical Study Report for Study CA209238 (Data cut</w:t>
            </w:r>
            <w:r w:rsidR="00373765" w:rsidRPr="00795225">
              <w:t>-</w:t>
            </w:r>
            <w:r w:rsidRPr="00795225">
              <w:t>off for updated results in resubmission: 7 November 2017 (additional 6 months of follow-up - minimum follow-up ~ 24 months).</w:t>
            </w:r>
          </w:p>
          <w:p w:rsidR="00373765" w:rsidRPr="00795225" w:rsidRDefault="00373765" w:rsidP="00EC5A97">
            <w:pPr>
              <w:pStyle w:val="Tabletext"/>
              <w:keepNext/>
            </w:pPr>
          </w:p>
        </w:tc>
        <w:tc>
          <w:tcPr>
            <w:tcW w:w="1177" w:type="pct"/>
            <w:tcBorders>
              <w:top w:val="nil"/>
              <w:bottom w:val="nil"/>
            </w:tcBorders>
          </w:tcPr>
          <w:p w:rsidR="0089272D" w:rsidRPr="00795225" w:rsidRDefault="0089272D" w:rsidP="00EC5A97">
            <w:pPr>
              <w:pStyle w:val="Tabletext"/>
              <w:keepNext/>
            </w:pPr>
            <w:r w:rsidRPr="00795225">
              <w:t>July 2018</w:t>
            </w:r>
          </w:p>
        </w:tc>
      </w:tr>
      <w:tr w:rsidR="0089272D" w:rsidRPr="00795225" w:rsidTr="000E7C11">
        <w:tc>
          <w:tcPr>
            <w:tcW w:w="498" w:type="pct"/>
            <w:vMerge/>
            <w:tcBorders>
              <w:top w:val="nil"/>
            </w:tcBorders>
          </w:tcPr>
          <w:p w:rsidR="0089272D" w:rsidRPr="00795225" w:rsidRDefault="0089272D" w:rsidP="00EC5A97">
            <w:pPr>
              <w:pStyle w:val="Tabletext"/>
              <w:keepNext/>
            </w:pPr>
          </w:p>
        </w:tc>
        <w:tc>
          <w:tcPr>
            <w:tcW w:w="3325" w:type="pct"/>
            <w:tcBorders>
              <w:top w:val="nil"/>
              <w:bottom w:val="single" w:sz="4" w:space="0" w:color="auto"/>
            </w:tcBorders>
          </w:tcPr>
          <w:p w:rsidR="0089272D" w:rsidRPr="00795225" w:rsidRDefault="0089272D" w:rsidP="00EC5A97">
            <w:pPr>
              <w:pStyle w:val="Tabletext"/>
              <w:keepNext/>
            </w:pPr>
            <w:r w:rsidRPr="00795225">
              <w:t xml:space="preserve">Weber J, Mandala M, Del </w:t>
            </w:r>
            <w:proofErr w:type="spellStart"/>
            <w:r w:rsidRPr="00795225">
              <w:t>Vecchio</w:t>
            </w:r>
            <w:proofErr w:type="spellEnd"/>
            <w:r w:rsidRPr="00795225">
              <w:t xml:space="preserve"> M, </w:t>
            </w:r>
            <w:proofErr w:type="spellStart"/>
            <w:r w:rsidRPr="00795225">
              <w:t>Gogas</w:t>
            </w:r>
            <w:proofErr w:type="spellEnd"/>
            <w:r w:rsidRPr="00795225">
              <w:t xml:space="preserve"> HJ, et al. Adjuvant nivolumab versus </w:t>
            </w:r>
            <w:proofErr w:type="spellStart"/>
            <w:r w:rsidRPr="00795225">
              <w:t>ipilimumab</w:t>
            </w:r>
            <w:proofErr w:type="spellEnd"/>
            <w:r w:rsidRPr="00795225">
              <w:t xml:space="preserve"> in resected Stage III or IV melanoma.</w:t>
            </w:r>
          </w:p>
        </w:tc>
        <w:tc>
          <w:tcPr>
            <w:tcW w:w="1177" w:type="pct"/>
            <w:tcBorders>
              <w:top w:val="nil"/>
              <w:bottom w:val="single" w:sz="4" w:space="0" w:color="auto"/>
            </w:tcBorders>
          </w:tcPr>
          <w:p w:rsidR="00EC5A97" w:rsidRPr="00795225" w:rsidRDefault="0089272D" w:rsidP="00EC5A97">
            <w:pPr>
              <w:pStyle w:val="Tabletext"/>
              <w:keepNext/>
            </w:pPr>
            <w:r w:rsidRPr="00795225">
              <w:rPr>
                <w:i/>
              </w:rPr>
              <w:t>New England Journal of Medicine</w:t>
            </w:r>
            <w:r w:rsidRPr="00795225">
              <w:t xml:space="preserve"> 2017; 377(19):1824-35.</w:t>
            </w:r>
          </w:p>
        </w:tc>
      </w:tr>
      <w:tr w:rsidR="00E608F6" w:rsidRPr="00795225" w:rsidTr="000E7C11">
        <w:tc>
          <w:tcPr>
            <w:tcW w:w="498" w:type="pct"/>
            <w:vMerge w:val="restart"/>
          </w:tcPr>
          <w:p w:rsidR="00E608F6" w:rsidRPr="00795225" w:rsidRDefault="00E608F6" w:rsidP="00EC5A97">
            <w:pPr>
              <w:pStyle w:val="Tabletext"/>
              <w:keepNext/>
            </w:pPr>
            <w:r w:rsidRPr="00795225">
              <w:t>CA029</w:t>
            </w:r>
          </w:p>
        </w:tc>
        <w:tc>
          <w:tcPr>
            <w:tcW w:w="3325" w:type="pct"/>
            <w:tcBorders>
              <w:bottom w:val="nil"/>
            </w:tcBorders>
          </w:tcPr>
          <w:p w:rsidR="00E608F6" w:rsidRPr="00795225" w:rsidRDefault="00E608F6" w:rsidP="00EC5A97">
            <w:pPr>
              <w:pStyle w:val="Tabletext"/>
              <w:keepNext/>
            </w:pPr>
            <w:r w:rsidRPr="00795225">
              <w:t>Adjuvant immunotherapy with anti-CTLA-4 monoclonal antibody (</w:t>
            </w:r>
            <w:proofErr w:type="spellStart"/>
            <w:r w:rsidRPr="00795225">
              <w:t>ipilimumab</w:t>
            </w:r>
            <w:proofErr w:type="spellEnd"/>
            <w:r w:rsidRPr="00795225">
              <w:t>) versus placebo after complete resection of high-risk Stage III melanoma: a randomized, double-blind phase 3 trial of the EORTC Melanoma Group.</w:t>
            </w:r>
          </w:p>
          <w:p w:rsidR="00E608F6" w:rsidRPr="00795225" w:rsidRDefault="00E608F6" w:rsidP="00EC5A97">
            <w:pPr>
              <w:pStyle w:val="Tabletext"/>
              <w:keepNext/>
            </w:pPr>
          </w:p>
        </w:tc>
        <w:tc>
          <w:tcPr>
            <w:tcW w:w="1177" w:type="pct"/>
            <w:tcBorders>
              <w:bottom w:val="nil"/>
            </w:tcBorders>
          </w:tcPr>
          <w:p w:rsidR="00E608F6" w:rsidRPr="00795225" w:rsidRDefault="00E608F6" w:rsidP="00EC5A97">
            <w:pPr>
              <w:pStyle w:val="Tabletext"/>
              <w:keepNext/>
            </w:pPr>
            <w:r w:rsidRPr="00795225">
              <w:t>June 2014</w:t>
            </w:r>
          </w:p>
          <w:p w:rsidR="00E608F6" w:rsidRPr="00795225" w:rsidRDefault="00E608F6" w:rsidP="00EC5A97">
            <w:pPr>
              <w:pStyle w:val="Tabletext"/>
              <w:keepNext/>
              <w:rPr>
                <w:i/>
              </w:rPr>
            </w:pPr>
          </w:p>
        </w:tc>
      </w:tr>
      <w:tr w:rsidR="00E608F6" w:rsidRPr="00795225" w:rsidTr="000E7C11">
        <w:tc>
          <w:tcPr>
            <w:tcW w:w="498" w:type="pct"/>
            <w:vMerge/>
          </w:tcPr>
          <w:p w:rsidR="00E608F6" w:rsidRPr="00795225" w:rsidRDefault="00E608F6" w:rsidP="00EC5A97">
            <w:pPr>
              <w:pStyle w:val="Tabletext"/>
              <w:keepNext/>
            </w:pPr>
          </w:p>
        </w:tc>
        <w:tc>
          <w:tcPr>
            <w:tcW w:w="3325" w:type="pct"/>
            <w:tcBorders>
              <w:top w:val="nil"/>
              <w:bottom w:val="nil"/>
            </w:tcBorders>
          </w:tcPr>
          <w:p w:rsidR="00E608F6" w:rsidRPr="00795225" w:rsidRDefault="00E608F6" w:rsidP="00EC5A97">
            <w:pPr>
              <w:pStyle w:val="Tabletext"/>
              <w:keepNext/>
            </w:pPr>
            <w:proofErr w:type="spellStart"/>
            <w:r w:rsidRPr="00795225">
              <w:t>Eggermont</w:t>
            </w:r>
            <w:proofErr w:type="spellEnd"/>
            <w:r w:rsidRPr="00795225">
              <w:t xml:space="preserve"> AM, </w:t>
            </w:r>
            <w:proofErr w:type="spellStart"/>
            <w:r w:rsidRPr="00795225">
              <w:t>Chiarion-Sileni</w:t>
            </w:r>
            <w:proofErr w:type="spellEnd"/>
            <w:r w:rsidRPr="00795225">
              <w:t xml:space="preserve"> V, </w:t>
            </w:r>
            <w:proofErr w:type="spellStart"/>
            <w:r w:rsidRPr="00795225">
              <w:t>Grob</w:t>
            </w:r>
            <w:proofErr w:type="spellEnd"/>
            <w:r w:rsidRPr="00795225">
              <w:t xml:space="preserve"> JJ, Drummer R, </w:t>
            </w:r>
            <w:proofErr w:type="spellStart"/>
            <w:r w:rsidRPr="00795225">
              <w:t>Wolchok</w:t>
            </w:r>
            <w:proofErr w:type="spellEnd"/>
            <w:r w:rsidRPr="00795225">
              <w:t xml:space="preserve"> JD, Schmidt H, et al. Ipilimumab versus placebo after complete resection of Stage III melanoma: Initial efficacy and safety results from the EORTC 18071 phase III trial. [Conference abstract].</w:t>
            </w:r>
          </w:p>
          <w:p w:rsidR="00E608F6" w:rsidRPr="00795225" w:rsidRDefault="00E608F6" w:rsidP="00EC5A97">
            <w:pPr>
              <w:pStyle w:val="Tabletext"/>
              <w:keepNext/>
            </w:pPr>
          </w:p>
        </w:tc>
        <w:tc>
          <w:tcPr>
            <w:tcW w:w="1177" w:type="pct"/>
            <w:tcBorders>
              <w:top w:val="nil"/>
              <w:bottom w:val="nil"/>
            </w:tcBorders>
          </w:tcPr>
          <w:p w:rsidR="00E608F6" w:rsidRPr="00795225" w:rsidRDefault="00E608F6" w:rsidP="00EC5A97">
            <w:pPr>
              <w:pStyle w:val="Tabletext"/>
              <w:keepNext/>
            </w:pPr>
            <w:r w:rsidRPr="00795225">
              <w:rPr>
                <w:i/>
              </w:rPr>
              <w:t>Journal of Clinical Oncology</w:t>
            </w:r>
            <w:r w:rsidRPr="00795225">
              <w:t xml:space="preserve"> 2014b; 32(15).</w:t>
            </w:r>
          </w:p>
          <w:p w:rsidR="00E608F6" w:rsidRPr="00795225" w:rsidRDefault="00E608F6" w:rsidP="00EC5A97">
            <w:pPr>
              <w:pStyle w:val="Tabletext"/>
              <w:keepNext/>
              <w:rPr>
                <w:i/>
              </w:rPr>
            </w:pPr>
          </w:p>
        </w:tc>
      </w:tr>
      <w:tr w:rsidR="00E608F6" w:rsidRPr="00795225" w:rsidTr="000E7C11">
        <w:tc>
          <w:tcPr>
            <w:tcW w:w="498" w:type="pct"/>
            <w:vMerge/>
          </w:tcPr>
          <w:p w:rsidR="00E608F6" w:rsidRPr="00795225" w:rsidRDefault="00E608F6" w:rsidP="00EC5A97">
            <w:pPr>
              <w:pStyle w:val="Tabletext"/>
              <w:keepNext/>
            </w:pPr>
          </w:p>
        </w:tc>
        <w:tc>
          <w:tcPr>
            <w:tcW w:w="3325" w:type="pct"/>
            <w:tcBorders>
              <w:top w:val="nil"/>
              <w:bottom w:val="nil"/>
            </w:tcBorders>
          </w:tcPr>
          <w:p w:rsidR="00E608F6" w:rsidRPr="00795225" w:rsidRDefault="00E608F6" w:rsidP="00EC5A97">
            <w:pPr>
              <w:pStyle w:val="Tabletext"/>
              <w:keepNext/>
            </w:pPr>
            <w:proofErr w:type="spellStart"/>
            <w:r w:rsidRPr="00795225">
              <w:t>Eggermont</w:t>
            </w:r>
            <w:proofErr w:type="spellEnd"/>
            <w:r w:rsidRPr="00795225">
              <w:t xml:space="preserve"> AMM, </w:t>
            </w:r>
            <w:proofErr w:type="spellStart"/>
            <w:r w:rsidRPr="00795225">
              <w:t>Chiarion-Sileni</w:t>
            </w:r>
            <w:proofErr w:type="spellEnd"/>
            <w:r w:rsidRPr="00795225">
              <w:t xml:space="preserve"> V, </w:t>
            </w:r>
            <w:proofErr w:type="spellStart"/>
            <w:r w:rsidRPr="00795225">
              <w:t>Grob</w:t>
            </w:r>
            <w:proofErr w:type="spellEnd"/>
            <w:r w:rsidRPr="00795225">
              <w:t xml:space="preserve"> JJ, et al. Adjuvant </w:t>
            </w:r>
            <w:proofErr w:type="spellStart"/>
            <w:r w:rsidRPr="00795225">
              <w:t>ipilimumab</w:t>
            </w:r>
            <w:proofErr w:type="spellEnd"/>
            <w:r w:rsidRPr="00795225">
              <w:t xml:space="preserve"> versus placebo after complete resection of high-risk Stage III melanoma (EORTC 18071): A randomised, double-blind, phase 3 trial.</w:t>
            </w:r>
          </w:p>
          <w:p w:rsidR="00E608F6" w:rsidRPr="00795225" w:rsidRDefault="00E608F6" w:rsidP="00EC5A97">
            <w:pPr>
              <w:pStyle w:val="Tabletext"/>
              <w:keepNext/>
            </w:pPr>
          </w:p>
        </w:tc>
        <w:tc>
          <w:tcPr>
            <w:tcW w:w="1177" w:type="pct"/>
            <w:tcBorders>
              <w:top w:val="nil"/>
              <w:bottom w:val="nil"/>
            </w:tcBorders>
          </w:tcPr>
          <w:p w:rsidR="00E608F6" w:rsidRPr="00795225" w:rsidRDefault="00E608F6" w:rsidP="00EC5A97">
            <w:pPr>
              <w:pStyle w:val="Tabletext"/>
              <w:keepNext/>
            </w:pPr>
            <w:r w:rsidRPr="00795225">
              <w:rPr>
                <w:i/>
              </w:rPr>
              <w:t>The Lancet</w:t>
            </w:r>
            <w:r w:rsidRPr="00795225">
              <w:t xml:space="preserve"> </w:t>
            </w:r>
            <w:r w:rsidRPr="00795225">
              <w:rPr>
                <w:i/>
              </w:rPr>
              <w:t xml:space="preserve">Oncology </w:t>
            </w:r>
            <w:r w:rsidRPr="00795225">
              <w:t>2015; 16(5):522-30.</w:t>
            </w:r>
          </w:p>
          <w:p w:rsidR="00E608F6" w:rsidRPr="00795225" w:rsidRDefault="00E608F6" w:rsidP="00EC5A97">
            <w:pPr>
              <w:pStyle w:val="Tabletext"/>
              <w:keepNext/>
              <w:rPr>
                <w:i/>
              </w:rPr>
            </w:pPr>
          </w:p>
        </w:tc>
      </w:tr>
      <w:tr w:rsidR="00E608F6" w:rsidRPr="00795225" w:rsidTr="000E7C11">
        <w:tc>
          <w:tcPr>
            <w:tcW w:w="498" w:type="pct"/>
            <w:vMerge/>
          </w:tcPr>
          <w:p w:rsidR="00E608F6" w:rsidRPr="00795225" w:rsidRDefault="00E608F6" w:rsidP="00EC5A97">
            <w:pPr>
              <w:pStyle w:val="Tabletext"/>
              <w:keepNext/>
            </w:pPr>
          </w:p>
        </w:tc>
        <w:tc>
          <w:tcPr>
            <w:tcW w:w="3325" w:type="pct"/>
            <w:tcBorders>
              <w:top w:val="nil"/>
              <w:bottom w:val="nil"/>
            </w:tcBorders>
          </w:tcPr>
          <w:p w:rsidR="00E608F6" w:rsidRPr="00795225" w:rsidRDefault="00E608F6" w:rsidP="00EC5A97">
            <w:pPr>
              <w:pStyle w:val="Tabletext"/>
              <w:keepNext/>
            </w:pPr>
            <w:proofErr w:type="spellStart"/>
            <w:r w:rsidRPr="00795225">
              <w:t>Eggermont</w:t>
            </w:r>
            <w:proofErr w:type="spellEnd"/>
            <w:r w:rsidRPr="00795225">
              <w:t xml:space="preserve"> AMM, </w:t>
            </w:r>
            <w:proofErr w:type="spellStart"/>
            <w:r w:rsidRPr="00795225">
              <w:t>Chiarion-Sileni</w:t>
            </w:r>
            <w:proofErr w:type="spellEnd"/>
            <w:r w:rsidRPr="00795225">
              <w:t xml:space="preserve"> V, </w:t>
            </w:r>
            <w:proofErr w:type="spellStart"/>
            <w:r w:rsidRPr="00795225">
              <w:t>Grob</w:t>
            </w:r>
            <w:proofErr w:type="spellEnd"/>
            <w:r w:rsidRPr="00795225">
              <w:t xml:space="preserve"> JJ, et al. Prolonged survival in Stage III melanoma with </w:t>
            </w:r>
            <w:proofErr w:type="spellStart"/>
            <w:r w:rsidRPr="00795225">
              <w:t>ipilimumab</w:t>
            </w:r>
            <w:proofErr w:type="spellEnd"/>
            <w:r w:rsidRPr="00795225">
              <w:t xml:space="preserve"> adjuvant therapy.</w:t>
            </w:r>
          </w:p>
          <w:p w:rsidR="00E608F6" w:rsidRPr="00795225" w:rsidRDefault="00E608F6" w:rsidP="00EC5A97">
            <w:pPr>
              <w:pStyle w:val="Tabletext"/>
              <w:keepNext/>
            </w:pPr>
          </w:p>
        </w:tc>
        <w:tc>
          <w:tcPr>
            <w:tcW w:w="1177" w:type="pct"/>
            <w:tcBorders>
              <w:top w:val="nil"/>
              <w:bottom w:val="nil"/>
            </w:tcBorders>
          </w:tcPr>
          <w:p w:rsidR="00E608F6" w:rsidRPr="00795225" w:rsidRDefault="00E608F6" w:rsidP="00EC5A97">
            <w:pPr>
              <w:pStyle w:val="Tabletext"/>
              <w:keepNext/>
            </w:pPr>
            <w:r w:rsidRPr="00795225">
              <w:rPr>
                <w:i/>
              </w:rPr>
              <w:t>New England Journal of Medicine</w:t>
            </w:r>
            <w:r w:rsidRPr="00795225">
              <w:t xml:space="preserve"> 2016; 375(19):1845-55.</w:t>
            </w:r>
          </w:p>
          <w:p w:rsidR="00E608F6" w:rsidRPr="00795225" w:rsidRDefault="00E608F6" w:rsidP="00EC5A97">
            <w:pPr>
              <w:pStyle w:val="Tabletext"/>
              <w:keepNext/>
              <w:rPr>
                <w:i/>
              </w:rPr>
            </w:pPr>
          </w:p>
        </w:tc>
      </w:tr>
      <w:tr w:rsidR="00E608F6" w:rsidRPr="00795225" w:rsidTr="000E7C11">
        <w:tc>
          <w:tcPr>
            <w:tcW w:w="498" w:type="pct"/>
            <w:vMerge/>
          </w:tcPr>
          <w:p w:rsidR="00E608F6" w:rsidRPr="00795225" w:rsidRDefault="00E608F6" w:rsidP="00EC5A97">
            <w:pPr>
              <w:pStyle w:val="Tabletext"/>
              <w:keepNext/>
            </w:pPr>
          </w:p>
        </w:tc>
        <w:tc>
          <w:tcPr>
            <w:tcW w:w="3325" w:type="pct"/>
            <w:tcBorders>
              <w:top w:val="nil"/>
              <w:bottom w:val="nil"/>
            </w:tcBorders>
          </w:tcPr>
          <w:p w:rsidR="00E608F6" w:rsidRPr="00795225" w:rsidRDefault="00E608F6" w:rsidP="00EC5A97">
            <w:pPr>
              <w:pStyle w:val="Tabletext"/>
              <w:keepNext/>
            </w:pPr>
            <w:proofErr w:type="spellStart"/>
            <w:r w:rsidRPr="00795225">
              <w:t>Coens</w:t>
            </w:r>
            <w:proofErr w:type="spellEnd"/>
            <w:r w:rsidRPr="00795225">
              <w:t xml:space="preserve"> C, </w:t>
            </w:r>
            <w:proofErr w:type="spellStart"/>
            <w:r w:rsidRPr="00795225">
              <w:t>Suciu</w:t>
            </w:r>
            <w:proofErr w:type="spellEnd"/>
            <w:r w:rsidRPr="00795225">
              <w:t xml:space="preserve"> S, </w:t>
            </w:r>
            <w:proofErr w:type="spellStart"/>
            <w:r w:rsidRPr="00795225">
              <w:t>Chiarion-Sileni</w:t>
            </w:r>
            <w:proofErr w:type="spellEnd"/>
            <w:r w:rsidRPr="00795225">
              <w:t xml:space="preserve"> V, et al. Health-related quality of life with adjuvant </w:t>
            </w:r>
            <w:proofErr w:type="spellStart"/>
            <w:r w:rsidRPr="00795225">
              <w:t>ipilimumab</w:t>
            </w:r>
            <w:proofErr w:type="spellEnd"/>
            <w:r w:rsidRPr="00795225">
              <w:t xml:space="preserve"> versus placebo after complete resection of high-risk Stage III melanoma (EORTC 18071): secondary outcomes of a multi-national, randomised, double-blind, phase 3 trial.</w:t>
            </w:r>
          </w:p>
          <w:p w:rsidR="00E608F6" w:rsidRPr="00795225" w:rsidRDefault="00E608F6" w:rsidP="00EC5A97">
            <w:pPr>
              <w:pStyle w:val="Tabletext"/>
              <w:keepNext/>
            </w:pPr>
          </w:p>
        </w:tc>
        <w:tc>
          <w:tcPr>
            <w:tcW w:w="1177" w:type="pct"/>
            <w:tcBorders>
              <w:top w:val="nil"/>
              <w:bottom w:val="nil"/>
            </w:tcBorders>
          </w:tcPr>
          <w:p w:rsidR="00E608F6" w:rsidRPr="00795225" w:rsidRDefault="00E608F6" w:rsidP="00EC5A97">
            <w:pPr>
              <w:pStyle w:val="Tabletext"/>
              <w:keepNext/>
            </w:pPr>
            <w:r w:rsidRPr="00795225">
              <w:rPr>
                <w:i/>
              </w:rPr>
              <w:t>The Lancet Oncology</w:t>
            </w:r>
            <w:r w:rsidRPr="00795225">
              <w:t xml:space="preserve"> 2017; 18(3):393-403. </w:t>
            </w:r>
          </w:p>
          <w:p w:rsidR="00E608F6" w:rsidRPr="00795225" w:rsidRDefault="00E608F6" w:rsidP="00EC5A97">
            <w:pPr>
              <w:pStyle w:val="Tabletext"/>
              <w:keepNext/>
              <w:rPr>
                <w:i/>
              </w:rPr>
            </w:pPr>
          </w:p>
        </w:tc>
      </w:tr>
      <w:tr w:rsidR="00E608F6" w:rsidRPr="00795225" w:rsidTr="000E7C11">
        <w:trPr>
          <w:trHeight w:val="927"/>
        </w:trPr>
        <w:tc>
          <w:tcPr>
            <w:tcW w:w="498" w:type="pct"/>
            <w:vMerge/>
          </w:tcPr>
          <w:p w:rsidR="00E608F6" w:rsidRPr="00795225" w:rsidRDefault="00E608F6" w:rsidP="00EC5A97">
            <w:pPr>
              <w:pStyle w:val="Tabletext"/>
              <w:keepNext/>
            </w:pPr>
          </w:p>
        </w:tc>
        <w:tc>
          <w:tcPr>
            <w:tcW w:w="3325" w:type="pct"/>
            <w:tcBorders>
              <w:top w:val="nil"/>
            </w:tcBorders>
          </w:tcPr>
          <w:p w:rsidR="00E608F6" w:rsidRPr="00795225" w:rsidRDefault="00E608F6" w:rsidP="00EC5A97">
            <w:pPr>
              <w:pStyle w:val="Tabletext"/>
              <w:keepNext/>
            </w:pPr>
            <w:proofErr w:type="spellStart"/>
            <w:r w:rsidRPr="00795225">
              <w:t>Coens</w:t>
            </w:r>
            <w:proofErr w:type="spellEnd"/>
            <w:r w:rsidRPr="00795225">
              <w:t xml:space="preserve"> C, </w:t>
            </w:r>
            <w:proofErr w:type="spellStart"/>
            <w:r w:rsidRPr="00795225">
              <w:t>Suciu</w:t>
            </w:r>
            <w:proofErr w:type="spellEnd"/>
            <w:r w:rsidRPr="00795225">
              <w:t xml:space="preserve"> S, </w:t>
            </w:r>
            <w:proofErr w:type="spellStart"/>
            <w:r w:rsidRPr="00795225">
              <w:t>Chiarion-Sileni</w:t>
            </w:r>
            <w:proofErr w:type="spellEnd"/>
            <w:r w:rsidRPr="00795225">
              <w:t xml:space="preserve"> V, et al. Phase III trial (EORTC 18071/CA184029) of postoperative adjuvant </w:t>
            </w:r>
            <w:proofErr w:type="spellStart"/>
            <w:r w:rsidRPr="00795225">
              <w:t>ipilimumab</w:t>
            </w:r>
            <w:proofErr w:type="spellEnd"/>
            <w:r w:rsidRPr="00795225">
              <w:t xml:space="preserve"> compared to placebo in patients with resected Stage III cutaneous melanoma: Health-related quality of life (</w:t>
            </w:r>
            <w:proofErr w:type="spellStart"/>
            <w:r w:rsidRPr="00795225">
              <w:t>HRQoL</w:t>
            </w:r>
            <w:proofErr w:type="spellEnd"/>
            <w:r w:rsidRPr="00795225">
              <w:t>) results. [Conference abstract].</w:t>
            </w:r>
          </w:p>
        </w:tc>
        <w:tc>
          <w:tcPr>
            <w:tcW w:w="1177" w:type="pct"/>
            <w:tcBorders>
              <w:top w:val="nil"/>
            </w:tcBorders>
          </w:tcPr>
          <w:p w:rsidR="00E608F6" w:rsidRPr="00795225" w:rsidRDefault="00E608F6" w:rsidP="00EC5A97">
            <w:pPr>
              <w:pStyle w:val="Tabletext"/>
              <w:keepNext/>
            </w:pPr>
            <w:r w:rsidRPr="00795225">
              <w:rPr>
                <w:i/>
              </w:rPr>
              <w:t>Pigment Cell and Melanoma Research</w:t>
            </w:r>
            <w:r w:rsidRPr="00795225">
              <w:t xml:space="preserve"> 2014;27(6):1181-2</w:t>
            </w:r>
          </w:p>
        </w:tc>
      </w:tr>
    </w:tbl>
    <w:p w:rsidR="008E0D3C" w:rsidRPr="00795225" w:rsidRDefault="00D83D1E" w:rsidP="000D78DD">
      <w:pPr>
        <w:pStyle w:val="Caption"/>
        <w:widowControl/>
        <w:rPr>
          <w:b w:val="0"/>
        </w:rPr>
      </w:pPr>
      <w:r w:rsidRPr="00795225">
        <w:rPr>
          <w:b w:val="0"/>
        </w:rPr>
        <w:t>Source: Table 28, pp85-87 of the resubmission</w:t>
      </w:r>
      <w:r w:rsidR="008E0D3C" w:rsidRPr="00795225">
        <w:rPr>
          <w:b w:val="0"/>
        </w:rPr>
        <w:t>.</w:t>
      </w:r>
    </w:p>
    <w:p w:rsidR="00862502" w:rsidRPr="00795225" w:rsidRDefault="00862502" w:rsidP="008D1BDC">
      <w:pPr>
        <w:widowControl/>
      </w:pPr>
    </w:p>
    <w:p w:rsidR="007F1017" w:rsidRPr="00795225" w:rsidRDefault="008F120A" w:rsidP="00D736AF">
      <w:pPr>
        <w:pStyle w:val="ListParagraph"/>
        <w:widowControl/>
        <w:numPr>
          <w:ilvl w:val="1"/>
          <w:numId w:val="1"/>
        </w:numPr>
      </w:pPr>
      <w:r w:rsidRPr="00795225">
        <w:t xml:space="preserve">The key features of the </w:t>
      </w:r>
      <w:r w:rsidR="00B14AC1" w:rsidRPr="00795225">
        <w:rPr>
          <w:rFonts w:cs="Calibri"/>
          <w:snapToGrid/>
          <w:szCs w:val="24"/>
          <w:lang w:eastAsia="en-AU"/>
        </w:rPr>
        <w:t xml:space="preserve">CA238 and CA029 trials </w:t>
      </w:r>
      <w:r w:rsidRPr="00795225">
        <w:t xml:space="preserve">are </w:t>
      </w:r>
      <w:r w:rsidR="00E92D5E" w:rsidRPr="00795225">
        <w:t xml:space="preserve">summarised in </w:t>
      </w:r>
      <w:r w:rsidR="00DB5ACC" w:rsidRPr="00795225">
        <w:t>Table 4</w:t>
      </w:r>
      <w:r w:rsidR="00E92D5E" w:rsidRPr="00795225">
        <w:t>.</w:t>
      </w:r>
    </w:p>
    <w:p w:rsidR="00D83D1E" w:rsidRPr="00795225" w:rsidRDefault="009E380F" w:rsidP="000D78DD">
      <w:pPr>
        <w:pStyle w:val="Caption"/>
        <w:widowControl/>
        <w:rPr>
          <w:rStyle w:val="CommentReference"/>
          <w:b/>
        </w:rPr>
      </w:pPr>
      <w:bookmarkStart w:id="12" w:name="_Ref533690458"/>
      <w:r w:rsidRPr="00795225">
        <w:lastRenderedPageBreak/>
        <w:t xml:space="preserve">Table </w:t>
      </w:r>
      <w:r w:rsidR="00DB5ACC" w:rsidRPr="00795225">
        <w:t>4</w:t>
      </w:r>
      <w:bookmarkEnd w:id="12"/>
      <w:r w:rsidRPr="00795225">
        <w:t xml:space="preserve">: </w:t>
      </w:r>
      <w:r w:rsidR="00D83D1E" w:rsidRPr="00795225">
        <w:rPr>
          <w:rStyle w:val="CommentReference"/>
          <w:b/>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78"/>
        <w:gridCol w:w="662"/>
        <w:gridCol w:w="2189"/>
        <w:gridCol w:w="844"/>
        <w:gridCol w:w="1859"/>
        <w:gridCol w:w="1095"/>
        <w:gridCol w:w="1390"/>
      </w:tblGrid>
      <w:tr w:rsidR="002431A0" w:rsidRPr="00795225" w:rsidTr="000E7C11">
        <w:trPr>
          <w:tblHeader/>
        </w:trPr>
        <w:tc>
          <w:tcPr>
            <w:tcW w:w="542" w:type="pct"/>
            <w:shd w:val="clear" w:color="auto" w:fill="auto"/>
            <w:vAlign w:val="center"/>
          </w:tcPr>
          <w:p w:rsidR="00D83D1E" w:rsidRPr="00795225" w:rsidRDefault="00D83D1E" w:rsidP="000D78DD">
            <w:pPr>
              <w:pStyle w:val="Tabletext"/>
              <w:keepNext/>
              <w:rPr>
                <w:b/>
              </w:rPr>
            </w:pPr>
            <w:r w:rsidRPr="00795225">
              <w:rPr>
                <w:b/>
              </w:rPr>
              <w:t>Trial</w:t>
            </w:r>
          </w:p>
        </w:tc>
        <w:tc>
          <w:tcPr>
            <w:tcW w:w="367" w:type="pct"/>
            <w:shd w:val="clear" w:color="auto" w:fill="auto"/>
            <w:vAlign w:val="center"/>
          </w:tcPr>
          <w:p w:rsidR="00D83D1E" w:rsidRPr="00795225" w:rsidRDefault="00D83D1E" w:rsidP="000D78DD">
            <w:pPr>
              <w:pStyle w:val="Tabletext"/>
              <w:keepNext/>
              <w:jc w:val="center"/>
              <w:rPr>
                <w:b/>
              </w:rPr>
            </w:pPr>
            <w:r w:rsidRPr="00795225">
              <w:rPr>
                <w:b/>
              </w:rPr>
              <w:t>N</w:t>
            </w:r>
          </w:p>
        </w:tc>
        <w:tc>
          <w:tcPr>
            <w:tcW w:w="1214" w:type="pct"/>
            <w:shd w:val="clear" w:color="auto" w:fill="auto"/>
            <w:vAlign w:val="center"/>
          </w:tcPr>
          <w:p w:rsidR="00D83D1E" w:rsidRPr="00795225" w:rsidRDefault="00D83D1E" w:rsidP="000D78DD">
            <w:pPr>
              <w:pStyle w:val="Tabletext"/>
              <w:keepNext/>
              <w:jc w:val="center"/>
              <w:rPr>
                <w:b/>
              </w:rPr>
            </w:pPr>
            <w:r w:rsidRPr="00795225">
              <w:rPr>
                <w:b/>
              </w:rPr>
              <w:t>Design/ duration</w:t>
            </w:r>
          </w:p>
        </w:tc>
        <w:tc>
          <w:tcPr>
            <w:tcW w:w="468" w:type="pct"/>
            <w:shd w:val="clear" w:color="auto" w:fill="auto"/>
            <w:vAlign w:val="center"/>
          </w:tcPr>
          <w:p w:rsidR="00D83D1E" w:rsidRPr="00795225" w:rsidRDefault="00D83D1E" w:rsidP="000D78DD">
            <w:pPr>
              <w:pStyle w:val="Tabletext"/>
              <w:keepNext/>
              <w:jc w:val="center"/>
              <w:rPr>
                <w:b/>
              </w:rPr>
            </w:pPr>
            <w:r w:rsidRPr="00795225">
              <w:rPr>
                <w:b/>
              </w:rPr>
              <w:t>Risk of bias</w:t>
            </w:r>
          </w:p>
        </w:tc>
        <w:tc>
          <w:tcPr>
            <w:tcW w:w="1031" w:type="pct"/>
            <w:shd w:val="clear" w:color="auto" w:fill="auto"/>
            <w:vAlign w:val="center"/>
          </w:tcPr>
          <w:p w:rsidR="00D83D1E" w:rsidRPr="00795225" w:rsidRDefault="00D83D1E" w:rsidP="000D78DD">
            <w:pPr>
              <w:pStyle w:val="Tabletext"/>
              <w:keepNext/>
              <w:jc w:val="center"/>
              <w:rPr>
                <w:b/>
              </w:rPr>
            </w:pPr>
            <w:r w:rsidRPr="00795225">
              <w:rPr>
                <w:b/>
              </w:rPr>
              <w:t>Patient population</w:t>
            </w:r>
          </w:p>
        </w:tc>
        <w:tc>
          <w:tcPr>
            <w:tcW w:w="607" w:type="pct"/>
            <w:shd w:val="clear" w:color="auto" w:fill="auto"/>
            <w:vAlign w:val="center"/>
          </w:tcPr>
          <w:p w:rsidR="00D83D1E" w:rsidRPr="00795225" w:rsidRDefault="00D83D1E" w:rsidP="000D78DD">
            <w:pPr>
              <w:pStyle w:val="Tabletext"/>
              <w:keepNext/>
              <w:jc w:val="center"/>
              <w:rPr>
                <w:b/>
              </w:rPr>
            </w:pPr>
            <w:r w:rsidRPr="00795225">
              <w:rPr>
                <w:b/>
              </w:rPr>
              <w:t>Outcomes</w:t>
            </w:r>
          </w:p>
        </w:tc>
        <w:tc>
          <w:tcPr>
            <w:tcW w:w="771" w:type="pct"/>
            <w:shd w:val="clear" w:color="auto" w:fill="auto"/>
            <w:vAlign w:val="center"/>
          </w:tcPr>
          <w:p w:rsidR="00D83D1E" w:rsidRPr="00795225" w:rsidRDefault="00D83D1E" w:rsidP="000D78DD">
            <w:pPr>
              <w:pStyle w:val="Tabletext"/>
              <w:keepNext/>
              <w:jc w:val="center"/>
              <w:rPr>
                <w:b/>
              </w:rPr>
            </w:pPr>
            <w:r w:rsidRPr="00795225">
              <w:rPr>
                <w:b/>
              </w:rPr>
              <w:t>Use in modelled evaluation</w:t>
            </w:r>
          </w:p>
        </w:tc>
      </w:tr>
      <w:tr w:rsidR="00D83D1E" w:rsidRPr="00795225" w:rsidTr="000E7C11">
        <w:tc>
          <w:tcPr>
            <w:tcW w:w="5000" w:type="pct"/>
            <w:gridSpan w:val="7"/>
            <w:shd w:val="clear" w:color="auto" w:fill="auto"/>
            <w:vAlign w:val="center"/>
          </w:tcPr>
          <w:p w:rsidR="00D83D1E" w:rsidRPr="00795225" w:rsidRDefault="00D83D1E" w:rsidP="000D78DD">
            <w:pPr>
              <w:pStyle w:val="Tabletext"/>
              <w:keepNext/>
              <w:rPr>
                <w:b/>
              </w:rPr>
            </w:pPr>
            <w:r w:rsidRPr="00795225">
              <w:rPr>
                <w:b/>
              </w:rPr>
              <w:t xml:space="preserve">Nivolumab vs. </w:t>
            </w:r>
            <w:proofErr w:type="spellStart"/>
            <w:r w:rsidRPr="00795225">
              <w:rPr>
                <w:b/>
              </w:rPr>
              <w:t>ipilimumab</w:t>
            </w:r>
            <w:proofErr w:type="spellEnd"/>
          </w:p>
        </w:tc>
      </w:tr>
      <w:tr w:rsidR="002431A0" w:rsidRPr="00795225" w:rsidTr="000E7C11">
        <w:tc>
          <w:tcPr>
            <w:tcW w:w="542" w:type="pct"/>
            <w:shd w:val="clear" w:color="auto" w:fill="auto"/>
            <w:vAlign w:val="center"/>
          </w:tcPr>
          <w:p w:rsidR="00D83D1E" w:rsidRPr="00795225" w:rsidRDefault="00D83D1E" w:rsidP="000D78DD">
            <w:pPr>
              <w:pStyle w:val="Tabletext"/>
              <w:keepNext/>
            </w:pPr>
            <w:r w:rsidRPr="00795225">
              <w:t>CA238</w:t>
            </w:r>
          </w:p>
        </w:tc>
        <w:tc>
          <w:tcPr>
            <w:tcW w:w="367" w:type="pct"/>
            <w:shd w:val="clear" w:color="auto" w:fill="auto"/>
            <w:vAlign w:val="center"/>
          </w:tcPr>
          <w:p w:rsidR="00D83D1E" w:rsidRPr="00795225" w:rsidRDefault="00D83D1E" w:rsidP="000D78DD">
            <w:pPr>
              <w:pStyle w:val="Tabletext"/>
              <w:keepNext/>
              <w:jc w:val="center"/>
            </w:pPr>
            <w:r w:rsidRPr="00795225">
              <w:t>906</w:t>
            </w:r>
          </w:p>
        </w:tc>
        <w:tc>
          <w:tcPr>
            <w:tcW w:w="1214" w:type="pct"/>
            <w:shd w:val="clear" w:color="auto" w:fill="auto"/>
            <w:vAlign w:val="center"/>
          </w:tcPr>
          <w:p w:rsidR="00D83D1E" w:rsidRPr="00795225" w:rsidRDefault="00D83D1E" w:rsidP="000D78DD">
            <w:pPr>
              <w:pStyle w:val="Tabletext"/>
              <w:keepNext/>
              <w:jc w:val="center"/>
            </w:pPr>
            <w:r w:rsidRPr="00795225">
              <w:t>R, DB</w:t>
            </w:r>
          </w:p>
          <w:p w:rsidR="00D83D1E" w:rsidRPr="00795225" w:rsidRDefault="00D83D1E" w:rsidP="000D78DD">
            <w:pPr>
              <w:pStyle w:val="Tabletext"/>
              <w:keepNext/>
              <w:jc w:val="center"/>
            </w:pPr>
            <w:r w:rsidRPr="00795225">
              <w:t>Mean duration of treatment:</w:t>
            </w:r>
          </w:p>
          <w:p w:rsidR="00D83D1E" w:rsidRPr="00795225" w:rsidRDefault="00D83D1E" w:rsidP="000D78DD">
            <w:pPr>
              <w:pStyle w:val="Tabletext"/>
              <w:keepNext/>
              <w:jc w:val="center"/>
            </w:pPr>
            <w:r w:rsidRPr="00795225">
              <w:t>NIVO: 19.6 doses (SD 7.94)</w:t>
            </w:r>
          </w:p>
          <w:p w:rsidR="00D83D1E" w:rsidRPr="00795225" w:rsidRDefault="00D83D1E" w:rsidP="000D78DD">
            <w:pPr>
              <w:pStyle w:val="Tabletext"/>
              <w:keepNext/>
              <w:jc w:val="center"/>
            </w:pPr>
            <w:r w:rsidRPr="00795225">
              <w:t>IPI: 4.1 doses (SD 1.84)</w:t>
            </w:r>
          </w:p>
          <w:p w:rsidR="00D83D1E" w:rsidRPr="00795225" w:rsidRDefault="002431A0" w:rsidP="000D78DD">
            <w:pPr>
              <w:pStyle w:val="Tabletext"/>
              <w:keepNext/>
              <w:jc w:val="center"/>
            </w:pPr>
            <w:r w:rsidRPr="00795225">
              <w:t>M</w:t>
            </w:r>
            <w:r w:rsidR="009A7020" w:rsidRPr="00795225">
              <w:t xml:space="preserve">inimum </w:t>
            </w:r>
            <w:r w:rsidR="002F418E" w:rsidRPr="00795225">
              <w:t xml:space="preserve">FU of </w:t>
            </w:r>
            <w:r w:rsidR="009A7020" w:rsidRPr="00795225">
              <w:t>24 months</w:t>
            </w:r>
          </w:p>
        </w:tc>
        <w:tc>
          <w:tcPr>
            <w:tcW w:w="468" w:type="pct"/>
            <w:shd w:val="clear" w:color="auto" w:fill="auto"/>
            <w:vAlign w:val="center"/>
          </w:tcPr>
          <w:p w:rsidR="00D83D1E" w:rsidRPr="00795225" w:rsidRDefault="00D83D1E" w:rsidP="000D78DD">
            <w:pPr>
              <w:pStyle w:val="Tabletext"/>
              <w:keepNext/>
              <w:jc w:val="center"/>
            </w:pPr>
            <w:r w:rsidRPr="00795225">
              <w:t>Low</w:t>
            </w:r>
          </w:p>
        </w:tc>
        <w:tc>
          <w:tcPr>
            <w:tcW w:w="1031" w:type="pct"/>
            <w:shd w:val="clear" w:color="auto" w:fill="auto"/>
            <w:vAlign w:val="center"/>
          </w:tcPr>
          <w:p w:rsidR="00D83D1E" w:rsidRPr="00795225" w:rsidRDefault="00D83D1E" w:rsidP="000D78DD">
            <w:pPr>
              <w:pStyle w:val="Tabletext"/>
              <w:keepNext/>
              <w:jc w:val="center"/>
            </w:pPr>
            <w:r w:rsidRPr="00795225">
              <w:t xml:space="preserve">Stage IIIB/C or Stage IV melanoma that is completely </w:t>
            </w:r>
            <w:proofErr w:type="spellStart"/>
            <w:r w:rsidRPr="00795225">
              <w:t>resected</w:t>
            </w:r>
            <w:r w:rsidR="00A958E2" w:rsidRPr="00795225">
              <w:rPr>
                <w:vertAlign w:val="superscript"/>
              </w:rPr>
              <w:t>b</w:t>
            </w:r>
            <w:proofErr w:type="spellEnd"/>
          </w:p>
        </w:tc>
        <w:tc>
          <w:tcPr>
            <w:tcW w:w="607" w:type="pct"/>
            <w:shd w:val="clear" w:color="auto" w:fill="auto"/>
            <w:vAlign w:val="center"/>
          </w:tcPr>
          <w:p w:rsidR="00CE45C3" w:rsidRPr="00795225" w:rsidRDefault="00D83D1E" w:rsidP="000D78DD">
            <w:pPr>
              <w:pStyle w:val="Tabletext"/>
              <w:keepNext/>
              <w:jc w:val="center"/>
            </w:pPr>
            <w:r w:rsidRPr="00795225">
              <w:t>RFS</w:t>
            </w:r>
            <w:r w:rsidR="002431A0" w:rsidRPr="00795225">
              <w:t xml:space="preserve">, </w:t>
            </w:r>
            <w:r w:rsidR="00CE45C3" w:rsidRPr="00795225">
              <w:t>DMFS</w:t>
            </w:r>
            <w:r w:rsidR="002431A0" w:rsidRPr="00795225">
              <w:t xml:space="preserve">, </w:t>
            </w:r>
            <w:proofErr w:type="spellStart"/>
            <w:r w:rsidR="009A7020" w:rsidRPr="00795225">
              <w:t>QoL</w:t>
            </w:r>
            <w:proofErr w:type="spellEnd"/>
            <w:r w:rsidR="002431A0" w:rsidRPr="00795225">
              <w:t xml:space="preserve">, </w:t>
            </w:r>
            <w:r w:rsidR="00CE45C3" w:rsidRPr="00795225">
              <w:t>AEs</w:t>
            </w:r>
          </w:p>
        </w:tc>
        <w:tc>
          <w:tcPr>
            <w:tcW w:w="771" w:type="pct"/>
            <w:shd w:val="clear" w:color="auto" w:fill="auto"/>
            <w:vAlign w:val="center"/>
          </w:tcPr>
          <w:p w:rsidR="00D83D1E" w:rsidRPr="00795225" w:rsidRDefault="00D83D1E" w:rsidP="000D78DD">
            <w:pPr>
              <w:pStyle w:val="Tabletext"/>
              <w:keepNext/>
              <w:jc w:val="center"/>
            </w:pPr>
            <w:r w:rsidRPr="00795225">
              <w:t>Used</w:t>
            </w:r>
          </w:p>
        </w:tc>
      </w:tr>
      <w:tr w:rsidR="00D83D1E" w:rsidRPr="00795225" w:rsidTr="000E7C11">
        <w:tc>
          <w:tcPr>
            <w:tcW w:w="5000" w:type="pct"/>
            <w:gridSpan w:val="7"/>
            <w:shd w:val="clear" w:color="auto" w:fill="auto"/>
            <w:vAlign w:val="center"/>
          </w:tcPr>
          <w:p w:rsidR="00D83D1E" w:rsidRPr="00795225" w:rsidRDefault="00D83D1E" w:rsidP="000D78DD">
            <w:pPr>
              <w:pStyle w:val="Tabletext"/>
              <w:keepNext/>
              <w:rPr>
                <w:b/>
              </w:rPr>
            </w:pPr>
            <w:r w:rsidRPr="00795225">
              <w:rPr>
                <w:b/>
              </w:rPr>
              <w:t xml:space="preserve">Placebo vs. </w:t>
            </w:r>
            <w:proofErr w:type="spellStart"/>
            <w:r w:rsidRPr="00795225">
              <w:rPr>
                <w:b/>
              </w:rPr>
              <w:t>ipilimumab</w:t>
            </w:r>
            <w:proofErr w:type="spellEnd"/>
          </w:p>
        </w:tc>
      </w:tr>
      <w:tr w:rsidR="002431A0" w:rsidRPr="00795225" w:rsidTr="000E7C11">
        <w:tc>
          <w:tcPr>
            <w:tcW w:w="542" w:type="pct"/>
            <w:shd w:val="clear" w:color="auto" w:fill="auto"/>
            <w:vAlign w:val="center"/>
          </w:tcPr>
          <w:p w:rsidR="00D83D1E" w:rsidRPr="00795225" w:rsidRDefault="00D83D1E" w:rsidP="000D78DD">
            <w:pPr>
              <w:pStyle w:val="Tabletext"/>
              <w:keepNext/>
            </w:pPr>
            <w:r w:rsidRPr="00795225">
              <w:t>CA029</w:t>
            </w:r>
          </w:p>
        </w:tc>
        <w:tc>
          <w:tcPr>
            <w:tcW w:w="367" w:type="pct"/>
            <w:shd w:val="clear" w:color="auto" w:fill="auto"/>
            <w:vAlign w:val="center"/>
          </w:tcPr>
          <w:p w:rsidR="00D83D1E" w:rsidRPr="00795225" w:rsidRDefault="00D83D1E" w:rsidP="000D78DD">
            <w:pPr>
              <w:pStyle w:val="Tabletext"/>
              <w:keepNext/>
              <w:jc w:val="center"/>
            </w:pPr>
            <w:r w:rsidRPr="00795225">
              <w:t>951</w:t>
            </w:r>
          </w:p>
        </w:tc>
        <w:tc>
          <w:tcPr>
            <w:tcW w:w="1214" w:type="pct"/>
            <w:shd w:val="clear" w:color="auto" w:fill="auto"/>
            <w:vAlign w:val="center"/>
          </w:tcPr>
          <w:p w:rsidR="00D83D1E" w:rsidRPr="00795225" w:rsidRDefault="00D83D1E" w:rsidP="000D78DD">
            <w:pPr>
              <w:pStyle w:val="Tabletext"/>
              <w:keepNext/>
              <w:jc w:val="center"/>
            </w:pPr>
            <w:r w:rsidRPr="00795225">
              <w:t>R, DB</w:t>
            </w:r>
          </w:p>
          <w:p w:rsidR="00D83D1E" w:rsidRPr="00795225" w:rsidRDefault="00D83D1E" w:rsidP="000D78DD">
            <w:pPr>
              <w:pStyle w:val="Tabletext"/>
              <w:keepNext/>
              <w:jc w:val="center"/>
            </w:pPr>
            <w:r w:rsidRPr="00795225">
              <w:t>Mean duration of treatment:</w:t>
            </w:r>
          </w:p>
          <w:p w:rsidR="00D83D1E" w:rsidRPr="00795225" w:rsidRDefault="00D83D1E" w:rsidP="000D78DD">
            <w:pPr>
              <w:pStyle w:val="Tabletext"/>
              <w:keepNext/>
              <w:jc w:val="center"/>
            </w:pPr>
            <w:r w:rsidRPr="00795225">
              <w:t>IPI: 5.7 doses (SD 4.32)</w:t>
            </w:r>
          </w:p>
          <w:p w:rsidR="00D83D1E" w:rsidRPr="00795225" w:rsidRDefault="00D83D1E" w:rsidP="000D78DD">
            <w:pPr>
              <w:pStyle w:val="Tabletext"/>
              <w:keepNext/>
              <w:jc w:val="center"/>
            </w:pPr>
            <w:r w:rsidRPr="00795225">
              <w:t>PBO: 8.8 doses (SD 4.85)</w:t>
            </w:r>
          </w:p>
          <w:p w:rsidR="00D83D1E" w:rsidRPr="00795225" w:rsidRDefault="00D83D1E" w:rsidP="000D78DD">
            <w:pPr>
              <w:pStyle w:val="Tabletext"/>
              <w:keepNext/>
              <w:jc w:val="center"/>
            </w:pPr>
            <w:r w:rsidRPr="00795225">
              <w:t>Median FU: 2.7 years (RFS)</w:t>
            </w:r>
          </w:p>
          <w:p w:rsidR="00D83D1E" w:rsidRPr="00795225" w:rsidRDefault="00D83D1E" w:rsidP="000D78DD">
            <w:pPr>
              <w:pStyle w:val="Tabletext"/>
              <w:keepNext/>
              <w:jc w:val="center"/>
            </w:pPr>
            <w:r w:rsidRPr="00795225">
              <w:t>5.3 y</w:t>
            </w:r>
            <w:r w:rsidR="00C2154E" w:rsidRPr="00795225">
              <w:t>ears (OS)</w:t>
            </w:r>
            <w:r w:rsidR="00C2154E" w:rsidRPr="00795225">
              <w:rPr>
                <w:vertAlign w:val="superscript"/>
              </w:rPr>
              <w:t>a</w:t>
            </w:r>
          </w:p>
        </w:tc>
        <w:tc>
          <w:tcPr>
            <w:tcW w:w="468" w:type="pct"/>
            <w:shd w:val="clear" w:color="auto" w:fill="auto"/>
            <w:vAlign w:val="center"/>
          </w:tcPr>
          <w:p w:rsidR="00D83D1E" w:rsidRPr="00795225" w:rsidRDefault="00D83D1E" w:rsidP="000D78DD">
            <w:pPr>
              <w:pStyle w:val="Tabletext"/>
              <w:keepNext/>
              <w:jc w:val="center"/>
            </w:pPr>
            <w:r w:rsidRPr="00795225">
              <w:t>Low</w:t>
            </w:r>
          </w:p>
        </w:tc>
        <w:tc>
          <w:tcPr>
            <w:tcW w:w="1031" w:type="pct"/>
            <w:shd w:val="clear" w:color="auto" w:fill="auto"/>
            <w:vAlign w:val="center"/>
          </w:tcPr>
          <w:p w:rsidR="00D83D1E" w:rsidRPr="00795225" w:rsidRDefault="00D83D1E" w:rsidP="000D78DD">
            <w:pPr>
              <w:pStyle w:val="Tabletext"/>
              <w:keepNext/>
              <w:jc w:val="center"/>
            </w:pPr>
            <w:r w:rsidRPr="00795225">
              <w:t xml:space="preserve">Stage III cutaneous melanoma that is completely </w:t>
            </w:r>
            <w:proofErr w:type="spellStart"/>
            <w:r w:rsidRPr="00795225">
              <w:t>resected</w:t>
            </w:r>
            <w:r w:rsidR="00A958E2" w:rsidRPr="00795225">
              <w:rPr>
                <w:vertAlign w:val="superscript"/>
              </w:rPr>
              <w:t>b</w:t>
            </w:r>
            <w:proofErr w:type="spellEnd"/>
          </w:p>
        </w:tc>
        <w:tc>
          <w:tcPr>
            <w:tcW w:w="607" w:type="pct"/>
            <w:shd w:val="clear" w:color="auto" w:fill="auto"/>
            <w:vAlign w:val="center"/>
          </w:tcPr>
          <w:p w:rsidR="00CE45C3" w:rsidRPr="00795225" w:rsidRDefault="00D83D1E" w:rsidP="000D78DD">
            <w:pPr>
              <w:pStyle w:val="Tabletext"/>
              <w:keepNext/>
              <w:jc w:val="center"/>
            </w:pPr>
            <w:r w:rsidRPr="00795225">
              <w:t>RFS</w:t>
            </w:r>
            <w:r w:rsidR="002431A0" w:rsidRPr="00795225">
              <w:t xml:space="preserve">, </w:t>
            </w:r>
            <w:r w:rsidR="00CE45C3" w:rsidRPr="00795225">
              <w:t>DMFS</w:t>
            </w:r>
            <w:r w:rsidR="002431A0" w:rsidRPr="00795225">
              <w:t xml:space="preserve">, </w:t>
            </w:r>
            <w:r w:rsidRPr="00795225">
              <w:t>OS</w:t>
            </w:r>
            <w:r w:rsidR="002431A0" w:rsidRPr="00795225">
              <w:t xml:space="preserve">, </w:t>
            </w:r>
            <w:proofErr w:type="spellStart"/>
            <w:r w:rsidR="00793CC8" w:rsidRPr="00795225">
              <w:t>QoL</w:t>
            </w:r>
            <w:proofErr w:type="spellEnd"/>
            <w:r w:rsidR="002431A0" w:rsidRPr="00795225">
              <w:t xml:space="preserve">, </w:t>
            </w:r>
            <w:r w:rsidR="00CE45C3" w:rsidRPr="00795225">
              <w:t>AEs</w:t>
            </w:r>
          </w:p>
          <w:p w:rsidR="009A7020" w:rsidRPr="00795225" w:rsidRDefault="009A7020" w:rsidP="000D78DD">
            <w:pPr>
              <w:pStyle w:val="Tabletext"/>
              <w:keepNext/>
              <w:jc w:val="center"/>
            </w:pPr>
          </w:p>
        </w:tc>
        <w:tc>
          <w:tcPr>
            <w:tcW w:w="771" w:type="pct"/>
            <w:shd w:val="clear" w:color="auto" w:fill="auto"/>
            <w:vAlign w:val="center"/>
          </w:tcPr>
          <w:p w:rsidR="00D83D1E" w:rsidRPr="00795225" w:rsidRDefault="00CE45C3" w:rsidP="000D78DD">
            <w:pPr>
              <w:pStyle w:val="Tabletext"/>
              <w:keepNext/>
              <w:jc w:val="center"/>
            </w:pPr>
            <w:r w:rsidRPr="00795225">
              <w:t>Used</w:t>
            </w:r>
          </w:p>
        </w:tc>
      </w:tr>
    </w:tbl>
    <w:p w:rsidR="00D83D1E" w:rsidRPr="00795225" w:rsidRDefault="00CA24CA" w:rsidP="000D78DD">
      <w:pPr>
        <w:pStyle w:val="TableFooter"/>
        <w:keepNext/>
        <w:widowControl/>
      </w:pPr>
      <w:r w:rsidRPr="00795225">
        <w:t xml:space="preserve">AE = adverse event; </w:t>
      </w:r>
      <w:r w:rsidR="00C2154E" w:rsidRPr="00795225">
        <w:t xml:space="preserve">AJCC = American Joint Committee on Cancer; </w:t>
      </w:r>
      <w:r w:rsidR="00D83D1E" w:rsidRPr="00795225">
        <w:t>DB</w:t>
      </w:r>
      <w:r w:rsidR="00CB75CE" w:rsidRPr="00795225">
        <w:t xml:space="preserve"> </w:t>
      </w:r>
      <w:r w:rsidR="00D83D1E" w:rsidRPr="00795225">
        <w:t>=</w:t>
      </w:r>
      <w:r w:rsidR="00CB75CE" w:rsidRPr="00795225">
        <w:t xml:space="preserve"> </w:t>
      </w:r>
      <w:r w:rsidR="00D83D1E" w:rsidRPr="00795225">
        <w:t xml:space="preserve">double blind; </w:t>
      </w:r>
      <w:r w:rsidR="00C132C8" w:rsidRPr="00795225">
        <w:t xml:space="preserve">DMFS = distant metastases free survival; </w:t>
      </w:r>
      <w:r w:rsidR="00D83D1E" w:rsidRPr="00795225">
        <w:t xml:space="preserve">FU = follow up; IPI = </w:t>
      </w:r>
      <w:proofErr w:type="spellStart"/>
      <w:r w:rsidR="00D83D1E" w:rsidRPr="00795225">
        <w:t>ipilimumab</w:t>
      </w:r>
      <w:proofErr w:type="spellEnd"/>
      <w:r w:rsidR="00D83D1E" w:rsidRPr="00795225">
        <w:t xml:space="preserve">; NIVO = nivolumab; OS = overall survival; PBO = placebo; </w:t>
      </w:r>
      <w:proofErr w:type="spellStart"/>
      <w:r w:rsidR="00C132C8" w:rsidRPr="00795225">
        <w:t>QoL</w:t>
      </w:r>
      <w:proofErr w:type="spellEnd"/>
      <w:r w:rsidR="00C132C8" w:rsidRPr="00795225">
        <w:t xml:space="preserve"> = quality of life; </w:t>
      </w:r>
      <w:r w:rsidR="00D83D1E" w:rsidRPr="00795225">
        <w:t>R</w:t>
      </w:r>
      <w:r w:rsidR="00CB75CE" w:rsidRPr="00795225">
        <w:t xml:space="preserve"> </w:t>
      </w:r>
      <w:r w:rsidR="00D83D1E" w:rsidRPr="00795225">
        <w:t>=</w:t>
      </w:r>
      <w:r w:rsidR="00CB75CE" w:rsidRPr="00795225">
        <w:t xml:space="preserve"> </w:t>
      </w:r>
      <w:r w:rsidR="00D83D1E" w:rsidRPr="00795225">
        <w:t>randomised; RFS = recurrence-free survival; SD = standard deviation</w:t>
      </w:r>
    </w:p>
    <w:p w:rsidR="00D83D1E" w:rsidRPr="00795225" w:rsidRDefault="00C2154E" w:rsidP="000D78DD">
      <w:pPr>
        <w:pStyle w:val="TableFooter"/>
        <w:keepNext/>
        <w:widowControl/>
        <w:ind w:left="142" w:hanging="142"/>
      </w:pPr>
      <w:proofErr w:type="spellStart"/>
      <w:r w:rsidRPr="00795225">
        <w:rPr>
          <w:vertAlign w:val="superscript"/>
        </w:rPr>
        <w:t>a</w:t>
      </w:r>
      <w:proofErr w:type="spellEnd"/>
      <w:r w:rsidR="00D83D1E" w:rsidRPr="00795225">
        <w:t xml:space="preserve"> The median follow-up for recurrence-free survival in the </w:t>
      </w:r>
      <w:proofErr w:type="spellStart"/>
      <w:r w:rsidR="00D83D1E" w:rsidRPr="00795225">
        <w:t>ipilimumab</w:t>
      </w:r>
      <w:proofErr w:type="spellEnd"/>
      <w:r w:rsidR="00D83D1E" w:rsidRPr="00795225">
        <w:t xml:space="preserve"> arm was 2.6 years and in placebo arm was 2.76 years. The median follow-up for OS is 5.3 years in </w:t>
      </w:r>
      <w:proofErr w:type="spellStart"/>
      <w:r w:rsidR="00D83D1E" w:rsidRPr="00795225">
        <w:t>ipilimumab</w:t>
      </w:r>
      <w:proofErr w:type="spellEnd"/>
      <w:r w:rsidR="00D83D1E" w:rsidRPr="00795225">
        <w:t xml:space="preserve"> arm and 5.4 years in placebo arm.</w:t>
      </w:r>
    </w:p>
    <w:p w:rsidR="00C2154E" w:rsidRPr="00795225" w:rsidRDefault="00A958E2" w:rsidP="000D78DD">
      <w:pPr>
        <w:pStyle w:val="TableFooter"/>
        <w:keepNext/>
        <w:widowControl/>
        <w:ind w:left="142" w:hanging="142"/>
      </w:pPr>
      <w:r w:rsidRPr="00795225">
        <w:rPr>
          <w:vertAlign w:val="superscript"/>
        </w:rPr>
        <w:t>b</w:t>
      </w:r>
      <w:r w:rsidR="00C2154E" w:rsidRPr="00795225">
        <w:t xml:space="preserve"> Based on the 7</w:t>
      </w:r>
      <w:r w:rsidR="00C2154E" w:rsidRPr="00795225">
        <w:rPr>
          <w:vertAlign w:val="superscript"/>
        </w:rPr>
        <w:t>th</w:t>
      </w:r>
      <w:r w:rsidR="00C2154E" w:rsidRPr="00795225">
        <w:t xml:space="preserve"> edition of AJCC staging manual</w:t>
      </w:r>
    </w:p>
    <w:p w:rsidR="00C2154E" w:rsidRPr="00795225" w:rsidRDefault="00A958E2" w:rsidP="000D78DD">
      <w:pPr>
        <w:pStyle w:val="TableFooter"/>
        <w:keepNext/>
        <w:widowControl/>
        <w:ind w:left="142" w:hanging="142"/>
      </w:pPr>
      <w:r w:rsidRPr="00795225">
        <w:rPr>
          <w:vertAlign w:val="superscript"/>
        </w:rPr>
        <w:t>c</w:t>
      </w:r>
      <w:r w:rsidR="00C2154E" w:rsidRPr="00795225">
        <w:t xml:space="preserve"> Based on the 6</w:t>
      </w:r>
      <w:r w:rsidR="00C2154E" w:rsidRPr="00795225">
        <w:rPr>
          <w:vertAlign w:val="superscript"/>
        </w:rPr>
        <w:t>th</w:t>
      </w:r>
      <w:r w:rsidR="00C2154E" w:rsidRPr="00795225">
        <w:t xml:space="preserve"> edition of AJCC staging manual</w:t>
      </w:r>
    </w:p>
    <w:p w:rsidR="00045017" w:rsidRPr="00795225" w:rsidRDefault="00D83D1E" w:rsidP="000D78DD">
      <w:pPr>
        <w:pStyle w:val="TableFooter"/>
        <w:keepNext/>
        <w:widowControl/>
        <w:ind w:left="142" w:hanging="142"/>
      </w:pPr>
      <w:r w:rsidRPr="00795225">
        <w:t xml:space="preserve">Source: Compiled during the evaluation based on </w:t>
      </w:r>
      <w:r w:rsidR="00201114" w:rsidRPr="00795225">
        <w:t>Sections 2 and 3 of the resubmission</w:t>
      </w:r>
      <w:r w:rsidR="00223D21" w:rsidRPr="00795225">
        <w:t>.</w:t>
      </w:r>
    </w:p>
    <w:p w:rsidR="007F1017" w:rsidRPr="00795225" w:rsidRDefault="007F1017" w:rsidP="008D1BDC">
      <w:pPr>
        <w:widowControl/>
        <w:rPr>
          <w:sz w:val="20"/>
          <w:szCs w:val="20"/>
        </w:rPr>
      </w:pPr>
    </w:p>
    <w:p w:rsidR="00455431" w:rsidRPr="00713754" w:rsidRDefault="00C2154E" w:rsidP="00C132C8">
      <w:pPr>
        <w:pStyle w:val="ListParagraph"/>
        <w:keepNext/>
        <w:widowControl/>
        <w:numPr>
          <w:ilvl w:val="1"/>
          <w:numId w:val="1"/>
        </w:numPr>
        <w:rPr>
          <w:rStyle w:val="CommentReference"/>
          <w:rFonts w:ascii="Calibri" w:hAnsi="Calibri"/>
          <w:b w:val="0"/>
          <w:sz w:val="24"/>
          <w:szCs w:val="22"/>
        </w:rPr>
      </w:pPr>
      <w:r w:rsidRPr="00795225">
        <w:t>Patients in CA238 were classified using the 7</w:t>
      </w:r>
      <w:r w:rsidRPr="00795225">
        <w:rPr>
          <w:vertAlign w:val="superscript"/>
        </w:rPr>
        <w:t>th</w:t>
      </w:r>
      <w:r w:rsidRPr="00795225">
        <w:t xml:space="preserve"> edition of the AJCC </w:t>
      </w:r>
      <w:r w:rsidR="00A958E2" w:rsidRPr="00795225">
        <w:t>melanoma staging system</w:t>
      </w:r>
      <w:r w:rsidRPr="00795225">
        <w:t>, which has three pro</w:t>
      </w:r>
      <w:r w:rsidR="00C132C8" w:rsidRPr="00795225">
        <w:t>gnostic sub-stages, Stages IIIA, IIIB and III</w:t>
      </w:r>
      <w:r w:rsidRPr="00795225">
        <w:t>C, depending upon the extent of lymphatic involvement and the characteristics of the primary tumour. Since 2018, the 8</w:t>
      </w:r>
      <w:r w:rsidRPr="00795225">
        <w:rPr>
          <w:vertAlign w:val="superscript"/>
        </w:rPr>
        <w:t>th</w:t>
      </w:r>
      <w:r w:rsidRPr="00795225">
        <w:t xml:space="preserve"> edition of the AJCC Cancer </w:t>
      </w:r>
      <w:r w:rsidR="00A958E2" w:rsidRPr="00795225">
        <w:t>staging system</w:t>
      </w:r>
      <w:r w:rsidR="00A958E2" w:rsidRPr="00795225">
        <w:rPr>
          <w:rStyle w:val="FootnoteReference"/>
        </w:rPr>
        <w:footnoteReference w:id="6"/>
      </w:r>
      <w:r w:rsidRPr="00795225">
        <w:t xml:space="preserve"> has been used to classify melanoma patients in Australia which subdivides patients into four prognostic sub-stages</w:t>
      </w:r>
      <w:r w:rsidR="00A958E2" w:rsidRPr="00795225">
        <w:t xml:space="preserve">, </w:t>
      </w:r>
      <w:r w:rsidRPr="00795225">
        <w:t>Stages IIIA</w:t>
      </w:r>
      <w:r w:rsidR="00A958E2" w:rsidRPr="00795225">
        <w:t xml:space="preserve">, IIIB, IIIC and </w:t>
      </w:r>
      <w:r w:rsidR="00C132C8" w:rsidRPr="00795225">
        <w:t>IIID</w:t>
      </w:r>
      <w:r w:rsidRPr="00795225">
        <w:t xml:space="preserve">. </w:t>
      </w:r>
      <w:r w:rsidR="008632D0" w:rsidRPr="00795225">
        <w:t>Figure </w:t>
      </w:r>
      <w:r w:rsidRPr="00795225">
        <w:t>1 presents a comparison of</w:t>
      </w:r>
      <w:r w:rsidR="00455431">
        <w:t xml:space="preserve"> s</w:t>
      </w:r>
      <w:r w:rsidRPr="00795225">
        <w:t>urvival probabilities for each sub-stage of Stage III melanoma using the 7</w:t>
      </w:r>
      <w:r w:rsidRPr="00795225">
        <w:rPr>
          <w:vertAlign w:val="superscript"/>
        </w:rPr>
        <w:t>th</w:t>
      </w:r>
      <w:r w:rsidRPr="00795225">
        <w:t xml:space="preserve"> and 8</w:t>
      </w:r>
      <w:r w:rsidRPr="00795225">
        <w:rPr>
          <w:vertAlign w:val="superscript"/>
        </w:rPr>
        <w:t>th</w:t>
      </w:r>
      <w:r w:rsidRPr="00795225">
        <w:t xml:space="preserve"> editions of the AJCC </w:t>
      </w:r>
      <w:r w:rsidR="00A958E2" w:rsidRPr="00795225">
        <w:t xml:space="preserve">staging </w:t>
      </w:r>
      <w:r w:rsidR="00455431" w:rsidRPr="00795225">
        <w:t>system</w:t>
      </w:r>
      <w:r w:rsidRPr="00795225">
        <w:t>.</w:t>
      </w:r>
    </w:p>
    <w:p w:rsidR="00455431" w:rsidRDefault="00455431" w:rsidP="00C132C8">
      <w:pPr>
        <w:keepNext/>
        <w:rPr>
          <w:rStyle w:val="CommentReference"/>
          <w:szCs w:val="20"/>
        </w:rPr>
      </w:pPr>
    </w:p>
    <w:p w:rsidR="00455431" w:rsidRDefault="00455431">
      <w:pPr>
        <w:widowControl/>
        <w:jc w:val="left"/>
        <w:rPr>
          <w:rStyle w:val="CommentReference"/>
          <w:szCs w:val="20"/>
        </w:rPr>
      </w:pPr>
      <w:r>
        <w:rPr>
          <w:rStyle w:val="CommentReference"/>
          <w:szCs w:val="20"/>
        </w:rPr>
        <w:br w:type="page"/>
      </w:r>
    </w:p>
    <w:p w:rsidR="00C2154E" w:rsidRPr="00795225" w:rsidRDefault="00957D1D" w:rsidP="00C132C8">
      <w:pPr>
        <w:keepNext/>
        <w:rPr>
          <w:rStyle w:val="CommentReference"/>
          <w:rFonts w:ascii="Calibri" w:hAnsi="Calibri"/>
          <w:b w:val="0"/>
          <w:sz w:val="24"/>
          <w:szCs w:val="22"/>
        </w:rPr>
      </w:pPr>
      <w:r>
        <w:rPr>
          <w:rStyle w:val="CommentReference"/>
          <w:szCs w:val="20"/>
        </w:rPr>
        <w:lastRenderedPageBreak/>
        <w:t>F</w:t>
      </w:r>
      <w:r w:rsidR="00C2154E" w:rsidRPr="00795225">
        <w:rPr>
          <w:rStyle w:val="CommentReference"/>
          <w:szCs w:val="20"/>
        </w:rPr>
        <w:t xml:space="preserve">igure </w:t>
      </w:r>
      <w:r w:rsidR="00DB5ACC" w:rsidRPr="00795225">
        <w:rPr>
          <w:rFonts w:ascii="Arial Narrow" w:hAnsi="Arial Narrow"/>
          <w:sz w:val="20"/>
          <w:szCs w:val="20"/>
        </w:rPr>
        <w:t>1</w:t>
      </w:r>
      <w:r w:rsidR="00C2154E" w:rsidRPr="00795225">
        <w:rPr>
          <w:rStyle w:val="CommentReference"/>
          <w:szCs w:val="20"/>
        </w:rPr>
        <w:t>: Comparison of survival probability for melanoma using the 7</w:t>
      </w:r>
      <w:r w:rsidR="00C2154E" w:rsidRPr="00795225">
        <w:rPr>
          <w:rStyle w:val="CommentReference"/>
          <w:szCs w:val="20"/>
          <w:vertAlign w:val="superscript"/>
        </w:rPr>
        <w:t>th</w:t>
      </w:r>
      <w:r w:rsidR="00C2154E" w:rsidRPr="00795225">
        <w:rPr>
          <w:rStyle w:val="CommentReference"/>
          <w:szCs w:val="20"/>
        </w:rPr>
        <w:t xml:space="preserve"> (RIGHT panel) and 8</w:t>
      </w:r>
      <w:r w:rsidR="00C2154E" w:rsidRPr="00795225">
        <w:rPr>
          <w:rStyle w:val="CommentReference"/>
          <w:szCs w:val="20"/>
          <w:vertAlign w:val="superscript"/>
        </w:rPr>
        <w:t>th</w:t>
      </w:r>
      <w:r w:rsidR="00C2154E" w:rsidRPr="00795225">
        <w:rPr>
          <w:rStyle w:val="CommentReference"/>
          <w:szCs w:val="20"/>
        </w:rPr>
        <w:t xml:space="preserve"> (LEFT panel)</w:t>
      </w:r>
      <w:r w:rsidR="00C2154E" w:rsidRPr="00795225">
        <w:rPr>
          <w:rStyle w:val="CommentReference"/>
        </w:rPr>
        <w:t xml:space="preserve"> editions of the AJCC melanoma staging system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dition"/>
      </w:tblPr>
      <w:tblGrid>
        <w:gridCol w:w="4513"/>
        <w:gridCol w:w="4514"/>
      </w:tblGrid>
      <w:tr w:rsidR="007F5DE1" w:rsidRPr="00795225" w:rsidTr="007F5DE1">
        <w:trPr>
          <w:tblHeader/>
          <w:jc w:val="center"/>
        </w:trPr>
        <w:tc>
          <w:tcPr>
            <w:tcW w:w="4621" w:type="dxa"/>
          </w:tcPr>
          <w:p w:rsidR="007F5DE1" w:rsidRPr="00795225" w:rsidRDefault="007F5DE1" w:rsidP="00C132C8">
            <w:pPr>
              <w:keepNext/>
              <w:jc w:val="center"/>
              <w:rPr>
                <w:rStyle w:val="CommentReference"/>
              </w:rPr>
            </w:pPr>
            <w:r w:rsidRPr="00795225">
              <w:rPr>
                <w:rStyle w:val="CommentReference"/>
              </w:rPr>
              <w:t>8</w:t>
            </w:r>
            <w:r w:rsidRPr="00795225">
              <w:rPr>
                <w:rStyle w:val="CommentReference"/>
                <w:vertAlign w:val="superscript"/>
              </w:rPr>
              <w:t>th</w:t>
            </w:r>
            <w:r w:rsidRPr="00795225">
              <w:rPr>
                <w:rStyle w:val="CommentReference"/>
              </w:rPr>
              <w:t xml:space="preserve"> Edition</w:t>
            </w:r>
          </w:p>
        </w:tc>
        <w:tc>
          <w:tcPr>
            <w:tcW w:w="4622" w:type="dxa"/>
          </w:tcPr>
          <w:p w:rsidR="007F5DE1" w:rsidRPr="00795225" w:rsidRDefault="007F5DE1" w:rsidP="00C132C8">
            <w:pPr>
              <w:keepNext/>
              <w:jc w:val="center"/>
              <w:rPr>
                <w:rStyle w:val="CommentReference"/>
              </w:rPr>
            </w:pPr>
            <w:r w:rsidRPr="00795225">
              <w:rPr>
                <w:rStyle w:val="CommentReference"/>
              </w:rPr>
              <w:t>7</w:t>
            </w:r>
            <w:r w:rsidRPr="00795225">
              <w:rPr>
                <w:rStyle w:val="CommentReference"/>
                <w:vertAlign w:val="superscript"/>
              </w:rPr>
              <w:t>th</w:t>
            </w:r>
            <w:r w:rsidRPr="00795225">
              <w:rPr>
                <w:rStyle w:val="CommentReference"/>
              </w:rPr>
              <w:t xml:space="preserve"> Edition</w:t>
            </w:r>
          </w:p>
        </w:tc>
      </w:tr>
    </w:tbl>
    <w:p w:rsidR="00C2154E" w:rsidRPr="00795225" w:rsidRDefault="00C2154E" w:rsidP="00C132C8">
      <w:pPr>
        <w:keepNext/>
        <w:rPr>
          <w:rFonts w:ascii="Arial Narrow" w:hAnsi="Arial Narrow"/>
          <w:sz w:val="18"/>
          <w:szCs w:val="18"/>
        </w:rPr>
      </w:pPr>
      <w:r w:rsidRPr="00795225">
        <w:rPr>
          <w:noProof/>
          <w:snapToGrid/>
          <w:lang w:eastAsia="en-AU"/>
        </w:rPr>
        <w:drawing>
          <wp:inline distT="0" distB="0" distL="0" distR="0" wp14:anchorId="06D8E53A" wp14:editId="5B0CC0F0">
            <wp:extent cx="5698790" cy="1701610"/>
            <wp:effectExtent l="0" t="0" r="0" b="0"/>
            <wp:docPr id="22" name="Picture 22" title="Figure 1: Comparison of survival probability for melanoma using the 7th (RIGHT panel) and 8th (LEFT panel) editions of the AJCC melanoma stag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0097" t="49508" r="25386" b="20142"/>
                    <a:stretch/>
                  </pic:blipFill>
                  <pic:spPr bwMode="auto">
                    <a:xfrm>
                      <a:off x="0" y="0"/>
                      <a:ext cx="5711191" cy="1705313"/>
                    </a:xfrm>
                    <a:prstGeom prst="rect">
                      <a:avLst/>
                    </a:prstGeom>
                    <a:ln>
                      <a:noFill/>
                    </a:ln>
                    <a:extLst>
                      <a:ext uri="{53640926-AAD7-44D8-BBD7-CCE9431645EC}">
                        <a14:shadowObscured xmlns:a14="http://schemas.microsoft.com/office/drawing/2010/main"/>
                      </a:ext>
                    </a:extLst>
                  </pic:spPr>
                </pic:pic>
              </a:graphicData>
            </a:graphic>
          </wp:inline>
        </w:drawing>
      </w:r>
      <w:r w:rsidRPr="00795225">
        <w:rPr>
          <w:rFonts w:ascii="Arial Narrow" w:hAnsi="Arial Narrow"/>
          <w:sz w:val="18"/>
          <w:szCs w:val="18"/>
        </w:rPr>
        <w:t>AJCC = American Joint Committee on Cancer; YR = year</w:t>
      </w:r>
    </w:p>
    <w:p w:rsidR="00C2154E" w:rsidRPr="00795225" w:rsidRDefault="00C2154E" w:rsidP="009F5EBB">
      <w:pPr>
        <w:rPr>
          <w:rFonts w:ascii="Arial Narrow" w:hAnsi="Arial Narrow"/>
          <w:sz w:val="18"/>
          <w:szCs w:val="18"/>
        </w:rPr>
      </w:pPr>
      <w:r w:rsidRPr="00795225">
        <w:rPr>
          <w:rFonts w:ascii="Arial Narrow" w:hAnsi="Arial Narrow"/>
          <w:sz w:val="18"/>
          <w:szCs w:val="18"/>
        </w:rPr>
        <w:t xml:space="preserve">Source: </w:t>
      </w:r>
      <w:proofErr w:type="spellStart"/>
      <w:r w:rsidRPr="00795225">
        <w:rPr>
          <w:rFonts w:ascii="Arial Narrow" w:hAnsi="Arial Narrow"/>
          <w:sz w:val="18"/>
          <w:szCs w:val="18"/>
        </w:rPr>
        <w:t>Gershenwald</w:t>
      </w:r>
      <w:proofErr w:type="spellEnd"/>
      <w:r w:rsidRPr="00795225">
        <w:rPr>
          <w:rFonts w:ascii="Arial Narrow" w:hAnsi="Arial Narrow"/>
          <w:sz w:val="18"/>
          <w:szCs w:val="18"/>
        </w:rPr>
        <w:t xml:space="preserve"> JE, </w:t>
      </w:r>
      <w:proofErr w:type="spellStart"/>
      <w:r w:rsidRPr="00795225">
        <w:rPr>
          <w:rFonts w:ascii="Arial Narrow" w:hAnsi="Arial Narrow"/>
          <w:sz w:val="18"/>
          <w:szCs w:val="18"/>
        </w:rPr>
        <w:t>Scolyer</w:t>
      </w:r>
      <w:proofErr w:type="spellEnd"/>
      <w:r w:rsidRPr="00795225">
        <w:rPr>
          <w:rFonts w:ascii="Arial Narrow" w:hAnsi="Arial Narrow"/>
          <w:sz w:val="18"/>
          <w:szCs w:val="18"/>
        </w:rPr>
        <w:t xml:space="preserve"> RA. Melanoma Staging: American Joint Committee on Cancer (AJCC) 8</w:t>
      </w:r>
      <w:r w:rsidRPr="00795225">
        <w:rPr>
          <w:rFonts w:ascii="Arial Narrow" w:hAnsi="Arial Narrow"/>
          <w:sz w:val="18"/>
          <w:szCs w:val="18"/>
          <w:vertAlign w:val="superscript"/>
        </w:rPr>
        <w:t>th</w:t>
      </w:r>
      <w:r w:rsidRPr="00795225">
        <w:rPr>
          <w:rFonts w:ascii="Arial Narrow" w:hAnsi="Arial Narrow"/>
          <w:sz w:val="18"/>
          <w:szCs w:val="18"/>
        </w:rPr>
        <w:t xml:space="preserve"> edition and beyond. Annals of Surgical Oncology. 2018; 25(8): 2105-2110.</w:t>
      </w:r>
    </w:p>
    <w:p w:rsidR="00C2154E" w:rsidRPr="00795225" w:rsidRDefault="00C2154E" w:rsidP="008D1BDC">
      <w:pPr>
        <w:widowControl/>
      </w:pPr>
    </w:p>
    <w:p w:rsidR="00424B85" w:rsidRPr="00795225" w:rsidRDefault="00C2154E" w:rsidP="00DF2F9F">
      <w:pPr>
        <w:pStyle w:val="ListParagraph"/>
        <w:widowControl/>
        <w:numPr>
          <w:ilvl w:val="1"/>
          <w:numId w:val="1"/>
        </w:numPr>
      </w:pPr>
      <w:r w:rsidRPr="00795225">
        <w:t>The above comparison suggested that patients in the 8</w:t>
      </w:r>
      <w:r w:rsidRPr="00795225">
        <w:rPr>
          <w:vertAlign w:val="superscript"/>
        </w:rPr>
        <w:t>th</w:t>
      </w:r>
      <w:r w:rsidRPr="00795225">
        <w:t xml:space="preserve"> edition cohort had a more favourable survival profile across Stages IIIA, IIIB, and IIIC disease compared with patients with similar stage groupings in the 7</w:t>
      </w:r>
      <w:r w:rsidRPr="00795225">
        <w:rPr>
          <w:vertAlign w:val="superscript"/>
        </w:rPr>
        <w:t>th</w:t>
      </w:r>
      <w:r w:rsidRPr="00795225">
        <w:t xml:space="preserve"> edition</w:t>
      </w:r>
      <w:r w:rsidR="003C49F5">
        <w:t xml:space="preserve">. </w:t>
      </w:r>
      <w:r w:rsidR="001E117A" w:rsidRPr="00795225">
        <w:t xml:space="preserve">It </w:t>
      </w:r>
      <w:r w:rsidRPr="00795225">
        <w:t xml:space="preserve">should be noted that the two survival curves were based on populations with substantially different prognostic profiles. </w:t>
      </w:r>
      <w:proofErr w:type="spellStart"/>
      <w:r w:rsidRPr="00795225">
        <w:t>Gershenwald</w:t>
      </w:r>
      <w:proofErr w:type="spellEnd"/>
      <w:r w:rsidR="00B454C3" w:rsidRPr="00795225">
        <w:t xml:space="preserve"> (</w:t>
      </w:r>
      <w:r w:rsidRPr="00795225">
        <w:t>2018</w:t>
      </w:r>
      <w:r w:rsidR="00B454C3" w:rsidRPr="00795225">
        <w:t>)</w:t>
      </w:r>
      <w:r w:rsidRPr="00795225">
        <w:t xml:space="preserve"> noted that patients included in the 8</w:t>
      </w:r>
      <w:r w:rsidRPr="00795225">
        <w:rPr>
          <w:vertAlign w:val="superscript"/>
        </w:rPr>
        <w:t>th</w:t>
      </w:r>
      <w:r w:rsidRPr="00795225">
        <w:t xml:space="preserve"> edition analyses were diagnosed since 1988, whereas the 7</w:t>
      </w:r>
      <w:r w:rsidRPr="00795225">
        <w:rPr>
          <w:vertAlign w:val="superscript"/>
        </w:rPr>
        <w:t>th</w:t>
      </w:r>
      <w:r w:rsidRPr="00795225">
        <w:t xml:space="preserve"> edition analyses included patients diagnosed in the 1960s. The better disease-specific survival from the 8</w:t>
      </w:r>
      <w:r w:rsidRPr="00795225">
        <w:rPr>
          <w:vertAlign w:val="superscript"/>
        </w:rPr>
        <w:t>th</w:t>
      </w:r>
      <w:r w:rsidRPr="00795225">
        <w:t xml:space="preserve"> edition may be </w:t>
      </w:r>
      <w:r w:rsidR="00424B85" w:rsidRPr="00795225">
        <w:t xml:space="preserve">explained by </w:t>
      </w:r>
      <w:r w:rsidRPr="00795225">
        <w:t xml:space="preserve">the evolution of surgery, medicine, pathology and nuclear medicine. </w:t>
      </w:r>
      <w:r w:rsidR="00424B85" w:rsidRPr="00795225">
        <w:t xml:space="preserve">Additionally, the more recent development of post-recurrence therapies for </w:t>
      </w:r>
      <w:proofErr w:type="spellStart"/>
      <w:r w:rsidR="00424B85" w:rsidRPr="00795225">
        <w:t>unresectable</w:t>
      </w:r>
      <w:proofErr w:type="spellEnd"/>
      <w:r w:rsidR="00424B85" w:rsidRPr="00795225">
        <w:t xml:space="preserve"> </w:t>
      </w:r>
      <w:r w:rsidR="00BA5DBD" w:rsidRPr="00795225">
        <w:t xml:space="preserve">or metastatic </w:t>
      </w:r>
      <w:r w:rsidR="00424B85" w:rsidRPr="00795225">
        <w:t>melanoma (e.g. PD-1 inhibitors and targeted therapies) may mean that the stage-specific survival data presented in the 8</w:t>
      </w:r>
      <w:r w:rsidR="00424B85" w:rsidRPr="00795225">
        <w:rPr>
          <w:vertAlign w:val="superscript"/>
        </w:rPr>
        <w:t>th</w:t>
      </w:r>
      <w:r w:rsidR="00424B85" w:rsidRPr="00795225">
        <w:t xml:space="preserve"> edition were not applicable to the proposed PBS population or to the trial patients. Nonetheless, the ESC </w:t>
      </w:r>
      <w:r w:rsidR="00DF2F9F" w:rsidRPr="00795225">
        <w:t>noted that Stage III disease is associated with heterogeneous outcomes; five-year melanoma-specific survival rates range from 93% for Stage IIIA disease to 32% for Stage IIID disease (8</w:t>
      </w:r>
      <w:r w:rsidR="00DF2F9F" w:rsidRPr="00795225">
        <w:rPr>
          <w:vertAlign w:val="superscript"/>
        </w:rPr>
        <w:t>th</w:t>
      </w:r>
      <w:r w:rsidR="00DF2F9F" w:rsidRPr="00795225">
        <w:t xml:space="preserve"> edition), and </w:t>
      </w:r>
      <w:r w:rsidR="009E20AE" w:rsidRPr="00795225">
        <w:t>that the distribution of patients across the sub</w:t>
      </w:r>
      <w:r w:rsidR="00F25798" w:rsidRPr="00795225">
        <w:t>categorie</w:t>
      </w:r>
      <w:r w:rsidR="009E20AE" w:rsidRPr="00795225">
        <w:t xml:space="preserve">s in clinical practice may be different to that in CA238. In particular, use of nivolumab in a higher proportion </w:t>
      </w:r>
      <w:r w:rsidR="00F84DCF" w:rsidRPr="00795225">
        <w:t>of lower</w:t>
      </w:r>
      <w:r w:rsidR="00424B85" w:rsidRPr="00795225">
        <w:t xml:space="preserve"> risk Stage IIIA patients </w:t>
      </w:r>
      <w:r w:rsidR="009E20AE" w:rsidRPr="00795225">
        <w:t>would result in nivolumab being less cost-effective</w:t>
      </w:r>
      <w:r w:rsidR="00424B85" w:rsidRPr="00795225">
        <w:t>.</w:t>
      </w:r>
    </w:p>
    <w:p w:rsidR="00FC57BF" w:rsidRPr="00795225" w:rsidRDefault="007C41C3" w:rsidP="00C141B8">
      <w:pPr>
        <w:pStyle w:val="ListParagraph"/>
        <w:widowControl/>
        <w:numPr>
          <w:ilvl w:val="1"/>
          <w:numId w:val="1"/>
        </w:numPr>
      </w:pPr>
      <w:r w:rsidRPr="00795225">
        <w:t>No overall survival (OS) data were presented in the resubmission</w:t>
      </w:r>
      <w:r w:rsidR="00385A07" w:rsidRPr="00795225">
        <w:t xml:space="preserve">. The resubmission reproduced similar arguments as in the previous submission, regarding </w:t>
      </w:r>
      <w:r w:rsidR="00385A07" w:rsidRPr="00795225">
        <w:rPr>
          <w:rStyle w:val="Emphasis"/>
          <w:rFonts w:eastAsiaTheme="minorHAnsi"/>
          <w:i w:val="0"/>
        </w:rPr>
        <w:t>RFS as a surrogate for OS</w:t>
      </w:r>
      <w:r w:rsidR="00C141B8" w:rsidRPr="00795225">
        <w:rPr>
          <w:rStyle w:val="Emphasis"/>
          <w:rFonts w:eastAsiaTheme="minorHAnsi"/>
          <w:i w:val="0"/>
        </w:rPr>
        <w:t xml:space="preserve"> (although the RFS to OS surrogate relationship was no longer applied in the </w:t>
      </w:r>
      <w:r w:rsidR="00C132C8" w:rsidRPr="00795225">
        <w:rPr>
          <w:rStyle w:val="Emphasis"/>
          <w:rFonts w:eastAsiaTheme="minorHAnsi"/>
          <w:i w:val="0"/>
        </w:rPr>
        <w:t xml:space="preserve">economic </w:t>
      </w:r>
      <w:r w:rsidR="00C141B8" w:rsidRPr="00795225">
        <w:rPr>
          <w:rStyle w:val="Emphasis"/>
          <w:rFonts w:eastAsiaTheme="minorHAnsi"/>
          <w:i w:val="0"/>
        </w:rPr>
        <w:t>model)</w:t>
      </w:r>
      <w:r w:rsidR="00385A07" w:rsidRPr="00795225">
        <w:rPr>
          <w:rStyle w:val="Emphasis"/>
          <w:rFonts w:eastAsiaTheme="minorHAnsi"/>
          <w:i w:val="0"/>
        </w:rPr>
        <w:t>.</w:t>
      </w:r>
      <w:r w:rsidR="00385A07" w:rsidRPr="00795225">
        <w:t xml:space="preserve"> </w:t>
      </w:r>
      <w:r w:rsidR="00B5591F" w:rsidRPr="00795225">
        <w:t xml:space="preserve">OS remains the most clinically appropriate endpoint that would capture the </w:t>
      </w:r>
      <w:r w:rsidR="00A30949" w:rsidRPr="00795225">
        <w:t>“overall clinical benefit” associated with adjuvant nivolumab therapy in the completely resected curative setting.</w:t>
      </w:r>
      <w:r w:rsidR="003A64A6" w:rsidRPr="00795225">
        <w:t xml:space="preserve"> </w:t>
      </w:r>
      <w:r w:rsidR="00E16DFD" w:rsidRPr="00795225">
        <w:t xml:space="preserve">The ESC advised that DMFS </w:t>
      </w:r>
      <w:r w:rsidR="006649BC" w:rsidRPr="00795225">
        <w:t>may be more closely related to OS than RFS</w:t>
      </w:r>
      <w:r w:rsidR="00E16DFD" w:rsidRPr="00795225">
        <w:t>, although subject to similar levels of uncertainty in the absence of OS data.</w:t>
      </w:r>
    </w:p>
    <w:p w:rsidR="00CB75CE" w:rsidRPr="00795225" w:rsidRDefault="0071334E" w:rsidP="00F6558C">
      <w:pPr>
        <w:pStyle w:val="ListParagraph"/>
        <w:widowControl/>
        <w:numPr>
          <w:ilvl w:val="1"/>
          <w:numId w:val="1"/>
        </w:numPr>
        <w:tabs>
          <w:tab w:val="left" w:pos="7088"/>
        </w:tabs>
      </w:pPr>
      <w:r w:rsidRPr="00795225">
        <w:lastRenderedPageBreak/>
        <w:t xml:space="preserve">The resubmission argued that previous PBAC concerns regarding </w:t>
      </w:r>
      <w:r w:rsidR="000322D2" w:rsidRPr="00795225">
        <w:t>transitivity</w:t>
      </w:r>
      <w:r w:rsidR="00B454C3" w:rsidRPr="00795225">
        <w:t xml:space="preserve"> and </w:t>
      </w:r>
      <w:r w:rsidR="002B5639" w:rsidRPr="00795225">
        <w:t>applicability</w:t>
      </w:r>
      <w:r w:rsidR="000322D2" w:rsidRPr="00795225">
        <w:t xml:space="preserve"> issues </w:t>
      </w:r>
      <w:r w:rsidRPr="00795225">
        <w:t xml:space="preserve">across the CA238 and CA029 trials </w:t>
      </w:r>
      <w:r w:rsidR="00C132C8" w:rsidRPr="00795225">
        <w:t xml:space="preserve">(see </w:t>
      </w:r>
      <w:r w:rsidR="00DB5ACC" w:rsidRPr="00795225">
        <w:t>Table 2</w:t>
      </w:r>
      <w:r w:rsidR="00C132C8" w:rsidRPr="00795225">
        <w:t>)</w:t>
      </w:r>
      <w:r w:rsidR="00570F73" w:rsidRPr="00795225">
        <w:t xml:space="preserve">, including duration of follow-up, maturity of the data, average age of the patients and duration of </w:t>
      </w:r>
      <w:proofErr w:type="spellStart"/>
      <w:r w:rsidR="00875C6F" w:rsidRPr="00795225">
        <w:t>ipilimumab</w:t>
      </w:r>
      <w:proofErr w:type="spellEnd"/>
      <w:r w:rsidR="00875C6F" w:rsidRPr="00795225">
        <w:t xml:space="preserve"> </w:t>
      </w:r>
      <w:r w:rsidR="00570F73" w:rsidRPr="00795225">
        <w:t>treatment</w:t>
      </w:r>
      <w:r w:rsidR="00C132C8" w:rsidRPr="00795225">
        <w:t>,</w:t>
      </w:r>
      <w:r w:rsidR="004968EF" w:rsidRPr="00795225">
        <w:t xml:space="preserve"> </w:t>
      </w:r>
      <w:r w:rsidRPr="00795225">
        <w:t xml:space="preserve">were unlikely to impact the indirect comparison results </w:t>
      </w:r>
      <w:r w:rsidR="002966AD" w:rsidRPr="00795225">
        <w:t>as there was</w:t>
      </w:r>
      <w:r w:rsidR="00CB75CE" w:rsidRPr="00795225">
        <w:t>:</w:t>
      </w:r>
      <w:r w:rsidR="002966AD" w:rsidRPr="00795225">
        <w:t xml:space="preserve"> </w:t>
      </w:r>
    </w:p>
    <w:p w:rsidR="00CB75CE" w:rsidRPr="00795225" w:rsidRDefault="002966AD" w:rsidP="00EC5A97">
      <w:pPr>
        <w:pStyle w:val="ListParagraph"/>
        <w:widowControl/>
        <w:numPr>
          <w:ilvl w:val="0"/>
          <w:numId w:val="13"/>
        </w:numPr>
      </w:pPr>
      <w:r w:rsidRPr="00795225">
        <w:t xml:space="preserve">no evidence of effect modification (statistically significant </w:t>
      </w:r>
      <w:r w:rsidR="00B76DF9" w:rsidRPr="00795225">
        <w:t>hazard ratios (</w:t>
      </w:r>
      <w:r w:rsidRPr="00795225">
        <w:t>HR</w:t>
      </w:r>
      <w:r w:rsidR="00B76DF9" w:rsidRPr="00795225">
        <w:t>)) by disease sub</w:t>
      </w:r>
      <w:r w:rsidR="00D561B1" w:rsidRPr="00795225">
        <w:t>-</w:t>
      </w:r>
      <w:r w:rsidR="00B76DF9" w:rsidRPr="00795225">
        <w:t>stage</w:t>
      </w:r>
      <w:r w:rsidRPr="00795225">
        <w:t xml:space="preserve">, </w:t>
      </w:r>
    </w:p>
    <w:p w:rsidR="00CB75CE" w:rsidRPr="00795225" w:rsidRDefault="002966AD" w:rsidP="00EC5A97">
      <w:pPr>
        <w:pStyle w:val="ListParagraph"/>
        <w:widowControl/>
        <w:numPr>
          <w:ilvl w:val="0"/>
          <w:numId w:val="13"/>
        </w:numPr>
      </w:pPr>
      <w:r w:rsidRPr="00795225">
        <w:t xml:space="preserve">overlap of the </w:t>
      </w:r>
      <w:proofErr w:type="spellStart"/>
      <w:r w:rsidRPr="00795225">
        <w:t>ipilimumab</w:t>
      </w:r>
      <w:proofErr w:type="spellEnd"/>
      <w:r w:rsidRPr="00795225">
        <w:t xml:space="preserve"> RFS curves between the trials, and </w:t>
      </w:r>
    </w:p>
    <w:p w:rsidR="00B454C3" w:rsidRPr="00795225" w:rsidRDefault="00B454C3" w:rsidP="00EC5A97">
      <w:pPr>
        <w:pStyle w:val="ListParagraph"/>
        <w:widowControl/>
        <w:numPr>
          <w:ilvl w:val="0"/>
          <w:numId w:val="13"/>
        </w:numPr>
      </w:pPr>
      <w:r w:rsidRPr="00795225">
        <w:t xml:space="preserve">the </w:t>
      </w:r>
      <w:r w:rsidR="002966AD" w:rsidRPr="00795225">
        <w:t>results of the Wald’s test supporting the proportional hazards assumption.</w:t>
      </w:r>
    </w:p>
    <w:p w:rsidR="002B5639" w:rsidRPr="00795225" w:rsidRDefault="00E433D0" w:rsidP="00494961">
      <w:pPr>
        <w:pStyle w:val="ListParagraph"/>
        <w:widowControl/>
        <w:numPr>
          <w:ilvl w:val="1"/>
          <w:numId w:val="1"/>
        </w:numPr>
      </w:pPr>
      <w:r w:rsidRPr="00795225">
        <w:t>To explore the issue of the differen</w:t>
      </w:r>
      <w:r w:rsidR="00494961" w:rsidRPr="00795225">
        <w:t>t</w:t>
      </w:r>
      <w:r w:rsidRPr="00795225">
        <w:t xml:space="preserve"> duration</w:t>
      </w:r>
      <w:r w:rsidR="00494961" w:rsidRPr="00795225">
        <w:t>s</w:t>
      </w:r>
      <w:r w:rsidRPr="00795225">
        <w:t xml:space="preserve"> of </w:t>
      </w:r>
      <w:proofErr w:type="spellStart"/>
      <w:r w:rsidR="00F76A9B" w:rsidRPr="00795225">
        <w:t>ipilimumab</w:t>
      </w:r>
      <w:proofErr w:type="spellEnd"/>
      <w:r w:rsidR="00F76A9B" w:rsidRPr="00795225">
        <w:t xml:space="preserve"> </w:t>
      </w:r>
      <w:r w:rsidR="00494961" w:rsidRPr="00795225">
        <w:t>across the trials</w:t>
      </w:r>
      <w:r w:rsidRPr="00795225">
        <w:t xml:space="preserve">, </w:t>
      </w:r>
      <w:r w:rsidR="00C11589" w:rsidRPr="00795225">
        <w:t xml:space="preserve">an </w:t>
      </w:r>
      <w:r w:rsidRPr="00795225">
        <w:t xml:space="preserve">additional </w:t>
      </w:r>
      <w:r w:rsidR="00F76A9B" w:rsidRPr="00795225">
        <w:t xml:space="preserve">indirect treatment comparison (ITC) </w:t>
      </w:r>
      <w:r w:rsidRPr="00795225">
        <w:t>w</w:t>
      </w:r>
      <w:r w:rsidR="00C11589" w:rsidRPr="00795225">
        <w:t>as</w:t>
      </w:r>
      <w:r w:rsidRPr="00795225">
        <w:t xml:space="preserve"> presented in the PSCR</w:t>
      </w:r>
      <w:r w:rsidR="00F76A9B" w:rsidRPr="00795225">
        <w:t>,</w:t>
      </w:r>
      <w:r w:rsidR="00F84DCF" w:rsidRPr="00795225">
        <w:t xml:space="preserve"> </w:t>
      </w:r>
      <w:r w:rsidRPr="00795225">
        <w:t xml:space="preserve">which censored patients who received </w:t>
      </w:r>
      <w:r w:rsidR="00494961" w:rsidRPr="00795225">
        <w:t>more</w:t>
      </w:r>
      <w:r w:rsidRPr="00795225">
        <w:t xml:space="preserve"> than 12 months of treatment in the </w:t>
      </w:r>
      <w:proofErr w:type="spellStart"/>
      <w:r w:rsidR="00F76A9B" w:rsidRPr="00795225">
        <w:t>ipilimumab</w:t>
      </w:r>
      <w:proofErr w:type="spellEnd"/>
      <w:r w:rsidRPr="00795225">
        <w:t xml:space="preserve"> arm of CA029. The indirect treatment effect for RFS was estimated to be HR 0.57 (95%</w:t>
      </w:r>
      <w:r w:rsidR="00C132C8" w:rsidRPr="00795225">
        <w:t xml:space="preserve"> </w:t>
      </w:r>
      <w:r w:rsidRPr="00795225">
        <w:t>CI 0.44, 0.74). This compared with HR 0.50 (95%</w:t>
      </w:r>
      <w:r w:rsidR="00C132C8" w:rsidRPr="00795225">
        <w:t xml:space="preserve"> </w:t>
      </w:r>
      <w:r w:rsidRPr="00795225">
        <w:t xml:space="preserve">CI: 0.38, 0.65) </w:t>
      </w:r>
      <w:r w:rsidR="00A52C7C" w:rsidRPr="00795225">
        <w:t>without the censoring applied</w:t>
      </w:r>
      <w:r w:rsidR="003C3B17" w:rsidRPr="00795225">
        <w:t>.</w:t>
      </w:r>
      <w:r w:rsidRPr="00795225">
        <w:t xml:space="preserve"> </w:t>
      </w:r>
      <w:r w:rsidR="00211FC8" w:rsidRPr="00795225">
        <w:t>The ESC noted that b</w:t>
      </w:r>
      <w:r w:rsidR="005D0F94" w:rsidRPr="00795225">
        <w:t>ased on the point estimates</w:t>
      </w:r>
      <w:r w:rsidR="00F76A9B" w:rsidRPr="00795225">
        <w:t>,</w:t>
      </w:r>
      <w:r w:rsidR="005D0F94" w:rsidRPr="00795225">
        <w:t xml:space="preserve"> the longer duration of </w:t>
      </w:r>
      <w:proofErr w:type="spellStart"/>
      <w:r w:rsidR="00F76A9B" w:rsidRPr="00795225">
        <w:t>ipilimumab</w:t>
      </w:r>
      <w:proofErr w:type="spellEnd"/>
      <w:r w:rsidR="00F76A9B" w:rsidRPr="00795225">
        <w:t xml:space="preserve"> </w:t>
      </w:r>
      <w:r w:rsidR="005D0F94" w:rsidRPr="00795225">
        <w:t xml:space="preserve">in CA029 may have biased the </w:t>
      </w:r>
      <w:r w:rsidR="00C11589" w:rsidRPr="00795225">
        <w:t>ITC</w:t>
      </w:r>
      <w:r w:rsidR="005D0F94" w:rsidRPr="00795225">
        <w:t xml:space="preserve"> in favour of nivolumab</w:t>
      </w:r>
      <w:r w:rsidR="002704E2" w:rsidRPr="00795225">
        <w:t>.</w:t>
      </w:r>
      <w:r w:rsidR="005D0F94" w:rsidRPr="00795225">
        <w:t xml:space="preserve"> </w:t>
      </w:r>
    </w:p>
    <w:p w:rsidR="00B76DF9" w:rsidRPr="00795225" w:rsidRDefault="003C3B17" w:rsidP="00D736AF">
      <w:pPr>
        <w:pStyle w:val="ListParagraph"/>
        <w:widowControl/>
        <w:numPr>
          <w:ilvl w:val="1"/>
          <w:numId w:val="1"/>
        </w:numPr>
      </w:pPr>
      <w:r w:rsidRPr="00795225">
        <w:t>The</w:t>
      </w:r>
      <w:r w:rsidR="00B76DF9" w:rsidRPr="00795225">
        <w:t xml:space="preserve"> two trials </w:t>
      </w:r>
      <w:r w:rsidRPr="00795225">
        <w:t xml:space="preserve">used in the indirect comparison were </w:t>
      </w:r>
      <w:r w:rsidR="00B76DF9" w:rsidRPr="00795225">
        <w:t xml:space="preserve">conducted at different time points (initiation of the </w:t>
      </w:r>
      <w:r w:rsidR="00875C6F" w:rsidRPr="00795225">
        <w:t xml:space="preserve">CA029 trial was approximately seven years before </w:t>
      </w:r>
      <w:r w:rsidR="00B76DF9" w:rsidRPr="00795225">
        <w:t xml:space="preserve">CA238). It would be expected that the standard of surgical and pathological management of </w:t>
      </w:r>
      <w:proofErr w:type="spellStart"/>
      <w:r w:rsidR="00B76DF9" w:rsidRPr="00795225">
        <w:t>resectable</w:t>
      </w:r>
      <w:proofErr w:type="spellEnd"/>
      <w:r w:rsidR="00B76DF9" w:rsidRPr="00795225">
        <w:t xml:space="preserve"> disease would improve with time, as has been observed in Australian clinical practice</w:t>
      </w:r>
      <w:r w:rsidR="00A958E2" w:rsidRPr="00795225">
        <w:t xml:space="preserve"> (</w:t>
      </w:r>
      <w:proofErr w:type="spellStart"/>
      <w:r w:rsidR="00A958E2" w:rsidRPr="00795225">
        <w:t>Haydu</w:t>
      </w:r>
      <w:proofErr w:type="spellEnd"/>
      <w:r w:rsidR="008C5208" w:rsidRPr="00795225">
        <w:t>,</w:t>
      </w:r>
      <w:r w:rsidR="00E0698F" w:rsidRPr="00795225">
        <w:t xml:space="preserve"> </w:t>
      </w:r>
      <w:r w:rsidR="00B454C3" w:rsidRPr="00795225">
        <w:t>2017).</w:t>
      </w:r>
      <w:r w:rsidR="00B76DF9" w:rsidRPr="00795225">
        <w:t xml:space="preserve"> This raise</w:t>
      </w:r>
      <w:r w:rsidR="00875C6F" w:rsidRPr="00795225">
        <w:t>d</w:t>
      </w:r>
      <w:r w:rsidR="00B76DF9" w:rsidRPr="00795225">
        <w:t xml:space="preserve"> the following concerns: 1) the likelihood that patients enrolled in CA238 may have had a lower risk of disease recurrence, after resection, compared to patients in CA029, and 2) the applicability of the CA029 placebo arm to current Australian clinical practice.</w:t>
      </w:r>
    </w:p>
    <w:p w:rsidR="00A23488" w:rsidRPr="00795225" w:rsidRDefault="00A23488" w:rsidP="00D736AF">
      <w:pPr>
        <w:pStyle w:val="ListParagraph"/>
        <w:widowControl/>
        <w:numPr>
          <w:ilvl w:val="1"/>
          <w:numId w:val="1"/>
        </w:numPr>
      </w:pPr>
      <w:r w:rsidRPr="00795225">
        <w:t xml:space="preserve">In summary, </w:t>
      </w:r>
      <w:r w:rsidR="00A85496" w:rsidRPr="00795225">
        <w:t>the resubmission</w:t>
      </w:r>
      <w:r w:rsidRPr="00795225">
        <w:t xml:space="preserve"> presented a non-randomised comparison between two trials with patients </w:t>
      </w:r>
      <w:r w:rsidR="002704E2" w:rsidRPr="00795225">
        <w:t xml:space="preserve">who </w:t>
      </w:r>
      <w:r w:rsidRPr="00795225">
        <w:t>have varying prognosis. The</w:t>
      </w:r>
      <w:r w:rsidR="002704E2" w:rsidRPr="00795225">
        <w:t xml:space="preserve"> ESC considered the</w:t>
      </w:r>
      <w:r w:rsidRPr="00795225">
        <w:t xml:space="preserve"> synthesised indirect HR </w:t>
      </w:r>
      <w:r w:rsidR="00C11589" w:rsidRPr="00795225">
        <w:t>to be</w:t>
      </w:r>
      <w:r w:rsidRPr="00795225">
        <w:t xml:space="preserve"> </w:t>
      </w:r>
      <w:r w:rsidR="002704E2" w:rsidRPr="00795225">
        <w:t>unreliable</w:t>
      </w:r>
      <w:r w:rsidRPr="00795225">
        <w:t xml:space="preserve"> </w:t>
      </w:r>
      <w:r w:rsidR="002704E2" w:rsidRPr="00795225">
        <w:t>given the noted transitivity issues</w:t>
      </w:r>
      <w:r w:rsidRPr="00795225">
        <w:t>.</w:t>
      </w:r>
      <w:r w:rsidR="008627BC" w:rsidRPr="00795225">
        <w:t xml:space="preserve"> The ESC further noted RFS and DFMS are composite outcomes and the </w:t>
      </w:r>
      <w:r w:rsidR="00C11589" w:rsidRPr="00795225">
        <w:t xml:space="preserve">results for the </w:t>
      </w:r>
      <w:r w:rsidR="008627BC" w:rsidRPr="00795225">
        <w:t>components were not compared across the trials.</w:t>
      </w:r>
    </w:p>
    <w:p w:rsidR="00A23488" w:rsidRPr="00795225" w:rsidRDefault="00A23488" w:rsidP="008D1BDC">
      <w:pPr>
        <w:pStyle w:val="Heading2"/>
        <w:widowControl/>
        <w:jc w:val="left"/>
      </w:pPr>
      <w:bookmarkStart w:id="13" w:name="_Toc536007258"/>
      <w:r w:rsidRPr="00795225">
        <w:t>Comparative effectiveness</w:t>
      </w:r>
      <w:bookmarkEnd w:id="13"/>
    </w:p>
    <w:p w:rsidR="00410F2D" w:rsidRPr="00795225" w:rsidRDefault="00DB5ACC" w:rsidP="00D736AF">
      <w:pPr>
        <w:pStyle w:val="ListParagraph"/>
        <w:widowControl/>
        <w:numPr>
          <w:ilvl w:val="1"/>
          <w:numId w:val="1"/>
        </w:numPr>
      </w:pPr>
      <w:r w:rsidRPr="00795225">
        <w:t>Table 5</w:t>
      </w:r>
      <w:r w:rsidR="00373098" w:rsidRPr="00795225">
        <w:t xml:space="preserve"> </w:t>
      </w:r>
      <w:r w:rsidR="002966AD" w:rsidRPr="00795225">
        <w:t>summarises the indirect comparison results</w:t>
      </w:r>
      <w:r w:rsidR="00B168B0" w:rsidRPr="00795225">
        <w:t xml:space="preserve"> for the primary outcome, RFS</w:t>
      </w:r>
      <w:r w:rsidR="00373098" w:rsidRPr="00795225">
        <w:rPr>
          <w:color w:val="000000" w:themeColor="text1"/>
        </w:rPr>
        <w:t>.</w:t>
      </w:r>
    </w:p>
    <w:p w:rsidR="00013680" w:rsidRPr="00795225" w:rsidRDefault="009E380F" w:rsidP="008D1BDC">
      <w:pPr>
        <w:pStyle w:val="Caption"/>
        <w:widowControl/>
        <w:rPr>
          <w:rStyle w:val="CommentReference"/>
        </w:rPr>
      </w:pPr>
      <w:bookmarkStart w:id="14" w:name="_Ref533690642"/>
      <w:r w:rsidRPr="00795225">
        <w:lastRenderedPageBreak/>
        <w:t xml:space="preserve">Table </w:t>
      </w:r>
      <w:r w:rsidR="00DB5ACC" w:rsidRPr="00795225">
        <w:t>5</w:t>
      </w:r>
      <w:bookmarkEnd w:id="14"/>
      <w:r w:rsidRPr="00795225">
        <w:t xml:space="preserve">: </w:t>
      </w:r>
      <w:r w:rsidR="00013680" w:rsidRPr="00795225">
        <w:t>Results of the indirect comparison of RFS with updated data from CA238 (nivolumab versus placebo)</w:t>
      </w:r>
    </w:p>
    <w:tbl>
      <w:tblPr>
        <w:tblStyle w:val="TableGrid"/>
        <w:tblW w:w="5000" w:type="pct"/>
        <w:tblLook w:val="04A0" w:firstRow="1" w:lastRow="0" w:firstColumn="1" w:lastColumn="0" w:noHBand="0" w:noVBand="1"/>
        <w:tblCaption w:val="Table 5: Results of the indirect comparison of RFS with updated data from CA238 (nivolumab versus placebo)"/>
      </w:tblPr>
      <w:tblGrid>
        <w:gridCol w:w="2547"/>
        <w:gridCol w:w="1701"/>
        <w:gridCol w:w="1702"/>
        <w:gridCol w:w="1558"/>
        <w:gridCol w:w="1509"/>
      </w:tblGrid>
      <w:tr w:rsidR="00013680" w:rsidRPr="00795225" w:rsidTr="007E6CED">
        <w:trPr>
          <w:tblHeader/>
        </w:trPr>
        <w:tc>
          <w:tcPr>
            <w:tcW w:w="1412" w:type="pct"/>
            <w:vMerge w:val="restart"/>
            <w:tcMar>
              <w:left w:w="28" w:type="dxa"/>
              <w:right w:w="28" w:type="dxa"/>
            </w:tcMar>
          </w:tcPr>
          <w:p w:rsidR="00013680" w:rsidRPr="00795225" w:rsidRDefault="00013680" w:rsidP="008D1BDC">
            <w:pPr>
              <w:pStyle w:val="Tabletext"/>
              <w:keepNext/>
              <w:rPr>
                <w:b/>
              </w:rPr>
            </w:pPr>
          </w:p>
        </w:tc>
        <w:tc>
          <w:tcPr>
            <w:tcW w:w="1887" w:type="pct"/>
            <w:gridSpan w:val="2"/>
            <w:tcMar>
              <w:left w:w="28" w:type="dxa"/>
              <w:right w:w="28" w:type="dxa"/>
            </w:tcMar>
          </w:tcPr>
          <w:p w:rsidR="00013680" w:rsidRPr="00795225" w:rsidRDefault="00013680" w:rsidP="008D1BDC">
            <w:pPr>
              <w:pStyle w:val="Tabletext"/>
              <w:keepNext/>
              <w:jc w:val="center"/>
              <w:rPr>
                <w:b/>
              </w:rPr>
            </w:pPr>
            <w:r w:rsidRPr="00795225">
              <w:rPr>
                <w:b/>
              </w:rPr>
              <w:t>CA238</w:t>
            </w:r>
          </w:p>
          <w:p w:rsidR="00013680" w:rsidRPr="00795225" w:rsidRDefault="00013680" w:rsidP="008D1BDC">
            <w:pPr>
              <w:pStyle w:val="Tabletext"/>
              <w:keepNext/>
              <w:jc w:val="center"/>
              <w:rPr>
                <w:b/>
              </w:rPr>
            </w:pPr>
            <w:r w:rsidRPr="00795225">
              <w:rPr>
                <w:b/>
              </w:rPr>
              <w:t>ITT: Stage IIIB, IIIC or IV</w:t>
            </w:r>
          </w:p>
          <w:p w:rsidR="00013680" w:rsidRPr="00795225" w:rsidRDefault="00013680" w:rsidP="008D1BDC">
            <w:pPr>
              <w:pStyle w:val="Tabletext"/>
              <w:keepNext/>
              <w:jc w:val="center"/>
              <w:rPr>
                <w:b/>
              </w:rPr>
            </w:pPr>
            <w:r w:rsidRPr="00795225">
              <w:rPr>
                <w:b/>
              </w:rPr>
              <w:t>7</w:t>
            </w:r>
            <w:r w:rsidRPr="00795225">
              <w:rPr>
                <w:b/>
                <w:vertAlign w:val="superscript"/>
              </w:rPr>
              <w:t>th</w:t>
            </w:r>
            <w:r w:rsidRPr="00795225">
              <w:rPr>
                <w:b/>
              </w:rPr>
              <w:t xml:space="preserve"> AJCC </w:t>
            </w:r>
            <w:r w:rsidR="007A5DC1" w:rsidRPr="00795225">
              <w:rPr>
                <w:b/>
              </w:rPr>
              <w:t>edition</w:t>
            </w:r>
            <w:r w:rsidRPr="00795225">
              <w:rPr>
                <w:b/>
              </w:rPr>
              <w:t>.</w:t>
            </w:r>
          </w:p>
        </w:tc>
        <w:tc>
          <w:tcPr>
            <w:tcW w:w="1701" w:type="pct"/>
            <w:gridSpan w:val="2"/>
            <w:tcMar>
              <w:left w:w="28" w:type="dxa"/>
              <w:right w:w="28" w:type="dxa"/>
            </w:tcMar>
          </w:tcPr>
          <w:p w:rsidR="00013680" w:rsidRPr="00795225" w:rsidRDefault="00013680" w:rsidP="008D1BDC">
            <w:pPr>
              <w:pStyle w:val="Tabletext"/>
              <w:keepNext/>
              <w:jc w:val="center"/>
              <w:rPr>
                <w:b/>
              </w:rPr>
            </w:pPr>
            <w:r w:rsidRPr="00795225">
              <w:rPr>
                <w:b/>
              </w:rPr>
              <w:t>CA029</w:t>
            </w:r>
          </w:p>
          <w:p w:rsidR="00EA6CCC" w:rsidRPr="00795225" w:rsidRDefault="00EA6CCC" w:rsidP="008D1BDC">
            <w:pPr>
              <w:pStyle w:val="Tabletext"/>
              <w:keepNext/>
              <w:jc w:val="center"/>
              <w:rPr>
                <w:b/>
              </w:rPr>
            </w:pPr>
            <w:r w:rsidRPr="00795225">
              <w:rPr>
                <w:b/>
              </w:rPr>
              <w:t>Stage III</w:t>
            </w:r>
            <w:r w:rsidR="00C132C8" w:rsidRPr="00795225">
              <w:rPr>
                <w:b/>
              </w:rPr>
              <w:t>A, IIIB, IIIC</w:t>
            </w:r>
          </w:p>
          <w:p w:rsidR="00EA6CCC" w:rsidRPr="00795225" w:rsidRDefault="00EA6CCC" w:rsidP="008D1BDC">
            <w:pPr>
              <w:pStyle w:val="Tabletext"/>
              <w:keepNext/>
              <w:jc w:val="center"/>
              <w:rPr>
                <w:b/>
              </w:rPr>
            </w:pPr>
            <w:r w:rsidRPr="00795225">
              <w:rPr>
                <w:b/>
              </w:rPr>
              <w:t>6</w:t>
            </w:r>
            <w:r w:rsidRPr="00795225">
              <w:rPr>
                <w:b/>
                <w:vertAlign w:val="superscript"/>
              </w:rPr>
              <w:t>th</w:t>
            </w:r>
            <w:r w:rsidRPr="00795225">
              <w:rPr>
                <w:b/>
              </w:rPr>
              <w:t xml:space="preserve"> AJCC </w:t>
            </w:r>
            <w:r w:rsidR="007A5DC1" w:rsidRPr="00795225">
              <w:rPr>
                <w:b/>
              </w:rPr>
              <w:t>edition</w:t>
            </w:r>
          </w:p>
        </w:tc>
      </w:tr>
      <w:tr w:rsidR="00013680" w:rsidRPr="00795225" w:rsidTr="007E6CED">
        <w:trPr>
          <w:tblHeader/>
        </w:trPr>
        <w:tc>
          <w:tcPr>
            <w:tcW w:w="1412" w:type="pct"/>
            <w:vMerge/>
            <w:tcMar>
              <w:left w:w="28" w:type="dxa"/>
              <w:right w:w="28" w:type="dxa"/>
            </w:tcMar>
          </w:tcPr>
          <w:p w:rsidR="00013680" w:rsidRPr="00795225" w:rsidRDefault="00013680" w:rsidP="008D1BDC">
            <w:pPr>
              <w:pStyle w:val="Tabletext"/>
              <w:keepNext/>
              <w:rPr>
                <w:b/>
              </w:rPr>
            </w:pPr>
          </w:p>
        </w:tc>
        <w:tc>
          <w:tcPr>
            <w:tcW w:w="943" w:type="pct"/>
            <w:tcMar>
              <w:left w:w="28" w:type="dxa"/>
              <w:right w:w="28" w:type="dxa"/>
            </w:tcMar>
          </w:tcPr>
          <w:p w:rsidR="00013680" w:rsidRPr="00795225" w:rsidRDefault="00013680" w:rsidP="008D1BDC">
            <w:pPr>
              <w:pStyle w:val="Tabletext"/>
              <w:keepNext/>
              <w:jc w:val="center"/>
              <w:rPr>
                <w:b/>
              </w:rPr>
            </w:pPr>
            <w:r w:rsidRPr="00795225">
              <w:rPr>
                <w:b/>
              </w:rPr>
              <w:t>Nivolumab</w:t>
            </w:r>
          </w:p>
          <w:p w:rsidR="00013680" w:rsidRPr="00795225" w:rsidRDefault="00013680" w:rsidP="008D1BDC">
            <w:pPr>
              <w:pStyle w:val="Tabletext"/>
              <w:keepNext/>
              <w:jc w:val="center"/>
              <w:rPr>
                <w:b/>
              </w:rPr>
            </w:pPr>
            <w:r w:rsidRPr="00795225">
              <w:rPr>
                <w:b/>
              </w:rPr>
              <w:t>N</w:t>
            </w:r>
            <w:r w:rsidR="00C132C8" w:rsidRPr="00795225">
              <w:rPr>
                <w:b/>
              </w:rPr>
              <w:t xml:space="preserve"> </w:t>
            </w:r>
            <w:r w:rsidRPr="00795225">
              <w:rPr>
                <w:b/>
              </w:rPr>
              <w:t>=</w:t>
            </w:r>
            <w:r w:rsidR="00C132C8" w:rsidRPr="00795225">
              <w:rPr>
                <w:b/>
              </w:rPr>
              <w:t xml:space="preserve"> </w:t>
            </w:r>
            <w:r w:rsidRPr="00795225">
              <w:rPr>
                <w:b/>
              </w:rPr>
              <w:t>453</w:t>
            </w:r>
          </w:p>
        </w:tc>
        <w:tc>
          <w:tcPr>
            <w:tcW w:w="944" w:type="pct"/>
            <w:tcMar>
              <w:left w:w="28" w:type="dxa"/>
              <w:right w:w="28" w:type="dxa"/>
            </w:tcMar>
          </w:tcPr>
          <w:p w:rsidR="00013680" w:rsidRPr="00795225" w:rsidRDefault="00013680" w:rsidP="008D1BDC">
            <w:pPr>
              <w:pStyle w:val="Tabletext"/>
              <w:keepNext/>
              <w:jc w:val="center"/>
              <w:rPr>
                <w:b/>
              </w:rPr>
            </w:pPr>
            <w:r w:rsidRPr="00795225">
              <w:rPr>
                <w:b/>
              </w:rPr>
              <w:t>Ipilimumab</w:t>
            </w:r>
          </w:p>
          <w:p w:rsidR="00013680" w:rsidRPr="00795225" w:rsidRDefault="00013680" w:rsidP="008D1BDC">
            <w:pPr>
              <w:pStyle w:val="Tabletext"/>
              <w:keepNext/>
              <w:jc w:val="center"/>
              <w:rPr>
                <w:b/>
              </w:rPr>
            </w:pPr>
            <w:r w:rsidRPr="00795225">
              <w:rPr>
                <w:b/>
              </w:rPr>
              <w:t>N</w:t>
            </w:r>
            <w:r w:rsidR="00C132C8" w:rsidRPr="00795225">
              <w:rPr>
                <w:b/>
              </w:rPr>
              <w:t xml:space="preserve"> </w:t>
            </w:r>
            <w:r w:rsidRPr="00795225">
              <w:rPr>
                <w:b/>
              </w:rPr>
              <w:t>=</w:t>
            </w:r>
            <w:r w:rsidR="00C132C8" w:rsidRPr="00795225">
              <w:rPr>
                <w:b/>
              </w:rPr>
              <w:t xml:space="preserve"> </w:t>
            </w:r>
            <w:r w:rsidRPr="00795225">
              <w:rPr>
                <w:b/>
              </w:rPr>
              <w:t>453</w:t>
            </w:r>
          </w:p>
        </w:tc>
        <w:tc>
          <w:tcPr>
            <w:tcW w:w="864" w:type="pct"/>
            <w:tcMar>
              <w:left w:w="28" w:type="dxa"/>
              <w:right w:w="28" w:type="dxa"/>
            </w:tcMar>
          </w:tcPr>
          <w:p w:rsidR="00013680" w:rsidRPr="00795225" w:rsidRDefault="00013680" w:rsidP="008D1BDC">
            <w:pPr>
              <w:pStyle w:val="Tabletext"/>
              <w:keepNext/>
              <w:jc w:val="center"/>
              <w:rPr>
                <w:b/>
              </w:rPr>
            </w:pPr>
            <w:r w:rsidRPr="00795225">
              <w:rPr>
                <w:b/>
              </w:rPr>
              <w:t>Ipilimumab</w:t>
            </w:r>
          </w:p>
          <w:p w:rsidR="00013680" w:rsidRPr="00795225" w:rsidRDefault="00013680" w:rsidP="008D1BDC">
            <w:pPr>
              <w:pStyle w:val="Tabletext"/>
              <w:keepNext/>
              <w:jc w:val="center"/>
              <w:rPr>
                <w:b/>
              </w:rPr>
            </w:pPr>
            <w:r w:rsidRPr="00795225">
              <w:rPr>
                <w:b/>
              </w:rPr>
              <w:t>N</w:t>
            </w:r>
            <w:r w:rsidR="00C132C8" w:rsidRPr="00795225">
              <w:rPr>
                <w:b/>
              </w:rPr>
              <w:t xml:space="preserve"> </w:t>
            </w:r>
            <w:r w:rsidRPr="00795225">
              <w:rPr>
                <w:b/>
              </w:rPr>
              <w:t>=</w:t>
            </w:r>
            <w:r w:rsidR="00C132C8" w:rsidRPr="00795225">
              <w:rPr>
                <w:b/>
              </w:rPr>
              <w:t xml:space="preserve"> </w:t>
            </w:r>
            <w:r w:rsidRPr="00795225">
              <w:rPr>
                <w:b/>
              </w:rPr>
              <w:t>475</w:t>
            </w:r>
          </w:p>
        </w:tc>
        <w:tc>
          <w:tcPr>
            <w:tcW w:w="837" w:type="pct"/>
            <w:tcMar>
              <w:left w:w="28" w:type="dxa"/>
              <w:right w:w="28" w:type="dxa"/>
            </w:tcMar>
          </w:tcPr>
          <w:p w:rsidR="00013680" w:rsidRPr="00795225" w:rsidRDefault="00013680" w:rsidP="008D1BDC">
            <w:pPr>
              <w:pStyle w:val="Tabletext"/>
              <w:keepNext/>
              <w:jc w:val="center"/>
              <w:rPr>
                <w:b/>
              </w:rPr>
            </w:pPr>
            <w:r w:rsidRPr="00795225">
              <w:rPr>
                <w:b/>
              </w:rPr>
              <w:t>Placebo</w:t>
            </w:r>
          </w:p>
          <w:p w:rsidR="00013680" w:rsidRPr="00795225" w:rsidRDefault="00013680" w:rsidP="008D1BDC">
            <w:pPr>
              <w:pStyle w:val="Tabletext"/>
              <w:keepNext/>
              <w:jc w:val="center"/>
              <w:rPr>
                <w:b/>
              </w:rPr>
            </w:pPr>
            <w:r w:rsidRPr="00795225">
              <w:rPr>
                <w:b/>
              </w:rPr>
              <w:t>N</w:t>
            </w:r>
            <w:r w:rsidR="00C132C8" w:rsidRPr="00795225">
              <w:rPr>
                <w:b/>
              </w:rPr>
              <w:t xml:space="preserve"> </w:t>
            </w:r>
            <w:r w:rsidRPr="00795225">
              <w:rPr>
                <w:b/>
              </w:rPr>
              <w:t>=</w:t>
            </w:r>
            <w:r w:rsidR="00C132C8" w:rsidRPr="00795225">
              <w:rPr>
                <w:b/>
              </w:rPr>
              <w:t xml:space="preserve"> </w:t>
            </w:r>
            <w:r w:rsidRPr="00795225">
              <w:rPr>
                <w:b/>
              </w:rPr>
              <w:t>476</w:t>
            </w:r>
          </w:p>
        </w:tc>
      </w:tr>
      <w:tr w:rsidR="00013680" w:rsidRPr="00795225" w:rsidTr="007E6CED">
        <w:tc>
          <w:tcPr>
            <w:tcW w:w="1412" w:type="pct"/>
            <w:tcMar>
              <w:left w:w="28" w:type="dxa"/>
              <w:right w:w="28" w:type="dxa"/>
            </w:tcMar>
          </w:tcPr>
          <w:p w:rsidR="00013680" w:rsidRPr="00795225" w:rsidRDefault="00013680" w:rsidP="008D1BDC">
            <w:pPr>
              <w:pStyle w:val="Tabletext"/>
              <w:keepNext/>
            </w:pPr>
            <w:r w:rsidRPr="00795225">
              <w:t>Follow-up</w:t>
            </w:r>
          </w:p>
        </w:tc>
        <w:tc>
          <w:tcPr>
            <w:tcW w:w="1887" w:type="pct"/>
            <w:gridSpan w:val="2"/>
            <w:tcMar>
              <w:left w:w="28" w:type="dxa"/>
              <w:right w:w="28" w:type="dxa"/>
            </w:tcMar>
          </w:tcPr>
          <w:p w:rsidR="00013680" w:rsidRPr="00795225" w:rsidRDefault="00013680" w:rsidP="008D1BDC">
            <w:pPr>
              <w:pStyle w:val="Tabletext"/>
              <w:keepNext/>
              <w:jc w:val="center"/>
            </w:pPr>
            <w:r w:rsidRPr="00795225">
              <w:t>Minimum 24 months</w:t>
            </w:r>
          </w:p>
        </w:tc>
        <w:tc>
          <w:tcPr>
            <w:tcW w:w="1701" w:type="pct"/>
            <w:gridSpan w:val="2"/>
            <w:tcMar>
              <w:left w:w="28" w:type="dxa"/>
              <w:right w:w="28" w:type="dxa"/>
            </w:tcMar>
          </w:tcPr>
          <w:p w:rsidR="00013680" w:rsidRPr="00795225" w:rsidRDefault="00013680" w:rsidP="008D1BDC">
            <w:pPr>
              <w:pStyle w:val="Tabletext"/>
              <w:keepNext/>
              <w:jc w:val="center"/>
            </w:pPr>
            <w:r w:rsidRPr="00795225">
              <w:t>Median 2.7 years</w:t>
            </w:r>
          </w:p>
        </w:tc>
      </w:tr>
      <w:tr w:rsidR="00013680" w:rsidRPr="00795225" w:rsidTr="007E6CED">
        <w:tc>
          <w:tcPr>
            <w:tcW w:w="1412" w:type="pct"/>
            <w:tcMar>
              <w:left w:w="28" w:type="dxa"/>
              <w:right w:w="28" w:type="dxa"/>
            </w:tcMar>
          </w:tcPr>
          <w:p w:rsidR="00013680" w:rsidRPr="00795225" w:rsidRDefault="00013680" w:rsidP="008D1BDC">
            <w:pPr>
              <w:pStyle w:val="Tabletext"/>
              <w:keepNext/>
            </w:pPr>
            <w:r w:rsidRPr="00795225">
              <w:t>Events, n (%)</w:t>
            </w:r>
          </w:p>
        </w:tc>
        <w:tc>
          <w:tcPr>
            <w:tcW w:w="943" w:type="pct"/>
            <w:tcMar>
              <w:left w:w="28" w:type="dxa"/>
              <w:right w:w="28" w:type="dxa"/>
            </w:tcMar>
          </w:tcPr>
          <w:p w:rsidR="00013680" w:rsidRPr="00795225" w:rsidRDefault="00013680" w:rsidP="008D1BDC">
            <w:pPr>
              <w:pStyle w:val="Tabletext"/>
              <w:keepNext/>
              <w:jc w:val="center"/>
            </w:pPr>
            <w:r w:rsidRPr="00795225">
              <w:t>171 (37.7</w:t>
            </w:r>
            <w:r w:rsidR="00C132C8" w:rsidRPr="00795225">
              <w:t>%</w:t>
            </w:r>
            <w:r w:rsidRPr="00795225">
              <w:t>)</w:t>
            </w:r>
          </w:p>
        </w:tc>
        <w:tc>
          <w:tcPr>
            <w:tcW w:w="944" w:type="pct"/>
            <w:tcMar>
              <w:left w:w="28" w:type="dxa"/>
              <w:right w:w="28" w:type="dxa"/>
            </w:tcMar>
          </w:tcPr>
          <w:p w:rsidR="00013680" w:rsidRPr="00795225" w:rsidRDefault="00013680" w:rsidP="008D1BDC">
            <w:pPr>
              <w:pStyle w:val="Tabletext"/>
              <w:keepNext/>
              <w:jc w:val="center"/>
            </w:pPr>
            <w:r w:rsidRPr="00795225">
              <w:t>221 (48.8</w:t>
            </w:r>
            <w:r w:rsidR="00C132C8" w:rsidRPr="00795225">
              <w:t>%</w:t>
            </w:r>
            <w:r w:rsidRPr="00795225">
              <w:t>)</w:t>
            </w:r>
          </w:p>
        </w:tc>
        <w:tc>
          <w:tcPr>
            <w:tcW w:w="864" w:type="pct"/>
            <w:tcMar>
              <w:left w:w="28" w:type="dxa"/>
              <w:right w:w="28" w:type="dxa"/>
            </w:tcMar>
          </w:tcPr>
          <w:p w:rsidR="00013680" w:rsidRPr="00795225" w:rsidRDefault="00013680" w:rsidP="008D1BDC">
            <w:pPr>
              <w:pStyle w:val="Tabletext"/>
              <w:keepNext/>
              <w:jc w:val="center"/>
            </w:pPr>
            <w:r w:rsidRPr="00795225">
              <w:t>234 (49.3</w:t>
            </w:r>
            <w:r w:rsidR="00C132C8" w:rsidRPr="00795225">
              <w:t>%</w:t>
            </w:r>
            <w:r w:rsidRPr="00795225">
              <w:t>)</w:t>
            </w:r>
          </w:p>
        </w:tc>
        <w:tc>
          <w:tcPr>
            <w:tcW w:w="837" w:type="pct"/>
            <w:tcMar>
              <w:left w:w="28" w:type="dxa"/>
              <w:right w:w="28" w:type="dxa"/>
            </w:tcMar>
          </w:tcPr>
          <w:p w:rsidR="00013680" w:rsidRPr="00795225" w:rsidRDefault="00013680" w:rsidP="008D1BDC">
            <w:pPr>
              <w:pStyle w:val="Tabletext"/>
              <w:keepNext/>
              <w:jc w:val="center"/>
            </w:pPr>
            <w:r w:rsidRPr="00795225">
              <w:t>294 (61.8</w:t>
            </w:r>
            <w:r w:rsidR="00C132C8" w:rsidRPr="00795225">
              <w:t>%</w:t>
            </w:r>
            <w:r w:rsidRPr="00795225">
              <w:t>)</w:t>
            </w:r>
          </w:p>
        </w:tc>
      </w:tr>
      <w:tr w:rsidR="00013680" w:rsidRPr="00795225" w:rsidTr="007E6CED">
        <w:tc>
          <w:tcPr>
            <w:tcW w:w="1412" w:type="pct"/>
            <w:tcMar>
              <w:left w:w="28" w:type="dxa"/>
              <w:right w:w="28" w:type="dxa"/>
            </w:tcMar>
          </w:tcPr>
          <w:p w:rsidR="00013680" w:rsidRPr="00795225" w:rsidRDefault="00013680" w:rsidP="008D1BDC">
            <w:pPr>
              <w:pStyle w:val="Tabletext"/>
              <w:keepNext/>
            </w:pPr>
            <w:r w:rsidRPr="00795225">
              <w:t>Median RFS</w:t>
            </w:r>
            <w:r w:rsidR="00B767A3" w:rsidRPr="00795225">
              <w:t>, months</w:t>
            </w:r>
            <w:r w:rsidRPr="00795225">
              <w:t xml:space="preserve"> (95% CI)</w:t>
            </w:r>
          </w:p>
        </w:tc>
        <w:tc>
          <w:tcPr>
            <w:tcW w:w="943" w:type="pct"/>
            <w:tcMar>
              <w:left w:w="28" w:type="dxa"/>
              <w:right w:w="28" w:type="dxa"/>
            </w:tcMar>
            <w:vAlign w:val="center"/>
          </w:tcPr>
          <w:p w:rsidR="00013680" w:rsidRPr="00795225" w:rsidRDefault="00013680" w:rsidP="008D1BDC">
            <w:pPr>
              <w:pStyle w:val="Tabletext"/>
              <w:keepNext/>
              <w:jc w:val="center"/>
            </w:pPr>
            <w:r w:rsidRPr="00795225">
              <w:t>30.75 (30.75, NC)</w:t>
            </w:r>
          </w:p>
        </w:tc>
        <w:tc>
          <w:tcPr>
            <w:tcW w:w="944" w:type="pct"/>
            <w:tcMar>
              <w:left w:w="28" w:type="dxa"/>
              <w:right w:w="28" w:type="dxa"/>
            </w:tcMar>
            <w:vAlign w:val="center"/>
          </w:tcPr>
          <w:p w:rsidR="00013680" w:rsidRPr="00795225" w:rsidRDefault="00013680" w:rsidP="008D1BDC">
            <w:pPr>
              <w:pStyle w:val="Tabletext"/>
              <w:keepNext/>
              <w:jc w:val="center"/>
            </w:pPr>
            <w:r w:rsidRPr="00795225">
              <w:t>24.08 (16.56, NC)</w:t>
            </w:r>
          </w:p>
        </w:tc>
        <w:tc>
          <w:tcPr>
            <w:tcW w:w="864" w:type="pct"/>
            <w:tcMar>
              <w:left w:w="28" w:type="dxa"/>
              <w:right w:w="28" w:type="dxa"/>
            </w:tcMar>
            <w:vAlign w:val="center"/>
          </w:tcPr>
          <w:p w:rsidR="00013680" w:rsidRPr="00795225" w:rsidRDefault="00013680" w:rsidP="008D1BDC">
            <w:pPr>
              <w:pStyle w:val="Tabletext"/>
              <w:keepNext/>
              <w:jc w:val="center"/>
            </w:pPr>
            <w:r w:rsidRPr="00795225">
              <w:t>26.1 (19.3, 39.3)</w:t>
            </w:r>
          </w:p>
        </w:tc>
        <w:tc>
          <w:tcPr>
            <w:tcW w:w="837" w:type="pct"/>
            <w:tcMar>
              <w:left w:w="28" w:type="dxa"/>
              <w:right w:w="28" w:type="dxa"/>
            </w:tcMar>
            <w:vAlign w:val="center"/>
          </w:tcPr>
          <w:p w:rsidR="00013680" w:rsidRPr="00795225" w:rsidRDefault="00013680" w:rsidP="008D1BDC">
            <w:pPr>
              <w:pStyle w:val="Tabletext"/>
              <w:keepNext/>
              <w:jc w:val="center"/>
            </w:pPr>
            <w:r w:rsidRPr="00795225">
              <w:t>17.1 (13.4, 21.6)</w:t>
            </w:r>
          </w:p>
        </w:tc>
      </w:tr>
      <w:tr w:rsidR="00013680" w:rsidRPr="00795225" w:rsidTr="007E6CED">
        <w:tc>
          <w:tcPr>
            <w:tcW w:w="1412" w:type="pct"/>
            <w:tcMar>
              <w:left w:w="28" w:type="dxa"/>
              <w:right w:w="28" w:type="dxa"/>
            </w:tcMar>
          </w:tcPr>
          <w:p w:rsidR="00013680" w:rsidRPr="00795225" w:rsidRDefault="00013680" w:rsidP="008D1BDC">
            <w:pPr>
              <w:pStyle w:val="Tabletext"/>
              <w:keepNext/>
            </w:pPr>
            <w:r w:rsidRPr="00795225">
              <w:t>p-value (log-rank test)</w:t>
            </w:r>
          </w:p>
        </w:tc>
        <w:tc>
          <w:tcPr>
            <w:tcW w:w="1887" w:type="pct"/>
            <w:gridSpan w:val="2"/>
            <w:tcMar>
              <w:left w:w="28" w:type="dxa"/>
              <w:right w:w="28" w:type="dxa"/>
            </w:tcMar>
          </w:tcPr>
          <w:p w:rsidR="00013680" w:rsidRPr="00795225" w:rsidRDefault="00013680" w:rsidP="008D1BDC">
            <w:pPr>
              <w:pStyle w:val="Tabletext"/>
              <w:keepNext/>
              <w:jc w:val="center"/>
              <w:rPr>
                <w:b/>
              </w:rPr>
            </w:pPr>
            <w:r w:rsidRPr="00795225">
              <w:rPr>
                <w:b/>
              </w:rPr>
              <w:t>&lt;</w:t>
            </w:r>
            <w:r w:rsidR="00B767A3" w:rsidRPr="00795225">
              <w:rPr>
                <w:b/>
              </w:rPr>
              <w:t xml:space="preserve"> </w:t>
            </w:r>
            <w:r w:rsidRPr="00795225">
              <w:rPr>
                <w:b/>
              </w:rPr>
              <w:t>0.0001</w:t>
            </w:r>
          </w:p>
        </w:tc>
        <w:tc>
          <w:tcPr>
            <w:tcW w:w="1701" w:type="pct"/>
            <w:gridSpan w:val="2"/>
            <w:tcMar>
              <w:left w:w="28" w:type="dxa"/>
              <w:right w:w="28" w:type="dxa"/>
            </w:tcMar>
          </w:tcPr>
          <w:p w:rsidR="00013680" w:rsidRPr="00795225" w:rsidRDefault="00013680" w:rsidP="008D1BDC">
            <w:pPr>
              <w:pStyle w:val="Tabletext"/>
              <w:keepNext/>
              <w:jc w:val="center"/>
              <w:rPr>
                <w:b/>
              </w:rPr>
            </w:pPr>
            <w:r w:rsidRPr="00795225">
              <w:rPr>
                <w:b/>
              </w:rPr>
              <w:t>0.0013</w:t>
            </w:r>
          </w:p>
        </w:tc>
      </w:tr>
      <w:tr w:rsidR="00013680" w:rsidRPr="00795225" w:rsidTr="007E6CED">
        <w:tc>
          <w:tcPr>
            <w:tcW w:w="1412" w:type="pct"/>
            <w:tcMar>
              <w:left w:w="28" w:type="dxa"/>
              <w:right w:w="28" w:type="dxa"/>
            </w:tcMar>
            <w:vAlign w:val="center"/>
          </w:tcPr>
          <w:p w:rsidR="00013680" w:rsidRPr="00795225" w:rsidRDefault="00B767A3" w:rsidP="00B767A3">
            <w:pPr>
              <w:pStyle w:val="Tabletext"/>
              <w:keepNext/>
            </w:pPr>
            <w:r w:rsidRPr="00795225">
              <w:t>HR</w:t>
            </w:r>
            <w:r w:rsidR="00013680" w:rsidRPr="00795225">
              <w:t xml:space="preserve"> (95% CI)</w:t>
            </w:r>
          </w:p>
        </w:tc>
        <w:tc>
          <w:tcPr>
            <w:tcW w:w="1887" w:type="pct"/>
            <w:gridSpan w:val="2"/>
            <w:tcMar>
              <w:left w:w="28" w:type="dxa"/>
              <w:right w:w="28" w:type="dxa"/>
            </w:tcMar>
          </w:tcPr>
          <w:p w:rsidR="00013680" w:rsidRPr="00795225" w:rsidRDefault="00013680" w:rsidP="008D1BDC">
            <w:pPr>
              <w:pStyle w:val="Tabletext"/>
              <w:keepNext/>
              <w:jc w:val="center"/>
              <w:rPr>
                <w:b/>
              </w:rPr>
            </w:pPr>
            <w:r w:rsidRPr="00795225">
              <w:rPr>
                <w:b/>
              </w:rPr>
              <w:t xml:space="preserve">Nivolumab vs </w:t>
            </w:r>
            <w:proofErr w:type="spellStart"/>
            <w:r w:rsidRPr="00795225">
              <w:rPr>
                <w:b/>
              </w:rPr>
              <w:t>ipilimumab</w:t>
            </w:r>
            <w:proofErr w:type="spellEnd"/>
          </w:p>
          <w:p w:rsidR="00013680" w:rsidRPr="00795225" w:rsidRDefault="00013680" w:rsidP="008D1BDC">
            <w:pPr>
              <w:pStyle w:val="Tabletext"/>
              <w:keepNext/>
              <w:jc w:val="center"/>
              <w:rPr>
                <w:b/>
              </w:rPr>
            </w:pPr>
            <w:r w:rsidRPr="00795225">
              <w:rPr>
                <w:b/>
              </w:rPr>
              <w:t>0.66 (0.54, 0.81)</w:t>
            </w:r>
          </w:p>
        </w:tc>
        <w:tc>
          <w:tcPr>
            <w:tcW w:w="1701" w:type="pct"/>
            <w:gridSpan w:val="2"/>
            <w:tcMar>
              <w:left w:w="28" w:type="dxa"/>
              <w:right w:w="28" w:type="dxa"/>
            </w:tcMar>
          </w:tcPr>
          <w:p w:rsidR="00013680" w:rsidRPr="00795225" w:rsidRDefault="00013680" w:rsidP="008D1BDC">
            <w:pPr>
              <w:pStyle w:val="Tabletext"/>
              <w:keepNext/>
              <w:jc w:val="center"/>
              <w:rPr>
                <w:b/>
              </w:rPr>
            </w:pPr>
            <w:r w:rsidRPr="00795225">
              <w:rPr>
                <w:b/>
              </w:rPr>
              <w:t xml:space="preserve">Placebo vs </w:t>
            </w:r>
            <w:proofErr w:type="spellStart"/>
            <w:r w:rsidRPr="00795225">
              <w:rPr>
                <w:b/>
              </w:rPr>
              <w:t>ipilimumab</w:t>
            </w:r>
            <w:proofErr w:type="spellEnd"/>
          </w:p>
          <w:p w:rsidR="00013680" w:rsidRPr="00795225" w:rsidRDefault="00013680" w:rsidP="008D1BDC">
            <w:pPr>
              <w:pStyle w:val="Tabletext"/>
              <w:keepNext/>
              <w:jc w:val="center"/>
              <w:rPr>
                <w:b/>
                <w:vertAlign w:val="superscript"/>
              </w:rPr>
            </w:pPr>
            <w:r w:rsidRPr="00795225">
              <w:rPr>
                <w:b/>
              </w:rPr>
              <w:t>1.33 (1.11, 1.56)</w:t>
            </w:r>
            <w:r w:rsidRPr="00795225">
              <w:rPr>
                <w:b/>
                <w:vertAlign w:val="superscript"/>
              </w:rPr>
              <w:t>a</w:t>
            </w:r>
          </w:p>
        </w:tc>
      </w:tr>
      <w:tr w:rsidR="00013680" w:rsidRPr="00795225" w:rsidTr="007E6CED">
        <w:tc>
          <w:tcPr>
            <w:tcW w:w="1412" w:type="pct"/>
            <w:tcMar>
              <w:left w:w="28" w:type="dxa"/>
              <w:right w:w="28" w:type="dxa"/>
            </w:tcMar>
          </w:tcPr>
          <w:p w:rsidR="00013680" w:rsidRPr="00795225" w:rsidRDefault="00013680" w:rsidP="008D1BDC">
            <w:pPr>
              <w:pStyle w:val="Tabletext"/>
              <w:keepNext/>
              <w:rPr>
                <w:b/>
              </w:rPr>
            </w:pPr>
          </w:p>
        </w:tc>
        <w:tc>
          <w:tcPr>
            <w:tcW w:w="3588" w:type="pct"/>
            <w:gridSpan w:val="4"/>
            <w:tcMar>
              <w:left w:w="28" w:type="dxa"/>
              <w:right w:w="28" w:type="dxa"/>
            </w:tcMar>
          </w:tcPr>
          <w:p w:rsidR="00013680" w:rsidRPr="00795225" w:rsidRDefault="00013680" w:rsidP="008D1BDC">
            <w:pPr>
              <w:pStyle w:val="Tabletext"/>
              <w:keepNext/>
              <w:jc w:val="center"/>
              <w:rPr>
                <w:b/>
              </w:rPr>
            </w:pPr>
            <w:r w:rsidRPr="00795225">
              <w:rPr>
                <w:b/>
              </w:rPr>
              <w:t>Indirect comparison: nivolumab vs placebo</w:t>
            </w:r>
          </w:p>
        </w:tc>
      </w:tr>
      <w:tr w:rsidR="00013680" w:rsidRPr="00795225" w:rsidTr="007E6CED">
        <w:tc>
          <w:tcPr>
            <w:tcW w:w="1412" w:type="pct"/>
            <w:tcMar>
              <w:left w:w="28" w:type="dxa"/>
              <w:right w:w="28" w:type="dxa"/>
            </w:tcMar>
          </w:tcPr>
          <w:p w:rsidR="00013680" w:rsidRPr="00795225" w:rsidRDefault="00013680" w:rsidP="008D1BDC">
            <w:pPr>
              <w:pStyle w:val="Tabletext"/>
              <w:keepNext/>
              <w:rPr>
                <w:b/>
              </w:rPr>
            </w:pPr>
            <w:r w:rsidRPr="00795225">
              <w:rPr>
                <w:b/>
              </w:rPr>
              <w:t>Indirect HR (95% CI)</w:t>
            </w:r>
            <w:r w:rsidR="000665DD">
              <w:rPr>
                <w:b/>
              </w:rPr>
              <w:t xml:space="preserve"> </w:t>
            </w:r>
          </w:p>
        </w:tc>
        <w:tc>
          <w:tcPr>
            <w:tcW w:w="3588" w:type="pct"/>
            <w:gridSpan w:val="4"/>
            <w:tcMar>
              <w:left w:w="28" w:type="dxa"/>
              <w:right w:w="28" w:type="dxa"/>
            </w:tcMar>
          </w:tcPr>
          <w:p w:rsidR="00013680" w:rsidRPr="00795225" w:rsidRDefault="00013680" w:rsidP="008D1BDC">
            <w:pPr>
              <w:pStyle w:val="Tabletext"/>
              <w:keepNext/>
              <w:jc w:val="center"/>
              <w:rPr>
                <w:b/>
                <w:vertAlign w:val="superscript"/>
              </w:rPr>
            </w:pPr>
            <w:r w:rsidRPr="00795225">
              <w:rPr>
                <w:b/>
              </w:rPr>
              <w:t>0.50 (0.38, 0.65)</w:t>
            </w:r>
            <w:r w:rsidR="00407279" w:rsidRPr="00795225">
              <w:rPr>
                <w:b/>
                <w:vertAlign w:val="superscript"/>
              </w:rPr>
              <w:t>b</w:t>
            </w:r>
          </w:p>
        </w:tc>
      </w:tr>
    </w:tbl>
    <w:p w:rsidR="00013680" w:rsidRPr="00795225" w:rsidRDefault="00013680" w:rsidP="008D1BDC">
      <w:pPr>
        <w:pStyle w:val="TableFooter"/>
        <w:widowControl/>
        <w:rPr>
          <w:szCs w:val="18"/>
        </w:rPr>
      </w:pPr>
      <w:r w:rsidRPr="00795225">
        <w:rPr>
          <w:szCs w:val="18"/>
        </w:rPr>
        <w:t xml:space="preserve">AJCC = American Joint Committee on Cancer; CI = confidence interval; HR = hazard ratio; NC = </w:t>
      </w:r>
      <w:proofErr w:type="spellStart"/>
      <w:r w:rsidRPr="00795225">
        <w:rPr>
          <w:szCs w:val="18"/>
        </w:rPr>
        <w:t>not</w:t>
      </w:r>
      <w:proofErr w:type="spellEnd"/>
      <w:r w:rsidRPr="00795225">
        <w:rPr>
          <w:szCs w:val="18"/>
        </w:rPr>
        <w:t xml:space="preserve"> calculable; RFS = recurrence-free survival</w:t>
      </w:r>
    </w:p>
    <w:p w:rsidR="00013680" w:rsidRPr="00795225" w:rsidRDefault="00013680" w:rsidP="008D1BDC">
      <w:pPr>
        <w:pStyle w:val="TableFooter"/>
        <w:widowControl/>
        <w:rPr>
          <w:szCs w:val="18"/>
        </w:rPr>
      </w:pPr>
      <w:r w:rsidRPr="00795225">
        <w:rPr>
          <w:szCs w:val="18"/>
          <w:vertAlign w:val="superscript"/>
        </w:rPr>
        <w:t>a</w:t>
      </w:r>
      <w:r w:rsidRPr="00795225">
        <w:rPr>
          <w:szCs w:val="18"/>
        </w:rPr>
        <w:t xml:space="preserve"> HR for placebo versus </w:t>
      </w:r>
      <w:proofErr w:type="spellStart"/>
      <w:r w:rsidRPr="00795225">
        <w:rPr>
          <w:szCs w:val="18"/>
        </w:rPr>
        <w:t>ipilimumab</w:t>
      </w:r>
      <w:proofErr w:type="spellEnd"/>
      <w:r w:rsidRPr="00795225">
        <w:rPr>
          <w:szCs w:val="18"/>
        </w:rPr>
        <w:t>.</w:t>
      </w:r>
    </w:p>
    <w:p w:rsidR="00407279" w:rsidRPr="00795225" w:rsidRDefault="00407279" w:rsidP="008D1BDC">
      <w:pPr>
        <w:pStyle w:val="TableFooter"/>
        <w:widowControl/>
        <w:rPr>
          <w:szCs w:val="18"/>
        </w:rPr>
      </w:pPr>
      <w:r w:rsidRPr="00795225">
        <w:rPr>
          <w:szCs w:val="18"/>
          <w:vertAlign w:val="superscript"/>
        </w:rPr>
        <w:t>b</w:t>
      </w:r>
      <w:r w:rsidR="00B767A3" w:rsidRPr="00795225">
        <w:rPr>
          <w:szCs w:val="18"/>
          <w:vertAlign w:val="superscript"/>
        </w:rPr>
        <w:t xml:space="preserve"> </w:t>
      </w:r>
      <w:r w:rsidRPr="00795225">
        <w:rPr>
          <w:szCs w:val="18"/>
        </w:rPr>
        <w:t>Indirect HR for RFS, based on the 18 months follow-up was identical</w:t>
      </w:r>
    </w:p>
    <w:p w:rsidR="00013680" w:rsidRPr="00795225" w:rsidRDefault="00013680" w:rsidP="008D1BDC">
      <w:pPr>
        <w:pStyle w:val="TableFooter"/>
        <w:widowControl/>
        <w:rPr>
          <w:szCs w:val="18"/>
        </w:rPr>
      </w:pPr>
      <w:r w:rsidRPr="00795225">
        <w:rPr>
          <w:szCs w:val="18"/>
        </w:rPr>
        <w:t>Figures in bold are statistically significant.</w:t>
      </w:r>
    </w:p>
    <w:p w:rsidR="00013680" w:rsidRPr="00795225" w:rsidRDefault="00013680" w:rsidP="008D1BDC">
      <w:pPr>
        <w:widowControl/>
        <w:rPr>
          <w:rFonts w:ascii="Arial Narrow" w:hAnsi="Arial Narrow"/>
          <w:sz w:val="18"/>
          <w:szCs w:val="18"/>
        </w:rPr>
      </w:pPr>
      <w:r w:rsidRPr="00795225">
        <w:rPr>
          <w:rFonts w:ascii="Arial Narrow" w:hAnsi="Arial Narrow"/>
          <w:sz w:val="18"/>
          <w:szCs w:val="18"/>
        </w:rPr>
        <w:t>Source: Table 47, p145 of the resubmission</w:t>
      </w:r>
    </w:p>
    <w:p w:rsidR="00013680" w:rsidRPr="00795225" w:rsidRDefault="00013680" w:rsidP="008D1BDC">
      <w:pPr>
        <w:widowControl/>
        <w:rPr>
          <w:rFonts w:ascii="Arial Narrow" w:hAnsi="Arial Narrow"/>
          <w:sz w:val="18"/>
        </w:rPr>
      </w:pPr>
    </w:p>
    <w:p w:rsidR="00247925" w:rsidRPr="00795225" w:rsidRDefault="00AB79E2" w:rsidP="00D736AF">
      <w:pPr>
        <w:pStyle w:val="ListParagraph"/>
        <w:widowControl/>
        <w:numPr>
          <w:ilvl w:val="1"/>
          <w:numId w:val="1"/>
        </w:numPr>
      </w:pPr>
      <w:r w:rsidRPr="00795225">
        <w:t xml:space="preserve">The indirect HR for RFS, based on the 24 months follow-up data, was </w:t>
      </w:r>
      <w:r w:rsidR="00101AF2" w:rsidRPr="00795225">
        <w:t>the same as</w:t>
      </w:r>
      <w:r w:rsidRPr="00795225">
        <w:t xml:space="preserve"> </w:t>
      </w:r>
      <w:r w:rsidR="00875C6F" w:rsidRPr="00795225">
        <w:t>that</w:t>
      </w:r>
      <w:r w:rsidRPr="00795225">
        <w:t xml:space="preserve"> obtained </w:t>
      </w:r>
      <w:r w:rsidR="008E75B5" w:rsidRPr="00795225">
        <w:t>with</w:t>
      </w:r>
      <w:r w:rsidRPr="00795225">
        <w:t xml:space="preserve"> 18 months follow-up. The </w:t>
      </w:r>
      <w:r w:rsidR="00FF58CB" w:rsidRPr="00795225">
        <w:t xml:space="preserve">indirect </w:t>
      </w:r>
      <w:r w:rsidRPr="00795225">
        <w:t xml:space="preserve">HR </w:t>
      </w:r>
      <w:r w:rsidR="00875C6F" w:rsidRPr="00795225">
        <w:t xml:space="preserve">was </w:t>
      </w:r>
      <w:r w:rsidRPr="00795225">
        <w:t xml:space="preserve">statistically significant </w:t>
      </w:r>
      <w:r w:rsidR="00A35291" w:rsidRPr="00795225">
        <w:t>favouring</w:t>
      </w:r>
      <w:r w:rsidRPr="00795225">
        <w:t xml:space="preserve"> nivolumab over placebo (HR = 0.50; 95% CI: 0.38, 0.65).</w:t>
      </w:r>
      <w:r w:rsidR="00B14161" w:rsidRPr="00795225">
        <w:t xml:space="preserve"> </w:t>
      </w:r>
    </w:p>
    <w:p w:rsidR="00BA5186" w:rsidRPr="00795225" w:rsidRDefault="00BA5186" w:rsidP="00D736AF">
      <w:pPr>
        <w:pStyle w:val="ListParagraph"/>
        <w:widowControl/>
        <w:numPr>
          <w:ilvl w:val="1"/>
          <w:numId w:val="1"/>
        </w:numPr>
      </w:pPr>
      <w:r w:rsidRPr="00795225">
        <w:t xml:space="preserve">The ESC noted in CA238 the distribution of </w:t>
      </w:r>
      <w:r w:rsidR="00416163" w:rsidRPr="00795225">
        <w:t xml:space="preserve">individual </w:t>
      </w:r>
      <w:r w:rsidRPr="00795225">
        <w:t xml:space="preserve">RFS events was similar across the treatment groups (local recurrence </w:t>
      </w:r>
      <w:r w:rsidR="00416163" w:rsidRPr="00795225">
        <w:t xml:space="preserve">was </w:t>
      </w:r>
      <w:r w:rsidRPr="00795225">
        <w:t xml:space="preserve">18% of RFS events for </w:t>
      </w:r>
      <w:r w:rsidR="002C2BB3" w:rsidRPr="00795225">
        <w:t xml:space="preserve">nivolumab </w:t>
      </w:r>
      <w:r w:rsidRPr="00795225">
        <w:t xml:space="preserve">versus 21% for </w:t>
      </w:r>
      <w:proofErr w:type="spellStart"/>
      <w:r w:rsidR="002C2BB3" w:rsidRPr="00795225">
        <w:t>ipilimumab</w:t>
      </w:r>
      <w:proofErr w:type="spellEnd"/>
      <w:r w:rsidRPr="00795225">
        <w:t>; regional recurrence 20% versus 17%; distance recurrence 57% versus 59%; death 0% versus 2%; disease at baseline 0</w:t>
      </w:r>
      <w:r w:rsidR="00686CD7" w:rsidRPr="00795225">
        <w:t>.</w:t>
      </w:r>
      <w:r w:rsidRPr="00795225">
        <w:t>6% versus 0.9%; new primary melanoma 4% versus 2%</w:t>
      </w:r>
      <w:r w:rsidR="00416163" w:rsidRPr="00795225">
        <w:t>;</w:t>
      </w:r>
      <w:r w:rsidRPr="00795225">
        <w:t xml:space="preserve"> Study CA238 interim </w:t>
      </w:r>
      <w:r w:rsidR="00416163" w:rsidRPr="00795225">
        <w:t>CSR</w:t>
      </w:r>
      <w:r w:rsidRPr="00795225">
        <w:t>, Table S.5.3).</w:t>
      </w:r>
      <w:r w:rsidR="006E0479" w:rsidRPr="00795225">
        <w:t xml:space="preserve"> Corresponding data were not presented</w:t>
      </w:r>
      <w:r w:rsidR="0072435C" w:rsidRPr="00795225">
        <w:t xml:space="preserve"> in the resubmission and could not be identified from the</w:t>
      </w:r>
      <w:r w:rsidR="006E0479" w:rsidRPr="00795225">
        <w:t xml:space="preserve"> CA029</w:t>
      </w:r>
      <w:r w:rsidR="0072435C" w:rsidRPr="00795225">
        <w:t xml:space="preserve"> CSR.</w:t>
      </w:r>
    </w:p>
    <w:p w:rsidR="00537DCE" w:rsidRPr="00795225" w:rsidRDefault="00DB5ACC" w:rsidP="00D736AF">
      <w:pPr>
        <w:pStyle w:val="ListParagraph"/>
        <w:widowControl/>
        <w:numPr>
          <w:ilvl w:val="1"/>
          <w:numId w:val="1"/>
        </w:numPr>
      </w:pPr>
      <w:r w:rsidRPr="00795225">
        <w:t>Table 6</w:t>
      </w:r>
      <w:r w:rsidR="004955FD" w:rsidRPr="00795225">
        <w:t xml:space="preserve"> </w:t>
      </w:r>
      <w:r w:rsidR="00537DCE" w:rsidRPr="00795225">
        <w:t xml:space="preserve">summarises the indirect comparison results for the </w:t>
      </w:r>
      <w:r w:rsidR="00B168B0" w:rsidRPr="00795225">
        <w:t xml:space="preserve">secondary </w:t>
      </w:r>
      <w:r w:rsidR="00537DCE" w:rsidRPr="00795225">
        <w:t>outcome of distant metastases free survival (DMFS).</w:t>
      </w:r>
    </w:p>
    <w:p w:rsidR="00AC29BF" w:rsidRPr="00795225" w:rsidRDefault="004955FD" w:rsidP="008D1BDC">
      <w:pPr>
        <w:pStyle w:val="Caption"/>
        <w:widowControl/>
      </w:pPr>
      <w:bookmarkStart w:id="15" w:name="_Ref533692110"/>
      <w:r w:rsidRPr="00795225">
        <w:t xml:space="preserve">Table </w:t>
      </w:r>
      <w:r w:rsidR="00DB5ACC" w:rsidRPr="00795225">
        <w:t>6</w:t>
      </w:r>
      <w:bookmarkEnd w:id="15"/>
      <w:r w:rsidRPr="00795225">
        <w:t xml:space="preserve">: </w:t>
      </w:r>
      <w:r w:rsidR="00AC29BF" w:rsidRPr="00795225">
        <w:t>Indirect comparison of</w:t>
      </w:r>
      <w:r w:rsidR="003E3EE8" w:rsidRPr="00795225">
        <w:t xml:space="preserve"> DMFS between</w:t>
      </w:r>
      <w:r w:rsidR="00AC29BF" w:rsidRPr="00795225">
        <w:t xml:space="preserve"> nivolumab (minimum </w:t>
      </w:r>
      <w:r w:rsidR="003E3EE8" w:rsidRPr="00795225">
        <w:t xml:space="preserve">of </w:t>
      </w:r>
      <w:r w:rsidR="00AC29BF" w:rsidRPr="00795225">
        <w:t xml:space="preserve">24 months follow-up) </w:t>
      </w:r>
      <w:r w:rsidR="003E3EE8" w:rsidRPr="00795225">
        <w:t>and</w:t>
      </w:r>
      <w:r w:rsidR="00AC29BF" w:rsidRPr="00795225">
        <w:t xml:space="preserve"> placebo </w:t>
      </w:r>
      <w:r w:rsidR="003E3EE8" w:rsidRPr="00795225">
        <w:t xml:space="preserve">(median follow-up of 5.3 years) </w:t>
      </w:r>
      <w:r w:rsidR="00AC29BF" w:rsidRPr="00795225">
        <w:t xml:space="preserve">via common reference </w:t>
      </w:r>
      <w:proofErr w:type="spellStart"/>
      <w:r w:rsidR="00AC29BF" w:rsidRPr="00795225">
        <w:t>ipilimumab</w:t>
      </w:r>
      <w:proofErr w:type="spellEnd"/>
      <w:r w:rsidR="00AC29BF" w:rsidRPr="00795225">
        <w:t xml:space="preserve"> </w:t>
      </w:r>
    </w:p>
    <w:tbl>
      <w:tblPr>
        <w:tblStyle w:val="TableGrid"/>
        <w:tblW w:w="5000" w:type="pct"/>
        <w:jc w:val="center"/>
        <w:tblLook w:val="04A0" w:firstRow="1" w:lastRow="0" w:firstColumn="1" w:lastColumn="0" w:noHBand="0" w:noVBand="1"/>
        <w:tblCaption w:val="Table 6: Indirect comparison of DMFS between nivolumab (minimum of 24 months follow-up) and placebo (median follow-up of 5.3 years) via common reference ipilimumab "/>
      </w:tblPr>
      <w:tblGrid>
        <w:gridCol w:w="857"/>
        <w:gridCol w:w="1717"/>
        <w:gridCol w:w="1145"/>
        <w:gridCol w:w="1003"/>
        <w:gridCol w:w="1003"/>
        <w:gridCol w:w="1243"/>
        <w:gridCol w:w="2049"/>
      </w:tblGrid>
      <w:tr w:rsidR="00771E3F" w:rsidRPr="00795225" w:rsidTr="007E6CED">
        <w:trPr>
          <w:trHeight w:val="597"/>
          <w:tblHeader/>
          <w:jc w:val="center"/>
        </w:trPr>
        <w:tc>
          <w:tcPr>
            <w:tcW w:w="476" w:type="pct"/>
            <w:tcMar>
              <w:left w:w="28" w:type="dxa"/>
              <w:right w:w="28" w:type="dxa"/>
            </w:tcMar>
            <w:vAlign w:val="center"/>
          </w:tcPr>
          <w:p w:rsidR="00AC29BF" w:rsidRPr="00795225" w:rsidRDefault="00AC29BF" w:rsidP="007A6BA7">
            <w:pPr>
              <w:pStyle w:val="Tabletext"/>
              <w:rPr>
                <w:b/>
              </w:rPr>
            </w:pPr>
            <w:r w:rsidRPr="00795225">
              <w:rPr>
                <w:b/>
              </w:rPr>
              <w:t>Trial ID</w:t>
            </w:r>
          </w:p>
        </w:tc>
        <w:tc>
          <w:tcPr>
            <w:tcW w:w="952" w:type="pct"/>
            <w:tcMar>
              <w:left w:w="28" w:type="dxa"/>
              <w:right w:w="28" w:type="dxa"/>
            </w:tcMar>
            <w:vAlign w:val="center"/>
          </w:tcPr>
          <w:p w:rsidR="00AC29BF" w:rsidRPr="00795225" w:rsidRDefault="00AC29BF" w:rsidP="007A6BA7">
            <w:pPr>
              <w:pStyle w:val="Tabletext"/>
              <w:jc w:val="center"/>
              <w:rPr>
                <w:b/>
              </w:rPr>
            </w:pPr>
            <w:r w:rsidRPr="00795225">
              <w:rPr>
                <w:b/>
              </w:rPr>
              <w:t>Population</w:t>
            </w:r>
          </w:p>
        </w:tc>
        <w:tc>
          <w:tcPr>
            <w:tcW w:w="635" w:type="pct"/>
            <w:tcMar>
              <w:left w:w="28" w:type="dxa"/>
              <w:right w:w="28" w:type="dxa"/>
            </w:tcMar>
            <w:vAlign w:val="center"/>
          </w:tcPr>
          <w:p w:rsidR="00AC29BF" w:rsidRPr="00795225" w:rsidRDefault="00771E3F" w:rsidP="007A6BA7">
            <w:pPr>
              <w:pStyle w:val="Tabletext"/>
              <w:ind w:right="-94"/>
              <w:jc w:val="center"/>
              <w:rPr>
                <w:b/>
              </w:rPr>
            </w:pPr>
            <w:r w:rsidRPr="00795225">
              <w:rPr>
                <w:b/>
              </w:rPr>
              <w:t>Intervention</w:t>
            </w:r>
          </w:p>
        </w:tc>
        <w:tc>
          <w:tcPr>
            <w:tcW w:w="556" w:type="pct"/>
            <w:tcMar>
              <w:left w:w="28" w:type="dxa"/>
              <w:right w:w="28" w:type="dxa"/>
            </w:tcMar>
            <w:vAlign w:val="center"/>
          </w:tcPr>
          <w:p w:rsidR="00AC29BF" w:rsidRPr="00795225" w:rsidRDefault="00771E3F" w:rsidP="007A6BA7">
            <w:pPr>
              <w:pStyle w:val="Tabletext"/>
              <w:jc w:val="center"/>
              <w:rPr>
                <w:b/>
              </w:rPr>
            </w:pPr>
            <w:r w:rsidRPr="00795225">
              <w:rPr>
                <w:b/>
              </w:rPr>
              <w:t>Common reference</w:t>
            </w:r>
          </w:p>
        </w:tc>
        <w:tc>
          <w:tcPr>
            <w:tcW w:w="556" w:type="pct"/>
            <w:tcMar>
              <w:left w:w="28" w:type="dxa"/>
              <w:right w:w="28" w:type="dxa"/>
            </w:tcMar>
            <w:vAlign w:val="center"/>
          </w:tcPr>
          <w:p w:rsidR="00AC29BF" w:rsidRPr="00795225" w:rsidRDefault="00771E3F" w:rsidP="007A6BA7">
            <w:pPr>
              <w:pStyle w:val="Tabletext"/>
              <w:jc w:val="center"/>
              <w:rPr>
                <w:b/>
              </w:rPr>
            </w:pPr>
            <w:r w:rsidRPr="00795225">
              <w:rPr>
                <w:b/>
              </w:rPr>
              <w:t>Main comparator</w:t>
            </w:r>
          </w:p>
        </w:tc>
        <w:tc>
          <w:tcPr>
            <w:tcW w:w="689" w:type="pct"/>
            <w:tcMar>
              <w:left w:w="28" w:type="dxa"/>
              <w:right w:w="28" w:type="dxa"/>
            </w:tcMar>
            <w:vAlign w:val="center"/>
          </w:tcPr>
          <w:p w:rsidR="00AC29BF" w:rsidRPr="00795225" w:rsidRDefault="00AC29BF" w:rsidP="007A6BA7">
            <w:pPr>
              <w:pStyle w:val="Tabletext"/>
              <w:jc w:val="center"/>
              <w:rPr>
                <w:b/>
              </w:rPr>
            </w:pPr>
            <w:r w:rsidRPr="00795225">
              <w:rPr>
                <w:b/>
              </w:rPr>
              <w:t>Direct HR</w:t>
            </w:r>
            <w:r w:rsidRPr="00795225">
              <w:rPr>
                <w:b/>
                <w:vertAlign w:val="subscript"/>
              </w:rPr>
              <w:t>DMFS</w:t>
            </w:r>
            <w:r w:rsidRPr="00795225">
              <w:rPr>
                <w:b/>
              </w:rPr>
              <w:t xml:space="preserve"> </w:t>
            </w:r>
            <w:r w:rsidR="00202FB0" w:rsidRPr="00795225">
              <w:rPr>
                <w:b/>
              </w:rPr>
              <w:t>(</w:t>
            </w:r>
            <w:r w:rsidRPr="00795225">
              <w:rPr>
                <w:b/>
              </w:rPr>
              <w:t>95% CI</w:t>
            </w:r>
            <w:r w:rsidR="00202FB0" w:rsidRPr="00795225">
              <w:rPr>
                <w:b/>
              </w:rPr>
              <w:t>)</w:t>
            </w:r>
            <w:r w:rsidR="00C25E39" w:rsidRPr="00795225">
              <w:rPr>
                <w:b/>
                <w:vertAlign w:val="superscript"/>
              </w:rPr>
              <w:t>a</w:t>
            </w:r>
          </w:p>
        </w:tc>
        <w:tc>
          <w:tcPr>
            <w:tcW w:w="1137" w:type="pct"/>
            <w:tcMar>
              <w:left w:w="28" w:type="dxa"/>
              <w:right w:w="28" w:type="dxa"/>
            </w:tcMar>
          </w:tcPr>
          <w:p w:rsidR="00AC29BF" w:rsidRPr="00795225" w:rsidRDefault="00AC29BF" w:rsidP="008D1BDC">
            <w:pPr>
              <w:pStyle w:val="Tabletext"/>
              <w:jc w:val="center"/>
              <w:rPr>
                <w:b/>
              </w:rPr>
            </w:pPr>
            <w:r w:rsidRPr="00795225">
              <w:rPr>
                <w:b/>
              </w:rPr>
              <w:t>Indirect HR</w:t>
            </w:r>
            <w:r w:rsidRPr="00795225">
              <w:rPr>
                <w:b/>
                <w:vertAlign w:val="subscript"/>
              </w:rPr>
              <w:t>DMFS</w:t>
            </w:r>
            <w:r w:rsidRPr="00795225">
              <w:rPr>
                <w:b/>
              </w:rPr>
              <w:t xml:space="preserve"> </w:t>
            </w:r>
            <w:r w:rsidR="00202FB0" w:rsidRPr="00795225">
              <w:rPr>
                <w:b/>
              </w:rPr>
              <w:t>(</w:t>
            </w:r>
            <w:r w:rsidRPr="00795225">
              <w:rPr>
                <w:b/>
              </w:rPr>
              <w:t>95% CI</w:t>
            </w:r>
            <w:r w:rsidR="00202FB0" w:rsidRPr="00795225">
              <w:rPr>
                <w:b/>
              </w:rPr>
              <w:t>)</w:t>
            </w:r>
          </w:p>
          <w:p w:rsidR="00AC29BF" w:rsidRPr="00795225" w:rsidRDefault="00AC29BF" w:rsidP="008D1BDC">
            <w:pPr>
              <w:pStyle w:val="Tabletext"/>
              <w:jc w:val="center"/>
              <w:rPr>
                <w:b/>
              </w:rPr>
            </w:pPr>
            <w:r w:rsidRPr="00795225">
              <w:rPr>
                <w:b/>
              </w:rPr>
              <w:t>NIVO vs. PBO</w:t>
            </w:r>
          </w:p>
          <w:p w:rsidR="00AC29BF" w:rsidRPr="00795225" w:rsidRDefault="00AC29BF" w:rsidP="008D1BDC">
            <w:pPr>
              <w:pStyle w:val="Tabletext"/>
              <w:jc w:val="center"/>
              <w:rPr>
                <w:b/>
              </w:rPr>
            </w:pPr>
            <w:r w:rsidRPr="00795225">
              <w:rPr>
                <w:b/>
              </w:rPr>
              <w:t>Result &lt; 1 favours NIVO</w:t>
            </w:r>
          </w:p>
        </w:tc>
      </w:tr>
      <w:tr w:rsidR="00771E3F" w:rsidRPr="00795225" w:rsidTr="007E6CED">
        <w:trPr>
          <w:trHeight w:val="561"/>
          <w:jc w:val="center"/>
        </w:trPr>
        <w:tc>
          <w:tcPr>
            <w:tcW w:w="476" w:type="pct"/>
            <w:tcMar>
              <w:left w:w="28" w:type="dxa"/>
              <w:right w:w="28" w:type="dxa"/>
            </w:tcMar>
            <w:vAlign w:val="center"/>
          </w:tcPr>
          <w:p w:rsidR="00AC29BF" w:rsidRPr="00795225" w:rsidRDefault="00AC29BF" w:rsidP="008D1BDC">
            <w:pPr>
              <w:pStyle w:val="Tabletext"/>
            </w:pPr>
            <w:r w:rsidRPr="00795225">
              <w:t>CA238</w:t>
            </w:r>
          </w:p>
        </w:tc>
        <w:tc>
          <w:tcPr>
            <w:tcW w:w="952" w:type="pct"/>
            <w:tcMar>
              <w:left w:w="28" w:type="dxa"/>
              <w:right w:w="28" w:type="dxa"/>
            </w:tcMar>
            <w:vAlign w:val="center"/>
          </w:tcPr>
          <w:p w:rsidR="00AC29BF" w:rsidRPr="00795225" w:rsidRDefault="00AC29BF" w:rsidP="007A6BA7">
            <w:pPr>
              <w:pStyle w:val="Tabletext"/>
              <w:jc w:val="center"/>
            </w:pPr>
            <w:r w:rsidRPr="00795225">
              <w:t xml:space="preserve">All patients: </w:t>
            </w:r>
            <w:r w:rsidR="007A6BA7" w:rsidRPr="00795225">
              <w:br/>
            </w:r>
            <w:r w:rsidRPr="00795225">
              <w:t>Stage IIIB, IIIC or IV</w:t>
            </w:r>
          </w:p>
        </w:tc>
        <w:tc>
          <w:tcPr>
            <w:tcW w:w="635" w:type="pct"/>
            <w:tcMar>
              <w:left w:w="28" w:type="dxa"/>
              <w:right w:w="28" w:type="dxa"/>
            </w:tcMar>
            <w:vAlign w:val="center"/>
          </w:tcPr>
          <w:p w:rsidR="00AC29BF" w:rsidRPr="00795225" w:rsidRDefault="00AC29BF" w:rsidP="008D1BDC">
            <w:pPr>
              <w:pStyle w:val="Tabletext"/>
              <w:jc w:val="center"/>
            </w:pPr>
            <w:r w:rsidRPr="00795225">
              <w:t>NIVO</w:t>
            </w:r>
          </w:p>
        </w:tc>
        <w:tc>
          <w:tcPr>
            <w:tcW w:w="556" w:type="pct"/>
            <w:tcMar>
              <w:left w:w="28" w:type="dxa"/>
              <w:right w:w="28" w:type="dxa"/>
            </w:tcMar>
            <w:vAlign w:val="center"/>
          </w:tcPr>
          <w:p w:rsidR="00AC29BF" w:rsidRPr="00795225" w:rsidRDefault="00AC29BF" w:rsidP="008D1BDC">
            <w:pPr>
              <w:pStyle w:val="Tabletext"/>
              <w:jc w:val="center"/>
            </w:pPr>
            <w:r w:rsidRPr="00795225">
              <w:t>IPI</w:t>
            </w:r>
          </w:p>
        </w:tc>
        <w:tc>
          <w:tcPr>
            <w:tcW w:w="556" w:type="pct"/>
            <w:tcMar>
              <w:left w:w="28" w:type="dxa"/>
              <w:right w:w="28" w:type="dxa"/>
            </w:tcMar>
            <w:vAlign w:val="center"/>
          </w:tcPr>
          <w:p w:rsidR="00AC29BF" w:rsidRPr="00795225" w:rsidRDefault="00AC29BF" w:rsidP="008D1BDC">
            <w:pPr>
              <w:pStyle w:val="Tabletext"/>
              <w:jc w:val="center"/>
            </w:pPr>
            <w:r w:rsidRPr="00795225">
              <w:t>-</w:t>
            </w:r>
          </w:p>
        </w:tc>
        <w:tc>
          <w:tcPr>
            <w:tcW w:w="689" w:type="pct"/>
            <w:tcMar>
              <w:left w:w="28" w:type="dxa"/>
              <w:right w:w="28" w:type="dxa"/>
            </w:tcMar>
          </w:tcPr>
          <w:p w:rsidR="00AC29BF" w:rsidRPr="00795225" w:rsidRDefault="00AC29BF" w:rsidP="008D1BDC">
            <w:pPr>
              <w:pStyle w:val="Tabletext"/>
              <w:jc w:val="center"/>
            </w:pPr>
            <w:r w:rsidRPr="00795225">
              <w:t xml:space="preserve">0.76 </w:t>
            </w:r>
          </w:p>
          <w:p w:rsidR="00AC29BF" w:rsidRPr="00795225" w:rsidRDefault="00AC29BF" w:rsidP="008D1BDC">
            <w:pPr>
              <w:pStyle w:val="Tabletext"/>
              <w:jc w:val="center"/>
            </w:pPr>
            <w:r w:rsidRPr="00795225">
              <w:t>(0.59, 0.98)</w:t>
            </w:r>
          </w:p>
        </w:tc>
        <w:tc>
          <w:tcPr>
            <w:tcW w:w="1137" w:type="pct"/>
            <w:vMerge w:val="restart"/>
            <w:tcMar>
              <w:left w:w="28" w:type="dxa"/>
              <w:right w:w="28" w:type="dxa"/>
            </w:tcMar>
            <w:vAlign w:val="center"/>
          </w:tcPr>
          <w:p w:rsidR="00AC29BF" w:rsidRPr="00795225" w:rsidRDefault="00AC29BF" w:rsidP="008D1BDC">
            <w:pPr>
              <w:pStyle w:val="Tabletext"/>
              <w:jc w:val="center"/>
            </w:pPr>
            <w:r w:rsidRPr="00795225">
              <w:t>0.58</w:t>
            </w:r>
          </w:p>
          <w:p w:rsidR="00AC29BF" w:rsidRPr="00795225" w:rsidRDefault="00AC29BF" w:rsidP="008D1BDC">
            <w:pPr>
              <w:pStyle w:val="Tabletext"/>
              <w:jc w:val="center"/>
            </w:pPr>
            <w:r w:rsidRPr="00795225">
              <w:t>(0.42, 0.79)</w:t>
            </w:r>
          </w:p>
        </w:tc>
      </w:tr>
      <w:tr w:rsidR="00771E3F" w:rsidRPr="00795225" w:rsidTr="007E6CED">
        <w:trPr>
          <w:trHeight w:val="524"/>
          <w:jc w:val="center"/>
        </w:trPr>
        <w:tc>
          <w:tcPr>
            <w:tcW w:w="476" w:type="pct"/>
            <w:tcMar>
              <w:left w:w="28" w:type="dxa"/>
              <w:right w:w="28" w:type="dxa"/>
            </w:tcMar>
            <w:vAlign w:val="center"/>
          </w:tcPr>
          <w:p w:rsidR="00AC29BF" w:rsidRPr="00795225" w:rsidRDefault="00AC29BF" w:rsidP="008D1BDC">
            <w:pPr>
              <w:pStyle w:val="Tabletext"/>
            </w:pPr>
            <w:r w:rsidRPr="00795225">
              <w:t>CA029</w:t>
            </w:r>
          </w:p>
        </w:tc>
        <w:tc>
          <w:tcPr>
            <w:tcW w:w="952" w:type="pct"/>
            <w:tcMar>
              <w:left w:w="28" w:type="dxa"/>
              <w:right w:w="28" w:type="dxa"/>
            </w:tcMar>
            <w:vAlign w:val="center"/>
          </w:tcPr>
          <w:p w:rsidR="00AC29BF" w:rsidRPr="00795225" w:rsidRDefault="00AC29BF" w:rsidP="007A6BA7">
            <w:pPr>
              <w:pStyle w:val="Tabletext"/>
              <w:jc w:val="center"/>
            </w:pPr>
            <w:r w:rsidRPr="00795225">
              <w:t xml:space="preserve">ITT: </w:t>
            </w:r>
            <w:r w:rsidR="007A6BA7" w:rsidRPr="00795225">
              <w:br/>
            </w:r>
            <w:r w:rsidRPr="00795225">
              <w:t>Stage IIIA</w:t>
            </w:r>
            <w:r w:rsidR="007A6BA7" w:rsidRPr="00795225">
              <w:t>, IIIB, IIIC</w:t>
            </w:r>
          </w:p>
        </w:tc>
        <w:tc>
          <w:tcPr>
            <w:tcW w:w="635" w:type="pct"/>
            <w:tcMar>
              <w:left w:w="28" w:type="dxa"/>
              <w:right w:w="28" w:type="dxa"/>
            </w:tcMar>
            <w:vAlign w:val="center"/>
          </w:tcPr>
          <w:p w:rsidR="00AC29BF" w:rsidRPr="00795225" w:rsidRDefault="00AC29BF" w:rsidP="008D1BDC">
            <w:pPr>
              <w:pStyle w:val="Tabletext"/>
              <w:jc w:val="center"/>
            </w:pPr>
            <w:r w:rsidRPr="00795225">
              <w:t>-</w:t>
            </w:r>
          </w:p>
        </w:tc>
        <w:tc>
          <w:tcPr>
            <w:tcW w:w="556" w:type="pct"/>
            <w:tcMar>
              <w:left w:w="28" w:type="dxa"/>
              <w:right w:w="28" w:type="dxa"/>
            </w:tcMar>
            <w:vAlign w:val="center"/>
          </w:tcPr>
          <w:p w:rsidR="00AC29BF" w:rsidRPr="00795225" w:rsidRDefault="00AC29BF" w:rsidP="008D1BDC">
            <w:pPr>
              <w:pStyle w:val="Tabletext"/>
              <w:jc w:val="center"/>
            </w:pPr>
            <w:r w:rsidRPr="00795225">
              <w:t>IPI</w:t>
            </w:r>
          </w:p>
        </w:tc>
        <w:tc>
          <w:tcPr>
            <w:tcW w:w="556" w:type="pct"/>
            <w:tcMar>
              <w:left w:w="28" w:type="dxa"/>
              <w:right w:w="28" w:type="dxa"/>
            </w:tcMar>
            <w:vAlign w:val="center"/>
          </w:tcPr>
          <w:p w:rsidR="00AC29BF" w:rsidRPr="00795225" w:rsidRDefault="00AC29BF" w:rsidP="008D1BDC">
            <w:pPr>
              <w:pStyle w:val="Tabletext"/>
              <w:jc w:val="center"/>
            </w:pPr>
            <w:r w:rsidRPr="00795225">
              <w:t>PBO</w:t>
            </w:r>
          </w:p>
        </w:tc>
        <w:tc>
          <w:tcPr>
            <w:tcW w:w="689" w:type="pct"/>
            <w:tcMar>
              <w:left w:w="28" w:type="dxa"/>
              <w:right w:w="28" w:type="dxa"/>
            </w:tcMar>
          </w:tcPr>
          <w:p w:rsidR="00AC29BF" w:rsidRPr="00795225" w:rsidRDefault="00AC29BF" w:rsidP="008D1BDC">
            <w:pPr>
              <w:pStyle w:val="Tabletext"/>
              <w:jc w:val="center"/>
            </w:pPr>
            <w:r w:rsidRPr="00795225">
              <w:t>1.32</w:t>
            </w:r>
          </w:p>
          <w:p w:rsidR="00AC29BF" w:rsidRPr="00795225" w:rsidRDefault="00AC29BF" w:rsidP="008D1BDC">
            <w:pPr>
              <w:pStyle w:val="Tabletext"/>
              <w:jc w:val="center"/>
            </w:pPr>
            <w:r w:rsidRPr="00795225">
              <w:t>(1.09, 1.56)</w:t>
            </w:r>
          </w:p>
        </w:tc>
        <w:tc>
          <w:tcPr>
            <w:tcW w:w="1137" w:type="pct"/>
            <w:vMerge/>
          </w:tcPr>
          <w:p w:rsidR="00AC29BF" w:rsidRPr="00795225" w:rsidRDefault="00AC29BF" w:rsidP="008D1BDC">
            <w:pPr>
              <w:pStyle w:val="Tabletext"/>
              <w:jc w:val="center"/>
              <w:rPr>
                <w:color w:val="FF0000"/>
              </w:rPr>
            </w:pPr>
          </w:p>
        </w:tc>
      </w:tr>
    </w:tbl>
    <w:p w:rsidR="00AC29BF" w:rsidRPr="00795225" w:rsidRDefault="00AC29BF" w:rsidP="008D1BDC">
      <w:pPr>
        <w:pStyle w:val="TableFooter"/>
        <w:widowControl/>
      </w:pPr>
      <w:r w:rsidRPr="00795225">
        <w:t>CI</w:t>
      </w:r>
      <w:r w:rsidR="00771E3F" w:rsidRPr="00795225">
        <w:t xml:space="preserve"> =</w:t>
      </w:r>
      <w:r w:rsidRPr="00795225">
        <w:t xml:space="preserve"> confidence interval; DMFS</w:t>
      </w:r>
      <w:r w:rsidR="00771E3F" w:rsidRPr="00795225">
        <w:t xml:space="preserve"> =</w:t>
      </w:r>
      <w:r w:rsidRPr="00795225">
        <w:t xml:space="preserve"> distant metastasis-free survival; HR</w:t>
      </w:r>
      <w:r w:rsidR="00771E3F" w:rsidRPr="00795225">
        <w:t xml:space="preserve"> =</w:t>
      </w:r>
      <w:r w:rsidRPr="00795225">
        <w:t xml:space="preserve"> hazard ratio; IPI</w:t>
      </w:r>
      <w:r w:rsidR="00771E3F" w:rsidRPr="00795225">
        <w:t xml:space="preserve"> =</w:t>
      </w:r>
      <w:r w:rsidRPr="00795225">
        <w:t xml:space="preserve"> </w:t>
      </w:r>
      <w:proofErr w:type="spellStart"/>
      <w:r w:rsidRPr="00795225">
        <w:t>ipilimumab</w:t>
      </w:r>
      <w:proofErr w:type="spellEnd"/>
      <w:r w:rsidRPr="00795225">
        <w:t>; NIVO</w:t>
      </w:r>
      <w:r w:rsidR="00771E3F" w:rsidRPr="00795225">
        <w:t xml:space="preserve"> =</w:t>
      </w:r>
      <w:r w:rsidRPr="00795225">
        <w:t xml:space="preserve"> nivolumab; PBO</w:t>
      </w:r>
      <w:r w:rsidR="00771E3F" w:rsidRPr="00795225">
        <w:t xml:space="preserve"> =</w:t>
      </w:r>
      <w:r w:rsidRPr="00795225">
        <w:t xml:space="preserve"> placebo</w:t>
      </w:r>
    </w:p>
    <w:p w:rsidR="00AC29BF" w:rsidRPr="00795225" w:rsidRDefault="00AC29BF" w:rsidP="008D1BDC">
      <w:pPr>
        <w:pStyle w:val="TableFooter"/>
        <w:widowControl/>
      </w:pPr>
      <w:r w:rsidRPr="00795225">
        <w:t>Source: Table 50, p149 of the resubmission</w:t>
      </w:r>
    </w:p>
    <w:p w:rsidR="00C25E39" w:rsidRPr="00795225" w:rsidRDefault="00C25E39" w:rsidP="008D1BDC">
      <w:pPr>
        <w:pStyle w:val="Tablefootnote"/>
        <w:keepNext w:val="0"/>
        <w:keepLines w:val="0"/>
        <w:rPr>
          <w:color w:val="FF0000"/>
          <w:highlight w:val="yellow"/>
        </w:rPr>
      </w:pPr>
      <w:proofErr w:type="spellStart"/>
      <w:r w:rsidRPr="00795225">
        <w:rPr>
          <w:vertAlign w:val="superscript"/>
        </w:rPr>
        <w:t>a</w:t>
      </w:r>
      <w:proofErr w:type="spellEnd"/>
      <w:r w:rsidRPr="00795225">
        <w:rPr>
          <w:vertAlign w:val="superscript"/>
        </w:rPr>
        <w:t xml:space="preserve"> </w:t>
      </w:r>
      <w:r w:rsidRPr="00795225">
        <w:t xml:space="preserve">For Trial CA184029 the results </w:t>
      </w:r>
      <w:r w:rsidR="00917E3F" w:rsidRPr="00795225">
        <w:t>were</w:t>
      </w:r>
      <w:r w:rsidRPr="00795225">
        <w:t xml:space="preserve"> presented as PBO vs. IPI i.e., the reciprocal of the result for IPI vs. PBO reported in the CSR (HR</w:t>
      </w:r>
      <w:r w:rsidRPr="00795225">
        <w:rPr>
          <w:vertAlign w:val="subscript"/>
        </w:rPr>
        <w:t>DMFS</w:t>
      </w:r>
      <w:r w:rsidRPr="00795225">
        <w:t xml:space="preserve"> IPI vs. PBO = 0.76</w:t>
      </w:r>
      <w:r w:rsidR="00917E3F" w:rsidRPr="00795225">
        <w:t>)</w:t>
      </w:r>
    </w:p>
    <w:p w:rsidR="00753254" w:rsidRPr="00795225" w:rsidRDefault="00753254" w:rsidP="00D736AF">
      <w:pPr>
        <w:pStyle w:val="ListParagraph"/>
        <w:widowControl/>
        <w:numPr>
          <w:ilvl w:val="1"/>
          <w:numId w:val="1"/>
        </w:numPr>
      </w:pPr>
      <w:r w:rsidRPr="00795225">
        <w:lastRenderedPageBreak/>
        <w:t xml:space="preserve">The indirect </w:t>
      </w:r>
      <w:r w:rsidR="00875C6F" w:rsidRPr="00795225">
        <w:t>HR</w:t>
      </w:r>
      <w:r w:rsidRPr="00795225">
        <w:t xml:space="preserve"> for DMFS was statistically significant in favour of nivolumab (HR</w:t>
      </w:r>
      <w:r w:rsidRPr="00795225">
        <w:rPr>
          <w:vertAlign w:val="subscript"/>
        </w:rPr>
        <w:t>DMFS</w:t>
      </w:r>
      <w:r w:rsidRPr="00795225">
        <w:t xml:space="preserve"> = 0.58, 95% CI: 0.42, 0.79). These results were similar to those </w:t>
      </w:r>
      <w:r w:rsidR="008E75B5" w:rsidRPr="00795225">
        <w:t>using</w:t>
      </w:r>
      <w:r w:rsidR="007A6BA7" w:rsidRPr="00795225">
        <w:t xml:space="preserve"> 18 months </w:t>
      </w:r>
      <w:r w:rsidR="00875C6F" w:rsidRPr="00795225">
        <w:t>follow up</w:t>
      </w:r>
      <w:r w:rsidR="008E75B5" w:rsidRPr="00795225">
        <w:t xml:space="preserve"> data</w:t>
      </w:r>
      <w:r w:rsidR="00A958E2" w:rsidRPr="00795225">
        <w:t xml:space="preserve"> </w:t>
      </w:r>
      <w:r w:rsidR="007A6BA7" w:rsidRPr="00795225">
        <w:t>(HR</w:t>
      </w:r>
      <w:r w:rsidRPr="00795225">
        <w:rPr>
          <w:vertAlign w:val="subscript"/>
        </w:rPr>
        <w:t>DMFS</w:t>
      </w:r>
      <w:r w:rsidRPr="00795225">
        <w:t xml:space="preserve"> = 0.55, 95% CI: 0.40, 0.77</w:t>
      </w:r>
      <w:r w:rsidR="00A958E2" w:rsidRPr="00795225">
        <w:t>)</w:t>
      </w:r>
      <w:r w:rsidRPr="00795225">
        <w:t>.</w:t>
      </w:r>
      <w:r w:rsidR="00665904" w:rsidRPr="00795225">
        <w:t xml:space="preserve"> </w:t>
      </w:r>
    </w:p>
    <w:p w:rsidR="008627BC" w:rsidRPr="00795225" w:rsidRDefault="008627BC" w:rsidP="00D736AF">
      <w:pPr>
        <w:pStyle w:val="ListParagraph"/>
        <w:widowControl/>
        <w:numPr>
          <w:ilvl w:val="1"/>
          <w:numId w:val="1"/>
        </w:numPr>
      </w:pPr>
      <w:r w:rsidRPr="00795225">
        <w:t>The ESC noted</w:t>
      </w:r>
      <w:r w:rsidR="00686CD7" w:rsidRPr="00795225">
        <w:t xml:space="preserve"> in CA238</w:t>
      </w:r>
      <w:r w:rsidRPr="00795225">
        <w:t xml:space="preserve"> </w:t>
      </w:r>
      <w:r w:rsidR="00686CD7" w:rsidRPr="00795225">
        <w:t>nearly all DMFS events were distan</w:t>
      </w:r>
      <w:r w:rsidR="004918C9" w:rsidRPr="00795225">
        <w:t>t</w:t>
      </w:r>
      <w:r w:rsidR="00686CD7" w:rsidRPr="00795225">
        <w:t xml:space="preserve"> metastases (92% of DMFS events for both the </w:t>
      </w:r>
      <w:r w:rsidR="004918C9" w:rsidRPr="00795225">
        <w:t xml:space="preserve">nivolumab </w:t>
      </w:r>
      <w:r w:rsidR="00686CD7" w:rsidRPr="00795225">
        <w:t xml:space="preserve">and </w:t>
      </w:r>
      <w:proofErr w:type="spellStart"/>
      <w:r w:rsidR="004918C9" w:rsidRPr="00795225">
        <w:t>ipilimumab</w:t>
      </w:r>
      <w:proofErr w:type="spellEnd"/>
      <w:r w:rsidR="004918C9" w:rsidRPr="00795225">
        <w:t xml:space="preserve"> </w:t>
      </w:r>
      <w:r w:rsidR="00686CD7" w:rsidRPr="00795225">
        <w:t xml:space="preserve">treatment arms; death 7% versus 6%; disease at baseline 0.9% versus 1.6%; CA238 </w:t>
      </w:r>
      <w:r w:rsidR="000F797B" w:rsidRPr="00795225">
        <w:t xml:space="preserve">interim </w:t>
      </w:r>
      <w:r w:rsidR="00686CD7" w:rsidRPr="00795225">
        <w:t>CSR Table S.5.15).</w:t>
      </w:r>
      <w:r w:rsidR="002E5751" w:rsidRPr="00795225">
        <w:t xml:space="preserve"> Similarly in CA029 nearly all </w:t>
      </w:r>
      <w:r w:rsidR="00416163" w:rsidRPr="00795225">
        <w:t xml:space="preserve">DMFS </w:t>
      </w:r>
      <w:r w:rsidR="002E5751" w:rsidRPr="00795225">
        <w:t>events were distan</w:t>
      </w:r>
      <w:r w:rsidR="00282D82" w:rsidRPr="00795225">
        <w:t>t</w:t>
      </w:r>
      <w:r w:rsidR="002E5751" w:rsidRPr="00795225">
        <w:t xml:space="preserve"> metastases (87% of DMFS events for both </w:t>
      </w:r>
      <w:proofErr w:type="spellStart"/>
      <w:r w:rsidR="00282D82" w:rsidRPr="00795225">
        <w:t>ipilimumab</w:t>
      </w:r>
      <w:proofErr w:type="spellEnd"/>
      <w:r w:rsidR="009344E3" w:rsidRPr="00795225">
        <w:t xml:space="preserve"> and placebo</w:t>
      </w:r>
      <w:r w:rsidR="002E5751" w:rsidRPr="00795225">
        <w:t xml:space="preserve">; death 13% for both </w:t>
      </w:r>
      <w:proofErr w:type="spellStart"/>
      <w:r w:rsidR="00282D82" w:rsidRPr="00795225">
        <w:t>ipilimumab</w:t>
      </w:r>
      <w:proofErr w:type="spellEnd"/>
      <w:r w:rsidR="009344E3" w:rsidRPr="00795225">
        <w:t xml:space="preserve"> and placebo</w:t>
      </w:r>
      <w:r w:rsidR="002E5751" w:rsidRPr="00795225">
        <w:t>)</w:t>
      </w:r>
      <w:r w:rsidR="00EE0C4C" w:rsidRPr="00795225">
        <w:t>.</w:t>
      </w:r>
    </w:p>
    <w:p w:rsidR="00A958E2" w:rsidRPr="00795225" w:rsidRDefault="00A958E2" w:rsidP="00D736AF">
      <w:pPr>
        <w:pStyle w:val="ListParagraph"/>
        <w:widowControl/>
        <w:numPr>
          <w:ilvl w:val="1"/>
          <w:numId w:val="1"/>
        </w:numPr>
      </w:pPr>
      <w:r w:rsidRPr="00795225">
        <w:t>The pre-PBAC response provided a descriptive analysis of OS at the 24 month data lock of CA238</w:t>
      </w:r>
      <w:r w:rsidR="001E1955" w:rsidRPr="00795225">
        <w:t xml:space="preserve"> – see Figure below</w:t>
      </w:r>
      <w:r w:rsidRPr="00795225">
        <w:t xml:space="preserve">. At 24 months, </w:t>
      </w:r>
      <w:r w:rsidR="002B3E82">
        <w:rPr>
          <w:noProof/>
          <w:color w:val="000000"/>
          <w:highlight w:val="black"/>
        </w:rPr>
        <w:t>'''''''</w:t>
      </w:r>
      <w:r w:rsidRPr="00795225">
        <w:t xml:space="preserve"> deaths had occurred; approximately </w:t>
      </w:r>
      <w:r w:rsidR="002B3E82">
        <w:rPr>
          <w:noProof/>
          <w:color w:val="000000"/>
          <w:highlight w:val="black"/>
        </w:rPr>
        <w:t>'''''</w:t>
      </w:r>
      <w:r w:rsidRPr="00795225">
        <w:t xml:space="preserve">% of the </w:t>
      </w:r>
      <w:r w:rsidRPr="00413105">
        <w:t xml:space="preserve">protocol-expected number. Of the </w:t>
      </w:r>
      <w:r w:rsidR="002B3E82">
        <w:rPr>
          <w:noProof/>
          <w:color w:val="000000"/>
          <w:highlight w:val="black"/>
        </w:rPr>
        <w:t xml:space="preserve">''''''' </w:t>
      </w:r>
      <w:r w:rsidRPr="00413105">
        <w:t xml:space="preserve">deaths, </w:t>
      </w:r>
      <w:r w:rsidR="002B3E82">
        <w:rPr>
          <w:noProof/>
          <w:color w:val="000000"/>
          <w:highlight w:val="black"/>
        </w:rPr>
        <w:t>'''''</w:t>
      </w:r>
      <w:r w:rsidRPr="00413105">
        <w:t xml:space="preserve"> were in the </w:t>
      </w:r>
      <w:proofErr w:type="spellStart"/>
      <w:r w:rsidRPr="00413105">
        <w:t>ipilimumab</w:t>
      </w:r>
      <w:proofErr w:type="spellEnd"/>
      <w:r w:rsidRPr="00413105">
        <w:t xml:space="preserve"> arm and </w:t>
      </w:r>
      <w:r w:rsidR="002B3E82">
        <w:rPr>
          <w:noProof/>
          <w:color w:val="000000"/>
          <w:highlight w:val="black"/>
        </w:rPr>
        <w:t>''''''</w:t>
      </w:r>
      <w:r w:rsidRPr="00413105">
        <w:t xml:space="preserve"> were in the nivolumab </w:t>
      </w:r>
      <w:r w:rsidR="00B03C5A" w:rsidRPr="00413105">
        <w:t>arm</w:t>
      </w:r>
      <w:r w:rsidRPr="00413105">
        <w:t>.</w:t>
      </w:r>
      <w:r w:rsidR="00DF43D3" w:rsidRPr="00795225">
        <w:t xml:space="preserve"> </w:t>
      </w:r>
    </w:p>
    <w:p w:rsidR="00DF43D3" w:rsidRPr="00795225" w:rsidRDefault="00DF43D3" w:rsidP="00DF43D3">
      <w:pPr>
        <w:keepNext/>
        <w:widowControl/>
        <w:rPr>
          <w:rFonts w:ascii="Arial Narrow" w:hAnsi="Arial Narrow"/>
          <w:b/>
          <w:sz w:val="20"/>
          <w:szCs w:val="20"/>
        </w:rPr>
      </w:pPr>
      <w:r w:rsidRPr="00795225">
        <w:rPr>
          <w:rFonts w:ascii="Arial Narrow" w:hAnsi="Arial Narrow"/>
          <w:b/>
          <w:sz w:val="20"/>
          <w:szCs w:val="20"/>
        </w:rPr>
        <w:t>Figure 2: Interim analysis of OS data from CA238 at a minimum of 24 months follow-up</w:t>
      </w:r>
    </w:p>
    <w:p w:rsidR="00DF43D3" w:rsidRPr="00795225" w:rsidRDefault="002B3E82" w:rsidP="00DF43D3">
      <w:pPr>
        <w:keepNext/>
        <w:widowControl/>
      </w:pPr>
      <w:r>
        <w:rPr>
          <w:noProof/>
          <w:snapToGrid/>
          <w:lang w:eastAsia="en-AU"/>
        </w:rPr>
        <w:drawing>
          <wp:inline distT="0" distB="0" distL="0" distR="0">
            <wp:extent cx="5669280" cy="3371215"/>
            <wp:effectExtent l="0" t="0" r="7620" b="635"/>
            <wp:docPr id="5" name="Picture 5" title="Figure 2: Interim analysis of OS data from CA238 at a minimum of 24 months follow-up"/>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extLst>
                        <a:ext uri="{28A0092B-C50C-407E-A947-70E740481C1C}">
                          <a14:useLocalDpi xmlns:a14="http://schemas.microsoft.com/office/drawing/2010/main" val="0"/>
                        </a:ext>
                      </a:extLst>
                    </a:blip>
                    <a:stretch>
                      <a:fillRect/>
                    </a:stretch>
                  </pic:blipFill>
                  <pic:spPr>
                    <a:xfrm>
                      <a:off x="0" y="0"/>
                      <a:ext cx="5669280" cy="3371215"/>
                    </a:xfrm>
                    <a:prstGeom prst="rect">
                      <a:avLst/>
                    </a:prstGeom>
                  </pic:spPr>
                </pic:pic>
              </a:graphicData>
            </a:graphic>
          </wp:inline>
        </w:drawing>
      </w:r>
    </w:p>
    <w:p w:rsidR="00DF43D3" w:rsidRPr="00795225" w:rsidRDefault="00DF43D3" w:rsidP="00DF43D3">
      <w:pPr>
        <w:keepNext/>
        <w:widowControl/>
        <w:rPr>
          <w:rFonts w:ascii="Arial Narrow" w:hAnsi="Arial Narrow"/>
          <w:sz w:val="18"/>
          <w:szCs w:val="18"/>
        </w:rPr>
      </w:pPr>
      <w:r w:rsidRPr="00795225">
        <w:rPr>
          <w:rFonts w:ascii="Arial Narrow" w:hAnsi="Arial Narrow"/>
          <w:sz w:val="18"/>
          <w:szCs w:val="18"/>
        </w:rPr>
        <w:t>OS = overall survival</w:t>
      </w:r>
    </w:p>
    <w:p w:rsidR="00DF43D3" w:rsidRPr="00795225" w:rsidRDefault="00DF43D3" w:rsidP="00DF43D3">
      <w:pPr>
        <w:widowControl/>
        <w:rPr>
          <w:rFonts w:ascii="Arial Narrow" w:hAnsi="Arial Narrow"/>
          <w:sz w:val="18"/>
          <w:szCs w:val="18"/>
        </w:rPr>
      </w:pPr>
      <w:r w:rsidRPr="00795225">
        <w:rPr>
          <w:rFonts w:ascii="Arial Narrow" w:hAnsi="Arial Narrow"/>
          <w:sz w:val="18"/>
          <w:szCs w:val="18"/>
        </w:rPr>
        <w:t>Source: Figure 1, p1 of the pre-PBAC response</w:t>
      </w:r>
    </w:p>
    <w:p w:rsidR="00DF43D3" w:rsidRPr="00795225" w:rsidRDefault="00DF43D3" w:rsidP="00DF43D3">
      <w:pPr>
        <w:widowControl/>
      </w:pPr>
    </w:p>
    <w:p w:rsidR="002628F1" w:rsidRPr="00795225" w:rsidRDefault="00AC29BF" w:rsidP="00D736AF">
      <w:pPr>
        <w:pStyle w:val="ListParagraph"/>
        <w:widowControl/>
        <w:numPr>
          <w:ilvl w:val="1"/>
          <w:numId w:val="1"/>
        </w:numPr>
      </w:pPr>
      <w:r w:rsidRPr="00795225">
        <w:t>There were no updated quality of life (</w:t>
      </w:r>
      <w:proofErr w:type="spellStart"/>
      <w:r w:rsidRPr="00795225">
        <w:t>QoL</w:t>
      </w:r>
      <w:proofErr w:type="spellEnd"/>
      <w:r w:rsidRPr="00795225">
        <w:t xml:space="preserve">) data. A formal indirect comparison </w:t>
      </w:r>
      <w:r w:rsidR="00B454C3" w:rsidRPr="00795225">
        <w:t xml:space="preserve">of </w:t>
      </w:r>
      <w:proofErr w:type="spellStart"/>
      <w:r w:rsidR="00B454C3" w:rsidRPr="00795225">
        <w:t>QoL</w:t>
      </w:r>
      <w:proofErr w:type="spellEnd"/>
      <w:r w:rsidR="00B454C3" w:rsidRPr="00795225">
        <w:t xml:space="preserve"> data </w:t>
      </w:r>
      <w:r w:rsidR="00927590" w:rsidRPr="00795225">
        <w:t>was</w:t>
      </w:r>
      <w:r w:rsidR="00917E3F" w:rsidRPr="00795225">
        <w:t xml:space="preserve"> </w:t>
      </w:r>
      <w:r w:rsidRPr="00795225">
        <w:t>not presented in the previous submission</w:t>
      </w:r>
      <w:r w:rsidR="00927590" w:rsidRPr="00795225">
        <w:t>. This was conducted for the resubmission</w:t>
      </w:r>
      <w:r w:rsidR="00917E3F" w:rsidRPr="00795225">
        <w:t>,</w:t>
      </w:r>
      <w:r w:rsidR="00927590" w:rsidRPr="00795225">
        <w:t xml:space="preserve"> which </w:t>
      </w:r>
      <w:r w:rsidRPr="00795225">
        <w:t xml:space="preserve">showed </w:t>
      </w:r>
      <w:r w:rsidR="00927590" w:rsidRPr="00795225">
        <w:t xml:space="preserve">that </w:t>
      </w:r>
      <w:r w:rsidRPr="00795225">
        <w:t>t</w:t>
      </w:r>
      <w:r w:rsidR="00EA6CCC" w:rsidRPr="00795225">
        <w:t>here were no significant differences between nivolumab and placebo</w:t>
      </w:r>
      <w:r w:rsidR="00927590" w:rsidRPr="00795225">
        <w:t>,</w:t>
      </w:r>
      <w:r w:rsidR="00EA6CCC" w:rsidRPr="00795225">
        <w:t xml:space="preserve"> in time to deterioration from baseline on </w:t>
      </w:r>
      <w:proofErr w:type="spellStart"/>
      <w:r w:rsidR="00EA6CCC" w:rsidRPr="00795225">
        <w:t>QoL</w:t>
      </w:r>
      <w:proofErr w:type="spellEnd"/>
      <w:r w:rsidR="00EA6CCC" w:rsidRPr="00795225">
        <w:t xml:space="preserve"> scores</w:t>
      </w:r>
      <w:r w:rsidR="00C325BB" w:rsidRPr="00795225">
        <w:t>,</w:t>
      </w:r>
      <w:r w:rsidR="00EA6CCC" w:rsidRPr="00795225">
        <w:t xml:space="preserve"> except for dyspnoea which favoured placebo.</w:t>
      </w:r>
      <w:r w:rsidRPr="00795225">
        <w:t xml:space="preserve"> </w:t>
      </w:r>
    </w:p>
    <w:p w:rsidR="006B44B8" w:rsidRPr="00795225" w:rsidRDefault="00D929DD" w:rsidP="00D736AF">
      <w:pPr>
        <w:pStyle w:val="ListParagraph"/>
        <w:widowControl/>
        <w:numPr>
          <w:ilvl w:val="1"/>
          <w:numId w:val="1"/>
        </w:numPr>
      </w:pPr>
      <w:r w:rsidRPr="00795225">
        <w:t>The resubmission presented indirect comparisons between nivolumab (</w:t>
      </w:r>
      <w:r w:rsidR="002B76FE" w:rsidRPr="00795225">
        <w:t>minimum</w:t>
      </w:r>
      <w:r w:rsidR="00875C6F" w:rsidRPr="00795225">
        <w:t xml:space="preserve"> </w:t>
      </w:r>
      <w:r w:rsidR="007A6BA7" w:rsidRPr="00795225">
        <w:t>24</w:t>
      </w:r>
      <w:r w:rsidR="00B454C3" w:rsidRPr="00795225">
        <w:t xml:space="preserve"> </w:t>
      </w:r>
      <w:r w:rsidRPr="00795225">
        <w:t>month</w:t>
      </w:r>
      <w:r w:rsidR="00875C6F" w:rsidRPr="00795225">
        <w:t>s follow up</w:t>
      </w:r>
      <w:r w:rsidRPr="00795225">
        <w:t xml:space="preserve">) and near market comparators, pembrolizumab and DAB+TRAM, using placebo as the common reference. As the comparative RFS estimate used for </w:t>
      </w:r>
      <w:r w:rsidRPr="00795225">
        <w:lastRenderedPageBreak/>
        <w:t xml:space="preserve">nivolumab </w:t>
      </w:r>
      <w:r w:rsidR="00AC5864" w:rsidRPr="00795225">
        <w:t>versus</w:t>
      </w:r>
      <w:r w:rsidRPr="00795225">
        <w:t xml:space="preserve"> placebo was indirect and synthesised using the CA238 and CA029 trials, these near market comparisons were 2-step indirect comparisons and </w:t>
      </w:r>
      <w:r w:rsidR="00B454C3" w:rsidRPr="00795225">
        <w:t xml:space="preserve">were </w:t>
      </w:r>
      <w:r w:rsidRPr="00795225">
        <w:t>thus associated with a high level of uncertainty.</w:t>
      </w:r>
    </w:p>
    <w:p w:rsidR="00D929DD" w:rsidRPr="00795225" w:rsidRDefault="00101AF2" w:rsidP="00D736AF">
      <w:pPr>
        <w:pStyle w:val="ListParagraph"/>
        <w:widowControl/>
        <w:numPr>
          <w:ilvl w:val="1"/>
          <w:numId w:val="1"/>
        </w:numPr>
      </w:pPr>
      <w:r w:rsidRPr="00795225">
        <w:t>T</w:t>
      </w:r>
      <w:r w:rsidR="00D929DD" w:rsidRPr="00795225">
        <w:t>he DAB+TRAM COMBI-AD trial specifically included patients with tumours which were BRAF mutation positive only.</w:t>
      </w:r>
      <w:r w:rsidR="00107A25" w:rsidRPr="00795225">
        <w:t xml:space="preserve"> No data for nivolumab in BRAF mutation positive patients were used for the indirect comparisons. For RFS, there was no statistically significant difference between nivolumab and pembrolizumab (HR </w:t>
      </w:r>
      <w:r w:rsidR="007A6BA7" w:rsidRPr="00795225">
        <w:t xml:space="preserve">= 0.88; </w:t>
      </w:r>
      <w:r w:rsidR="00107A25" w:rsidRPr="00795225">
        <w:t xml:space="preserve">95% CI: 0.60, 1.28) or between nivolumab and DAB+TRAM (HR </w:t>
      </w:r>
      <w:r w:rsidR="006C72B0" w:rsidRPr="00795225">
        <w:t xml:space="preserve">= </w:t>
      </w:r>
      <w:r w:rsidR="00107A25" w:rsidRPr="00795225">
        <w:t>1.06</w:t>
      </w:r>
      <w:r w:rsidR="007A6BA7" w:rsidRPr="00795225">
        <w:t xml:space="preserve">; </w:t>
      </w:r>
      <w:r w:rsidR="00107A25" w:rsidRPr="00795225">
        <w:t>95% CI: 0.77</w:t>
      </w:r>
      <w:r w:rsidR="007A6BA7" w:rsidRPr="00795225">
        <w:t>, 1.48</w:t>
      </w:r>
      <w:r w:rsidR="00F217B4" w:rsidRPr="00795225">
        <w:t>)</w:t>
      </w:r>
      <w:r w:rsidR="00107A25" w:rsidRPr="00795225">
        <w:t xml:space="preserve">. </w:t>
      </w:r>
    </w:p>
    <w:p w:rsidR="00B60939" w:rsidRPr="00795225" w:rsidRDefault="00B60939" w:rsidP="008D1BDC">
      <w:pPr>
        <w:pStyle w:val="Heading2"/>
        <w:widowControl/>
      </w:pPr>
      <w:bookmarkStart w:id="16" w:name="_Toc536007259"/>
      <w:r w:rsidRPr="00795225">
        <w:t>Comparative harms</w:t>
      </w:r>
      <w:bookmarkEnd w:id="16"/>
    </w:p>
    <w:p w:rsidR="007A351E" w:rsidRPr="00795225" w:rsidRDefault="002125F7" w:rsidP="007A351E">
      <w:pPr>
        <w:pStyle w:val="ListParagraph"/>
        <w:widowControl/>
        <w:numPr>
          <w:ilvl w:val="1"/>
          <w:numId w:val="1"/>
        </w:numPr>
      </w:pPr>
      <w:r w:rsidRPr="00795225">
        <w:t xml:space="preserve">There were no </w:t>
      </w:r>
      <w:r w:rsidR="007D6116" w:rsidRPr="00795225">
        <w:t>new</w:t>
      </w:r>
      <w:r w:rsidRPr="00795225">
        <w:t xml:space="preserve"> safety data </w:t>
      </w:r>
      <w:r w:rsidR="007D6116" w:rsidRPr="00795225">
        <w:t>from the previous submission</w:t>
      </w:r>
      <w:r w:rsidR="00AC29BF" w:rsidRPr="00795225">
        <w:t>.</w:t>
      </w:r>
      <w:r w:rsidR="00CF1E53" w:rsidRPr="00795225">
        <w:t xml:space="preserve"> </w:t>
      </w:r>
      <w:r w:rsidR="00B454C3" w:rsidRPr="00795225">
        <w:t xml:space="preserve">The ESC </w:t>
      </w:r>
      <w:r w:rsidR="008F55F4" w:rsidRPr="00795225">
        <w:t xml:space="preserve">advised that adjuvant </w:t>
      </w:r>
      <w:r w:rsidR="007A351E" w:rsidRPr="00795225">
        <w:t>therapy did not appear to present any new signals or safety concerns.</w:t>
      </w:r>
    </w:p>
    <w:p w:rsidR="007F1017" w:rsidRPr="00795225" w:rsidRDefault="007F1017" w:rsidP="008D1BDC">
      <w:pPr>
        <w:pStyle w:val="Heading2"/>
        <w:widowControl/>
      </w:pPr>
      <w:bookmarkStart w:id="17" w:name="_Toc536007260"/>
      <w:r w:rsidRPr="00795225">
        <w:t>Benefits/harms</w:t>
      </w:r>
      <w:bookmarkEnd w:id="17"/>
    </w:p>
    <w:p w:rsidR="007D6116" w:rsidRPr="00795225" w:rsidRDefault="007D6116" w:rsidP="00D736AF">
      <w:pPr>
        <w:pStyle w:val="ListParagraph"/>
        <w:widowControl/>
        <w:numPr>
          <w:ilvl w:val="1"/>
          <w:numId w:val="1"/>
        </w:numPr>
      </w:pPr>
      <w:r w:rsidRPr="00795225">
        <w:t xml:space="preserve">A summary of the comparative benefits for nivolumab versus placebo is presented in </w:t>
      </w:r>
      <w:r w:rsidR="00DB5ACC" w:rsidRPr="00795225">
        <w:t>Table 7</w:t>
      </w:r>
      <w:r w:rsidRPr="00795225">
        <w:t xml:space="preserve">. As </w:t>
      </w:r>
      <w:r w:rsidR="00F76C17" w:rsidRPr="00795225">
        <w:t>was noted in the previous consideration of nivolumab</w:t>
      </w:r>
      <w:r w:rsidR="00CD3508" w:rsidRPr="00795225">
        <w:t xml:space="preserve"> (</w:t>
      </w:r>
      <w:r w:rsidR="00412D4C" w:rsidRPr="00795225">
        <w:t>p</w:t>
      </w:r>
      <w:r w:rsidR="00CD3508" w:rsidRPr="00795225">
        <w:t>aragraph 6.24</w:t>
      </w:r>
      <w:r w:rsidR="00F76C17" w:rsidRPr="00795225">
        <w:t>,</w:t>
      </w:r>
      <w:r w:rsidRPr="00795225">
        <w:t xml:space="preserve"> </w:t>
      </w:r>
      <w:r w:rsidR="006B563A" w:rsidRPr="00795225">
        <w:t xml:space="preserve">Nivolumab PSD, </w:t>
      </w:r>
      <w:r w:rsidR="00CD3508" w:rsidRPr="00795225">
        <w:t xml:space="preserve">July 2018), </w:t>
      </w:r>
      <w:r w:rsidRPr="00795225">
        <w:t xml:space="preserve">the higher exposure to </w:t>
      </w:r>
      <w:proofErr w:type="spellStart"/>
      <w:r w:rsidRPr="00795225">
        <w:t>ipilimumab</w:t>
      </w:r>
      <w:proofErr w:type="spellEnd"/>
      <w:r w:rsidRPr="00795225">
        <w:t xml:space="preserve"> and the longer duration of follow-up in CA029 compared to CA238</w:t>
      </w:r>
      <w:r w:rsidR="00F76C17" w:rsidRPr="00795225">
        <w:t xml:space="preserve"> impeded the quantification of </w:t>
      </w:r>
      <w:r w:rsidRPr="00795225">
        <w:t>relative harms associated with nivolumab compared with placebo.</w:t>
      </w:r>
      <w:r w:rsidR="006B011B" w:rsidRPr="00795225">
        <w:t xml:space="preserve"> </w:t>
      </w:r>
    </w:p>
    <w:p w:rsidR="007D6116" w:rsidRPr="00795225" w:rsidRDefault="007D6116" w:rsidP="008D1BDC">
      <w:pPr>
        <w:pStyle w:val="Caption"/>
        <w:widowControl/>
        <w:rPr>
          <w:rStyle w:val="CommentReference"/>
          <w:b/>
        </w:rPr>
      </w:pPr>
      <w:bookmarkStart w:id="18" w:name="_Ref533694909"/>
      <w:r w:rsidRPr="00795225">
        <w:t xml:space="preserve">Table </w:t>
      </w:r>
      <w:r w:rsidR="00DB5ACC" w:rsidRPr="00795225">
        <w:t>7</w:t>
      </w:r>
      <w:bookmarkEnd w:id="18"/>
      <w:r w:rsidRPr="00795225">
        <w:t xml:space="preserve">: </w:t>
      </w:r>
      <w:r w:rsidR="00F76C17" w:rsidRPr="00795225">
        <w:rPr>
          <w:rStyle w:val="CommentReference"/>
          <w:b/>
        </w:rPr>
        <w:t xml:space="preserve">Summary of comparative benefits </w:t>
      </w:r>
      <w:r w:rsidRPr="00795225">
        <w:rPr>
          <w:rStyle w:val="CommentReference"/>
          <w:b/>
        </w:rPr>
        <w:t xml:space="preserve">for nivolumab </w:t>
      </w:r>
      <w:r w:rsidR="00F76C17" w:rsidRPr="00795225">
        <w:rPr>
          <w:rStyle w:val="CommentReference"/>
          <w:b/>
        </w:rPr>
        <w:t>versus</w:t>
      </w:r>
      <w:r w:rsidRPr="00795225">
        <w:rPr>
          <w:rStyle w:val="CommentReference"/>
          <w:b/>
        </w:rPr>
        <w:t xml:space="preserve"> placebo </w:t>
      </w:r>
    </w:p>
    <w:tbl>
      <w:tblPr>
        <w:tblW w:w="5000" w:type="pct"/>
        <w:tblCellMar>
          <w:left w:w="28" w:type="dxa"/>
          <w:right w:w="28" w:type="dxa"/>
        </w:tblCellMar>
        <w:tblLook w:val="04A0" w:firstRow="1" w:lastRow="0" w:firstColumn="1" w:lastColumn="0" w:noHBand="0" w:noVBand="1"/>
        <w:tblCaption w:val="Table 7: Summary of comparative benefits for nivolumab versus placebo "/>
      </w:tblPr>
      <w:tblGrid>
        <w:gridCol w:w="2829"/>
        <w:gridCol w:w="1394"/>
        <w:gridCol w:w="1434"/>
        <w:gridCol w:w="1434"/>
        <w:gridCol w:w="1926"/>
      </w:tblGrid>
      <w:tr w:rsidR="007D6116" w:rsidRPr="00795225" w:rsidTr="007E6CED">
        <w:tc>
          <w:tcPr>
            <w:tcW w:w="5000" w:type="pct"/>
            <w:gridSpan w:val="5"/>
            <w:tcBorders>
              <w:top w:val="single" w:sz="4" w:space="0" w:color="auto"/>
              <w:left w:val="single" w:sz="4" w:space="0" w:color="auto"/>
              <w:bottom w:val="double" w:sz="4" w:space="0" w:color="auto"/>
              <w:right w:val="single" w:sz="4" w:space="0" w:color="auto"/>
            </w:tcBorders>
            <w:shd w:val="clear" w:color="auto" w:fill="auto"/>
            <w:vAlign w:val="center"/>
          </w:tcPr>
          <w:p w:rsidR="007D6116" w:rsidRPr="00795225" w:rsidRDefault="007D6116" w:rsidP="008D1BDC">
            <w:pPr>
              <w:widowControl/>
              <w:rPr>
                <w:rFonts w:ascii="Arial Narrow" w:hAnsi="Arial Narrow"/>
                <w:b/>
                <w:color w:val="000000"/>
                <w:sz w:val="20"/>
                <w:szCs w:val="18"/>
              </w:rPr>
            </w:pPr>
            <w:r w:rsidRPr="00795225">
              <w:rPr>
                <w:rFonts w:ascii="Arial Narrow" w:hAnsi="Arial Narrow"/>
                <w:b/>
                <w:color w:val="000000"/>
                <w:sz w:val="20"/>
                <w:szCs w:val="18"/>
              </w:rPr>
              <w:t>Benefits</w:t>
            </w:r>
          </w:p>
        </w:tc>
      </w:tr>
      <w:tr w:rsidR="007D6116" w:rsidRPr="00795225" w:rsidTr="007E6CED">
        <w:tc>
          <w:tcPr>
            <w:tcW w:w="5000" w:type="pct"/>
            <w:gridSpan w:val="5"/>
            <w:tcBorders>
              <w:top w:val="doub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rPr>
                <w:rFonts w:ascii="Arial Narrow" w:hAnsi="Arial Narrow"/>
                <w:b/>
                <w:color w:val="000000"/>
                <w:sz w:val="20"/>
                <w:szCs w:val="18"/>
              </w:rPr>
            </w:pPr>
            <w:r w:rsidRPr="00795225">
              <w:rPr>
                <w:rFonts w:ascii="Arial Narrow" w:hAnsi="Arial Narrow"/>
                <w:b/>
                <w:color w:val="000000"/>
                <w:sz w:val="20"/>
                <w:szCs w:val="18"/>
              </w:rPr>
              <w:t>Time-to-event outcome RFS</w:t>
            </w:r>
            <w:r w:rsidR="00F76C17" w:rsidRPr="00795225">
              <w:rPr>
                <w:rFonts w:ascii="Arial Narrow" w:hAnsi="Arial Narrow"/>
                <w:b/>
                <w:color w:val="000000"/>
                <w:sz w:val="20"/>
                <w:szCs w:val="18"/>
              </w:rPr>
              <w:t xml:space="preserve"> </w:t>
            </w:r>
          </w:p>
        </w:tc>
      </w:tr>
      <w:tr w:rsidR="007D6116" w:rsidRPr="00795225" w:rsidTr="007E6CED">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jc w:val="center"/>
              <w:rPr>
                <w:rFonts w:ascii="Arial Narrow" w:hAnsi="Arial Narrow"/>
                <w:color w:val="000000"/>
                <w:sz w:val="20"/>
                <w:szCs w:val="18"/>
              </w:rPr>
            </w:pPr>
          </w:p>
        </w:tc>
        <w:tc>
          <w:tcPr>
            <w:tcW w:w="773"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b/>
                <w:color w:val="000000"/>
                <w:sz w:val="20"/>
                <w:szCs w:val="18"/>
              </w:rPr>
            </w:pPr>
            <w:r w:rsidRPr="00795225">
              <w:rPr>
                <w:rFonts w:ascii="Arial Narrow" w:hAnsi="Arial Narrow"/>
                <w:b/>
                <w:color w:val="000000"/>
                <w:sz w:val="20"/>
                <w:szCs w:val="18"/>
              </w:rPr>
              <w:t>Nivolumab</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b/>
                <w:color w:val="000000"/>
                <w:sz w:val="20"/>
                <w:szCs w:val="18"/>
              </w:rPr>
            </w:pPr>
            <w:r w:rsidRPr="00795225">
              <w:rPr>
                <w:rFonts w:ascii="Arial Narrow" w:hAnsi="Arial Narrow"/>
                <w:b/>
                <w:color w:val="000000"/>
                <w:sz w:val="20"/>
                <w:szCs w:val="18"/>
              </w:rPr>
              <w:t>Ipilimumab</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b/>
                <w:color w:val="000000"/>
                <w:sz w:val="20"/>
                <w:szCs w:val="18"/>
              </w:rPr>
            </w:pPr>
            <w:r w:rsidRPr="00795225">
              <w:rPr>
                <w:rFonts w:ascii="Arial Narrow" w:hAnsi="Arial Narrow"/>
                <w:b/>
                <w:color w:val="000000"/>
                <w:sz w:val="20"/>
                <w:szCs w:val="18"/>
              </w:rPr>
              <w:t>Placebo</w:t>
            </w:r>
          </w:p>
        </w:tc>
        <w:tc>
          <w:tcPr>
            <w:tcW w:w="1068"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b/>
                <w:color w:val="000000"/>
                <w:sz w:val="20"/>
                <w:szCs w:val="18"/>
              </w:rPr>
            </w:pPr>
            <w:r w:rsidRPr="00795225">
              <w:rPr>
                <w:rFonts w:ascii="Arial Narrow" w:hAnsi="Arial Narrow"/>
                <w:b/>
                <w:color w:val="000000"/>
                <w:sz w:val="20"/>
                <w:szCs w:val="18"/>
              </w:rPr>
              <w:t>HR (95% CI)</w:t>
            </w:r>
          </w:p>
        </w:tc>
      </w:tr>
      <w:tr w:rsidR="007D6116" w:rsidRPr="00795225" w:rsidTr="007E6CED">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F0110A">
            <w:pPr>
              <w:widowControl/>
              <w:rPr>
                <w:rFonts w:ascii="Arial Narrow" w:hAnsi="Arial Narrow"/>
                <w:b/>
                <w:sz w:val="20"/>
              </w:rPr>
            </w:pPr>
            <w:r w:rsidRPr="00795225">
              <w:rPr>
                <w:rFonts w:ascii="Arial Narrow" w:hAnsi="Arial Narrow"/>
                <w:b/>
                <w:sz w:val="20"/>
              </w:rPr>
              <w:t>CA238</w:t>
            </w:r>
            <w:r w:rsidR="002B5E66" w:rsidRPr="00795225">
              <w:rPr>
                <w:rFonts w:ascii="Arial Narrow" w:hAnsi="Arial Narrow"/>
                <w:b/>
                <w:sz w:val="20"/>
              </w:rPr>
              <w:t xml:space="preserve">: </w:t>
            </w:r>
            <w:r w:rsidR="002B5E66" w:rsidRPr="00795225">
              <w:rPr>
                <w:rFonts w:ascii="Arial Narrow" w:hAnsi="Arial Narrow"/>
                <w:sz w:val="20"/>
              </w:rPr>
              <w:t>Stage IIIB, IIIC or IV, 7</w:t>
            </w:r>
            <w:r w:rsidR="002B5E66" w:rsidRPr="00795225">
              <w:rPr>
                <w:rFonts w:ascii="Arial Narrow" w:hAnsi="Arial Narrow"/>
                <w:sz w:val="20"/>
                <w:vertAlign w:val="superscript"/>
              </w:rPr>
              <w:t>th</w:t>
            </w:r>
            <w:r w:rsidR="002B5E66" w:rsidRPr="00795225">
              <w:rPr>
                <w:rFonts w:ascii="Arial Narrow" w:hAnsi="Arial Narrow"/>
                <w:sz w:val="20"/>
              </w:rPr>
              <w:t xml:space="preserve"> AJCC edition </w:t>
            </w:r>
          </w:p>
        </w:tc>
      </w:tr>
      <w:tr w:rsidR="007D6116" w:rsidRPr="00795225" w:rsidTr="007E6CED">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rPr>
                <w:rFonts w:ascii="Arial Narrow" w:hAnsi="Arial Narrow"/>
                <w:color w:val="000000"/>
                <w:sz w:val="20"/>
                <w:szCs w:val="18"/>
              </w:rPr>
            </w:pPr>
            <w:r w:rsidRPr="00795225">
              <w:rPr>
                <w:rFonts w:ascii="Arial Narrow" w:hAnsi="Arial Narrow"/>
                <w:color w:val="000000"/>
                <w:sz w:val="20"/>
                <w:szCs w:val="18"/>
              </w:rPr>
              <w:t>Events</w:t>
            </w:r>
            <w:r w:rsidR="00F76C17" w:rsidRPr="00795225">
              <w:rPr>
                <w:rFonts w:ascii="Arial Narrow" w:hAnsi="Arial Narrow"/>
                <w:color w:val="000000"/>
                <w:sz w:val="20"/>
                <w:szCs w:val="18"/>
                <w:vertAlign w:val="superscript"/>
              </w:rPr>
              <w:t>1</w:t>
            </w:r>
            <w:r w:rsidRPr="00795225">
              <w:rPr>
                <w:rFonts w:ascii="Arial Narrow" w:hAnsi="Arial Narrow"/>
                <w:color w:val="000000"/>
                <w:sz w:val="20"/>
                <w:szCs w:val="18"/>
              </w:rPr>
              <w:t>, n/N (%)</w:t>
            </w:r>
          </w:p>
        </w:tc>
        <w:tc>
          <w:tcPr>
            <w:tcW w:w="773"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1</w:t>
            </w:r>
            <w:r w:rsidR="00731747" w:rsidRPr="00795225">
              <w:rPr>
                <w:rFonts w:ascii="Arial Narrow" w:hAnsi="Arial Narrow"/>
                <w:sz w:val="20"/>
              </w:rPr>
              <w:t>71</w:t>
            </w:r>
            <w:r w:rsidRPr="00795225">
              <w:rPr>
                <w:rFonts w:ascii="Arial Narrow" w:hAnsi="Arial Narrow"/>
                <w:sz w:val="20"/>
              </w:rPr>
              <w:t>/453 (3</w:t>
            </w:r>
            <w:r w:rsidR="00731747" w:rsidRPr="00795225">
              <w:rPr>
                <w:rFonts w:ascii="Arial Narrow" w:hAnsi="Arial Narrow"/>
                <w:sz w:val="20"/>
              </w:rPr>
              <w:t>7</w:t>
            </w:r>
            <w:r w:rsidRPr="00795225">
              <w:rPr>
                <w:rFonts w:ascii="Arial Narrow" w:hAnsi="Arial Narrow"/>
                <w:sz w:val="20"/>
              </w:rPr>
              <w:t>.</w:t>
            </w:r>
            <w:r w:rsidR="00731747" w:rsidRPr="00795225">
              <w:rPr>
                <w:rFonts w:ascii="Arial Narrow" w:hAnsi="Arial Narrow"/>
                <w:sz w:val="20"/>
              </w:rPr>
              <w:t>7</w:t>
            </w:r>
            <w:r w:rsidRPr="0079522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31747" w:rsidP="008D1BDC">
            <w:pPr>
              <w:widowControl/>
              <w:jc w:val="center"/>
              <w:rPr>
                <w:rFonts w:ascii="Arial Narrow" w:hAnsi="Arial Narrow"/>
                <w:sz w:val="20"/>
              </w:rPr>
            </w:pPr>
            <w:r w:rsidRPr="00795225">
              <w:rPr>
                <w:rFonts w:ascii="Arial Narrow" w:hAnsi="Arial Narrow"/>
                <w:sz w:val="20"/>
              </w:rPr>
              <w:t>221</w:t>
            </w:r>
            <w:r w:rsidR="007D6116" w:rsidRPr="00795225">
              <w:rPr>
                <w:rFonts w:ascii="Arial Narrow" w:hAnsi="Arial Narrow"/>
                <w:sz w:val="20"/>
              </w:rPr>
              <w:t>/453 (4</w:t>
            </w:r>
            <w:r w:rsidRPr="00795225">
              <w:rPr>
                <w:rFonts w:ascii="Arial Narrow" w:hAnsi="Arial Narrow"/>
                <w:sz w:val="20"/>
              </w:rPr>
              <w:t>8</w:t>
            </w:r>
            <w:r w:rsidR="007D6116" w:rsidRPr="00795225">
              <w:rPr>
                <w:rFonts w:ascii="Arial Narrow" w:hAnsi="Arial Narrow"/>
                <w:sz w:val="20"/>
              </w:rPr>
              <w:t>.</w:t>
            </w:r>
            <w:r w:rsidRPr="00795225">
              <w:rPr>
                <w:rFonts w:ascii="Arial Narrow" w:hAnsi="Arial Narrow"/>
                <w:sz w:val="20"/>
              </w:rPr>
              <w:t>8</w:t>
            </w:r>
            <w:r w:rsidR="007D6116" w:rsidRPr="0079522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w:t>
            </w:r>
          </w:p>
        </w:tc>
        <w:tc>
          <w:tcPr>
            <w:tcW w:w="1068"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color w:val="000000"/>
                <w:sz w:val="20"/>
                <w:szCs w:val="18"/>
              </w:rPr>
            </w:pPr>
            <w:r w:rsidRPr="00795225">
              <w:rPr>
                <w:rFonts w:ascii="Arial Narrow" w:hAnsi="Arial Narrow"/>
                <w:sz w:val="20"/>
              </w:rPr>
              <w:t>0.66 (0.5</w:t>
            </w:r>
            <w:r w:rsidR="00731747" w:rsidRPr="00795225">
              <w:rPr>
                <w:rFonts w:ascii="Arial Narrow" w:hAnsi="Arial Narrow"/>
                <w:sz w:val="20"/>
              </w:rPr>
              <w:t>4</w:t>
            </w:r>
            <w:r w:rsidRPr="00795225">
              <w:rPr>
                <w:rFonts w:ascii="Arial Narrow" w:hAnsi="Arial Narrow"/>
                <w:sz w:val="20"/>
              </w:rPr>
              <w:t>, 0.81)</w:t>
            </w:r>
          </w:p>
        </w:tc>
      </w:tr>
      <w:tr w:rsidR="007D6116" w:rsidRPr="00795225" w:rsidTr="007E6CED">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rPr>
                <w:rFonts w:ascii="Arial Narrow" w:hAnsi="Arial Narrow"/>
                <w:color w:val="000000"/>
                <w:sz w:val="20"/>
                <w:szCs w:val="18"/>
              </w:rPr>
            </w:pPr>
            <w:r w:rsidRPr="00795225">
              <w:rPr>
                <w:rFonts w:ascii="Arial Narrow" w:hAnsi="Arial Narrow"/>
                <w:color w:val="000000"/>
                <w:sz w:val="20"/>
                <w:szCs w:val="18"/>
              </w:rPr>
              <w:t>Median RFS, months (95% CI)</w:t>
            </w:r>
          </w:p>
        </w:tc>
        <w:tc>
          <w:tcPr>
            <w:tcW w:w="773" w:type="pct"/>
            <w:tcBorders>
              <w:top w:val="single" w:sz="4" w:space="0" w:color="auto"/>
              <w:left w:val="single" w:sz="4" w:space="0" w:color="auto"/>
              <w:bottom w:val="single" w:sz="4" w:space="0" w:color="auto"/>
              <w:right w:val="single" w:sz="4" w:space="0" w:color="auto"/>
            </w:tcBorders>
            <w:vAlign w:val="center"/>
          </w:tcPr>
          <w:p w:rsidR="007D6116" w:rsidRPr="00795225" w:rsidRDefault="00731747" w:rsidP="008D1BDC">
            <w:pPr>
              <w:widowControl/>
              <w:jc w:val="center"/>
              <w:rPr>
                <w:rFonts w:ascii="Arial Narrow" w:hAnsi="Arial Narrow"/>
                <w:sz w:val="20"/>
              </w:rPr>
            </w:pPr>
            <w:r w:rsidRPr="00795225">
              <w:rPr>
                <w:rFonts w:ascii="Arial Narrow" w:hAnsi="Arial Narrow"/>
                <w:sz w:val="20"/>
              </w:rPr>
              <w:t>30.75 (30.75, NC)</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31747" w:rsidP="008D1BDC">
            <w:pPr>
              <w:widowControl/>
              <w:jc w:val="center"/>
              <w:rPr>
                <w:rFonts w:ascii="Arial Narrow" w:hAnsi="Arial Narrow"/>
                <w:sz w:val="20"/>
              </w:rPr>
            </w:pPr>
            <w:r w:rsidRPr="00795225">
              <w:rPr>
                <w:rFonts w:ascii="Arial Narrow" w:hAnsi="Arial Narrow"/>
                <w:sz w:val="20"/>
              </w:rPr>
              <w:t>24.08</w:t>
            </w:r>
            <w:r w:rsidR="007D6116" w:rsidRPr="00795225">
              <w:rPr>
                <w:rFonts w:ascii="Arial Narrow" w:hAnsi="Arial Narrow"/>
                <w:sz w:val="20"/>
              </w:rPr>
              <w:t xml:space="preserve"> (16.</w:t>
            </w:r>
            <w:r w:rsidRPr="00795225">
              <w:rPr>
                <w:rFonts w:ascii="Arial Narrow" w:hAnsi="Arial Narrow"/>
                <w:sz w:val="20"/>
              </w:rPr>
              <w:t>56</w:t>
            </w:r>
            <w:r w:rsidR="007D6116" w:rsidRPr="00795225">
              <w:rPr>
                <w:rFonts w:ascii="Arial Narrow" w:hAnsi="Arial Narrow"/>
                <w:sz w:val="20"/>
              </w:rPr>
              <w:t xml:space="preserve"> , NC)</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w:t>
            </w:r>
          </w:p>
        </w:tc>
        <w:tc>
          <w:tcPr>
            <w:tcW w:w="1068"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color w:val="000000"/>
                <w:sz w:val="20"/>
                <w:szCs w:val="18"/>
              </w:rPr>
            </w:pPr>
            <w:r w:rsidRPr="00795225">
              <w:rPr>
                <w:rFonts w:ascii="Arial Narrow" w:hAnsi="Arial Narrow"/>
                <w:color w:val="000000"/>
                <w:sz w:val="20"/>
                <w:szCs w:val="18"/>
              </w:rPr>
              <w:t>-</w:t>
            </w:r>
          </w:p>
        </w:tc>
      </w:tr>
      <w:tr w:rsidR="007D6116" w:rsidRPr="00795225" w:rsidTr="007E6CED">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jc w:val="left"/>
              <w:rPr>
                <w:rFonts w:ascii="Arial Narrow" w:hAnsi="Arial Narrow"/>
                <w:b/>
                <w:color w:val="000000"/>
                <w:sz w:val="20"/>
                <w:szCs w:val="18"/>
              </w:rPr>
            </w:pPr>
            <w:r w:rsidRPr="00795225">
              <w:rPr>
                <w:rFonts w:ascii="Arial Narrow" w:hAnsi="Arial Narrow"/>
                <w:b/>
                <w:color w:val="000000"/>
                <w:sz w:val="20"/>
                <w:szCs w:val="18"/>
              </w:rPr>
              <w:t>CA029</w:t>
            </w:r>
            <w:r w:rsidR="002B5E66" w:rsidRPr="00795225">
              <w:rPr>
                <w:rFonts w:ascii="Arial Narrow" w:hAnsi="Arial Narrow"/>
                <w:b/>
                <w:color w:val="000000"/>
                <w:sz w:val="20"/>
                <w:szCs w:val="18"/>
              </w:rPr>
              <w:t xml:space="preserve">: </w:t>
            </w:r>
            <w:r w:rsidR="002B5E66" w:rsidRPr="00795225">
              <w:rPr>
                <w:rFonts w:ascii="Arial Narrow" w:hAnsi="Arial Narrow"/>
                <w:sz w:val="20"/>
              </w:rPr>
              <w:t>Stage IIIA, IIIB, or IIIC, 6</w:t>
            </w:r>
            <w:r w:rsidR="002B5E66" w:rsidRPr="00795225">
              <w:rPr>
                <w:rFonts w:ascii="Arial Narrow" w:hAnsi="Arial Narrow"/>
                <w:sz w:val="20"/>
                <w:vertAlign w:val="superscript"/>
              </w:rPr>
              <w:t>th</w:t>
            </w:r>
            <w:r w:rsidR="002B5E66" w:rsidRPr="00795225">
              <w:rPr>
                <w:rFonts w:ascii="Arial Narrow" w:hAnsi="Arial Narrow"/>
                <w:sz w:val="20"/>
              </w:rPr>
              <w:t xml:space="preserve"> AJCC edition</w:t>
            </w:r>
          </w:p>
        </w:tc>
      </w:tr>
      <w:tr w:rsidR="007D6116" w:rsidRPr="00795225" w:rsidTr="007E6CED">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rPr>
                <w:rFonts w:ascii="Arial Narrow" w:hAnsi="Arial Narrow"/>
                <w:color w:val="000000"/>
                <w:sz w:val="20"/>
                <w:szCs w:val="18"/>
              </w:rPr>
            </w:pPr>
            <w:r w:rsidRPr="00795225">
              <w:rPr>
                <w:rFonts w:ascii="Arial Narrow" w:hAnsi="Arial Narrow"/>
                <w:color w:val="000000"/>
                <w:sz w:val="20"/>
                <w:szCs w:val="18"/>
              </w:rPr>
              <w:t>Events</w:t>
            </w:r>
            <w:r w:rsidR="00731747" w:rsidRPr="00795225">
              <w:rPr>
                <w:rFonts w:ascii="Arial Narrow" w:hAnsi="Arial Narrow"/>
                <w:color w:val="000000"/>
                <w:sz w:val="20"/>
                <w:szCs w:val="18"/>
                <w:vertAlign w:val="superscript"/>
              </w:rPr>
              <w:t>2</w:t>
            </w:r>
            <w:r w:rsidRPr="00795225">
              <w:rPr>
                <w:rFonts w:ascii="Arial Narrow" w:hAnsi="Arial Narrow"/>
                <w:color w:val="000000"/>
                <w:sz w:val="20"/>
                <w:szCs w:val="18"/>
              </w:rPr>
              <w:t>, n/N (%)</w:t>
            </w:r>
          </w:p>
        </w:tc>
        <w:tc>
          <w:tcPr>
            <w:tcW w:w="773"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234/475 (49.3%)</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294/476 (61.8%)</w:t>
            </w:r>
          </w:p>
        </w:tc>
        <w:tc>
          <w:tcPr>
            <w:tcW w:w="1068" w:type="pct"/>
            <w:tcBorders>
              <w:top w:val="single" w:sz="4" w:space="0" w:color="auto"/>
              <w:left w:val="single" w:sz="4" w:space="0" w:color="auto"/>
              <w:bottom w:val="single" w:sz="4" w:space="0" w:color="auto"/>
              <w:right w:val="single" w:sz="4" w:space="0" w:color="auto"/>
            </w:tcBorders>
            <w:vAlign w:val="center"/>
          </w:tcPr>
          <w:p w:rsidR="007D6116" w:rsidRPr="00795225" w:rsidRDefault="00731747" w:rsidP="008D1BDC">
            <w:pPr>
              <w:widowControl/>
              <w:jc w:val="center"/>
              <w:rPr>
                <w:rFonts w:ascii="Arial Narrow" w:hAnsi="Arial Narrow"/>
                <w:color w:val="000000"/>
                <w:sz w:val="20"/>
                <w:szCs w:val="18"/>
              </w:rPr>
            </w:pPr>
            <w:r w:rsidRPr="00795225">
              <w:rPr>
                <w:rFonts w:ascii="Arial Narrow" w:hAnsi="Arial Narrow"/>
                <w:color w:val="000000"/>
                <w:sz w:val="20"/>
                <w:szCs w:val="18"/>
              </w:rPr>
              <w:t>1.33</w:t>
            </w:r>
            <w:r w:rsidR="007D6116" w:rsidRPr="00795225">
              <w:rPr>
                <w:rFonts w:ascii="Arial Narrow" w:hAnsi="Arial Narrow"/>
                <w:color w:val="000000"/>
                <w:sz w:val="20"/>
                <w:szCs w:val="18"/>
              </w:rPr>
              <w:t xml:space="preserve"> (</w:t>
            </w:r>
            <w:r w:rsidRPr="00795225">
              <w:rPr>
                <w:rFonts w:ascii="Arial Narrow" w:hAnsi="Arial Narrow"/>
                <w:color w:val="000000"/>
                <w:sz w:val="20"/>
                <w:szCs w:val="18"/>
              </w:rPr>
              <w:t>1.11</w:t>
            </w:r>
            <w:r w:rsidR="007D6116" w:rsidRPr="00795225">
              <w:rPr>
                <w:rFonts w:ascii="Arial Narrow" w:hAnsi="Arial Narrow"/>
                <w:color w:val="000000"/>
                <w:sz w:val="20"/>
                <w:szCs w:val="18"/>
              </w:rPr>
              <w:t xml:space="preserve">, </w:t>
            </w:r>
            <w:r w:rsidRPr="00795225">
              <w:rPr>
                <w:rFonts w:ascii="Arial Narrow" w:hAnsi="Arial Narrow"/>
                <w:color w:val="000000"/>
                <w:sz w:val="20"/>
                <w:szCs w:val="18"/>
              </w:rPr>
              <w:t>1.56</w:t>
            </w:r>
            <w:r w:rsidR="007D6116" w:rsidRPr="00795225">
              <w:rPr>
                <w:rFonts w:ascii="Arial Narrow" w:hAnsi="Arial Narrow"/>
                <w:color w:val="000000"/>
                <w:sz w:val="20"/>
                <w:szCs w:val="18"/>
              </w:rPr>
              <w:t>)</w:t>
            </w:r>
          </w:p>
        </w:tc>
      </w:tr>
      <w:tr w:rsidR="007D6116" w:rsidRPr="00795225" w:rsidTr="007E6CED">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rPr>
                <w:rFonts w:ascii="Arial Narrow" w:hAnsi="Arial Narrow"/>
                <w:color w:val="000000"/>
                <w:sz w:val="20"/>
                <w:szCs w:val="18"/>
              </w:rPr>
            </w:pPr>
            <w:r w:rsidRPr="00795225">
              <w:rPr>
                <w:rFonts w:ascii="Arial Narrow" w:hAnsi="Arial Narrow"/>
                <w:color w:val="000000"/>
                <w:sz w:val="20"/>
                <w:szCs w:val="18"/>
              </w:rPr>
              <w:t>Median RFS, months (95% CI)</w:t>
            </w:r>
          </w:p>
        </w:tc>
        <w:tc>
          <w:tcPr>
            <w:tcW w:w="773"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26.1 (19.3, 39.3)</w:t>
            </w:r>
          </w:p>
        </w:tc>
        <w:tc>
          <w:tcPr>
            <w:tcW w:w="795"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sz w:val="20"/>
              </w:rPr>
            </w:pPr>
            <w:r w:rsidRPr="00795225">
              <w:rPr>
                <w:rFonts w:ascii="Arial Narrow" w:hAnsi="Arial Narrow"/>
                <w:sz w:val="20"/>
              </w:rPr>
              <w:t>17.1 (13.4, 21.6)</w:t>
            </w:r>
          </w:p>
        </w:tc>
        <w:tc>
          <w:tcPr>
            <w:tcW w:w="1068"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color w:val="000000"/>
                <w:sz w:val="20"/>
                <w:szCs w:val="18"/>
              </w:rPr>
            </w:pPr>
            <w:r w:rsidRPr="00795225">
              <w:rPr>
                <w:rFonts w:ascii="Arial Narrow" w:hAnsi="Arial Narrow"/>
                <w:color w:val="000000"/>
                <w:sz w:val="20"/>
                <w:szCs w:val="18"/>
              </w:rPr>
              <w:t>-</w:t>
            </w:r>
          </w:p>
        </w:tc>
      </w:tr>
      <w:tr w:rsidR="007D6116" w:rsidRPr="00795225" w:rsidTr="007E6CED">
        <w:tc>
          <w:tcPr>
            <w:tcW w:w="39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116" w:rsidRPr="00795225" w:rsidRDefault="007D6116" w:rsidP="008D1BDC">
            <w:pPr>
              <w:widowControl/>
              <w:jc w:val="left"/>
              <w:rPr>
                <w:rFonts w:ascii="Arial Narrow" w:hAnsi="Arial Narrow"/>
                <w:sz w:val="20"/>
              </w:rPr>
            </w:pPr>
            <w:r w:rsidRPr="00795225">
              <w:rPr>
                <w:rFonts w:ascii="Arial Narrow" w:hAnsi="Arial Narrow"/>
                <w:b/>
                <w:color w:val="000000"/>
                <w:sz w:val="20"/>
                <w:szCs w:val="18"/>
              </w:rPr>
              <w:t>Indirect comparison (</w:t>
            </w:r>
            <w:r w:rsidR="00785687" w:rsidRPr="00795225">
              <w:rPr>
                <w:rFonts w:ascii="Arial Narrow" w:hAnsi="Arial Narrow"/>
                <w:b/>
                <w:color w:val="000000"/>
                <w:sz w:val="20"/>
                <w:szCs w:val="18"/>
              </w:rPr>
              <w:t>n</w:t>
            </w:r>
            <w:r w:rsidRPr="00795225">
              <w:rPr>
                <w:rFonts w:ascii="Arial Narrow" w:hAnsi="Arial Narrow"/>
                <w:b/>
                <w:color w:val="000000"/>
                <w:sz w:val="20"/>
                <w:szCs w:val="18"/>
              </w:rPr>
              <w:t xml:space="preserve">ivolumab versus placebo) </w:t>
            </w:r>
          </w:p>
        </w:tc>
        <w:tc>
          <w:tcPr>
            <w:tcW w:w="1068" w:type="pct"/>
            <w:tcBorders>
              <w:top w:val="single" w:sz="4" w:space="0" w:color="auto"/>
              <w:left w:val="single" w:sz="4" w:space="0" w:color="auto"/>
              <w:bottom w:val="single" w:sz="4" w:space="0" w:color="auto"/>
              <w:right w:val="single" w:sz="4" w:space="0" w:color="auto"/>
            </w:tcBorders>
            <w:vAlign w:val="center"/>
          </w:tcPr>
          <w:p w:rsidR="007D6116" w:rsidRPr="00795225" w:rsidRDefault="007D6116" w:rsidP="008D1BDC">
            <w:pPr>
              <w:widowControl/>
              <w:jc w:val="center"/>
              <w:rPr>
                <w:rFonts w:ascii="Arial Narrow" w:hAnsi="Arial Narrow"/>
                <w:color w:val="000000"/>
                <w:sz w:val="20"/>
                <w:szCs w:val="18"/>
              </w:rPr>
            </w:pPr>
            <w:r w:rsidRPr="00795225">
              <w:rPr>
                <w:rFonts w:ascii="Arial Narrow" w:hAnsi="Arial Narrow"/>
                <w:color w:val="000000"/>
                <w:sz w:val="20"/>
                <w:szCs w:val="18"/>
              </w:rPr>
              <w:t>0.50 (0.38, 0.65)</w:t>
            </w:r>
          </w:p>
        </w:tc>
      </w:tr>
    </w:tbl>
    <w:p w:rsidR="007D6116" w:rsidRPr="00795225" w:rsidRDefault="00F76C17" w:rsidP="008D1BDC">
      <w:pPr>
        <w:pStyle w:val="TableFooter"/>
        <w:widowControl/>
      </w:pPr>
      <w:r w:rsidRPr="00795225">
        <w:rPr>
          <w:vertAlign w:val="superscript"/>
        </w:rPr>
        <w:t>1</w:t>
      </w:r>
      <w:r w:rsidR="007D6116" w:rsidRPr="00795225">
        <w:t xml:space="preserve"> </w:t>
      </w:r>
      <w:r w:rsidRPr="00795225">
        <w:t xml:space="preserve">Updated 6 months RFS data from the previous submission: </w:t>
      </w:r>
      <w:r w:rsidR="007D6116" w:rsidRPr="00795225">
        <w:t xml:space="preserve">Minimum follow-up </w:t>
      </w:r>
      <w:r w:rsidR="002B76FE" w:rsidRPr="00795225">
        <w:t>2 years</w:t>
      </w:r>
      <w:r w:rsidRPr="00795225">
        <w:t>, December 2017 database lock</w:t>
      </w:r>
    </w:p>
    <w:p w:rsidR="007D6116" w:rsidRPr="00795225" w:rsidRDefault="00731747" w:rsidP="008D1BDC">
      <w:pPr>
        <w:pStyle w:val="TableFooter"/>
        <w:widowControl/>
      </w:pPr>
      <w:r w:rsidRPr="00795225">
        <w:rPr>
          <w:color w:val="000000"/>
          <w:sz w:val="20"/>
          <w:szCs w:val="18"/>
          <w:vertAlign w:val="superscript"/>
        </w:rPr>
        <w:t>2</w:t>
      </w:r>
      <w:r w:rsidR="007D6116" w:rsidRPr="00795225">
        <w:t xml:space="preserve"> </w:t>
      </w:r>
      <w:r w:rsidRPr="00795225">
        <w:t xml:space="preserve">Unchanged from the previous submission: </w:t>
      </w:r>
      <w:r w:rsidR="007D6116" w:rsidRPr="00795225">
        <w:t>Median follow-up 2.7 years</w:t>
      </w:r>
    </w:p>
    <w:p w:rsidR="007D6116" w:rsidRPr="00795225" w:rsidRDefault="00731747" w:rsidP="008D1BDC">
      <w:pPr>
        <w:pStyle w:val="TableFooter"/>
        <w:widowControl/>
      </w:pPr>
      <w:r w:rsidRPr="00795225">
        <w:t xml:space="preserve">AJCC = American Joint Committee on Cancer; </w:t>
      </w:r>
      <w:r w:rsidR="007D6116" w:rsidRPr="00795225">
        <w:t>CI = confidence interval; HR = hazard ratio</w:t>
      </w:r>
      <w:r w:rsidR="00DF4879" w:rsidRPr="00795225">
        <w:t xml:space="preserve">; </w:t>
      </w:r>
      <w:r w:rsidR="007D6116" w:rsidRPr="00795225">
        <w:t xml:space="preserve">NC = </w:t>
      </w:r>
      <w:proofErr w:type="spellStart"/>
      <w:r w:rsidR="007D6116" w:rsidRPr="00795225">
        <w:t>not</w:t>
      </w:r>
      <w:proofErr w:type="spellEnd"/>
      <w:r w:rsidR="007D6116" w:rsidRPr="00795225">
        <w:t xml:space="preserve"> calculable; RFS = recurrence-free survival</w:t>
      </w:r>
    </w:p>
    <w:p w:rsidR="007D6116" w:rsidRPr="00795225" w:rsidRDefault="007D6116" w:rsidP="008D1BDC">
      <w:pPr>
        <w:pStyle w:val="TableFooter"/>
        <w:widowControl/>
      </w:pPr>
      <w:r w:rsidRPr="00795225">
        <w:t>Source: Table 4</w:t>
      </w:r>
      <w:r w:rsidR="00731747" w:rsidRPr="00795225">
        <w:t>7</w:t>
      </w:r>
      <w:r w:rsidRPr="00795225">
        <w:t xml:space="preserve">, </w:t>
      </w:r>
      <w:r w:rsidR="00731747" w:rsidRPr="00795225">
        <w:t>p145</w:t>
      </w:r>
      <w:r w:rsidRPr="00795225">
        <w:t xml:space="preserve"> of the </w:t>
      </w:r>
      <w:r w:rsidR="00731747" w:rsidRPr="00795225">
        <w:t>re</w:t>
      </w:r>
      <w:r w:rsidRPr="00795225">
        <w:t>submission.</w:t>
      </w:r>
    </w:p>
    <w:p w:rsidR="007D6116" w:rsidRPr="00795225" w:rsidRDefault="007D6116" w:rsidP="008D1BDC">
      <w:pPr>
        <w:widowControl/>
      </w:pPr>
    </w:p>
    <w:p w:rsidR="00FA5D16" w:rsidRPr="00795225" w:rsidRDefault="007D6116" w:rsidP="00F217B4">
      <w:pPr>
        <w:pStyle w:val="ListParagraph"/>
        <w:widowControl/>
        <w:numPr>
          <w:ilvl w:val="1"/>
          <w:numId w:val="1"/>
        </w:numPr>
      </w:pPr>
      <w:r w:rsidRPr="00795225">
        <w:t xml:space="preserve">On the basis of </w:t>
      </w:r>
      <w:r w:rsidR="00731747" w:rsidRPr="00795225">
        <w:t xml:space="preserve">the </w:t>
      </w:r>
      <w:r w:rsidRPr="00795225">
        <w:t>indirect compar</w:t>
      </w:r>
      <w:r w:rsidR="00731747" w:rsidRPr="00795225">
        <w:t>ison</w:t>
      </w:r>
      <w:r w:rsidRPr="00795225">
        <w:t xml:space="preserve"> presented in the </w:t>
      </w:r>
      <w:r w:rsidR="00731747" w:rsidRPr="00795225">
        <w:t>re</w:t>
      </w:r>
      <w:r w:rsidRPr="00795225">
        <w:t xml:space="preserve">submission, there was a 50% reduction in the risk of recurrence associated with nivolumab over a minimum duration of follow-up of </w:t>
      </w:r>
      <w:r w:rsidR="002B76FE" w:rsidRPr="00795225">
        <w:t>2 years</w:t>
      </w:r>
      <w:r w:rsidRPr="00795225">
        <w:t xml:space="preserve">, compared with placebo over a median duration of follow-up of 2.7 years. </w:t>
      </w:r>
      <w:r w:rsidR="00731747" w:rsidRPr="00795225">
        <w:t xml:space="preserve">Interpretation of </w:t>
      </w:r>
      <w:r w:rsidRPr="00795225">
        <w:t xml:space="preserve">the magnitude of this </w:t>
      </w:r>
      <w:r w:rsidR="00731747" w:rsidRPr="00795225">
        <w:t xml:space="preserve">indirect </w:t>
      </w:r>
      <w:r w:rsidRPr="00795225">
        <w:t xml:space="preserve">estimate </w:t>
      </w:r>
      <w:r w:rsidR="00731747" w:rsidRPr="00795225">
        <w:t xml:space="preserve">should consider the high uncertainty </w:t>
      </w:r>
      <w:r w:rsidR="00FA7DCA" w:rsidRPr="00795225">
        <w:t xml:space="preserve">concerning the magnitude of the effect due to the heterogeneity across the trials, </w:t>
      </w:r>
      <w:r w:rsidR="00E97C2C" w:rsidRPr="00795225">
        <w:t xml:space="preserve">the diminished applicability of the results to the proposed target population in clinical practice, and the insufficiency of RFS to capture the survival benefit from the overall treatment of these patients. The impact of adjuvant nivolumab therapy on subsequent outcomes </w:t>
      </w:r>
      <w:r w:rsidR="0073737C" w:rsidRPr="00795225">
        <w:t>relating to the</w:t>
      </w:r>
      <w:r w:rsidR="00E97C2C" w:rsidRPr="00795225">
        <w:t xml:space="preserve"> use of nivolumab therapy for patients with </w:t>
      </w:r>
      <w:proofErr w:type="spellStart"/>
      <w:r w:rsidR="00E97C2C" w:rsidRPr="00795225">
        <w:t>unresectable</w:t>
      </w:r>
      <w:proofErr w:type="spellEnd"/>
      <w:r w:rsidR="00E97C2C" w:rsidRPr="00795225">
        <w:t xml:space="preserve"> </w:t>
      </w:r>
      <w:r w:rsidR="00BA5DBD" w:rsidRPr="00795225">
        <w:t xml:space="preserve">or metastatic </w:t>
      </w:r>
      <w:r w:rsidR="00E97C2C" w:rsidRPr="00795225">
        <w:t>disease also remains unclear</w:t>
      </w:r>
      <w:r w:rsidR="004D5783" w:rsidRPr="00795225">
        <w:t>.</w:t>
      </w:r>
      <w:r w:rsidR="00FA5D16" w:rsidRPr="00795225">
        <w:t xml:space="preserve"> </w:t>
      </w:r>
      <w:r w:rsidR="0081774A" w:rsidRPr="00795225">
        <w:t xml:space="preserve">The </w:t>
      </w:r>
      <w:r w:rsidR="0081774A" w:rsidRPr="00795225">
        <w:lastRenderedPageBreak/>
        <w:t>ESC agreed with this interpretation.</w:t>
      </w:r>
      <w:r w:rsidR="00F217B4" w:rsidRPr="00795225">
        <w:t xml:space="preserve"> The ESC also noted on the basis of the indirect comparison there was a 42% reduction in the risk of a distant relapse and that</w:t>
      </w:r>
      <w:r w:rsidR="00221271" w:rsidRPr="00795225">
        <w:t xml:space="preserve"> the impact of distant</w:t>
      </w:r>
      <w:r w:rsidR="00F217B4" w:rsidRPr="00795225">
        <w:t xml:space="preserve"> relapse </w:t>
      </w:r>
      <w:r w:rsidR="00221271" w:rsidRPr="00795225">
        <w:t>on subsequent costs and out</w:t>
      </w:r>
      <w:r w:rsidR="0073737C" w:rsidRPr="00795225">
        <w:t xml:space="preserve">comes is greater than for </w:t>
      </w:r>
      <w:proofErr w:type="spellStart"/>
      <w:r w:rsidR="0073737C" w:rsidRPr="00795225">
        <w:t>loco</w:t>
      </w:r>
      <w:r w:rsidR="00221271" w:rsidRPr="00795225">
        <w:t>regional</w:t>
      </w:r>
      <w:proofErr w:type="spellEnd"/>
      <w:r w:rsidR="00221271" w:rsidRPr="00795225">
        <w:t xml:space="preserve"> relapse.</w:t>
      </w:r>
    </w:p>
    <w:p w:rsidR="00B60939" w:rsidRPr="00795225" w:rsidRDefault="00B60939" w:rsidP="00A84758">
      <w:pPr>
        <w:pStyle w:val="Heading2"/>
        <w:keepNext/>
        <w:widowControl/>
      </w:pPr>
      <w:bookmarkStart w:id="19" w:name="_Toc536007261"/>
      <w:r w:rsidRPr="00795225">
        <w:t>Clinical claim</w:t>
      </w:r>
      <w:bookmarkEnd w:id="19"/>
    </w:p>
    <w:p w:rsidR="00DF4879" w:rsidRPr="00795225" w:rsidRDefault="00DF4879" w:rsidP="00A84758">
      <w:pPr>
        <w:pStyle w:val="ListParagraph"/>
        <w:keepNext/>
        <w:widowControl/>
        <w:numPr>
          <w:ilvl w:val="1"/>
          <w:numId w:val="1"/>
        </w:numPr>
      </w:pPr>
      <w:r w:rsidRPr="00795225">
        <w:t>As an adjuvant therapy fo</w:t>
      </w:r>
      <w:r w:rsidR="0073737C" w:rsidRPr="00795225">
        <w:t xml:space="preserve">r completely resected Stage III and </w:t>
      </w:r>
      <w:r w:rsidRPr="00795225">
        <w:t>IV melanoma, the resubmission described nivolumab as superior in terms of effectiveness and “moderately” inferior in terms of safety, compared to placebo.</w:t>
      </w:r>
    </w:p>
    <w:p w:rsidR="0015303F" w:rsidRPr="00795225" w:rsidRDefault="00420393" w:rsidP="0015303F">
      <w:pPr>
        <w:pStyle w:val="ListParagraph"/>
        <w:widowControl/>
        <w:numPr>
          <w:ilvl w:val="1"/>
          <w:numId w:val="1"/>
        </w:numPr>
      </w:pPr>
      <w:r w:rsidRPr="00795225">
        <w:t xml:space="preserve">The </w:t>
      </w:r>
      <w:r w:rsidR="00B22BB3" w:rsidRPr="00795225">
        <w:t xml:space="preserve">evaluation considered that, </w:t>
      </w:r>
      <w:r w:rsidRPr="00795225">
        <w:t>due to the concerns regarding the indirect nature of the comparison and related transitivity issues between the trials, the magnitude of the treatment effect was highly uncertain</w:t>
      </w:r>
      <w:r w:rsidR="00401A42" w:rsidRPr="00795225">
        <w:t xml:space="preserve">, particularly </w:t>
      </w:r>
      <w:r w:rsidR="0073737C" w:rsidRPr="00795225">
        <w:t>across the</w:t>
      </w:r>
      <w:r w:rsidR="00401A42" w:rsidRPr="00795225">
        <w:t xml:space="preserve"> different disease sub-stages</w:t>
      </w:r>
      <w:r w:rsidR="00DF4879" w:rsidRPr="00795225">
        <w:t>.</w:t>
      </w:r>
    </w:p>
    <w:p w:rsidR="00DF4879" w:rsidRPr="00795225" w:rsidRDefault="00DF4879" w:rsidP="0015303F">
      <w:pPr>
        <w:pStyle w:val="ListParagraph"/>
        <w:widowControl/>
        <w:numPr>
          <w:ilvl w:val="1"/>
          <w:numId w:val="1"/>
        </w:numPr>
      </w:pPr>
      <w:r w:rsidRPr="00795225">
        <w:t>The</w:t>
      </w:r>
      <w:r w:rsidR="00B22BB3" w:rsidRPr="00795225">
        <w:t xml:space="preserve"> </w:t>
      </w:r>
      <w:r w:rsidR="006C72B0" w:rsidRPr="00795225">
        <w:t xml:space="preserve">limited </w:t>
      </w:r>
      <w:r w:rsidRPr="00795225">
        <w:t xml:space="preserve">OS </w:t>
      </w:r>
      <w:r w:rsidR="00B22BB3" w:rsidRPr="00795225">
        <w:t xml:space="preserve">data </w:t>
      </w:r>
      <w:r w:rsidR="005B0884" w:rsidRPr="00795225">
        <w:t>provided from the nivolumab CA238 trial</w:t>
      </w:r>
      <w:r w:rsidR="00B22BB3" w:rsidRPr="00795225">
        <w:t xml:space="preserve"> was very immature and did not provide</w:t>
      </w:r>
      <w:r w:rsidRPr="00795225">
        <w:t xml:space="preserve"> direct clinical evidence that the </w:t>
      </w:r>
      <w:r w:rsidR="005B0884" w:rsidRPr="00795225">
        <w:t xml:space="preserve">observed </w:t>
      </w:r>
      <w:r w:rsidRPr="00795225">
        <w:t xml:space="preserve">improvement in RFS </w:t>
      </w:r>
      <w:r w:rsidR="00785687" w:rsidRPr="00795225">
        <w:t xml:space="preserve">would </w:t>
      </w:r>
      <w:r w:rsidRPr="00795225">
        <w:t>translate to an improvement in OS.</w:t>
      </w:r>
    </w:p>
    <w:p w:rsidR="0073737C" w:rsidRPr="00795225" w:rsidRDefault="00A124DD" w:rsidP="00D736AF">
      <w:pPr>
        <w:pStyle w:val="ListParagraph"/>
        <w:widowControl/>
        <w:numPr>
          <w:ilvl w:val="1"/>
          <w:numId w:val="1"/>
        </w:numPr>
      </w:pPr>
      <w:r w:rsidRPr="00795225">
        <w:t xml:space="preserve">The magnitude of </w:t>
      </w:r>
      <w:r w:rsidR="0073737C" w:rsidRPr="00795225">
        <w:t xml:space="preserve">the </w:t>
      </w:r>
      <w:r w:rsidRPr="00795225">
        <w:t>RFS benefi</w:t>
      </w:r>
      <w:r w:rsidR="0073737C" w:rsidRPr="00795225">
        <w:t>t</w:t>
      </w:r>
      <w:r w:rsidRPr="00795225">
        <w:t xml:space="preserve"> associated with nivolumab versus placebo could not be determined for Stage IV disease as the comparator trial</w:t>
      </w:r>
      <w:r w:rsidR="00DD0355" w:rsidRPr="00795225">
        <w:t>, CA029, d</w:t>
      </w:r>
      <w:r w:rsidRPr="00795225">
        <w:t xml:space="preserve">id not enrol patients with this disease stage. </w:t>
      </w:r>
    </w:p>
    <w:p w:rsidR="00FA7DCA" w:rsidRPr="00795225" w:rsidRDefault="00A124DD" w:rsidP="002D79C8">
      <w:pPr>
        <w:pStyle w:val="ListParagraph"/>
        <w:widowControl/>
        <w:numPr>
          <w:ilvl w:val="1"/>
          <w:numId w:val="1"/>
        </w:numPr>
      </w:pPr>
      <w:r w:rsidRPr="00795225">
        <w:t xml:space="preserve">There was insufficient evidence </w:t>
      </w:r>
      <w:r w:rsidR="002B5E66" w:rsidRPr="00795225">
        <w:t xml:space="preserve">to determine </w:t>
      </w:r>
      <w:r w:rsidRPr="00795225">
        <w:t xml:space="preserve">the </w:t>
      </w:r>
      <w:r w:rsidR="00E51CB9">
        <w:t xml:space="preserve">incremental </w:t>
      </w:r>
      <w:r w:rsidRPr="00795225">
        <w:t>effectiveness of nivolumab in patients with Stage IIIA melanoma</w:t>
      </w:r>
      <w:r w:rsidR="0073737C" w:rsidRPr="00795225">
        <w:t>, as these patients were underrepresented in CA238</w:t>
      </w:r>
      <w:r w:rsidRPr="00795225">
        <w:t>.</w:t>
      </w:r>
      <w:r w:rsidR="0073737C" w:rsidRPr="00795225">
        <w:t xml:space="preserve"> </w:t>
      </w:r>
      <w:r w:rsidR="00FA7DCA" w:rsidRPr="00795225">
        <w:t xml:space="preserve">The </w:t>
      </w:r>
      <w:r w:rsidR="00E51CB9">
        <w:t xml:space="preserve">PBAC considered that the </w:t>
      </w:r>
      <w:r w:rsidR="0073737C" w:rsidRPr="00795225">
        <w:t>benefit to risk ratio</w:t>
      </w:r>
      <w:r w:rsidR="00FA7DCA" w:rsidRPr="00795225">
        <w:t xml:space="preserve"> </w:t>
      </w:r>
      <w:r w:rsidR="00B22BB3" w:rsidRPr="00795225">
        <w:t>wa</w:t>
      </w:r>
      <w:r w:rsidR="00FA7DCA" w:rsidRPr="00795225">
        <w:t xml:space="preserve">s uncertain </w:t>
      </w:r>
      <w:r w:rsidR="0073737C" w:rsidRPr="00795225">
        <w:t>in these patients</w:t>
      </w:r>
      <w:r w:rsidR="00E51CB9">
        <w:t>, but it was likely to be modest</w:t>
      </w:r>
      <w:r w:rsidR="00FA7DCA" w:rsidRPr="00795225">
        <w:t xml:space="preserve">. </w:t>
      </w:r>
    </w:p>
    <w:p w:rsidR="00EC5A97" w:rsidRPr="00795225" w:rsidRDefault="00EC5A97" w:rsidP="00EC5A97">
      <w:pPr>
        <w:pStyle w:val="ListParagraph"/>
        <w:widowControl/>
        <w:numPr>
          <w:ilvl w:val="1"/>
          <w:numId w:val="1"/>
        </w:numPr>
        <w:spacing w:after="120"/>
        <w:rPr>
          <w:rFonts w:asciiTheme="minorHAnsi" w:hAnsiTheme="minorHAnsi"/>
          <w:szCs w:val="20"/>
        </w:rPr>
      </w:pPr>
      <w:r w:rsidRPr="00795225">
        <w:rPr>
          <w:rFonts w:asciiTheme="minorHAnsi" w:hAnsiTheme="minorHAnsi"/>
          <w:szCs w:val="20"/>
        </w:rPr>
        <w:t xml:space="preserve">The PBAC considered that the claim </w:t>
      </w:r>
      <w:r w:rsidR="00B22BB3" w:rsidRPr="00795225">
        <w:rPr>
          <w:rFonts w:asciiTheme="minorHAnsi" w:hAnsiTheme="minorHAnsi"/>
          <w:szCs w:val="20"/>
        </w:rPr>
        <w:t xml:space="preserve">that nivolumab was superior to placebo in terms of comparative effectiveness was reasonable in patients with Stage IIIB, IIIC and IIID and Stage IV </w:t>
      </w:r>
      <w:r w:rsidR="00C42735" w:rsidRPr="00795225">
        <w:rPr>
          <w:rFonts w:asciiTheme="minorHAnsi" w:hAnsiTheme="minorHAnsi"/>
          <w:szCs w:val="20"/>
        </w:rPr>
        <w:t xml:space="preserve">completely resected </w:t>
      </w:r>
      <w:r w:rsidR="00B22BB3" w:rsidRPr="00795225">
        <w:rPr>
          <w:rFonts w:asciiTheme="minorHAnsi" w:hAnsiTheme="minorHAnsi"/>
          <w:szCs w:val="20"/>
        </w:rPr>
        <w:t xml:space="preserve">melanoma; however, considered that, due to the </w:t>
      </w:r>
      <w:r w:rsidR="006B563A" w:rsidRPr="00795225">
        <w:rPr>
          <w:rFonts w:asciiTheme="minorHAnsi" w:hAnsiTheme="minorHAnsi"/>
          <w:szCs w:val="20"/>
        </w:rPr>
        <w:t xml:space="preserve">indirect nature of the comparison and the </w:t>
      </w:r>
      <w:r w:rsidR="00B22BB3" w:rsidRPr="00795225">
        <w:rPr>
          <w:rFonts w:asciiTheme="minorHAnsi" w:hAnsiTheme="minorHAnsi"/>
          <w:szCs w:val="20"/>
        </w:rPr>
        <w:t xml:space="preserve">immaturity of the data, the magnitude of the treatment effect was highly uncertain. </w:t>
      </w:r>
    </w:p>
    <w:p w:rsidR="00EC5A97" w:rsidRPr="00795225" w:rsidRDefault="00EC5A97" w:rsidP="00EC5A97">
      <w:pPr>
        <w:pStyle w:val="ListParagraph"/>
        <w:widowControl/>
        <w:numPr>
          <w:ilvl w:val="1"/>
          <w:numId w:val="1"/>
        </w:numPr>
        <w:spacing w:after="120"/>
        <w:rPr>
          <w:rFonts w:asciiTheme="minorHAnsi" w:hAnsiTheme="minorHAnsi"/>
          <w:szCs w:val="20"/>
        </w:rPr>
      </w:pPr>
      <w:r w:rsidRPr="00795225">
        <w:rPr>
          <w:rFonts w:asciiTheme="minorHAnsi" w:hAnsiTheme="minorHAnsi"/>
          <w:szCs w:val="20"/>
        </w:rPr>
        <w:t xml:space="preserve">The PBAC </w:t>
      </w:r>
      <w:r w:rsidR="00B22BB3" w:rsidRPr="00795225">
        <w:rPr>
          <w:rFonts w:asciiTheme="minorHAnsi" w:hAnsiTheme="minorHAnsi"/>
          <w:szCs w:val="20"/>
        </w:rPr>
        <w:t xml:space="preserve">again </w:t>
      </w:r>
      <w:r w:rsidRPr="00795225">
        <w:rPr>
          <w:rFonts w:asciiTheme="minorHAnsi" w:hAnsiTheme="minorHAnsi"/>
          <w:szCs w:val="20"/>
        </w:rPr>
        <w:t xml:space="preserve">considered that the claim </w:t>
      </w:r>
      <w:r w:rsidR="00B22BB3" w:rsidRPr="00795225">
        <w:rPr>
          <w:rFonts w:asciiTheme="minorHAnsi" w:hAnsiTheme="minorHAnsi"/>
          <w:szCs w:val="20"/>
        </w:rPr>
        <w:t xml:space="preserve">that nivolumab was </w:t>
      </w:r>
      <w:r w:rsidRPr="00795225">
        <w:rPr>
          <w:rFonts w:asciiTheme="minorHAnsi" w:hAnsiTheme="minorHAnsi"/>
          <w:szCs w:val="20"/>
        </w:rPr>
        <w:t>inferior compar</w:t>
      </w:r>
      <w:r w:rsidR="00B22BB3" w:rsidRPr="00795225">
        <w:rPr>
          <w:rFonts w:asciiTheme="minorHAnsi" w:hAnsiTheme="minorHAnsi"/>
          <w:szCs w:val="20"/>
        </w:rPr>
        <w:t>ed to placebo in terms of compar</w:t>
      </w:r>
      <w:r w:rsidRPr="00795225">
        <w:rPr>
          <w:rFonts w:asciiTheme="minorHAnsi" w:hAnsiTheme="minorHAnsi"/>
          <w:szCs w:val="20"/>
        </w:rPr>
        <w:t>ative safety was reasonable.</w:t>
      </w:r>
    </w:p>
    <w:p w:rsidR="00C4667B" w:rsidRPr="00795225" w:rsidRDefault="00C4667B" w:rsidP="008D1BDC">
      <w:pPr>
        <w:pStyle w:val="Heading2"/>
        <w:widowControl/>
      </w:pPr>
      <w:bookmarkStart w:id="20" w:name="_Toc536007262"/>
      <w:r w:rsidRPr="00795225">
        <w:t>Economic analysis</w:t>
      </w:r>
      <w:bookmarkEnd w:id="20"/>
      <w:r w:rsidRPr="00795225">
        <w:t xml:space="preserve"> </w:t>
      </w:r>
    </w:p>
    <w:p w:rsidR="00C4667B" w:rsidRPr="00795225" w:rsidRDefault="00C4667B" w:rsidP="00D736AF">
      <w:pPr>
        <w:pStyle w:val="ListParagraph"/>
        <w:widowControl/>
        <w:numPr>
          <w:ilvl w:val="1"/>
          <w:numId w:val="1"/>
        </w:numPr>
      </w:pPr>
      <w:r w:rsidRPr="00795225">
        <w:t xml:space="preserve">The resubmission presented a stepped economic evaluation based on an indirect comparison of randomised trials. The type of economic evaluation presented was a cost-utility analysis. </w:t>
      </w:r>
    </w:p>
    <w:p w:rsidR="00C4667B" w:rsidRPr="00795225" w:rsidRDefault="00DB5ACC" w:rsidP="00D736AF">
      <w:pPr>
        <w:pStyle w:val="ListParagraph"/>
        <w:widowControl/>
        <w:numPr>
          <w:ilvl w:val="1"/>
          <w:numId w:val="1"/>
        </w:numPr>
      </w:pPr>
      <w:r w:rsidRPr="00795225">
        <w:t>Table 8</w:t>
      </w:r>
      <w:r w:rsidR="00C4667B" w:rsidRPr="00795225">
        <w:t xml:space="preserve"> below contains a summary of the key components of the economic evaluation.</w:t>
      </w:r>
    </w:p>
    <w:p w:rsidR="00C4667B" w:rsidRPr="00795225" w:rsidRDefault="00C4667B" w:rsidP="000D78DD">
      <w:pPr>
        <w:pStyle w:val="Caption"/>
        <w:widowControl/>
      </w:pPr>
      <w:bookmarkStart w:id="21" w:name="_Ref533685711"/>
      <w:r w:rsidRPr="00795225">
        <w:lastRenderedPageBreak/>
        <w:t xml:space="preserve">Table </w:t>
      </w:r>
      <w:r w:rsidR="00DB5ACC" w:rsidRPr="00795225">
        <w:t>8</w:t>
      </w:r>
      <w:bookmarkEnd w:id="21"/>
      <w:r w:rsidRPr="00795225">
        <w:t>: Key components of the economic evaluation</w:t>
      </w:r>
    </w:p>
    <w:tbl>
      <w:tblPr>
        <w:tblStyle w:val="TableGridbeth1"/>
        <w:tblW w:w="5000" w:type="pct"/>
        <w:tblLook w:val="0020" w:firstRow="1" w:lastRow="0" w:firstColumn="0" w:lastColumn="0" w:noHBand="0" w:noVBand="0"/>
        <w:tblCaption w:val="Table 8: Key components of the economic evaluation"/>
      </w:tblPr>
      <w:tblGrid>
        <w:gridCol w:w="2123"/>
        <w:gridCol w:w="6894"/>
      </w:tblGrid>
      <w:tr w:rsidR="00EF12D9" w:rsidRPr="00795225" w:rsidTr="007E6CED">
        <w:trPr>
          <w:tblHeader/>
        </w:trPr>
        <w:tc>
          <w:tcPr>
            <w:tcW w:w="1177" w:type="pct"/>
            <w:tcMar>
              <w:left w:w="28" w:type="dxa"/>
              <w:right w:w="28" w:type="dxa"/>
            </w:tcMar>
          </w:tcPr>
          <w:p w:rsidR="00EF12D9" w:rsidRPr="00795225" w:rsidRDefault="00EF12D9" w:rsidP="000D78DD">
            <w:pPr>
              <w:pStyle w:val="Tabletext"/>
              <w:keepNext/>
              <w:spacing w:line="240" w:lineRule="auto"/>
              <w:rPr>
                <w:b/>
              </w:rPr>
            </w:pPr>
            <w:r w:rsidRPr="00795225">
              <w:rPr>
                <w:b/>
              </w:rPr>
              <w:t xml:space="preserve">Component </w:t>
            </w:r>
          </w:p>
        </w:tc>
        <w:tc>
          <w:tcPr>
            <w:tcW w:w="3823" w:type="pct"/>
            <w:tcMar>
              <w:left w:w="28" w:type="dxa"/>
              <w:right w:w="28" w:type="dxa"/>
            </w:tcMar>
          </w:tcPr>
          <w:p w:rsidR="00EF12D9" w:rsidRPr="00795225" w:rsidRDefault="00EF12D9" w:rsidP="000D78DD">
            <w:pPr>
              <w:pStyle w:val="Tabletext"/>
              <w:keepNext/>
              <w:spacing w:line="240" w:lineRule="auto"/>
              <w:rPr>
                <w:b/>
              </w:rPr>
            </w:pPr>
            <w:r w:rsidRPr="00795225">
              <w:rPr>
                <w:b/>
              </w:rPr>
              <w:t xml:space="preserve">Description </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 xml:space="preserve">Type of analysis </w:t>
            </w:r>
          </w:p>
        </w:tc>
        <w:tc>
          <w:tcPr>
            <w:tcW w:w="3823" w:type="pct"/>
            <w:tcMar>
              <w:left w:w="28" w:type="dxa"/>
              <w:right w:w="28" w:type="dxa"/>
            </w:tcMar>
          </w:tcPr>
          <w:p w:rsidR="00EF12D9" w:rsidRPr="00795225" w:rsidRDefault="00EF12D9" w:rsidP="000D78DD">
            <w:pPr>
              <w:pStyle w:val="Tabletext"/>
              <w:keepNext/>
              <w:spacing w:line="240" w:lineRule="auto"/>
            </w:pPr>
            <w:r w:rsidRPr="00795225">
              <w:t xml:space="preserve">Cost utility analysis </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 xml:space="preserve">Outcomes </w:t>
            </w:r>
          </w:p>
        </w:tc>
        <w:tc>
          <w:tcPr>
            <w:tcW w:w="3823" w:type="pct"/>
            <w:tcMar>
              <w:left w:w="28" w:type="dxa"/>
              <w:right w:w="28" w:type="dxa"/>
            </w:tcMar>
          </w:tcPr>
          <w:p w:rsidR="00EF12D9" w:rsidRPr="00795225" w:rsidRDefault="00EF12D9" w:rsidP="000D78DD">
            <w:pPr>
              <w:pStyle w:val="Tabletext"/>
              <w:keepNext/>
              <w:spacing w:line="240" w:lineRule="auto"/>
            </w:pPr>
            <w:r w:rsidRPr="00795225">
              <w:t>Lif</w:t>
            </w:r>
            <w:r w:rsidR="003E1DD4" w:rsidRPr="00795225">
              <w:t>e-years; q</w:t>
            </w:r>
            <w:r w:rsidRPr="00795225">
              <w:t>uality-adjusted life years</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 xml:space="preserve">Time horizon </w:t>
            </w:r>
          </w:p>
        </w:tc>
        <w:tc>
          <w:tcPr>
            <w:tcW w:w="3823" w:type="pct"/>
            <w:tcMar>
              <w:left w:w="28" w:type="dxa"/>
              <w:right w:w="28" w:type="dxa"/>
            </w:tcMar>
          </w:tcPr>
          <w:p w:rsidR="00EF12D9" w:rsidRPr="00795225" w:rsidRDefault="00EF12D9" w:rsidP="000D78DD">
            <w:pPr>
              <w:pStyle w:val="Tabletext"/>
              <w:keepNext/>
              <w:spacing w:line="240" w:lineRule="auto"/>
            </w:pPr>
            <w:r w:rsidRPr="00795225">
              <w:t xml:space="preserve">30 years in the model base case (i.e. lifetime). This remains unchanged from the original submission. </w:t>
            </w:r>
            <w:r w:rsidR="002B4DEA" w:rsidRPr="00795225">
              <w:t>The evaluation</w:t>
            </w:r>
            <w:r w:rsidRPr="00795225">
              <w:t xml:space="preserve"> noted that differences in overall survival (a key driver of the model) are not based on trial evidence relating to adjuvant nivolumab with a current standard of care, and are subject to substantial uncertainty, which is compounded by the long time horizon.</w:t>
            </w:r>
          </w:p>
        </w:tc>
      </w:tr>
      <w:tr w:rsidR="00EF12D9" w:rsidRPr="00795225" w:rsidTr="007E6CED">
        <w:tc>
          <w:tcPr>
            <w:tcW w:w="1177" w:type="pct"/>
            <w:tcMar>
              <w:left w:w="28" w:type="dxa"/>
              <w:right w:w="28" w:type="dxa"/>
            </w:tcMar>
          </w:tcPr>
          <w:p w:rsidR="00EF12D9" w:rsidRPr="00795225" w:rsidRDefault="00EF12D9" w:rsidP="0073737C">
            <w:pPr>
              <w:pStyle w:val="Tabletext"/>
              <w:keepNext/>
              <w:spacing w:line="240" w:lineRule="auto"/>
            </w:pPr>
            <w:r w:rsidRPr="00795225">
              <w:t xml:space="preserve">Method used to generate results </w:t>
            </w:r>
          </w:p>
        </w:tc>
        <w:tc>
          <w:tcPr>
            <w:tcW w:w="3823" w:type="pct"/>
            <w:tcMar>
              <w:left w:w="28" w:type="dxa"/>
              <w:right w:w="28" w:type="dxa"/>
            </w:tcMar>
          </w:tcPr>
          <w:p w:rsidR="00EF12D9" w:rsidRPr="00795225" w:rsidRDefault="00EF12D9" w:rsidP="000D78DD">
            <w:pPr>
              <w:pStyle w:val="Tabletext"/>
              <w:keepNext/>
              <w:spacing w:line="240" w:lineRule="auto"/>
            </w:pPr>
            <w:r w:rsidRPr="00795225">
              <w:t>Partitioned survival model (i.e. area under the curve). This remains unchanged from the original submission.</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 xml:space="preserve">Health states </w:t>
            </w:r>
          </w:p>
        </w:tc>
        <w:tc>
          <w:tcPr>
            <w:tcW w:w="3823" w:type="pct"/>
            <w:tcMar>
              <w:left w:w="28" w:type="dxa"/>
              <w:right w:w="28" w:type="dxa"/>
            </w:tcMar>
          </w:tcPr>
          <w:p w:rsidR="00EF12D9" w:rsidRPr="00795225" w:rsidRDefault="00EF12D9" w:rsidP="000D78DD">
            <w:pPr>
              <w:pStyle w:val="Tabletext"/>
              <w:keepNext/>
              <w:spacing w:line="240" w:lineRule="auto"/>
            </w:pPr>
            <w:r w:rsidRPr="00795225">
              <w:t xml:space="preserve">Recurrent free disease; </w:t>
            </w:r>
            <w:proofErr w:type="spellStart"/>
            <w:r w:rsidR="00785687" w:rsidRPr="00795225">
              <w:t>locoregional</w:t>
            </w:r>
            <w:proofErr w:type="spellEnd"/>
            <w:r w:rsidR="00785687" w:rsidRPr="00795225">
              <w:t xml:space="preserve"> </w:t>
            </w:r>
            <w:r w:rsidRPr="00795225">
              <w:t xml:space="preserve">disease; </w:t>
            </w:r>
            <w:r w:rsidR="00785687" w:rsidRPr="00795225">
              <w:t xml:space="preserve">distant </w:t>
            </w:r>
            <w:r w:rsidRPr="00795225">
              <w:t xml:space="preserve">metastatic disease; </w:t>
            </w:r>
            <w:r w:rsidR="00785687" w:rsidRPr="00795225">
              <w:t>death</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 xml:space="preserve">Cycle length </w:t>
            </w:r>
          </w:p>
        </w:tc>
        <w:tc>
          <w:tcPr>
            <w:tcW w:w="3823" w:type="pct"/>
            <w:tcMar>
              <w:left w:w="28" w:type="dxa"/>
              <w:right w:w="28" w:type="dxa"/>
            </w:tcMar>
          </w:tcPr>
          <w:p w:rsidR="00EF12D9" w:rsidRPr="00795225" w:rsidRDefault="00EF12D9" w:rsidP="000D78DD">
            <w:pPr>
              <w:pStyle w:val="Tabletext"/>
              <w:keepNext/>
              <w:spacing w:line="240" w:lineRule="auto"/>
            </w:pPr>
            <w:r w:rsidRPr="00795225">
              <w:t>The area under the curve was assessed at 3 monthly intervals. This remains unchanged from the original submission.</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 xml:space="preserve">Allocation to health states </w:t>
            </w:r>
          </w:p>
        </w:tc>
        <w:tc>
          <w:tcPr>
            <w:tcW w:w="3823" w:type="pct"/>
            <w:tcMar>
              <w:left w:w="28" w:type="dxa"/>
              <w:right w:w="28" w:type="dxa"/>
            </w:tcMar>
          </w:tcPr>
          <w:p w:rsidR="00EF12D9" w:rsidRPr="00795225" w:rsidRDefault="00EF12D9" w:rsidP="000D78DD">
            <w:pPr>
              <w:pStyle w:val="Tabletext"/>
              <w:keepNext/>
              <w:spacing w:line="240" w:lineRule="auto"/>
            </w:pPr>
            <w:r w:rsidRPr="00795225">
              <w:t xml:space="preserve">Health state allocation over time </w:t>
            </w:r>
            <w:r w:rsidR="00785687" w:rsidRPr="00795225">
              <w:t xml:space="preserve">was </w:t>
            </w:r>
            <w:r w:rsidRPr="00795225">
              <w:t>determined using RFS, DMFS and OS curves in line with partitioned survival model design.</w:t>
            </w:r>
          </w:p>
          <w:p w:rsidR="00EF12D9" w:rsidRPr="00795225" w:rsidRDefault="00EF12D9" w:rsidP="000D78DD">
            <w:pPr>
              <w:pStyle w:val="Tabletext"/>
              <w:keepNext/>
              <w:spacing w:line="240" w:lineRule="auto"/>
            </w:pPr>
            <w:r w:rsidRPr="00795225">
              <w:t>OS curves for the observation arm are based on Australian natural history data (</w:t>
            </w:r>
            <w:proofErr w:type="spellStart"/>
            <w:r w:rsidRPr="00795225">
              <w:t>Haydu</w:t>
            </w:r>
            <w:proofErr w:type="spellEnd"/>
            <w:r w:rsidR="003E1DD4" w:rsidRPr="00795225">
              <w:t>,</w:t>
            </w:r>
            <w:r w:rsidRPr="00795225">
              <w:t xml:space="preserve"> 2017) together with adjustments to reflect efficacy of modern treatments in the metastatic setting</w:t>
            </w:r>
            <w:r w:rsidR="00785687" w:rsidRPr="00795225">
              <w:t>.</w:t>
            </w:r>
            <w:r w:rsidRPr="00795225">
              <w:t xml:space="preserve"> RFS and DMFS curves for the observation arm of the model are based on the CA029 trial. All curves are extrapolated out using parametric survival curves.</w:t>
            </w:r>
          </w:p>
          <w:p w:rsidR="00EF12D9" w:rsidRPr="00795225" w:rsidRDefault="00EF12D9" w:rsidP="003E1DD4">
            <w:pPr>
              <w:pStyle w:val="Tabletext"/>
              <w:keepNext/>
              <w:spacing w:line="240" w:lineRule="auto"/>
            </w:pPr>
            <w:r w:rsidRPr="00795225">
              <w:t xml:space="preserve">RFS, DMFS and OS curves for </w:t>
            </w:r>
            <w:r w:rsidR="003E1DD4" w:rsidRPr="00795225">
              <w:t>the nivolumab arm were</w:t>
            </w:r>
            <w:r w:rsidRPr="00795225">
              <w:t xml:space="preserve"> constructed by application of hazard ratios to the observation survival curves.</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Discounting</w:t>
            </w:r>
          </w:p>
        </w:tc>
        <w:tc>
          <w:tcPr>
            <w:tcW w:w="3823" w:type="pct"/>
            <w:tcMar>
              <w:left w:w="28" w:type="dxa"/>
              <w:right w:w="28" w:type="dxa"/>
            </w:tcMar>
          </w:tcPr>
          <w:p w:rsidR="00EF12D9" w:rsidRPr="00795225" w:rsidRDefault="00EF12D9" w:rsidP="000D78DD">
            <w:pPr>
              <w:pStyle w:val="Tabletext"/>
              <w:keepNext/>
              <w:spacing w:line="240" w:lineRule="auto"/>
            </w:pPr>
            <w:r w:rsidRPr="00795225">
              <w:t>5% for outcomes and costs</w:t>
            </w:r>
          </w:p>
        </w:tc>
      </w:tr>
      <w:tr w:rsidR="00EF12D9" w:rsidRPr="00795225" w:rsidTr="007E6CED">
        <w:tc>
          <w:tcPr>
            <w:tcW w:w="1177" w:type="pct"/>
            <w:tcMar>
              <w:left w:w="28" w:type="dxa"/>
              <w:right w:w="28" w:type="dxa"/>
            </w:tcMar>
          </w:tcPr>
          <w:p w:rsidR="00EF12D9" w:rsidRPr="00795225" w:rsidRDefault="00EF12D9" w:rsidP="000D78DD">
            <w:pPr>
              <w:pStyle w:val="Tabletext"/>
              <w:keepNext/>
              <w:spacing w:line="240" w:lineRule="auto"/>
            </w:pPr>
            <w:r w:rsidRPr="00795225">
              <w:t xml:space="preserve">Software </w:t>
            </w:r>
          </w:p>
        </w:tc>
        <w:tc>
          <w:tcPr>
            <w:tcW w:w="3823" w:type="pct"/>
            <w:tcMar>
              <w:left w:w="28" w:type="dxa"/>
              <w:right w:w="28" w:type="dxa"/>
            </w:tcMar>
          </w:tcPr>
          <w:p w:rsidR="00EF12D9" w:rsidRPr="00795225" w:rsidRDefault="00EF12D9" w:rsidP="000D78DD">
            <w:pPr>
              <w:pStyle w:val="Tabletext"/>
              <w:keepNext/>
              <w:spacing w:line="240" w:lineRule="auto"/>
            </w:pPr>
            <w:r w:rsidRPr="00795225">
              <w:t xml:space="preserve">Excel 2016 </w:t>
            </w:r>
          </w:p>
        </w:tc>
      </w:tr>
    </w:tbl>
    <w:p w:rsidR="00C4667B" w:rsidRPr="00795225" w:rsidRDefault="00C4667B" w:rsidP="000D78DD">
      <w:pPr>
        <w:pStyle w:val="TableFooter"/>
        <w:keepNext/>
        <w:widowControl/>
      </w:pPr>
      <w:r w:rsidRPr="00795225">
        <w:t>DMFS = distant metastatic free survival; OS = overall survival</w:t>
      </w:r>
      <w:r w:rsidR="003E1DD4" w:rsidRPr="00795225">
        <w:t>; RFS = recurrent free survival</w:t>
      </w:r>
    </w:p>
    <w:p w:rsidR="00C4667B" w:rsidRPr="00795225" w:rsidRDefault="00C4667B" w:rsidP="000D78DD">
      <w:pPr>
        <w:pStyle w:val="TableFooter"/>
        <w:keepNext/>
        <w:widowControl/>
      </w:pPr>
      <w:r w:rsidRPr="00795225">
        <w:t>Source: Table 58, Section 3 of the resubmission</w:t>
      </w:r>
    </w:p>
    <w:p w:rsidR="00C4667B" w:rsidRPr="00795225" w:rsidRDefault="00C4667B" w:rsidP="008D1BDC">
      <w:pPr>
        <w:widowControl/>
      </w:pPr>
    </w:p>
    <w:p w:rsidR="00EF12D9" w:rsidRPr="00795225" w:rsidRDefault="00EF12D9" w:rsidP="00D736AF">
      <w:pPr>
        <w:pStyle w:val="ListParagraph"/>
        <w:widowControl/>
        <w:numPr>
          <w:ilvl w:val="1"/>
          <w:numId w:val="1"/>
        </w:numPr>
      </w:pPr>
      <w:r w:rsidRPr="00795225">
        <w:t>The economic model was updated from the previous submission</w:t>
      </w:r>
      <w:r w:rsidR="003E1DD4" w:rsidRPr="00795225">
        <w:t xml:space="preserve"> (s</w:t>
      </w:r>
      <w:r w:rsidRPr="00795225">
        <w:t>ee Table 2</w:t>
      </w:r>
      <w:r w:rsidR="003E1DD4" w:rsidRPr="00795225">
        <w:t>).</w:t>
      </w:r>
    </w:p>
    <w:p w:rsidR="00EF12D9" w:rsidRPr="00795225" w:rsidRDefault="00EF12D9" w:rsidP="00D736AF">
      <w:pPr>
        <w:pStyle w:val="ListParagraph"/>
        <w:widowControl/>
        <w:numPr>
          <w:ilvl w:val="1"/>
          <w:numId w:val="1"/>
        </w:numPr>
      </w:pPr>
      <w:r w:rsidRPr="00795225">
        <w:t xml:space="preserve">The structure of the economic model was altered from a three-health state model (recurrent-free disease, recurrent disease and dead) to a four health state model (recurrent-free disease, </w:t>
      </w:r>
      <w:proofErr w:type="spellStart"/>
      <w:r w:rsidRPr="00795225">
        <w:t>locoregional</w:t>
      </w:r>
      <w:proofErr w:type="spellEnd"/>
      <w:r w:rsidRPr="00795225">
        <w:t xml:space="preserve"> recurrence, distant metastatic disease and dead), based on </w:t>
      </w:r>
      <w:r w:rsidR="00785687" w:rsidRPr="00795225">
        <w:t xml:space="preserve">the </w:t>
      </w:r>
      <w:r w:rsidRPr="00795225">
        <w:t>PBAC’s previous concern that a single recurrent-disease health state (in combination with static health state costs and utilities) was unlikely to reflect the outcome of patients treated in the adjuvant setting over the time horizon of the model (para</w:t>
      </w:r>
      <w:r w:rsidR="00785687" w:rsidRPr="00795225">
        <w:t>graph</w:t>
      </w:r>
      <w:r w:rsidRPr="00795225">
        <w:t xml:space="preserve"> 7.6, </w:t>
      </w:r>
      <w:r w:rsidR="00133D62" w:rsidRPr="00795225">
        <w:t>N</w:t>
      </w:r>
      <w:r w:rsidRPr="00795225">
        <w:t xml:space="preserve">ivolumab PSD, July 2018). This </w:t>
      </w:r>
      <w:r w:rsidR="006B563A" w:rsidRPr="00795225">
        <w:t xml:space="preserve">ESC considered that the </w:t>
      </w:r>
      <w:r w:rsidRPr="00795225">
        <w:t>change in model structure was appropriate.</w:t>
      </w:r>
    </w:p>
    <w:p w:rsidR="00785687" w:rsidRPr="00795225" w:rsidRDefault="00182F3D" w:rsidP="00486773">
      <w:pPr>
        <w:pStyle w:val="ListParagraph"/>
        <w:widowControl/>
        <w:numPr>
          <w:ilvl w:val="1"/>
          <w:numId w:val="1"/>
        </w:numPr>
      </w:pPr>
      <w:r w:rsidRPr="00795225">
        <w:t xml:space="preserve">The ESC advised </w:t>
      </w:r>
      <w:r w:rsidR="00B55A16" w:rsidRPr="00795225">
        <w:t xml:space="preserve">that </w:t>
      </w:r>
      <w:r w:rsidRPr="00795225">
        <w:t xml:space="preserve">the </w:t>
      </w:r>
      <w:r w:rsidR="006706A0" w:rsidRPr="00795225">
        <w:t xml:space="preserve">extent of extrapolation required with the use of a partitioned survival model rendered the results of the economic analysis </w:t>
      </w:r>
      <w:r w:rsidR="007D716C" w:rsidRPr="00795225">
        <w:t xml:space="preserve">highly </w:t>
      </w:r>
      <w:r w:rsidR="006706A0" w:rsidRPr="00795225">
        <w:t xml:space="preserve">uncertain. In addition, interpretation of the </w:t>
      </w:r>
      <w:r w:rsidR="004102AF" w:rsidRPr="00795225">
        <w:t>model</w:t>
      </w:r>
      <w:r w:rsidR="007D716C" w:rsidRPr="00795225">
        <w:t xml:space="preserve"> results</w:t>
      </w:r>
      <w:r w:rsidR="004102AF" w:rsidRPr="00795225">
        <w:t xml:space="preserve"> </w:t>
      </w:r>
      <w:r w:rsidR="006706A0" w:rsidRPr="00795225">
        <w:t xml:space="preserve">was hindered because </w:t>
      </w:r>
      <w:r w:rsidR="00FB522F" w:rsidRPr="00795225">
        <w:t>recurrence events were not tracked separately</w:t>
      </w:r>
      <w:r w:rsidR="00486773" w:rsidRPr="00795225">
        <w:t xml:space="preserve">, including the treatment and outcomes for </w:t>
      </w:r>
      <w:r w:rsidR="004102AF" w:rsidRPr="00795225">
        <w:t xml:space="preserve">each of </w:t>
      </w:r>
      <w:r w:rsidR="00486773" w:rsidRPr="00795225">
        <w:t>these</w:t>
      </w:r>
      <w:r w:rsidR="00027604" w:rsidRPr="00795225">
        <w:t xml:space="preserve"> events</w:t>
      </w:r>
      <w:r w:rsidR="00FB522F" w:rsidRPr="00795225">
        <w:t xml:space="preserve">. </w:t>
      </w:r>
      <w:r w:rsidR="00486773" w:rsidRPr="00795225">
        <w:t>A</w:t>
      </w:r>
      <w:r w:rsidRPr="00795225">
        <w:t xml:space="preserve"> Markov model would allow for the use of both observed data and external evidence to estimate </w:t>
      </w:r>
      <w:r w:rsidR="00027604" w:rsidRPr="00795225">
        <w:t>the implications of a recurrence event</w:t>
      </w:r>
      <w:r w:rsidR="002D51E0" w:rsidRPr="00795225">
        <w:t xml:space="preserve">, as traditionally used to evaluate therapies in the adjuvant setting. Substantial uncertainty in the cost-effectiveness ratios would remain due to immature OS data, but a Markov model would facilitate more detailed investigation of the effects of specific components of the pathway, e.g. transitions from local to metastatic recurrence, from and metastatic </w:t>
      </w:r>
      <w:r w:rsidR="002D51E0" w:rsidRPr="00795225">
        <w:lastRenderedPageBreak/>
        <w:t>recurrence to dead, and background mortality in the recurrence-free and local recurrence states</w:t>
      </w:r>
      <w:r w:rsidR="00027604" w:rsidRPr="00795225">
        <w:t xml:space="preserve">. </w:t>
      </w:r>
    </w:p>
    <w:p w:rsidR="00EF12D9" w:rsidRPr="00795225" w:rsidRDefault="00EF12D9" w:rsidP="00D736AF">
      <w:pPr>
        <w:pStyle w:val="ListParagraph"/>
        <w:widowControl/>
        <w:numPr>
          <w:ilvl w:val="1"/>
          <w:numId w:val="1"/>
        </w:numPr>
      </w:pPr>
      <w:r w:rsidRPr="00795225">
        <w:t>Consistent with the original submission, the resubmission used the Kaplan Meier (KM) curves from the placebo arm of CA029 to construct the RFS and DMFS curves for the observation arm for the first five years. These curves were extrapolated out to 30 years using the log</w:t>
      </w:r>
      <w:r w:rsidR="004D3E13" w:rsidRPr="00795225">
        <w:t>-</w:t>
      </w:r>
      <w:r w:rsidRPr="00795225">
        <w:t>normal parametric function</w:t>
      </w:r>
      <w:r w:rsidR="003E1DD4" w:rsidRPr="00795225">
        <w:t>; however, the evaluation noted that:</w:t>
      </w:r>
      <w:r w:rsidRPr="00795225">
        <w:t xml:space="preserve"> </w:t>
      </w:r>
    </w:p>
    <w:p w:rsidR="00EF12D9" w:rsidRPr="00795225" w:rsidRDefault="003E1DD4" w:rsidP="00B87AFE">
      <w:pPr>
        <w:pStyle w:val="Bulletpoints"/>
        <w:widowControl/>
        <w:ind w:left="1077" w:hanging="357"/>
      </w:pPr>
      <w:r w:rsidRPr="00795225">
        <w:t>t</w:t>
      </w:r>
      <w:r w:rsidR="00EF12D9" w:rsidRPr="00795225">
        <w:t xml:space="preserve">here were a number of concerns regarding the applicability of CA029 to the proposed PBS population, particularly in terms of </w:t>
      </w:r>
      <w:r w:rsidR="00525352" w:rsidRPr="00795225">
        <w:t>d</w:t>
      </w:r>
      <w:r w:rsidR="00EF12D9" w:rsidRPr="00795225">
        <w:t xml:space="preserve">isease </w:t>
      </w:r>
      <w:r w:rsidR="00525352" w:rsidRPr="00795225">
        <w:t>s</w:t>
      </w:r>
      <w:r w:rsidRPr="00795225">
        <w:t>taging; and</w:t>
      </w:r>
    </w:p>
    <w:p w:rsidR="00EF12D9" w:rsidRPr="00795225" w:rsidRDefault="003E1DD4" w:rsidP="00B87AFE">
      <w:pPr>
        <w:pStyle w:val="Bulletpoints"/>
        <w:widowControl/>
        <w:spacing w:after="160"/>
        <w:ind w:left="1077" w:hanging="357"/>
      </w:pPr>
      <w:r w:rsidRPr="00795225">
        <w:t>t</w:t>
      </w:r>
      <w:r w:rsidR="00EF12D9" w:rsidRPr="00795225">
        <w:t>he log-normal extrapolatio</w:t>
      </w:r>
      <w:r w:rsidRPr="00795225">
        <w:t>ns for the RFS and DMFS curves we</w:t>
      </w:r>
      <w:r w:rsidR="00EF12D9" w:rsidRPr="00795225">
        <w:t xml:space="preserve">re not reasonable. Beyond year 15, the per-cycle hazard of dying from all-cause mortality (which is </w:t>
      </w:r>
      <w:r w:rsidRPr="00795225">
        <w:t>only captured in the OS curve) wa</w:t>
      </w:r>
      <w:r w:rsidR="00EF12D9" w:rsidRPr="00795225">
        <w:t>s greater than the per-cycle hazard of recurrence or death (represented by the RFS curve). This i</w:t>
      </w:r>
      <w:r w:rsidRPr="00795225">
        <w:t>mplied that those patients who we</w:t>
      </w:r>
      <w:r w:rsidR="00EF12D9" w:rsidRPr="00795225">
        <w:t>re recur</w:t>
      </w:r>
      <w:r w:rsidRPr="00795225">
        <w:t>rence-free during this time had</w:t>
      </w:r>
      <w:r w:rsidR="00EF12D9" w:rsidRPr="00795225">
        <w:t xml:space="preserve"> a better survival than the general population</w:t>
      </w:r>
      <w:r w:rsidR="006B563A" w:rsidRPr="00795225">
        <w:t xml:space="preserve">, which is </w:t>
      </w:r>
      <w:r w:rsidR="00EF12D9" w:rsidRPr="00795225">
        <w:t>implausible.</w:t>
      </w:r>
    </w:p>
    <w:p w:rsidR="0038047B" w:rsidRPr="00795225" w:rsidRDefault="0038047B" w:rsidP="0038047B">
      <w:pPr>
        <w:pStyle w:val="ListParagraph"/>
        <w:widowControl/>
        <w:numPr>
          <w:ilvl w:val="1"/>
          <w:numId w:val="1"/>
        </w:numPr>
      </w:pPr>
      <w:r w:rsidRPr="00795225">
        <w:t xml:space="preserve">The ESC agreed that the log-normal extrapolations </w:t>
      </w:r>
      <w:r w:rsidR="004102AF" w:rsidRPr="00795225">
        <w:t>may</w:t>
      </w:r>
      <w:r w:rsidRPr="00795225">
        <w:t xml:space="preserve"> not</w:t>
      </w:r>
      <w:r w:rsidR="004102AF" w:rsidRPr="00795225">
        <w:t xml:space="preserve"> be</w:t>
      </w:r>
      <w:r w:rsidRPr="00795225">
        <w:t xml:space="preserve"> reasonable.</w:t>
      </w:r>
      <w:r w:rsidR="001634FF" w:rsidRPr="00795225">
        <w:t xml:space="preserve"> The ESC further </w:t>
      </w:r>
      <w:r w:rsidRPr="00795225">
        <w:t>noted the large variation in the</w:t>
      </w:r>
      <w:r w:rsidR="001634FF" w:rsidRPr="00795225">
        <w:t xml:space="preserve"> estimated RFS and DMFS dependin</w:t>
      </w:r>
      <w:r w:rsidR="00DF43D3" w:rsidRPr="00795225">
        <w:t>g on the function used (Figure 3</w:t>
      </w:r>
      <w:r w:rsidR="001634FF" w:rsidRPr="00795225">
        <w:t xml:space="preserve">). The ESC </w:t>
      </w:r>
      <w:r w:rsidR="00BB3EA5" w:rsidRPr="00795225">
        <w:t xml:space="preserve">advised that </w:t>
      </w:r>
      <w:r w:rsidR="001634FF" w:rsidRPr="00795225">
        <w:t xml:space="preserve">a function which </w:t>
      </w:r>
      <w:r w:rsidR="007D716C" w:rsidRPr="00795225">
        <w:t>predicts</w:t>
      </w:r>
      <w:r w:rsidR="001634FF" w:rsidRPr="00795225">
        <w:t xml:space="preserve"> a reduced risk of recurrence over time may be clinically appropriate, although </w:t>
      </w:r>
      <w:r w:rsidR="007D716C" w:rsidRPr="00795225">
        <w:t xml:space="preserve">noted </w:t>
      </w:r>
      <w:r w:rsidR="001634FF" w:rsidRPr="00795225">
        <w:t xml:space="preserve">the gamma and </w:t>
      </w:r>
      <w:r w:rsidR="00F46F2F" w:rsidRPr="00795225">
        <w:t>Gompertz</w:t>
      </w:r>
      <w:r w:rsidR="001634FF" w:rsidRPr="00795225">
        <w:t xml:space="preserve"> models were extreme with very few events in the extrapolated period</w:t>
      </w:r>
      <w:r w:rsidR="003C49F5">
        <w:t>.</w:t>
      </w:r>
    </w:p>
    <w:p w:rsidR="0038047B" w:rsidRPr="00795225" w:rsidRDefault="0038047B" w:rsidP="00135AAE">
      <w:pPr>
        <w:keepNext/>
        <w:widowControl/>
        <w:rPr>
          <w:rFonts w:ascii="Arial Narrow" w:hAnsi="Arial Narrow"/>
          <w:b/>
          <w:snapToGrid/>
          <w:sz w:val="20"/>
          <w:lang w:eastAsia="en-AU"/>
        </w:rPr>
      </w:pPr>
      <w:r w:rsidRPr="00795225">
        <w:t xml:space="preserve"> </w:t>
      </w:r>
      <w:r w:rsidR="00DF43D3" w:rsidRPr="00795225">
        <w:rPr>
          <w:rFonts w:ascii="Arial Narrow" w:hAnsi="Arial Narrow"/>
          <w:b/>
          <w:sz w:val="20"/>
        </w:rPr>
        <w:t>Figure 3</w:t>
      </w:r>
      <w:r w:rsidRPr="00795225">
        <w:rPr>
          <w:rFonts w:ascii="Arial Narrow" w:hAnsi="Arial Narrow"/>
          <w:b/>
          <w:sz w:val="20"/>
        </w:rPr>
        <w:t xml:space="preserve">: </w:t>
      </w:r>
      <w:r w:rsidR="00460683" w:rsidRPr="00795225">
        <w:rPr>
          <w:rFonts w:ascii="Arial Narrow" w:hAnsi="Arial Narrow"/>
          <w:b/>
          <w:sz w:val="20"/>
        </w:rPr>
        <w:t>Fitted parametric survival curves for RFS (left panel) and DMFS (right panel)</w:t>
      </w:r>
    </w:p>
    <w:p w:rsidR="00525BE2" w:rsidRPr="00795225" w:rsidRDefault="0038047B" w:rsidP="0038047B">
      <w:pPr>
        <w:widowControl/>
      </w:pPr>
      <w:r w:rsidRPr="00795225">
        <w:rPr>
          <w:noProof/>
          <w:snapToGrid/>
          <w:lang w:eastAsia="en-AU"/>
        </w:rPr>
        <w:drawing>
          <wp:inline distT="0" distB="0" distL="0" distR="0" wp14:anchorId="0E169B2F" wp14:editId="0EA42522">
            <wp:extent cx="2818006" cy="1476000"/>
            <wp:effectExtent l="0" t="0" r="1905" b="0"/>
            <wp:docPr id="1" name="Picture 1" title="Figure 3: Fitted parametric survival curves for RFS (left panel) and DMFS (right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8006" cy="1476000"/>
                    </a:xfrm>
                    <a:prstGeom prst="rect">
                      <a:avLst/>
                    </a:prstGeom>
                    <a:noFill/>
                  </pic:spPr>
                </pic:pic>
              </a:graphicData>
            </a:graphic>
          </wp:inline>
        </w:drawing>
      </w:r>
      <w:r w:rsidRPr="00795225">
        <w:rPr>
          <w:noProof/>
          <w:lang w:eastAsia="en-AU"/>
        </w:rPr>
        <w:drawing>
          <wp:inline distT="0" distB="0" distL="0" distR="0" wp14:anchorId="1BB15F83" wp14:editId="6E1C7752">
            <wp:extent cx="2817709" cy="1476000"/>
            <wp:effectExtent l="0" t="0" r="1905" b="0"/>
            <wp:docPr id="52" name="Picture 52" title="Figure 3: Fitted parametric survival curves for RFS (left panel) and DMFS (right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7709" cy="1476000"/>
                    </a:xfrm>
                    <a:prstGeom prst="rect">
                      <a:avLst/>
                    </a:prstGeom>
                    <a:noFill/>
                  </pic:spPr>
                </pic:pic>
              </a:graphicData>
            </a:graphic>
          </wp:inline>
        </w:drawing>
      </w:r>
    </w:p>
    <w:p w:rsidR="00460683" w:rsidRPr="00795225" w:rsidRDefault="00473754" w:rsidP="0038047B">
      <w:pPr>
        <w:widowControl/>
        <w:rPr>
          <w:rFonts w:ascii="Arial Narrow" w:hAnsi="Arial Narrow"/>
          <w:sz w:val="18"/>
          <w:szCs w:val="18"/>
        </w:rPr>
      </w:pPr>
      <w:r w:rsidRPr="00795225">
        <w:rPr>
          <w:rFonts w:ascii="Arial Narrow" w:hAnsi="Arial Narrow"/>
          <w:sz w:val="18"/>
          <w:szCs w:val="18"/>
        </w:rPr>
        <w:t>Source: f</w:t>
      </w:r>
      <w:r w:rsidR="00460683" w:rsidRPr="00795225">
        <w:rPr>
          <w:rFonts w:ascii="Arial Narrow" w:hAnsi="Arial Narrow"/>
          <w:sz w:val="18"/>
          <w:szCs w:val="18"/>
        </w:rPr>
        <w:t xml:space="preserve">igures 42 and 43, p189 of the </w:t>
      </w:r>
      <w:r w:rsidRPr="00795225">
        <w:rPr>
          <w:rFonts w:ascii="Arial Narrow" w:hAnsi="Arial Narrow"/>
          <w:sz w:val="18"/>
          <w:szCs w:val="18"/>
        </w:rPr>
        <w:t>re</w:t>
      </w:r>
      <w:r w:rsidR="00460683" w:rsidRPr="00795225">
        <w:rPr>
          <w:rFonts w:ascii="Arial Narrow" w:hAnsi="Arial Narrow"/>
          <w:sz w:val="18"/>
          <w:szCs w:val="18"/>
        </w:rPr>
        <w:t>submission</w:t>
      </w:r>
    </w:p>
    <w:p w:rsidR="00EF12D9" w:rsidRPr="00795225" w:rsidRDefault="00EF12D9" w:rsidP="008D1BDC">
      <w:pPr>
        <w:pStyle w:val="Bulletpoints"/>
        <w:widowControl/>
        <w:numPr>
          <w:ilvl w:val="0"/>
          <w:numId w:val="0"/>
        </w:numPr>
      </w:pPr>
    </w:p>
    <w:p w:rsidR="00EF12D9" w:rsidRPr="00795225" w:rsidRDefault="00EF12D9" w:rsidP="00D736AF">
      <w:pPr>
        <w:pStyle w:val="ListParagraph"/>
        <w:widowControl/>
        <w:numPr>
          <w:ilvl w:val="1"/>
          <w:numId w:val="1"/>
        </w:numPr>
      </w:pPr>
      <w:r w:rsidRPr="00795225">
        <w:t>The modelled treatment effect</w:t>
      </w:r>
      <w:r w:rsidR="003E1DD4" w:rsidRPr="00795225">
        <w:t>s</w:t>
      </w:r>
      <w:r w:rsidRPr="00795225">
        <w:t xml:space="preserve"> of nivolumab</w:t>
      </w:r>
      <w:r w:rsidR="003E1DD4" w:rsidRPr="00795225">
        <w:t>,</w:t>
      </w:r>
      <w:r w:rsidRPr="00795225">
        <w:t xml:space="preserve"> in terms of RFS and DMFS</w:t>
      </w:r>
      <w:r w:rsidR="003E1DD4" w:rsidRPr="00795225">
        <w:t>, were</w:t>
      </w:r>
      <w:r w:rsidRPr="00795225">
        <w:t xml:space="preserve"> based on the application of the HR</w:t>
      </w:r>
      <w:r w:rsidR="003E1DD4" w:rsidRPr="00795225">
        <w:t>s</w:t>
      </w:r>
      <w:r w:rsidRPr="00795225">
        <w:t xml:space="preserve"> from the indirect comparison</w:t>
      </w:r>
      <w:r w:rsidR="00525352" w:rsidRPr="00795225">
        <w:t xml:space="preserve"> (0.50 and 0.58 respectively</w:t>
      </w:r>
      <w:r w:rsidRPr="00795225">
        <w:t>, as described above</w:t>
      </w:r>
      <w:r w:rsidR="00525352" w:rsidRPr="00795225">
        <w:t>)</w:t>
      </w:r>
      <w:r w:rsidRPr="00795225">
        <w:t xml:space="preserve"> for the first th</w:t>
      </w:r>
      <w:r w:rsidR="003E1DD4" w:rsidRPr="00795225">
        <w:t>ree years of the model. Beyond Y</w:t>
      </w:r>
      <w:r w:rsidRPr="00795225">
        <w:t>ear</w:t>
      </w:r>
      <w:r w:rsidR="00DC7F00" w:rsidRPr="00795225">
        <w:t> </w:t>
      </w:r>
      <w:r w:rsidRPr="00795225">
        <w:t>3, a HR of 1 was assumed</w:t>
      </w:r>
      <w:r w:rsidR="003E1DD4" w:rsidRPr="00795225">
        <w:t xml:space="preserve"> for both curves</w:t>
      </w:r>
      <w:r w:rsidRPr="00795225">
        <w:t xml:space="preserve">, with neither converging during the 30 year time horizon. </w:t>
      </w:r>
      <w:r w:rsidR="00E26E35" w:rsidRPr="00795225">
        <w:t>T</w:t>
      </w:r>
      <w:r w:rsidR="000F795A" w:rsidRPr="00795225">
        <w:t>he ESC advised that</w:t>
      </w:r>
      <w:r w:rsidR="00E26E35" w:rsidRPr="00795225">
        <w:t xml:space="preserve"> c</w:t>
      </w:r>
      <w:r w:rsidR="00A370EF" w:rsidRPr="00795225">
        <w:t>onvergence</w:t>
      </w:r>
      <w:r w:rsidR="00E26E35" w:rsidRPr="00795225">
        <w:t xml:space="preserve"> of the curves</w:t>
      </w:r>
      <w:r w:rsidR="00A370EF" w:rsidRPr="00795225">
        <w:t xml:space="preserve"> </w:t>
      </w:r>
      <w:r w:rsidR="006B563A" w:rsidRPr="00795225">
        <w:t xml:space="preserve">would </w:t>
      </w:r>
      <w:r w:rsidR="00A370EF" w:rsidRPr="00795225">
        <w:t>be appropriate</w:t>
      </w:r>
      <w:r w:rsidR="00982526" w:rsidRPr="00795225">
        <w:t xml:space="preserve"> as there is currently insufficient data to determine if nivolumab delays or prevents recurrence</w:t>
      </w:r>
      <w:r w:rsidR="00A370EF" w:rsidRPr="00795225">
        <w:t xml:space="preserve"> (see </w:t>
      </w:r>
      <w:r w:rsidR="00885D7A" w:rsidRPr="00795225">
        <w:t xml:space="preserve">Figure </w:t>
      </w:r>
      <w:r w:rsidR="00DF43D3" w:rsidRPr="00795225">
        <w:t>5</w:t>
      </w:r>
      <w:r w:rsidR="00885D7A" w:rsidRPr="00795225">
        <w:t xml:space="preserve"> </w:t>
      </w:r>
      <w:r w:rsidR="00A370EF" w:rsidRPr="00795225">
        <w:t>for a comparison of the curves for RFS, DMFS and OS</w:t>
      </w:r>
      <w:r w:rsidR="00A0531E" w:rsidRPr="00795225">
        <w:t xml:space="preserve"> </w:t>
      </w:r>
      <w:r w:rsidR="003E1DD4" w:rsidRPr="00795225">
        <w:t>in</w:t>
      </w:r>
      <w:r w:rsidR="00A0531E" w:rsidRPr="00795225">
        <w:t xml:space="preserve"> the base case and </w:t>
      </w:r>
      <w:r w:rsidR="003E1DD4" w:rsidRPr="00795225">
        <w:t xml:space="preserve">with </w:t>
      </w:r>
      <w:r w:rsidR="00A0531E" w:rsidRPr="00795225">
        <w:t>20 year convergence</w:t>
      </w:r>
      <w:r w:rsidR="00A370EF" w:rsidRPr="00795225">
        <w:t xml:space="preserve">). </w:t>
      </w:r>
      <w:r w:rsidR="00692BE8" w:rsidRPr="00795225">
        <w:t xml:space="preserve">The PBAC, noting the immature and limited OS trial data, considered that </w:t>
      </w:r>
      <w:r w:rsidR="000B13B5" w:rsidRPr="00795225">
        <w:t>convergence of the curves over</w:t>
      </w:r>
      <w:r w:rsidR="00692BE8" w:rsidRPr="00795225">
        <w:t xml:space="preserve"> 15 years would be more reasonable.</w:t>
      </w:r>
    </w:p>
    <w:p w:rsidR="00EF12D9" w:rsidRPr="00795225" w:rsidRDefault="00EF12D9" w:rsidP="00D736AF">
      <w:pPr>
        <w:pStyle w:val="ListParagraph"/>
        <w:widowControl/>
        <w:numPr>
          <w:ilvl w:val="1"/>
          <w:numId w:val="1"/>
        </w:numPr>
      </w:pPr>
      <w:r w:rsidRPr="00795225">
        <w:lastRenderedPageBreak/>
        <w:t xml:space="preserve">OS for the observation arm was constructed from a combination of melanoma specific survival (MSS) from </w:t>
      </w:r>
      <w:proofErr w:type="spellStart"/>
      <w:r w:rsidRPr="00795225">
        <w:t>Haydu</w:t>
      </w:r>
      <w:proofErr w:type="spellEnd"/>
      <w:r w:rsidRPr="00795225">
        <w:t xml:space="preserve"> (2017) and background population survival from Australian life tables (ABS 2017) for the first 15 years. MSS was extrapolated </w:t>
      </w:r>
      <w:r w:rsidR="0047579C" w:rsidRPr="00795225">
        <w:t>from</w:t>
      </w:r>
      <w:r w:rsidR="00E62B98" w:rsidRPr="00795225">
        <w:t xml:space="preserve"> Y</w:t>
      </w:r>
      <w:r w:rsidRPr="00795225">
        <w:t>ear 15</w:t>
      </w:r>
      <w:r w:rsidR="0047579C" w:rsidRPr="00795225">
        <w:t xml:space="preserve"> to </w:t>
      </w:r>
      <w:r w:rsidR="00E62B98" w:rsidRPr="00795225">
        <w:t>Year 30</w:t>
      </w:r>
      <w:r w:rsidRPr="00795225">
        <w:t xml:space="preserve"> based on </w:t>
      </w:r>
      <w:r w:rsidR="00E62B98" w:rsidRPr="00795225">
        <w:t xml:space="preserve">the Year </w:t>
      </w:r>
      <w:r w:rsidRPr="00795225">
        <w:t xml:space="preserve">10 to 15 MSS data from </w:t>
      </w:r>
      <w:proofErr w:type="spellStart"/>
      <w:r w:rsidRPr="00795225">
        <w:t>Haydu</w:t>
      </w:r>
      <w:proofErr w:type="spellEnd"/>
      <w:r w:rsidRPr="00795225">
        <w:t xml:space="preserve"> </w:t>
      </w:r>
      <w:r w:rsidR="00E62B98" w:rsidRPr="00795225">
        <w:t>(2017) and applying</w:t>
      </w:r>
      <w:r w:rsidRPr="00795225">
        <w:t xml:space="preserve"> the log</w:t>
      </w:r>
      <w:r w:rsidR="00525352" w:rsidRPr="00795225">
        <w:t>-</w:t>
      </w:r>
      <w:r w:rsidRPr="00795225">
        <w:t xml:space="preserve">normal parametric function. </w:t>
      </w:r>
      <w:proofErr w:type="spellStart"/>
      <w:r w:rsidRPr="00795225">
        <w:t>Haydu</w:t>
      </w:r>
      <w:proofErr w:type="spellEnd"/>
      <w:r w:rsidRPr="00795225">
        <w:t xml:space="preserve"> (2017) presented the conditional </w:t>
      </w:r>
      <w:r w:rsidR="00525352" w:rsidRPr="00795225">
        <w:t>MSS</w:t>
      </w:r>
      <w:r w:rsidRPr="00795225">
        <w:t xml:space="preserve"> estimates developed from a cohort of 4,540 patients diagnosed with Stage III melanoma treated at a single Australian institution between 1970 and 2013. The </w:t>
      </w:r>
      <w:r w:rsidR="00E62B98" w:rsidRPr="00795225">
        <w:t xml:space="preserve">evaluation considered that the </w:t>
      </w:r>
      <w:r w:rsidRPr="00795225">
        <w:t xml:space="preserve">patient population in </w:t>
      </w:r>
      <w:proofErr w:type="spellStart"/>
      <w:r w:rsidRPr="00795225">
        <w:t>Haydu</w:t>
      </w:r>
      <w:proofErr w:type="spellEnd"/>
      <w:r w:rsidR="00E62B98" w:rsidRPr="00795225">
        <w:t xml:space="preserve"> (2017) wa</w:t>
      </w:r>
      <w:r w:rsidRPr="00795225">
        <w:t xml:space="preserve">s unlikely to be applicable to the proposed PBS population </w:t>
      </w:r>
      <w:r w:rsidR="00E62B98" w:rsidRPr="00795225">
        <w:t>as</w:t>
      </w:r>
      <w:r w:rsidRPr="00795225">
        <w:t>:</w:t>
      </w:r>
    </w:p>
    <w:p w:rsidR="00EF12D9" w:rsidRPr="00795225" w:rsidRDefault="00E62B98" w:rsidP="00B87AFE">
      <w:pPr>
        <w:pStyle w:val="Bulletpoints"/>
        <w:widowControl/>
        <w:ind w:left="1077" w:hanging="357"/>
      </w:pPr>
      <w:r w:rsidRPr="00795225">
        <w:t>it included</w:t>
      </w:r>
      <w:r w:rsidR="00EF12D9" w:rsidRPr="00795225">
        <w:t xml:space="preserve"> patients with both resected and </w:t>
      </w:r>
      <w:proofErr w:type="spellStart"/>
      <w:r w:rsidR="00EF12D9" w:rsidRPr="00795225">
        <w:t>unresected</w:t>
      </w:r>
      <w:proofErr w:type="spellEnd"/>
      <w:r w:rsidR="00EF12D9" w:rsidRPr="00795225">
        <w:t xml:space="preserve"> Stage III disease</w:t>
      </w:r>
      <w:r w:rsidRPr="00795225">
        <w:t>;</w:t>
      </w:r>
    </w:p>
    <w:p w:rsidR="00EF12D9" w:rsidRPr="00795225" w:rsidRDefault="00E62B98" w:rsidP="00B87AFE">
      <w:pPr>
        <w:pStyle w:val="Bulletpoints"/>
        <w:widowControl/>
        <w:ind w:left="1077" w:hanging="357"/>
      </w:pPr>
      <w:r w:rsidRPr="00795225">
        <w:t>i</w:t>
      </w:r>
      <w:r w:rsidR="00EF12D9" w:rsidRPr="00795225">
        <w:t>t only include</w:t>
      </w:r>
      <w:r w:rsidRPr="00795225">
        <w:t>d</w:t>
      </w:r>
      <w:r w:rsidR="00EF12D9" w:rsidRPr="00795225">
        <w:t xml:space="preserve"> patients with Stage III disease. The requested listing is for patients with completely resected Stage III or Stage IV disease</w:t>
      </w:r>
      <w:r w:rsidRPr="00795225">
        <w:t>;</w:t>
      </w:r>
      <w:r w:rsidR="00EF12D9" w:rsidRPr="00795225">
        <w:t xml:space="preserve"> </w:t>
      </w:r>
    </w:p>
    <w:p w:rsidR="00EF12D9" w:rsidRPr="00795225" w:rsidRDefault="00E62B98" w:rsidP="00B87AFE">
      <w:pPr>
        <w:pStyle w:val="Bulletpoints"/>
        <w:widowControl/>
        <w:ind w:left="1077" w:hanging="357"/>
      </w:pPr>
      <w:r w:rsidRPr="00795225">
        <w:t>t</w:t>
      </w:r>
      <w:r w:rsidR="00EF12D9" w:rsidRPr="00795225">
        <w:t>he distrib</w:t>
      </w:r>
      <w:r w:rsidRPr="00795225">
        <w:t xml:space="preserve">ution of patients by sub-stage </w:t>
      </w:r>
      <w:r w:rsidR="00F56A38" w:rsidRPr="00795225">
        <w:t xml:space="preserve">may </w:t>
      </w:r>
      <w:r w:rsidR="00EF12D9" w:rsidRPr="00795225">
        <w:t>not reflect the distribution of patients likely to receive adjuvant treatment</w:t>
      </w:r>
      <w:r w:rsidRPr="00795225">
        <w:t>;</w:t>
      </w:r>
    </w:p>
    <w:p w:rsidR="00EF12D9" w:rsidRPr="00795225" w:rsidRDefault="00E62B98" w:rsidP="00B87AFE">
      <w:pPr>
        <w:pStyle w:val="Bulletpoints"/>
        <w:widowControl/>
        <w:ind w:left="1077" w:hanging="357"/>
      </w:pPr>
      <w:r w:rsidRPr="00795225">
        <w:t>i</w:t>
      </w:r>
      <w:r w:rsidR="00EF12D9" w:rsidRPr="00795225">
        <w:t>t include</w:t>
      </w:r>
      <w:r w:rsidRPr="00795225">
        <w:t>d</w:t>
      </w:r>
      <w:r w:rsidR="00EF12D9" w:rsidRPr="00795225">
        <w:t xml:space="preserve"> patients diagnosed between 1970 and 2013. Therefore, overall survival estimates from this data source are unlikely to reflect the efficacy of modern surgical interventions and subsequent systemic therapy. The resubmission attempted to adjust the survival curve</w:t>
      </w:r>
      <w:r w:rsidRPr="00795225">
        <w:t xml:space="preserve"> by applying the</w:t>
      </w:r>
      <w:r w:rsidR="00EF12D9" w:rsidRPr="00795225">
        <w:t xml:space="preserve"> modelled average survival gain associated with </w:t>
      </w:r>
      <w:proofErr w:type="spellStart"/>
      <w:r w:rsidR="00EF12D9" w:rsidRPr="00795225">
        <w:t>ipilimumab</w:t>
      </w:r>
      <w:proofErr w:type="spellEnd"/>
      <w:r w:rsidR="00EF12D9" w:rsidRPr="00795225">
        <w:t xml:space="preserve"> (1.47 years) over 30 years from the November 2012 </w:t>
      </w:r>
      <w:proofErr w:type="spellStart"/>
      <w:r w:rsidR="00EF12D9" w:rsidRPr="00795225">
        <w:t>ipilimumab</w:t>
      </w:r>
      <w:proofErr w:type="spellEnd"/>
      <w:r w:rsidR="00EF12D9" w:rsidRPr="00795225">
        <w:t xml:space="preserve"> PBAC submission. However, this did not reflect the efficacy of newer systemic therapies such as PD-1</w:t>
      </w:r>
      <w:r w:rsidR="00525352" w:rsidRPr="00795225">
        <w:t xml:space="preserve"> inhibitor</w:t>
      </w:r>
      <w:r w:rsidR="00EF12D9" w:rsidRPr="00795225">
        <w:t xml:space="preserve">s in the </w:t>
      </w:r>
      <w:proofErr w:type="spellStart"/>
      <w:r w:rsidR="00EF12D9" w:rsidRPr="00795225">
        <w:t>unresect</w:t>
      </w:r>
      <w:r w:rsidRPr="00795225">
        <w:t>able</w:t>
      </w:r>
      <w:proofErr w:type="spellEnd"/>
      <w:r w:rsidRPr="00795225">
        <w:t xml:space="preserve"> or metastatic</w:t>
      </w:r>
      <w:r w:rsidR="00EF12D9" w:rsidRPr="00795225">
        <w:t xml:space="preserve"> melanoma setting</w:t>
      </w:r>
      <w:r w:rsidRPr="00795225">
        <w:t xml:space="preserve">; and </w:t>
      </w:r>
    </w:p>
    <w:p w:rsidR="00525352" w:rsidRPr="00795225" w:rsidRDefault="00E62B98" w:rsidP="00B87AFE">
      <w:pPr>
        <w:pStyle w:val="Bulletpoints"/>
        <w:widowControl/>
        <w:spacing w:after="120"/>
        <w:ind w:left="1077" w:hanging="357"/>
      </w:pPr>
      <w:r w:rsidRPr="00795225">
        <w:t>it was</w:t>
      </w:r>
      <w:r w:rsidR="00EF12D9" w:rsidRPr="00795225">
        <w:t xml:space="preserve"> noted that the proportion of patients </w:t>
      </w:r>
      <w:r w:rsidRPr="00795225">
        <w:t xml:space="preserve">classified using the </w:t>
      </w:r>
      <w:r w:rsidR="00EF12D9" w:rsidRPr="00795225">
        <w:t>AJCC 8</w:t>
      </w:r>
      <w:r w:rsidR="00EF12D9" w:rsidRPr="00795225">
        <w:rPr>
          <w:vertAlign w:val="superscript"/>
        </w:rPr>
        <w:t>th</w:t>
      </w:r>
      <w:r w:rsidR="00EF12D9" w:rsidRPr="00795225">
        <w:t xml:space="preserve"> </w:t>
      </w:r>
      <w:r w:rsidR="00525352" w:rsidRPr="00795225">
        <w:t>e</w:t>
      </w:r>
      <w:r w:rsidR="00EF12D9" w:rsidRPr="00795225">
        <w:t xml:space="preserve">dition </w:t>
      </w:r>
      <w:r w:rsidR="006B563A" w:rsidRPr="00795225">
        <w:t xml:space="preserve">staging system </w:t>
      </w:r>
      <w:r w:rsidR="00EF12D9" w:rsidRPr="00795225">
        <w:t xml:space="preserve">in </w:t>
      </w:r>
      <w:proofErr w:type="spellStart"/>
      <w:r w:rsidR="00EF12D9" w:rsidRPr="00795225">
        <w:t>Haydu</w:t>
      </w:r>
      <w:proofErr w:type="spellEnd"/>
      <w:r w:rsidR="00EF12D9" w:rsidRPr="00795225">
        <w:t xml:space="preserve"> (2017) differed from that observed in the nivolumab PAP dataset. Patients seeking treatment on the </w:t>
      </w:r>
      <w:r w:rsidRPr="00795225">
        <w:t xml:space="preserve">nivolumab PAP (N </w:t>
      </w:r>
      <w:r w:rsidR="00EF12D9" w:rsidRPr="00795225">
        <w:t>=</w:t>
      </w:r>
      <w:r w:rsidRPr="00795225">
        <w:t xml:space="preserve"> </w:t>
      </w:r>
      <w:r w:rsidR="00EF12D9" w:rsidRPr="00795225">
        <w:t xml:space="preserve">241) included a greater proportion of patients with Stage IIIA (10% vs 4.8%), and Stage IV (14% vs 0%) disease. </w:t>
      </w:r>
    </w:p>
    <w:p w:rsidR="00EF12D9" w:rsidRPr="00795225" w:rsidRDefault="00EF12D9" w:rsidP="00D736AF">
      <w:pPr>
        <w:pStyle w:val="ListParagraph"/>
        <w:widowControl/>
        <w:numPr>
          <w:ilvl w:val="1"/>
          <w:numId w:val="1"/>
        </w:numPr>
      </w:pPr>
      <w:r w:rsidRPr="00795225">
        <w:t>A comparison of the unadjusted OS curve (‘</w:t>
      </w:r>
      <w:proofErr w:type="spellStart"/>
      <w:r w:rsidRPr="00795225">
        <w:t>SoC</w:t>
      </w:r>
      <w:proofErr w:type="spellEnd"/>
      <w:r w:rsidRPr="00795225">
        <w:t xml:space="preserve"> (old)’; based on MSS from </w:t>
      </w:r>
      <w:proofErr w:type="spellStart"/>
      <w:r w:rsidRPr="00795225">
        <w:t>Haydu</w:t>
      </w:r>
      <w:proofErr w:type="spellEnd"/>
      <w:r w:rsidRPr="00795225">
        <w:t xml:space="preserve"> (2017) and the Australian life tables), and the OS curve adjusted for modern </w:t>
      </w:r>
      <w:proofErr w:type="spellStart"/>
      <w:r w:rsidR="00BA5DBD" w:rsidRPr="00795225">
        <w:t>unresectable</w:t>
      </w:r>
      <w:proofErr w:type="spellEnd"/>
      <w:r w:rsidR="00BA5DBD" w:rsidRPr="00795225">
        <w:t xml:space="preserve"> or </w:t>
      </w:r>
      <w:r w:rsidRPr="00795225">
        <w:t>metastatic treatments (‘</w:t>
      </w:r>
      <w:proofErr w:type="spellStart"/>
      <w:r w:rsidRPr="00795225">
        <w:t>SoC</w:t>
      </w:r>
      <w:proofErr w:type="spellEnd"/>
      <w:r w:rsidR="00A92C60" w:rsidRPr="00795225">
        <w:t xml:space="preserve"> </w:t>
      </w:r>
      <w:r w:rsidRPr="00795225">
        <w:t>(new)’</w:t>
      </w:r>
      <w:r w:rsidR="00E62B98" w:rsidRPr="00795225">
        <w:t xml:space="preserve"> </w:t>
      </w:r>
      <w:r w:rsidRPr="00795225">
        <w:t xml:space="preserve">based on modelled average survival gain associated with </w:t>
      </w:r>
      <w:proofErr w:type="spellStart"/>
      <w:r w:rsidRPr="00795225">
        <w:t>ipilimumab</w:t>
      </w:r>
      <w:proofErr w:type="spellEnd"/>
      <w:r w:rsidRPr="00795225">
        <w:t xml:space="preserve"> (1.47 years) over 30 years), is provided in </w:t>
      </w:r>
      <w:r w:rsidR="00DB5ACC" w:rsidRPr="00795225">
        <w:t>Figure</w:t>
      </w:r>
      <w:r w:rsidR="006724CE" w:rsidRPr="00795225">
        <w:t xml:space="preserve"> </w:t>
      </w:r>
      <w:r w:rsidR="00DF43D3" w:rsidRPr="00795225">
        <w:t>4</w:t>
      </w:r>
      <w:r w:rsidR="000665DD">
        <w:t xml:space="preserve"> </w:t>
      </w:r>
      <w:r w:rsidRPr="00795225">
        <w:t>below.</w:t>
      </w:r>
      <w:r w:rsidR="00935231" w:rsidRPr="00795225">
        <w:t xml:space="preserve"> The ESC noted OS (</w:t>
      </w:r>
      <w:proofErr w:type="spellStart"/>
      <w:r w:rsidR="00935231" w:rsidRPr="00795225">
        <w:t>SoC</w:t>
      </w:r>
      <w:proofErr w:type="spellEnd"/>
      <w:r w:rsidR="00A92C60" w:rsidRPr="00795225">
        <w:t xml:space="preserve"> </w:t>
      </w:r>
      <w:r w:rsidR="00E62B98" w:rsidRPr="00795225">
        <w:t>(new)) at 3 years wa</w:t>
      </w:r>
      <w:r w:rsidR="00935231" w:rsidRPr="00795225">
        <w:t>s approximately 6</w:t>
      </w:r>
      <w:r w:rsidR="00135AAE" w:rsidRPr="00795225">
        <w:t>7</w:t>
      </w:r>
      <w:r w:rsidR="00E62B98" w:rsidRPr="00795225">
        <w:t>%, which wa</w:t>
      </w:r>
      <w:r w:rsidR="00935231" w:rsidRPr="00795225">
        <w:t xml:space="preserve">s low in comparison to that observed at 3 years in the observation arm of the COMBI-AD </w:t>
      </w:r>
      <w:r w:rsidR="00E62B98" w:rsidRPr="00795225">
        <w:t>DAB+TRAM</w:t>
      </w:r>
      <w:r w:rsidR="00935231" w:rsidRPr="00795225">
        <w:t xml:space="preserve"> study (approximately 77%</w:t>
      </w:r>
      <w:r w:rsidR="00021032" w:rsidRPr="00795225">
        <w:rPr>
          <w:rStyle w:val="FootnoteReference"/>
        </w:rPr>
        <w:footnoteReference w:id="7"/>
      </w:r>
      <w:r w:rsidR="00935231" w:rsidRPr="00795225">
        <w:t xml:space="preserve">), although </w:t>
      </w:r>
      <w:r w:rsidR="00C725FC" w:rsidRPr="00795225">
        <w:t>it wa</w:t>
      </w:r>
      <w:r w:rsidR="00935231" w:rsidRPr="00795225">
        <w:t>s noted that the COMBI-AD trial only included Stage III BRAF mutant melanoma patients.</w:t>
      </w:r>
      <w:r w:rsidR="007205F3" w:rsidRPr="00795225">
        <w:t xml:space="preserve"> To </w:t>
      </w:r>
      <w:r w:rsidR="00EC0F07" w:rsidRPr="00795225">
        <w:t xml:space="preserve">better </w:t>
      </w:r>
      <w:r w:rsidR="007205F3" w:rsidRPr="00795225">
        <w:t xml:space="preserve">account for </w:t>
      </w:r>
      <w:r w:rsidR="00EC0F07" w:rsidRPr="00795225">
        <w:t xml:space="preserve">the current </w:t>
      </w:r>
      <w:proofErr w:type="spellStart"/>
      <w:r w:rsidR="00BA5DBD" w:rsidRPr="00795225">
        <w:t>unresectable</w:t>
      </w:r>
      <w:proofErr w:type="spellEnd"/>
      <w:r w:rsidR="00BA5DBD" w:rsidRPr="00795225">
        <w:t xml:space="preserve"> or </w:t>
      </w:r>
      <w:r w:rsidR="00EC0F07" w:rsidRPr="00795225">
        <w:t>metastatic treatment</w:t>
      </w:r>
      <w:r w:rsidR="00E62B98" w:rsidRPr="00795225">
        <w:t xml:space="preserve"> option</w:t>
      </w:r>
      <w:r w:rsidR="00EC0F07" w:rsidRPr="00795225">
        <w:t>s</w:t>
      </w:r>
      <w:r w:rsidR="007205F3" w:rsidRPr="00795225">
        <w:t xml:space="preserve">, the pre-PBAC response proposed changing the OS HR </w:t>
      </w:r>
      <w:r w:rsidR="008E7267" w:rsidRPr="00795225">
        <w:t xml:space="preserve">adjustment </w:t>
      </w:r>
      <w:r w:rsidR="007205F3" w:rsidRPr="00795225">
        <w:t xml:space="preserve">from 0.91 </w:t>
      </w:r>
      <w:r w:rsidR="008E7267" w:rsidRPr="00795225">
        <w:t xml:space="preserve">(1.47 years additional survival gain) to 0.89 </w:t>
      </w:r>
      <w:r w:rsidR="007205F3" w:rsidRPr="00795225">
        <w:t xml:space="preserve">in the revised base case, providing SOC patients receiving </w:t>
      </w:r>
      <w:proofErr w:type="spellStart"/>
      <w:r w:rsidR="00BA5DBD" w:rsidRPr="00795225">
        <w:t>unresectable</w:t>
      </w:r>
      <w:proofErr w:type="spellEnd"/>
      <w:r w:rsidR="00BA5DBD" w:rsidRPr="00795225">
        <w:t xml:space="preserve"> or </w:t>
      </w:r>
      <w:r w:rsidR="007205F3" w:rsidRPr="00795225">
        <w:t>metastatic treatment with an additional 1.80 life years.</w:t>
      </w:r>
      <w:r w:rsidR="00692BE8" w:rsidRPr="00795225">
        <w:t xml:space="preserve"> </w:t>
      </w:r>
    </w:p>
    <w:p w:rsidR="00EF12D9" w:rsidRPr="00795225" w:rsidRDefault="00EF12D9" w:rsidP="00E450B8">
      <w:pPr>
        <w:pStyle w:val="TableHead"/>
        <w:widowControl/>
      </w:pPr>
      <w:bookmarkStart w:id="22" w:name="_Ref535323326"/>
      <w:r w:rsidRPr="00795225">
        <w:lastRenderedPageBreak/>
        <w:t xml:space="preserve">Figure </w:t>
      </w:r>
      <w:bookmarkEnd w:id="22"/>
      <w:r w:rsidR="00DF43D3" w:rsidRPr="00795225">
        <w:t>4</w:t>
      </w:r>
      <w:r w:rsidRPr="00795225">
        <w:t>: OS curves applied in the model, ‘</w:t>
      </w:r>
      <w:proofErr w:type="spellStart"/>
      <w:r w:rsidRPr="00795225">
        <w:t>SoC</w:t>
      </w:r>
      <w:proofErr w:type="spellEnd"/>
      <w:r w:rsidRPr="00795225">
        <w:t xml:space="preserve"> (old)’ (based on </w:t>
      </w:r>
      <w:proofErr w:type="spellStart"/>
      <w:r w:rsidRPr="00795225">
        <w:t>Haydu</w:t>
      </w:r>
      <w:proofErr w:type="spellEnd"/>
      <w:r w:rsidRPr="00795225">
        <w:t xml:space="preserve"> 2017 and Australian life tables) and ‘</w:t>
      </w:r>
      <w:proofErr w:type="spellStart"/>
      <w:r w:rsidRPr="00795225">
        <w:t>SoC</w:t>
      </w:r>
      <w:proofErr w:type="spellEnd"/>
      <w:r w:rsidRPr="00795225">
        <w:t xml:space="preserve"> (new)’ (applied in the base case)</w:t>
      </w:r>
    </w:p>
    <w:p w:rsidR="00EF12D9" w:rsidRPr="00795225" w:rsidRDefault="00EF12D9" w:rsidP="008D1BDC">
      <w:pPr>
        <w:pStyle w:val="TableFooter"/>
        <w:widowControl/>
      </w:pPr>
      <w:r w:rsidRPr="00795225">
        <w:rPr>
          <w:noProof/>
          <w:snapToGrid/>
          <w:lang w:eastAsia="en-AU"/>
        </w:rPr>
        <w:drawing>
          <wp:inline distT="0" distB="0" distL="0" distR="0" wp14:anchorId="251ADB41" wp14:editId="241B72D5">
            <wp:extent cx="5088890" cy="2725420"/>
            <wp:effectExtent l="0" t="0" r="0" b="0"/>
            <wp:docPr id="18" name="Picture 18" title="Figure 4: OS curves applied in the model, ‘SoC (old)’ (based on Haydu 2017 and Australian life tables) and ‘SoC (new)’ (applied in the base case)"/>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8890" cy="2725420"/>
                    </a:xfrm>
                    <a:prstGeom prst="rect">
                      <a:avLst/>
                    </a:prstGeom>
                    <a:noFill/>
                  </pic:spPr>
                </pic:pic>
              </a:graphicData>
            </a:graphic>
          </wp:inline>
        </w:drawing>
      </w:r>
    </w:p>
    <w:p w:rsidR="00E62B98" w:rsidRPr="00795225" w:rsidRDefault="00E62B98" w:rsidP="008D1BDC">
      <w:pPr>
        <w:pStyle w:val="TableFooter"/>
        <w:widowControl/>
      </w:pPr>
      <w:proofErr w:type="spellStart"/>
      <w:r w:rsidRPr="00795225">
        <w:t>SoC</w:t>
      </w:r>
      <w:proofErr w:type="spellEnd"/>
      <w:r w:rsidRPr="00795225">
        <w:t xml:space="preserve"> = standard of care</w:t>
      </w:r>
    </w:p>
    <w:p w:rsidR="00EF12D9" w:rsidRPr="00795225" w:rsidRDefault="00EF12D9" w:rsidP="008D1BDC">
      <w:pPr>
        <w:pStyle w:val="TableFooter"/>
        <w:widowControl/>
      </w:pPr>
      <w:r w:rsidRPr="00795225">
        <w:t xml:space="preserve">Source: </w:t>
      </w:r>
      <w:r w:rsidR="00473754" w:rsidRPr="00795225">
        <w:t>f</w:t>
      </w:r>
      <w:r w:rsidRPr="00795225">
        <w:t>igure 40, Section 3 of the resubmission</w:t>
      </w:r>
    </w:p>
    <w:p w:rsidR="00EF12D9" w:rsidRPr="00795225" w:rsidRDefault="00EF12D9" w:rsidP="008D1BDC">
      <w:pPr>
        <w:widowControl/>
      </w:pPr>
    </w:p>
    <w:p w:rsidR="00EF12D9" w:rsidRPr="00795225" w:rsidRDefault="00EF12D9" w:rsidP="0062791E">
      <w:pPr>
        <w:pStyle w:val="ListParagraph"/>
        <w:widowControl/>
        <w:numPr>
          <w:ilvl w:val="1"/>
          <w:numId w:val="1"/>
        </w:numPr>
      </w:pPr>
      <w:r w:rsidRPr="00795225">
        <w:t xml:space="preserve">Given the lack of OS data from CA238, the resubmission </w:t>
      </w:r>
      <w:r w:rsidR="00FD6D8C" w:rsidRPr="00795225">
        <w:t xml:space="preserve">constructed an OS curve for nivolumab by applying the OS HR from CA029 for </w:t>
      </w:r>
      <w:proofErr w:type="spellStart"/>
      <w:r w:rsidR="00FD6D8C" w:rsidRPr="00795225">
        <w:t>ipilimumab</w:t>
      </w:r>
      <w:proofErr w:type="spellEnd"/>
      <w:r w:rsidR="00FD6D8C" w:rsidRPr="00795225">
        <w:t xml:space="preserve"> versus placebo (n</w:t>
      </w:r>
      <w:r w:rsidRPr="00795225">
        <w:t xml:space="preserve">ot adjusted to account for modern </w:t>
      </w:r>
      <w:proofErr w:type="spellStart"/>
      <w:r w:rsidR="00BA5DBD" w:rsidRPr="00795225">
        <w:t>unresectable</w:t>
      </w:r>
      <w:proofErr w:type="spellEnd"/>
      <w:r w:rsidR="00BA5DBD" w:rsidRPr="00795225">
        <w:t xml:space="preserve"> or </w:t>
      </w:r>
      <w:r w:rsidRPr="00795225">
        <w:t>metastatic treatments)</w:t>
      </w:r>
      <w:r w:rsidR="00FD6D8C" w:rsidRPr="00795225">
        <w:t xml:space="preserve"> for years 1 to 3. B</w:t>
      </w:r>
      <w:r w:rsidR="006176F5" w:rsidRPr="00795225">
        <w:t>eyond this</w:t>
      </w:r>
      <w:r w:rsidR="00FD6D8C" w:rsidRPr="00795225">
        <w:t>, the model</w:t>
      </w:r>
      <w:r w:rsidR="006176F5" w:rsidRPr="00795225">
        <w:t xml:space="preserve"> assumed a HR of 1</w:t>
      </w:r>
      <w:r w:rsidR="00FD6D8C" w:rsidRPr="00795225">
        <w:t xml:space="preserve">, so the nivolumab and placebo curves did not </w:t>
      </w:r>
      <w:r w:rsidR="006176F5" w:rsidRPr="00795225">
        <w:t xml:space="preserve">converge over the 30 year time horizon. </w:t>
      </w:r>
      <w:r w:rsidRPr="00795225">
        <w:t xml:space="preserve">The resubmission stated that use of this HR was conservative and assumed that nivolumab was non-inferior to </w:t>
      </w:r>
      <w:proofErr w:type="spellStart"/>
      <w:r w:rsidRPr="00795225">
        <w:t>ipilimumab</w:t>
      </w:r>
      <w:proofErr w:type="spellEnd"/>
      <w:r w:rsidRPr="00795225">
        <w:t xml:space="preserve"> in terms of OS. </w:t>
      </w:r>
      <w:r w:rsidR="00FD6D8C" w:rsidRPr="00795225">
        <w:t>The evaluation considered that i</w:t>
      </w:r>
      <w:r w:rsidR="0062791E" w:rsidRPr="00795225">
        <w:t xml:space="preserve">t would be reasonable to expect that a change in OS </w:t>
      </w:r>
      <w:r w:rsidR="00FD6D8C" w:rsidRPr="00795225">
        <w:t>due to</w:t>
      </w:r>
      <w:r w:rsidR="0062791E" w:rsidRPr="00795225">
        <w:t xml:space="preserve"> adjuvant treatment </w:t>
      </w:r>
      <w:r w:rsidR="00FD6D8C" w:rsidRPr="00795225">
        <w:t xml:space="preserve">would be </w:t>
      </w:r>
      <w:r w:rsidR="0062791E" w:rsidRPr="00795225">
        <w:t xml:space="preserve">influenced by both changes in the recurrence rate and the effectiveness of subsequent therapies in an </w:t>
      </w:r>
      <w:proofErr w:type="spellStart"/>
      <w:r w:rsidR="0062791E" w:rsidRPr="00795225">
        <w:t>unresectable</w:t>
      </w:r>
      <w:proofErr w:type="spellEnd"/>
      <w:r w:rsidR="0062791E" w:rsidRPr="00795225">
        <w:t xml:space="preserve"> </w:t>
      </w:r>
      <w:r w:rsidR="00BA5DBD" w:rsidRPr="00795225">
        <w:t xml:space="preserve">or metastatic </w:t>
      </w:r>
      <w:r w:rsidR="0062791E" w:rsidRPr="00795225">
        <w:t>setting. Therefore, the HR from CA029 reflect</w:t>
      </w:r>
      <w:r w:rsidR="00FD6D8C" w:rsidRPr="00795225">
        <w:t>ed</w:t>
      </w:r>
      <w:r w:rsidR="0062791E" w:rsidRPr="00795225">
        <w:t xml:space="preserve"> the use of adjuvant </w:t>
      </w:r>
      <w:proofErr w:type="spellStart"/>
      <w:r w:rsidR="0062791E" w:rsidRPr="00795225">
        <w:t>ipilimumab</w:t>
      </w:r>
      <w:proofErr w:type="spellEnd"/>
      <w:r w:rsidR="0062791E" w:rsidRPr="00795225">
        <w:t xml:space="preserve"> followed by an older standard of care</w:t>
      </w:r>
      <w:r w:rsidR="00FD6D8C" w:rsidRPr="00795225">
        <w:t>. It wa</w:t>
      </w:r>
      <w:r w:rsidR="0062791E" w:rsidRPr="00795225">
        <w:t xml:space="preserve">s unclear whether the same HR would be observed in a comparison of adjuvant melanoma followed by modern </w:t>
      </w:r>
      <w:proofErr w:type="spellStart"/>
      <w:r w:rsidR="00BA5DBD" w:rsidRPr="00795225">
        <w:t>unresectable</w:t>
      </w:r>
      <w:proofErr w:type="spellEnd"/>
      <w:r w:rsidR="00BA5DBD" w:rsidRPr="00795225">
        <w:t xml:space="preserve"> or </w:t>
      </w:r>
      <w:r w:rsidR="0062791E" w:rsidRPr="00795225">
        <w:t xml:space="preserve">metastatic treatments (including PD-1 inhibitors) to observation followed by other modern </w:t>
      </w:r>
      <w:proofErr w:type="spellStart"/>
      <w:r w:rsidR="00EB49A2" w:rsidRPr="00795225">
        <w:t>unresectable</w:t>
      </w:r>
      <w:proofErr w:type="spellEnd"/>
      <w:r w:rsidR="00EB49A2" w:rsidRPr="00795225">
        <w:t xml:space="preserve"> or </w:t>
      </w:r>
      <w:r w:rsidR="0062791E" w:rsidRPr="00795225">
        <w:t>metastatic treatments</w:t>
      </w:r>
      <w:r w:rsidR="000A6826" w:rsidRPr="00795225">
        <w:t xml:space="preserve">. </w:t>
      </w:r>
      <w:r w:rsidRPr="00795225">
        <w:t xml:space="preserve">The structure of the economic model </w:t>
      </w:r>
      <w:r w:rsidR="00F56A38" w:rsidRPr="00795225">
        <w:t xml:space="preserve">did </w:t>
      </w:r>
      <w:r w:rsidRPr="00795225">
        <w:t xml:space="preserve">not allow isolation of the impact of the availability of adjuvant treatment of melanoma </w:t>
      </w:r>
      <w:r w:rsidR="00FD6D8C" w:rsidRPr="00795225">
        <w:t xml:space="preserve">on </w:t>
      </w:r>
      <w:r w:rsidRPr="00795225">
        <w:t xml:space="preserve">recurrence </w:t>
      </w:r>
      <w:r w:rsidR="00FD6D8C" w:rsidRPr="00795225">
        <w:t>or the</w:t>
      </w:r>
      <w:r w:rsidRPr="00795225">
        <w:t xml:space="preserve"> improvement in efficacy of treatments in the </w:t>
      </w:r>
      <w:proofErr w:type="spellStart"/>
      <w:r w:rsidRPr="00795225">
        <w:t>unresectable</w:t>
      </w:r>
      <w:proofErr w:type="spellEnd"/>
      <w:r w:rsidR="00BA5DBD" w:rsidRPr="00795225">
        <w:t xml:space="preserve"> or metastatic</w:t>
      </w:r>
      <w:r w:rsidRPr="00795225">
        <w:t xml:space="preserve"> setting.</w:t>
      </w:r>
    </w:p>
    <w:p w:rsidR="00804596" w:rsidRPr="00795225" w:rsidRDefault="006176F5" w:rsidP="006176F5">
      <w:pPr>
        <w:pStyle w:val="ListParagraph"/>
        <w:widowControl/>
        <w:numPr>
          <w:ilvl w:val="1"/>
          <w:numId w:val="1"/>
        </w:numPr>
      </w:pPr>
      <w:r w:rsidRPr="00795225">
        <w:t xml:space="preserve">The </w:t>
      </w:r>
      <w:r w:rsidR="00FE1320" w:rsidRPr="00795225">
        <w:t xml:space="preserve">RFS, DMFS and OS curves </w:t>
      </w:r>
      <w:r w:rsidR="00EF12D9" w:rsidRPr="00795225">
        <w:t>by treatment group over the time horizon of the model</w:t>
      </w:r>
      <w:r w:rsidRPr="00795225">
        <w:t>, and with a sensitivity analysis assuming convergence at 20 years</w:t>
      </w:r>
      <w:r w:rsidR="00E42361" w:rsidRPr="00795225">
        <w:t>,</w:t>
      </w:r>
      <w:r w:rsidRPr="00795225">
        <w:t xml:space="preserve"> are presented in the figures below. As noted, the ESC considered that convergence </w:t>
      </w:r>
      <w:r w:rsidR="00982526" w:rsidRPr="00795225">
        <w:t xml:space="preserve">may be </w:t>
      </w:r>
      <w:r w:rsidRPr="00795225">
        <w:t xml:space="preserve">appropriate given the </w:t>
      </w:r>
      <w:r w:rsidR="00135AAE" w:rsidRPr="00795225">
        <w:t xml:space="preserve">lack of OS data and the </w:t>
      </w:r>
      <w:r w:rsidRPr="00795225">
        <w:t xml:space="preserve">uncertainty </w:t>
      </w:r>
      <w:r w:rsidR="00135AAE" w:rsidRPr="00795225">
        <w:t>regarding</w:t>
      </w:r>
      <w:r w:rsidR="00982526" w:rsidRPr="00795225">
        <w:t xml:space="preserve"> delay</w:t>
      </w:r>
      <w:r w:rsidR="00135AAE" w:rsidRPr="00795225">
        <w:t xml:space="preserve"> versus</w:t>
      </w:r>
      <w:r w:rsidR="00982526" w:rsidRPr="00795225">
        <w:t xml:space="preserve"> preventi</w:t>
      </w:r>
      <w:r w:rsidR="00135AAE" w:rsidRPr="00795225">
        <w:t>on of</w:t>
      </w:r>
      <w:r w:rsidR="00982526" w:rsidRPr="00795225">
        <w:t xml:space="preserve"> recurrence</w:t>
      </w:r>
      <w:r w:rsidR="00EF12D9" w:rsidRPr="00795225">
        <w:t>.</w:t>
      </w:r>
      <w:r w:rsidR="00C67417" w:rsidRPr="00795225">
        <w:t xml:space="preserve"> The pre-PBAC response considered that convergence of the overall survival curves at 15 or 20 years was implausible based on the available trial data, as when convergence from 5 to 15 years was applied, this implied HR for OS = 1.20; RFS </w:t>
      </w:r>
      <w:r w:rsidR="00C67417" w:rsidRPr="00795225">
        <w:lastRenderedPageBreak/>
        <w:t>= 1.69</w:t>
      </w:r>
      <w:r w:rsidR="006A5B44" w:rsidRPr="00795225">
        <w:t>;</w:t>
      </w:r>
      <w:r w:rsidR="00C67417" w:rsidRPr="00795225">
        <w:t xml:space="preserve"> and DMFS = 1.53</w:t>
      </w:r>
      <w:r w:rsidR="006A5B44" w:rsidRPr="00795225">
        <w:t>. The pre-PBAC response suggested that convergence from 5 to 30 years resulted in more realised model outputs and HRs for OS = 1.07; RFS = 1.39; and DMFS = 1.29. This approach was incorporated into a revised base case</w:t>
      </w:r>
      <w:r w:rsidR="002B76FE" w:rsidRPr="00795225">
        <w:t xml:space="preserve"> presented in the pre-PBAC response</w:t>
      </w:r>
      <w:r w:rsidR="006A5B44" w:rsidRPr="00795225">
        <w:t>.</w:t>
      </w:r>
      <w:r w:rsidR="00C96CE4" w:rsidRPr="00795225">
        <w:t xml:space="preserve"> The PBAC, noting the immature and limited OS trial data, considered that convergence of the curves over 15 years would be more reasonable.</w:t>
      </w:r>
    </w:p>
    <w:p w:rsidR="006176F5" w:rsidRPr="00795225" w:rsidRDefault="006176F5" w:rsidP="006176F5">
      <w:pPr>
        <w:rPr>
          <w:rFonts w:ascii="Arial Narrow" w:hAnsi="Arial Narrow"/>
          <w:b/>
          <w:sz w:val="20"/>
        </w:rPr>
      </w:pPr>
      <w:r w:rsidRPr="00795225">
        <w:rPr>
          <w:rFonts w:ascii="Arial Narrow" w:hAnsi="Arial Narrow"/>
          <w:b/>
          <w:sz w:val="20"/>
        </w:rPr>
        <w:t xml:space="preserve">Figure </w:t>
      </w:r>
      <w:r w:rsidR="00DF43D3" w:rsidRPr="00795225">
        <w:rPr>
          <w:rFonts w:ascii="Arial Narrow" w:hAnsi="Arial Narrow"/>
          <w:b/>
          <w:sz w:val="20"/>
        </w:rPr>
        <w:t>5</w:t>
      </w:r>
      <w:r w:rsidRPr="00795225">
        <w:rPr>
          <w:rFonts w:ascii="Arial Narrow" w:hAnsi="Arial Narrow"/>
          <w:b/>
          <w:sz w:val="20"/>
        </w:rPr>
        <w:t xml:space="preserve">: Comparison of modelled survival curves, </w:t>
      </w:r>
      <w:r w:rsidR="008D56E4" w:rsidRPr="00795225">
        <w:rPr>
          <w:rFonts w:ascii="Arial Narrow" w:hAnsi="Arial Narrow"/>
          <w:b/>
          <w:sz w:val="20"/>
        </w:rPr>
        <w:t>base case (left panel)</w:t>
      </w:r>
      <w:r w:rsidRPr="00795225">
        <w:rPr>
          <w:rFonts w:ascii="Arial Narrow" w:hAnsi="Arial Narrow"/>
          <w:b/>
          <w:sz w:val="20"/>
        </w:rPr>
        <w:t xml:space="preserve"> and </w:t>
      </w:r>
      <w:r w:rsidR="008D56E4" w:rsidRPr="00795225">
        <w:rPr>
          <w:rFonts w:ascii="Arial Narrow" w:hAnsi="Arial Narrow"/>
          <w:b/>
          <w:sz w:val="20"/>
        </w:rPr>
        <w:t xml:space="preserve">sensitivity </w:t>
      </w:r>
      <w:r w:rsidR="001C5132" w:rsidRPr="00795225">
        <w:rPr>
          <w:rFonts w:ascii="Arial Narrow" w:hAnsi="Arial Narrow"/>
          <w:b/>
          <w:sz w:val="20"/>
        </w:rPr>
        <w:t>analysis (</w:t>
      </w:r>
      <w:r w:rsidR="008D56E4" w:rsidRPr="00795225">
        <w:rPr>
          <w:rFonts w:ascii="Arial Narrow" w:hAnsi="Arial Narrow"/>
          <w:b/>
          <w:sz w:val="20"/>
        </w:rPr>
        <w:t>right panel)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5: Comparison of modelled survival curves, base case (left panel) and sensitivity analysis (right panel)"/>
      </w:tblPr>
      <w:tblGrid>
        <w:gridCol w:w="4512"/>
        <w:gridCol w:w="4515"/>
      </w:tblGrid>
      <w:tr w:rsidR="006176F5" w:rsidRPr="00795225" w:rsidTr="00713754">
        <w:trPr>
          <w:tblHeader/>
        </w:trPr>
        <w:tc>
          <w:tcPr>
            <w:tcW w:w="4512" w:type="dxa"/>
            <w:vAlign w:val="center"/>
          </w:tcPr>
          <w:p w:rsidR="006176F5" w:rsidRPr="00795225" w:rsidRDefault="006176F5" w:rsidP="006176F5">
            <w:pPr>
              <w:jc w:val="center"/>
              <w:rPr>
                <w:rFonts w:ascii="Arial Narrow" w:hAnsi="Arial Narrow"/>
                <w:b/>
                <w:sz w:val="20"/>
              </w:rPr>
            </w:pPr>
            <w:r w:rsidRPr="00795225">
              <w:rPr>
                <w:rFonts w:ascii="Arial Narrow" w:hAnsi="Arial Narrow"/>
                <w:b/>
                <w:sz w:val="20"/>
              </w:rPr>
              <w:t>3 years of treatment effect followed by equivalent probabilities of recurrence and death</w:t>
            </w:r>
            <w:r w:rsidR="00E42361" w:rsidRPr="00795225">
              <w:rPr>
                <w:rFonts w:ascii="Arial Narrow" w:hAnsi="Arial Narrow"/>
                <w:b/>
                <w:sz w:val="20"/>
              </w:rPr>
              <w:t xml:space="preserve"> to 30 years</w:t>
            </w:r>
          </w:p>
        </w:tc>
        <w:tc>
          <w:tcPr>
            <w:tcW w:w="4515" w:type="dxa"/>
            <w:vAlign w:val="center"/>
          </w:tcPr>
          <w:p w:rsidR="006176F5" w:rsidRPr="00795225" w:rsidRDefault="006176F5" w:rsidP="006176F5">
            <w:pPr>
              <w:jc w:val="center"/>
              <w:rPr>
                <w:rFonts w:ascii="Arial Narrow" w:hAnsi="Arial Narrow"/>
                <w:b/>
                <w:sz w:val="20"/>
              </w:rPr>
            </w:pPr>
            <w:r w:rsidRPr="00795225">
              <w:rPr>
                <w:rFonts w:ascii="Arial Narrow" w:hAnsi="Arial Narrow"/>
                <w:b/>
                <w:sz w:val="20"/>
              </w:rPr>
              <w:t>3 years of treatment effect followed by equivalent probabilities of recurrence and death to 5 years, and convergence of survival curves at 20 years</w:t>
            </w:r>
          </w:p>
        </w:tc>
      </w:tr>
    </w:tbl>
    <w:p w:rsidR="006176F5" w:rsidRPr="00795225" w:rsidRDefault="00713754" w:rsidP="006176F5">
      <w:pPr>
        <w:widowControl/>
      </w:pPr>
      <w:r w:rsidRPr="00795225">
        <w:rPr>
          <w:noProof/>
          <w:snapToGrid/>
          <w:lang w:eastAsia="en-AU"/>
        </w:rPr>
        <w:drawing>
          <wp:inline distT="0" distB="0" distL="0" distR="0" wp14:anchorId="38638813" wp14:editId="5D68035D">
            <wp:extent cx="2816608" cy="1548000"/>
            <wp:effectExtent l="0" t="0" r="3175" b="0"/>
            <wp:docPr id="4" name="Picture 4" descr="3 years of treatment effect followed by equivalent probabilities of recurrence and death to 30 years" title="Figure 5: Comparison of modelled survival curves, base case (left panel) and sensitivity analysis (right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3.png@01D4C9FA.E45E01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16608" cy="1548000"/>
                    </a:xfrm>
                    <a:prstGeom prst="rect">
                      <a:avLst/>
                    </a:prstGeom>
                    <a:noFill/>
                    <a:ln>
                      <a:noFill/>
                    </a:ln>
                  </pic:spPr>
                </pic:pic>
              </a:graphicData>
            </a:graphic>
          </wp:inline>
        </w:drawing>
      </w:r>
      <w:r w:rsidRPr="00795225">
        <w:rPr>
          <w:noProof/>
          <w:snapToGrid/>
          <w:lang w:eastAsia="en-AU"/>
        </w:rPr>
        <w:drawing>
          <wp:inline distT="0" distB="0" distL="0" distR="0" wp14:anchorId="77C05EBD" wp14:editId="29FF684F">
            <wp:extent cx="2817116" cy="1548000"/>
            <wp:effectExtent l="0" t="0" r="2540" b="0"/>
            <wp:docPr id="3" name="Picture 3" descr="3 years of treatment effect followed by equivalent probabilities of recurrence and death to 5 years, and convergence of survival curves at 20 years" title="Figure 5: Comparison of modelled survival curves, base case (left panel) and sensitivity analysis (right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5.png@01D4C9FA.E45E01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817116" cy="1548000"/>
                    </a:xfrm>
                    <a:prstGeom prst="rect">
                      <a:avLst/>
                    </a:prstGeom>
                    <a:noFill/>
                    <a:ln>
                      <a:noFill/>
                    </a:ln>
                  </pic:spPr>
                </pic:pic>
              </a:graphicData>
            </a:graphic>
          </wp:inline>
        </w:drawing>
      </w:r>
      <w:r w:rsidR="000665DD">
        <w:rPr>
          <w:lang w:eastAsia="en-AU"/>
        </w:rPr>
        <w:t xml:space="preserve"> </w:t>
      </w:r>
    </w:p>
    <w:p w:rsidR="008D56E4" w:rsidRPr="00795225" w:rsidRDefault="008D56E4" w:rsidP="008D1BDC">
      <w:pPr>
        <w:widowControl/>
        <w:rPr>
          <w:rFonts w:ascii="Arial Narrow" w:hAnsi="Arial Narrow"/>
          <w:sz w:val="18"/>
        </w:rPr>
      </w:pPr>
      <w:bookmarkStart w:id="23" w:name="_Ref533767315"/>
      <w:r w:rsidRPr="00795225">
        <w:rPr>
          <w:rFonts w:ascii="Arial Narrow" w:hAnsi="Arial Narrow"/>
          <w:sz w:val="18"/>
        </w:rPr>
        <w:t xml:space="preserve">Source: figures 49 and </w:t>
      </w:r>
      <w:r w:rsidR="004F7946" w:rsidRPr="00795225">
        <w:rPr>
          <w:rFonts w:ascii="Arial Narrow" w:hAnsi="Arial Narrow"/>
          <w:sz w:val="18"/>
        </w:rPr>
        <w:t>50</w:t>
      </w:r>
      <w:r w:rsidRPr="00795225">
        <w:rPr>
          <w:rFonts w:ascii="Arial Narrow" w:hAnsi="Arial Narrow"/>
          <w:sz w:val="18"/>
        </w:rPr>
        <w:t>, pp197-8 of the resubmission.</w:t>
      </w:r>
    </w:p>
    <w:p w:rsidR="00C44889" w:rsidRPr="00795225" w:rsidRDefault="00E42361" w:rsidP="008D1BDC">
      <w:pPr>
        <w:widowControl/>
        <w:rPr>
          <w:rFonts w:ascii="Arial Narrow" w:hAnsi="Arial Narrow"/>
          <w:sz w:val="18"/>
        </w:rPr>
      </w:pPr>
      <w:r w:rsidRPr="00795225">
        <w:rPr>
          <w:rFonts w:ascii="Arial Narrow" w:hAnsi="Arial Narrow"/>
          <w:sz w:val="18"/>
        </w:rPr>
        <w:t>D</w:t>
      </w:r>
      <w:r w:rsidR="008D56E4" w:rsidRPr="00795225">
        <w:rPr>
          <w:rFonts w:ascii="Arial Narrow" w:hAnsi="Arial Narrow"/>
          <w:sz w:val="18"/>
        </w:rPr>
        <w:t>MFS</w:t>
      </w:r>
      <w:r w:rsidRPr="00795225">
        <w:rPr>
          <w:rFonts w:ascii="Arial Narrow" w:hAnsi="Arial Narrow"/>
          <w:sz w:val="18"/>
        </w:rPr>
        <w:t xml:space="preserve"> =</w:t>
      </w:r>
      <w:r w:rsidR="008D56E4" w:rsidRPr="00795225">
        <w:rPr>
          <w:rFonts w:ascii="Arial Narrow" w:hAnsi="Arial Narrow"/>
          <w:sz w:val="18"/>
        </w:rPr>
        <w:t xml:space="preserve"> distant</w:t>
      </w:r>
      <w:r w:rsidRPr="00795225">
        <w:rPr>
          <w:rFonts w:ascii="Arial Narrow" w:hAnsi="Arial Narrow"/>
          <w:sz w:val="18"/>
        </w:rPr>
        <w:t xml:space="preserve"> metastatic free survival; NIVO =</w:t>
      </w:r>
      <w:r w:rsidR="008D56E4" w:rsidRPr="00795225">
        <w:rPr>
          <w:rFonts w:ascii="Arial Narrow" w:hAnsi="Arial Narrow"/>
          <w:sz w:val="18"/>
        </w:rPr>
        <w:t xml:space="preserve"> nivolumab; OS</w:t>
      </w:r>
      <w:r w:rsidRPr="00795225">
        <w:rPr>
          <w:rFonts w:ascii="Arial Narrow" w:hAnsi="Arial Narrow"/>
          <w:sz w:val="18"/>
        </w:rPr>
        <w:t xml:space="preserve"> = overall survival; RFS = </w:t>
      </w:r>
      <w:r w:rsidR="008D56E4" w:rsidRPr="00795225">
        <w:rPr>
          <w:rFonts w:ascii="Arial Narrow" w:hAnsi="Arial Narrow"/>
          <w:sz w:val="18"/>
        </w:rPr>
        <w:t xml:space="preserve">recurrent free survival; </w:t>
      </w:r>
      <w:proofErr w:type="spellStart"/>
      <w:r w:rsidR="008D56E4" w:rsidRPr="00795225">
        <w:rPr>
          <w:rFonts w:ascii="Arial Narrow" w:hAnsi="Arial Narrow"/>
          <w:sz w:val="18"/>
        </w:rPr>
        <w:t>SoC</w:t>
      </w:r>
      <w:proofErr w:type="spellEnd"/>
      <w:r w:rsidRPr="00795225">
        <w:rPr>
          <w:rFonts w:ascii="Arial Narrow" w:hAnsi="Arial Narrow"/>
          <w:sz w:val="18"/>
        </w:rPr>
        <w:t xml:space="preserve"> =</w:t>
      </w:r>
      <w:r w:rsidR="008D56E4" w:rsidRPr="00795225">
        <w:rPr>
          <w:rFonts w:ascii="Arial Narrow" w:hAnsi="Arial Narrow"/>
          <w:sz w:val="18"/>
        </w:rPr>
        <w:t>, standard of care.</w:t>
      </w:r>
    </w:p>
    <w:bookmarkEnd w:id="23"/>
    <w:p w:rsidR="00C44889" w:rsidRPr="00795225" w:rsidRDefault="00C44889" w:rsidP="008D1BDC">
      <w:pPr>
        <w:widowControl/>
      </w:pPr>
    </w:p>
    <w:p w:rsidR="00FC63B0" w:rsidRPr="00795225" w:rsidRDefault="00FC63B0" w:rsidP="00FC63B0">
      <w:pPr>
        <w:pStyle w:val="ListParagraph"/>
        <w:widowControl/>
        <w:numPr>
          <w:ilvl w:val="1"/>
          <w:numId w:val="1"/>
        </w:numPr>
      </w:pPr>
      <w:r w:rsidRPr="00795225">
        <w:t xml:space="preserve">The health state utilities associated with recurrent disease have changed due to the altered model structure. In the original submission, the utility associated with recurrent disease was 0.737, sourced from Middleton (2017). In the current submission, utilities associated with the recurrent disease health states were 0.737 for the </w:t>
      </w:r>
      <w:proofErr w:type="spellStart"/>
      <w:r w:rsidRPr="00795225">
        <w:t>locoregional</w:t>
      </w:r>
      <w:proofErr w:type="spellEnd"/>
      <w:r w:rsidRPr="00795225">
        <w:t xml:space="preserve"> recurrent disease health state and 0.62 for the distant metastatic disease health state, which were also sourced from Middleto</w:t>
      </w:r>
      <w:r w:rsidR="00E42361" w:rsidRPr="00795225">
        <w:t>n</w:t>
      </w:r>
      <w:r w:rsidRPr="00795225">
        <w:t xml:space="preserve"> (2017). </w:t>
      </w:r>
    </w:p>
    <w:p w:rsidR="0090321C" w:rsidRPr="00795225" w:rsidRDefault="0090321C" w:rsidP="00FC63B0">
      <w:pPr>
        <w:pStyle w:val="ListParagraph"/>
        <w:widowControl/>
        <w:numPr>
          <w:ilvl w:val="1"/>
          <w:numId w:val="1"/>
        </w:numPr>
      </w:pPr>
      <w:r w:rsidRPr="00795225">
        <w:t xml:space="preserve">The ESC </w:t>
      </w:r>
      <w:r w:rsidR="00293AB2" w:rsidRPr="00795225">
        <w:t xml:space="preserve">noted the </w:t>
      </w:r>
      <w:r w:rsidR="00C82A27" w:rsidRPr="00795225">
        <w:t xml:space="preserve">vignette-based </w:t>
      </w:r>
      <w:r w:rsidR="00293AB2" w:rsidRPr="00795225">
        <w:t>utilit</w:t>
      </w:r>
      <w:r w:rsidR="00C725FC" w:rsidRPr="00795225">
        <w:t>y</w:t>
      </w:r>
      <w:r w:rsidR="00293AB2" w:rsidRPr="00795225">
        <w:t xml:space="preserve"> applied for recurrence free</w:t>
      </w:r>
      <w:r w:rsidR="00923C3F" w:rsidRPr="00795225">
        <w:t xml:space="preserve"> disease</w:t>
      </w:r>
      <w:r w:rsidR="00293AB2" w:rsidRPr="00795225">
        <w:t xml:space="preserve"> </w:t>
      </w:r>
      <w:r w:rsidR="00C82A27" w:rsidRPr="00795225">
        <w:t>was 0.855</w:t>
      </w:r>
      <w:r w:rsidR="000100EF" w:rsidRPr="00795225">
        <w:t xml:space="preserve">. For </w:t>
      </w:r>
      <w:r w:rsidR="00293AB2" w:rsidRPr="00795225">
        <w:t>local recurrence</w:t>
      </w:r>
      <w:r w:rsidR="00923C3F" w:rsidRPr="00795225">
        <w:t>,</w:t>
      </w:r>
      <w:r w:rsidR="000100EF" w:rsidRPr="00795225">
        <w:t xml:space="preserve"> the utility was</w:t>
      </w:r>
      <w:r w:rsidR="00293AB2" w:rsidRPr="00795225">
        <w:t xml:space="preserve"> 0.737</w:t>
      </w:r>
      <w:r w:rsidR="000100EF" w:rsidRPr="00795225">
        <w:t xml:space="preserve"> and this was applied for the entire model duration. The ESC considered that over time</w:t>
      </w:r>
      <w:r w:rsidR="00E42361" w:rsidRPr="00795225">
        <w:t>,</w:t>
      </w:r>
      <w:r w:rsidR="000100EF" w:rsidRPr="00795225">
        <w:t xml:space="preserve"> the utilit</w:t>
      </w:r>
      <w:r w:rsidR="00E42361" w:rsidRPr="00795225">
        <w:t>y for local recurrence w</w:t>
      </w:r>
      <w:r w:rsidR="000100EF" w:rsidRPr="00795225">
        <w:t xml:space="preserve">ould rebound to be the same as for </w:t>
      </w:r>
      <w:r w:rsidR="00E42361" w:rsidRPr="00795225">
        <w:t xml:space="preserve">the </w:t>
      </w:r>
      <w:r w:rsidR="000100EF" w:rsidRPr="00795225">
        <w:t>recurrence free</w:t>
      </w:r>
      <w:r w:rsidR="00E42361" w:rsidRPr="00795225">
        <w:t xml:space="preserve"> state</w:t>
      </w:r>
      <w:r w:rsidR="000100EF" w:rsidRPr="00795225">
        <w:t>. For distant recurrence the utility was 0.62</w:t>
      </w:r>
      <w:r w:rsidR="00E42361" w:rsidRPr="00795225">
        <w:t>, which t</w:t>
      </w:r>
      <w:r w:rsidR="000100EF" w:rsidRPr="00795225">
        <w:t xml:space="preserve">he ESC noted reflected a post progression health state. Overall, the ESC considered </w:t>
      </w:r>
      <w:r w:rsidR="007A180A" w:rsidRPr="00795225">
        <w:t>the utility values favoured nivolumab, and that values of 0.855 for local recurrence and 0.737 for distant recurrence may be more appropriate.</w:t>
      </w:r>
      <w:r w:rsidR="006A5B44" w:rsidRPr="00795225">
        <w:t xml:space="preserve"> The pre-PBAC response stated that the ESC utility values did not incorporate post-progression survival. The pre-PBAC response applied revised base-case utility values midway between those proposed in the resubmission and ESC, i.e. for local recurrence the utility was 0.796 and for distant recurrence is was 0.679.</w:t>
      </w:r>
      <w:r w:rsidR="004F3CBF">
        <w:t xml:space="preserve"> The PBAC considered that these values were reasonable.</w:t>
      </w:r>
    </w:p>
    <w:p w:rsidR="00EF12D9" w:rsidRPr="00795225" w:rsidRDefault="00EF12D9" w:rsidP="00D736AF">
      <w:pPr>
        <w:pStyle w:val="ListParagraph"/>
        <w:widowControl/>
        <w:numPr>
          <w:ilvl w:val="1"/>
          <w:numId w:val="1"/>
        </w:numPr>
      </w:pPr>
      <w:r w:rsidRPr="00795225">
        <w:t xml:space="preserve">The key drivers of the model are summarised in the table below. </w:t>
      </w:r>
    </w:p>
    <w:p w:rsidR="00EF12D9" w:rsidRPr="00795225" w:rsidRDefault="00EF12D9" w:rsidP="007E6CED">
      <w:pPr>
        <w:pStyle w:val="Caption"/>
        <w:keepLines/>
        <w:widowControl/>
      </w:pPr>
      <w:bookmarkStart w:id="24" w:name="_Ref1591868"/>
      <w:r w:rsidRPr="00795225">
        <w:lastRenderedPageBreak/>
        <w:t xml:space="preserve">Table </w:t>
      </w:r>
      <w:r w:rsidR="00DB5ACC" w:rsidRPr="00795225">
        <w:t>9</w:t>
      </w:r>
      <w:bookmarkEnd w:id="24"/>
      <w:r w:rsidRPr="00795225">
        <w:t xml:space="preserve">: </w:t>
      </w:r>
      <w:r w:rsidRPr="00795225">
        <w:rPr>
          <w:rStyle w:val="CommentReference"/>
          <w:b/>
          <w:szCs w:val="18"/>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1713"/>
        <w:gridCol w:w="4619"/>
        <w:gridCol w:w="2685"/>
      </w:tblGrid>
      <w:tr w:rsidR="00EF12D9" w:rsidRPr="00795225" w:rsidTr="007E6CED">
        <w:trPr>
          <w:tblHeader/>
        </w:trPr>
        <w:tc>
          <w:tcPr>
            <w:tcW w:w="950" w:type="pct"/>
            <w:shd w:val="clear" w:color="auto" w:fill="auto"/>
            <w:vAlign w:val="center"/>
          </w:tcPr>
          <w:p w:rsidR="00EF12D9" w:rsidRPr="00795225" w:rsidRDefault="00EF12D9" w:rsidP="007E6CED">
            <w:pPr>
              <w:pStyle w:val="Tabletext"/>
              <w:keepNext/>
              <w:keepLines/>
              <w:rPr>
                <w:b/>
              </w:rPr>
            </w:pPr>
            <w:r w:rsidRPr="00795225">
              <w:rPr>
                <w:b/>
              </w:rPr>
              <w:t>Description</w:t>
            </w:r>
          </w:p>
        </w:tc>
        <w:tc>
          <w:tcPr>
            <w:tcW w:w="2561" w:type="pct"/>
            <w:shd w:val="clear" w:color="auto" w:fill="auto"/>
            <w:vAlign w:val="center"/>
          </w:tcPr>
          <w:p w:rsidR="00EF12D9" w:rsidRPr="00795225" w:rsidRDefault="00EF12D9" w:rsidP="007E6CED">
            <w:pPr>
              <w:pStyle w:val="Tabletext"/>
              <w:keepNext/>
              <w:keepLines/>
              <w:jc w:val="center"/>
              <w:rPr>
                <w:b/>
              </w:rPr>
            </w:pPr>
            <w:r w:rsidRPr="00795225">
              <w:rPr>
                <w:b/>
              </w:rPr>
              <w:t>Method/Value</w:t>
            </w:r>
          </w:p>
        </w:tc>
        <w:tc>
          <w:tcPr>
            <w:tcW w:w="1489" w:type="pct"/>
            <w:shd w:val="clear" w:color="auto" w:fill="auto"/>
            <w:vAlign w:val="center"/>
          </w:tcPr>
          <w:p w:rsidR="00EF12D9" w:rsidRPr="00795225" w:rsidRDefault="00EF12D9" w:rsidP="007E6CED">
            <w:pPr>
              <w:pStyle w:val="Tabletext"/>
              <w:keepNext/>
              <w:keepLines/>
              <w:jc w:val="center"/>
              <w:rPr>
                <w:b/>
              </w:rPr>
            </w:pPr>
            <w:r w:rsidRPr="00795225">
              <w:rPr>
                <w:b/>
              </w:rPr>
              <w:t>Impact</w:t>
            </w:r>
          </w:p>
        </w:tc>
      </w:tr>
      <w:tr w:rsidR="00EF12D9" w:rsidRPr="00795225" w:rsidTr="007E6CED">
        <w:tc>
          <w:tcPr>
            <w:tcW w:w="950" w:type="pct"/>
            <w:shd w:val="clear" w:color="auto" w:fill="auto"/>
            <w:vAlign w:val="center"/>
          </w:tcPr>
          <w:p w:rsidR="00EF12D9" w:rsidRPr="00795225" w:rsidRDefault="00EF12D9" w:rsidP="007E6CED">
            <w:pPr>
              <w:pStyle w:val="Tabletext"/>
              <w:keepNext/>
              <w:keepLines/>
            </w:pPr>
            <w:r w:rsidRPr="00795225">
              <w:t>O</w:t>
            </w:r>
            <w:r w:rsidR="00E42361" w:rsidRPr="00795225">
              <w:t xml:space="preserve">S </w:t>
            </w:r>
            <w:r w:rsidRPr="00795225">
              <w:t>in the observation arm</w:t>
            </w:r>
          </w:p>
        </w:tc>
        <w:tc>
          <w:tcPr>
            <w:tcW w:w="2561" w:type="pct"/>
            <w:shd w:val="clear" w:color="auto" w:fill="auto"/>
            <w:vAlign w:val="center"/>
          </w:tcPr>
          <w:p w:rsidR="00EF12D9" w:rsidRPr="00795225" w:rsidRDefault="00EF12D9" w:rsidP="007E6CED">
            <w:pPr>
              <w:pStyle w:val="Tabletext"/>
              <w:keepNext/>
              <w:keepLines/>
            </w:pPr>
            <w:r w:rsidRPr="00795225">
              <w:t xml:space="preserve">Constructed from a combination of MSS from </w:t>
            </w:r>
            <w:proofErr w:type="spellStart"/>
            <w:r w:rsidRPr="00795225">
              <w:t>Haydu</w:t>
            </w:r>
            <w:proofErr w:type="spellEnd"/>
            <w:r w:rsidRPr="00795225">
              <w:t xml:space="preserve"> (2017) and background population survival from Australian life tables (ABS 2017). OS curve was adjusted upward to provide an additional 1.47 life years (undiscounted), consistent with the economic model of </w:t>
            </w:r>
            <w:proofErr w:type="spellStart"/>
            <w:r w:rsidR="00E42361" w:rsidRPr="00795225">
              <w:t>ipilimumab</w:t>
            </w:r>
            <w:proofErr w:type="spellEnd"/>
            <w:r w:rsidRPr="00795225">
              <w:t xml:space="preserve"> v</w:t>
            </w:r>
            <w:r w:rsidR="00E42361" w:rsidRPr="00795225">
              <w:t>ersu</w:t>
            </w:r>
            <w:r w:rsidRPr="00795225">
              <w:t xml:space="preserve">s placebo, from the November 2012 submission. These OS estimates </w:t>
            </w:r>
            <w:r w:rsidR="00E42361" w:rsidRPr="00795225">
              <w:t>we</w:t>
            </w:r>
            <w:r w:rsidRPr="00795225">
              <w:t xml:space="preserve">re not applicable to the proposed patient population (see </w:t>
            </w:r>
            <w:r w:rsidR="00133D62" w:rsidRPr="00795225">
              <w:t xml:space="preserve">paragraph </w:t>
            </w:r>
            <w:r w:rsidR="00133D62" w:rsidRPr="00EB1C39">
              <w:t>6.43</w:t>
            </w:r>
            <w:r w:rsidR="00525352" w:rsidRPr="00795225">
              <w:t>)</w:t>
            </w:r>
            <w:r w:rsidRPr="00795225">
              <w:t xml:space="preserve"> and </w:t>
            </w:r>
            <w:r w:rsidR="00E42361" w:rsidRPr="00795225">
              <w:t>we</w:t>
            </w:r>
            <w:r w:rsidRPr="00795225">
              <w:t>re likely to impact the results of the model.</w:t>
            </w:r>
          </w:p>
        </w:tc>
        <w:tc>
          <w:tcPr>
            <w:tcW w:w="1489" w:type="pct"/>
            <w:shd w:val="clear" w:color="auto" w:fill="auto"/>
            <w:vAlign w:val="center"/>
          </w:tcPr>
          <w:p w:rsidR="00EF12D9" w:rsidRPr="00795225" w:rsidRDefault="00EF12D9" w:rsidP="007E6CED">
            <w:pPr>
              <w:pStyle w:val="Tabletext"/>
              <w:keepNext/>
              <w:keepLines/>
            </w:pPr>
            <w:r w:rsidRPr="00795225">
              <w:t>Unclear</w:t>
            </w:r>
            <w:r w:rsidR="00525352" w:rsidRPr="00795225">
              <w:t>,</w:t>
            </w:r>
            <w:r w:rsidR="00920E04" w:rsidRPr="00795225">
              <w:t xml:space="preserve"> although may favour nivolumab. </w:t>
            </w:r>
          </w:p>
        </w:tc>
      </w:tr>
      <w:tr w:rsidR="00EF12D9" w:rsidRPr="00795225" w:rsidTr="007E6CED">
        <w:tc>
          <w:tcPr>
            <w:tcW w:w="950" w:type="pct"/>
            <w:shd w:val="clear" w:color="auto" w:fill="auto"/>
            <w:vAlign w:val="center"/>
          </w:tcPr>
          <w:p w:rsidR="00EF12D9" w:rsidRPr="00795225" w:rsidRDefault="00EF12D9" w:rsidP="007E6CED">
            <w:pPr>
              <w:pStyle w:val="Tabletext"/>
              <w:keepNext/>
              <w:keepLines/>
            </w:pPr>
            <w:r w:rsidRPr="00795225">
              <w:t>Treatment benefit of nivolumab in terms of OS</w:t>
            </w:r>
          </w:p>
        </w:tc>
        <w:tc>
          <w:tcPr>
            <w:tcW w:w="2561" w:type="pct"/>
            <w:shd w:val="clear" w:color="auto" w:fill="auto"/>
            <w:vAlign w:val="center"/>
          </w:tcPr>
          <w:p w:rsidR="00EF12D9" w:rsidRPr="00795225" w:rsidRDefault="00EF12D9" w:rsidP="007E6CED">
            <w:pPr>
              <w:pStyle w:val="Tabletext"/>
              <w:keepNext/>
              <w:keepLines/>
            </w:pPr>
            <w:r w:rsidRPr="00795225">
              <w:t xml:space="preserve">HR assumed to be the same as </w:t>
            </w:r>
            <w:proofErr w:type="spellStart"/>
            <w:r w:rsidR="00E42361" w:rsidRPr="00795225">
              <w:t>ipilimumab</w:t>
            </w:r>
            <w:proofErr w:type="spellEnd"/>
            <w:r w:rsidR="00E42361" w:rsidRPr="00795225">
              <w:t xml:space="preserve"> versus placebo in CA029. This wa</w:t>
            </w:r>
            <w:r w:rsidRPr="00795225">
              <w:t>s inappropriate as it d</w:t>
            </w:r>
            <w:r w:rsidR="00E42361" w:rsidRPr="00795225">
              <w:t>id</w:t>
            </w:r>
            <w:r w:rsidRPr="00795225">
              <w:t xml:space="preserve"> not reflect the efficacy of a modern standard of care upon recurrence, nor changes in OS due to improvements</w:t>
            </w:r>
            <w:r w:rsidR="00E42361" w:rsidRPr="00795225">
              <w:t xml:space="preserve"> in RFS. The direction of bias wa</w:t>
            </w:r>
            <w:r w:rsidRPr="00795225">
              <w:t>s unclear.</w:t>
            </w:r>
          </w:p>
        </w:tc>
        <w:tc>
          <w:tcPr>
            <w:tcW w:w="1489" w:type="pct"/>
            <w:shd w:val="clear" w:color="auto" w:fill="auto"/>
            <w:vAlign w:val="center"/>
          </w:tcPr>
          <w:p w:rsidR="00EF12D9" w:rsidRPr="00795225" w:rsidRDefault="00EF12D9" w:rsidP="007E6CED">
            <w:pPr>
              <w:pStyle w:val="Tabletext"/>
              <w:keepNext/>
              <w:keepLines/>
            </w:pPr>
            <w:r w:rsidRPr="00795225">
              <w:t>Unclear</w:t>
            </w:r>
          </w:p>
        </w:tc>
      </w:tr>
      <w:tr w:rsidR="00EF12D9" w:rsidRPr="00795225" w:rsidTr="007E6CED">
        <w:tc>
          <w:tcPr>
            <w:tcW w:w="950" w:type="pct"/>
            <w:shd w:val="clear" w:color="auto" w:fill="auto"/>
            <w:vAlign w:val="center"/>
          </w:tcPr>
          <w:p w:rsidR="00EF12D9" w:rsidRPr="00795225" w:rsidRDefault="00EF12D9" w:rsidP="007E6CED">
            <w:pPr>
              <w:pStyle w:val="Tabletext"/>
              <w:keepNext/>
              <w:keepLines/>
            </w:pPr>
            <w:r w:rsidRPr="00795225">
              <w:t>Duration of treatment benefit</w:t>
            </w:r>
          </w:p>
        </w:tc>
        <w:tc>
          <w:tcPr>
            <w:tcW w:w="2561" w:type="pct"/>
            <w:shd w:val="clear" w:color="auto" w:fill="auto"/>
            <w:vAlign w:val="center"/>
          </w:tcPr>
          <w:p w:rsidR="00EF12D9" w:rsidRPr="00795225" w:rsidRDefault="00EF12D9" w:rsidP="007E6CED">
            <w:pPr>
              <w:pStyle w:val="Tabletext"/>
              <w:keepNext/>
              <w:keepLines/>
            </w:pPr>
            <w:r w:rsidRPr="00795225">
              <w:t xml:space="preserve">Differences in survival (RFS/DMFS/OS) assumed to continue until the end of the time horizon (30 years). </w:t>
            </w:r>
          </w:p>
        </w:tc>
        <w:tc>
          <w:tcPr>
            <w:tcW w:w="1489" w:type="pct"/>
            <w:shd w:val="clear" w:color="auto" w:fill="auto"/>
            <w:vAlign w:val="center"/>
          </w:tcPr>
          <w:p w:rsidR="00EF12D9" w:rsidRPr="00795225" w:rsidRDefault="00EF12D9" w:rsidP="007E6CED">
            <w:pPr>
              <w:pStyle w:val="Tabletext"/>
              <w:keepNext/>
              <w:keepLines/>
            </w:pPr>
            <w:r w:rsidRPr="00795225">
              <w:t>High, favours nivolumab</w:t>
            </w:r>
          </w:p>
        </w:tc>
      </w:tr>
      <w:tr w:rsidR="00EF12D9" w:rsidRPr="00795225" w:rsidTr="007E6CED">
        <w:tc>
          <w:tcPr>
            <w:tcW w:w="950" w:type="pct"/>
            <w:shd w:val="clear" w:color="auto" w:fill="auto"/>
            <w:vAlign w:val="center"/>
          </w:tcPr>
          <w:p w:rsidR="00EF12D9" w:rsidRPr="00795225" w:rsidRDefault="00EF12D9" w:rsidP="007E6CED">
            <w:pPr>
              <w:pStyle w:val="Tabletext"/>
              <w:keepNext/>
              <w:keepLines/>
            </w:pPr>
            <w:r w:rsidRPr="00795225">
              <w:t>Utility values for the distant metastatic disease</w:t>
            </w:r>
            <w:r w:rsidR="00E42361" w:rsidRPr="00795225">
              <w:t xml:space="preserve"> </w:t>
            </w:r>
            <w:r w:rsidRPr="00795225">
              <w:t>health state</w:t>
            </w:r>
          </w:p>
        </w:tc>
        <w:tc>
          <w:tcPr>
            <w:tcW w:w="2561" w:type="pct"/>
            <w:shd w:val="clear" w:color="auto" w:fill="auto"/>
            <w:vAlign w:val="center"/>
          </w:tcPr>
          <w:p w:rsidR="00EF12D9" w:rsidRPr="00795225" w:rsidRDefault="00EF12D9" w:rsidP="007E6CED">
            <w:pPr>
              <w:pStyle w:val="Tabletext"/>
              <w:keepNext/>
              <w:keepLines/>
              <w:rPr>
                <w:i/>
              </w:rPr>
            </w:pPr>
            <w:r w:rsidRPr="00795225">
              <w:t xml:space="preserve">Lower utility value used for the </w:t>
            </w:r>
            <w:r w:rsidR="00E42361" w:rsidRPr="00795225">
              <w:t xml:space="preserve">distant metastatic disease </w:t>
            </w:r>
            <w:r w:rsidRPr="00795225">
              <w:t xml:space="preserve">health state (0.62), and longer time (per recurrence) spent in this health state in the observation arm compared to nivolumab arm. </w:t>
            </w:r>
            <w:r w:rsidR="00B750CA" w:rsidRPr="00795225">
              <w:t>The ESC considered the utility value for local recurrence should rebound towards that for RFS.</w:t>
            </w:r>
          </w:p>
        </w:tc>
        <w:tc>
          <w:tcPr>
            <w:tcW w:w="1489" w:type="pct"/>
            <w:shd w:val="clear" w:color="auto" w:fill="auto"/>
            <w:vAlign w:val="center"/>
          </w:tcPr>
          <w:p w:rsidR="00EF12D9" w:rsidRPr="00795225" w:rsidRDefault="00EF12D9" w:rsidP="007E6CED">
            <w:pPr>
              <w:pStyle w:val="Tabletext"/>
              <w:keepNext/>
              <w:keepLines/>
            </w:pPr>
            <w:r w:rsidRPr="00795225">
              <w:t xml:space="preserve">Moderate, </w:t>
            </w:r>
            <w:r w:rsidR="00FE1320" w:rsidRPr="00795225">
              <w:t>favours nivolumab</w:t>
            </w:r>
          </w:p>
        </w:tc>
      </w:tr>
    </w:tbl>
    <w:p w:rsidR="00EF12D9" w:rsidRPr="00795225" w:rsidRDefault="00EF12D9" w:rsidP="007E6CED">
      <w:pPr>
        <w:pStyle w:val="TableFooter"/>
        <w:keepNext/>
        <w:keepLines/>
        <w:widowControl/>
      </w:pPr>
      <w:r w:rsidRPr="00795225">
        <w:t xml:space="preserve">ABS = Australian Bureau of Statistics; DMFS = distant metastatic-free survival; </w:t>
      </w:r>
      <w:r w:rsidR="00E42361" w:rsidRPr="00795225">
        <w:t xml:space="preserve">ESC = Economic Sub-Committee; </w:t>
      </w:r>
      <w:r w:rsidRPr="00795225">
        <w:t xml:space="preserve">HR = hazard ratio; IPI = </w:t>
      </w:r>
      <w:proofErr w:type="spellStart"/>
      <w:r w:rsidRPr="00795225">
        <w:t>ipilimumab</w:t>
      </w:r>
      <w:proofErr w:type="spellEnd"/>
      <w:r w:rsidRPr="00795225">
        <w:t xml:space="preserve">; </w:t>
      </w:r>
      <w:r w:rsidR="00E42361" w:rsidRPr="00795225">
        <w:t xml:space="preserve">MSS = melanoma specific survival; </w:t>
      </w:r>
      <w:r w:rsidRPr="00795225">
        <w:t>OS = overall survival;</w:t>
      </w:r>
      <w:r w:rsidR="00E42361" w:rsidRPr="00795225">
        <w:t xml:space="preserve"> RFS = recurrence-free survival</w:t>
      </w:r>
    </w:p>
    <w:p w:rsidR="00EF12D9" w:rsidRPr="00795225" w:rsidRDefault="00EF12D9" w:rsidP="007E6CED">
      <w:pPr>
        <w:pStyle w:val="TableFooter"/>
        <w:keepNext/>
        <w:keepLines/>
        <w:widowControl/>
      </w:pPr>
      <w:r w:rsidRPr="00795225">
        <w:t>Source: Complied during the evaluation</w:t>
      </w:r>
    </w:p>
    <w:p w:rsidR="00EF12D9" w:rsidRPr="00795225" w:rsidRDefault="00EF12D9" w:rsidP="008D1BDC">
      <w:pPr>
        <w:widowControl/>
      </w:pPr>
    </w:p>
    <w:p w:rsidR="00DC2B4D" w:rsidRPr="00795225" w:rsidRDefault="00DC2B4D" w:rsidP="00DC2B4D">
      <w:pPr>
        <w:pStyle w:val="ListParagraph"/>
        <w:widowControl/>
        <w:numPr>
          <w:ilvl w:val="1"/>
          <w:numId w:val="1"/>
        </w:numPr>
      </w:pPr>
      <w:r w:rsidRPr="00795225">
        <w:t xml:space="preserve">The pre-PBAC response provided a revised economic model, which addressed the ESCs concerns regarding convergence, utility values and the availability of newer effective treatments in the </w:t>
      </w:r>
      <w:proofErr w:type="spellStart"/>
      <w:r w:rsidR="00EB49A2" w:rsidRPr="00795225">
        <w:t>unresectable</w:t>
      </w:r>
      <w:proofErr w:type="spellEnd"/>
      <w:r w:rsidR="00EB49A2" w:rsidRPr="00795225">
        <w:t xml:space="preserve"> or </w:t>
      </w:r>
      <w:r w:rsidRPr="00795225">
        <w:t>metastatic setting by adopting the inputs</w:t>
      </w:r>
      <w:r w:rsidR="003707C3" w:rsidRPr="00795225">
        <w:t xml:space="preserve"> in the following table</w:t>
      </w:r>
      <w:r w:rsidRPr="00795225">
        <w:t>.</w:t>
      </w:r>
    </w:p>
    <w:p w:rsidR="00DC2B4D" w:rsidRPr="00795225" w:rsidRDefault="00DC2B4D" w:rsidP="00DC2B4D">
      <w:pPr>
        <w:widowControl/>
        <w:rPr>
          <w:rFonts w:ascii="Arial Narrow" w:hAnsi="Arial Narrow"/>
          <w:b/>
          <w:sz w:val="20"/>
          <w:szCs w:val="20"/>
        </w:rPr>
      </w:pPr>
      <w:r w:rsidRPr="00795225">
        <w:rPr>
          <w:rFonts w:ascii="Arial Narrow" w:hAnsi="Arial Narrow"/>
          <w:b/>
          <w:sz w:val="20"/>
          <w:szCs w:val="20"/>
        </w:rPr>
        <w:t xml:space="preserve">Table </w:t>
      </w:r>
      <w:r w:rsidR="00E42361" w:rsidRPr="00795225">
        <w:rPr>
          <w:rFonts w:ascii="Arial Narrow" w:hAnsi="Arial Narrow"/>
          <w:b/>
          <w:sz w:val="20"/>
          <w:szCs w:val="20"/>
        </w:rPr>
        <w:t>10</w:t>
      </w:r>
      <w:r w:rsidRPr="00795225">
        <w:rPr>
          <w:rFonts w:ascii="Arial Narrow" w:hAnsi="Arial Narrow"/>
          <w:b/>
          <w:sz w:val="20"/>
          <w:szCs w:val="20"/>
        </w:rPr>
        <w:t>: Revised economic model inputs</w:t>
      </w:r>
    </w:p>
    <w:tbl>
      <w:tblPr>
        <w:tblStyle w:val="TableGrid"/>
        <w:tblW w:w="0" w:type="auto"/>
        <w:tblLook w:val="04A0" w:firstRow="1" w:lastRow="0" w:firstColumn="1" w:lastColumn="0" w:noHBand="0" w:noVBand="1"/>
        <w:tblCaption w:val="Table 10: Revised economic model inputs"/>
      </w:tblPr>
      <w:tblGrid>
        <w:gridCol w:w="2689"/>
        <w:gridCol w:w="2126"/>
        <w:gridCol w:w="2126"/>
        <w:gridCol w:w="2076"/>
      </w:tblGrid>
      <w:tr w:rsidR="00DC2B4D" w:rsidRPr="00795225" w:rsidTr="00713754">
        <w:trPr>
          <w:tblHeader/>
        </w:trPr>
        <w:tc>
          <w:tcPr>
            <w:tcW w:w="2689" w:type="dxa"/>
            <w:tcMar>
              <w:left w:w="28" w:type="dxa"/>
              <w:right w:w="28" w:type="dxa"/>
            </w:tcMar>
          </w:tcPr>
          <w:p w:rsidR="00DC2B4D" w:rsidRPr="00795225" w:rsidRDefault="00DC2B4D" w:rsidP="00AF09E2">
            <w:pPr>
              <w:widowControl/>
              <w:rPr>
                <w:rFonts w:ascii="Arial Narrow" w:hAnsi="Arial Narrow"/>
                <w:b/>
                <w:sz w:val="20"/>
                <w:szCs w:val="20"/>
              </w:rPr>
            </w:pPr>
            <w:r w:rsidRPr="00795225">
              <w:rPr>
                <w:rFonts w:ascii="Arial Narrow" w:hAnsi="Arial Narrow"/>
                <w:b/>
                <w:sz w:val="20"/>
                <w:szCs w:val="20"/>
              </w:rPr>
              <w:t>Assumption</w:t>
            </w:r>
          </w:p>
        </w:tc>
        <w:tc>
          <w:tcPr>
            <w:tcW w:w="2126" w:type="dxa"/>
            <w:tcMar>
              <w:left w:w="28" w:type="dxa"/>
              <w:right w:w="28" w:type="dxa"/>
            </w:tcMar>
          </w:tcPr>
          <w:p w:rsidR="00DC2B4D" w:rsidRPr="00795225" w:rsidRDefault="00DC2B4D" w:rsidP="00AF09E2">
            <w:pPr>
              <w:widowControl/>
              <w:jc w:val="center"/>
              <w:rPr>
                <w:rFonts w:ascii="Arial Narrow" w:hAnsi="Arial Narrow"/>
                <w:b/>
                <w:sz w:val="20"/>
                <w:szCs w:val="20"/>
              </w:rPr>
            </w:pPr>
            <w:r w:rsidRPr="00795225">
              <w:rPr>
                <w:rFonts w:ascii="Arial Narrow" w:hAnsi="Arial Narrow"/>
                <w:b/>
                <w:sz w:val="20"/>
                <w:szCs w:val="20"/>
              </w:rPr>
              <w:t>Resubmission</w:t>
            </w:r>
          </w:p>
        </w:tc>
        <w:tc>
          <w:tcPr>
            <w:tcW w:w="2126" w:type="dxa"/>
            <w:tcMar>
              <w:left w:w="28" w:type="dxa"/>
              <w:right w:w="28" w:type="dxa"/>
            </w:tcMar>
          </w:tcPr>
          <w:p w:rsidR="00DC2B4D" w:rsidRPr="00795225" w:rsidRDefault="00DC2B4D" w:rsidP="00AF09E2">
            <w:pPr>
              <w:widowControl/>
              <w:jc w:val="center"/>
              <w:rPr>
                <w:rFonts w:ascii="Arial Narrow" w:hAnsi="Arial Narrow"/>
                <w:b/>
                <w:sz w:val="20"/>
                <w:szCs w:val="20"/>
              </w:rPr>
            </w:pPr>
            <w:r w:rsidRPr="00795225">
              <w:rPr>
                <w:rFonts w:ascii="Arial Narrow" w:hAnsi="Arial Narrow"/>
                <w:b/>
                <w:sz w:val="20"/>
                <w:szCs w:val="20"/>
              </w:rPr>
              <w:t>ESC advice</w:t>
            </w:r>
          </w:p>
        </w:tc>
        <w:tc>
          <w:tcPr>
            <w:tcW w:w="2076" w:type="dxa"/>
            <w:tcMar>
              <w:left w:w="28" w:type="dxa"/>
              <w:right w:w="28" w:type="dxa"/>
            </w:tcMar>
          </w:tcPr>
          <w:p w:rsidR="00DC2B4D" w:rsidRPr="00795225" w:rsidRDefault="00DC2B4D" w:rsidP="00AF09E2">
            <w:pPr>
              <w:widowControl/>
              <w:jc w:val="center"/>
              <w:rPr>
                <w:rFonts w:ascii="Arial Narrow" w:hAnsi="Arial Narrow"/>
                <w:b/>
                <w:sz w:val="20"/>
                <w:szCs w:val="20"/>
              </w:rPr>
            </w:pPr>
            <w:r w:rsidRPr="00795225">
              <w:rPr>
                <w:rFonts w:ascii="Arial Narrow" w:hAnsi="Arial Narrow"/>
                <w:b/>
                <w:sz w:val="20"/>
                <w:szCs w:val="20"/>
              </w:rPr>
              <w:t>Revised base case</w:t>
            </w:r>
          </w:p>
        </w:tc>
      </w:tr>
      <w:tr w:rsidR="00DC2B4D" w:rsidRPr="00795225" w:rsidTr="00AF09E2">
        <w:tc>
          <w:tcPr>
            <w:tcW w:w="2689" w:type="dxa"/>
            <w:tcMar>
              <w:left w:w="28" w:type="dxa"/>
              <w:right w:w="28" w:type="dxa"/>
            </w:tcMar>
          </w:tcPr>
          <w:p w:rsidR="00DC2B4D" w:rsidRPr="00795225" w:rsidRDefault="00DC2B4D" w:rsidP="00AF09E2">
            <w:pPr>
              <w:widowControl/>
              <w:rPr>
                <w:rFonts w:ascii="Arial Narrow" w:hAnsi="Arial Narrow"/>
                <w:sz w:val="20"/>
                <w:szCs w:val="20"/>
              </w:rPr>
            </w:pPr>
            <w:r w:rsidRPr="00795225">
              <w:rPr>
                <w:rFonts w:ascii="Arial Narrow" w:hAnsi="Arial Narrow"/>
                <w:sz w:val="20"/>
                <w:szCs w:val="20"/>
              </w:rPr>
              <w:t>Convergence</w:t>
            </w:r>
          </w:p>
        </w:tc>
        <w:tc>
          <w:tcPr>
            <w:tcW w:w="212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Not applied</w:t>
            </w:r>
          </w:p>
        </w:tc>
        <w:tc>
          <w:tcPr>
            <w:tcW w:w="212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Start 5 years; end 15 years</w:t>
            </w:r>
          </w:p>
        </w:tc>
        <w:tc>
          <w:tcPr>
            <w:tcW w:w="207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Start 5 years; end 30 years</w:t>
            </w:r>
          </w:p>
        </w:tc>
      </w:tr>
      <w:tr w:rsidR="00DC2B4D" w:rsidRPr="00795225" w:rsidTr="00AF09E2">
        <w:tc>
          <w:tcPr>
            <w:tcW w:w="2689" w:type="dxa"/>
            <w:tcMar>
              <w:left w:w="28" w:type="dxa"/>
              <w:right w:w="28" w:type="dxa"/>
            </w:tcMar>
          </w:tcPr>
          <w:p w:rsidR="00DC2B4D" w:rsidRPr="00795225" w:rsidRDefault="00DC2B4D" w:rsidP="00AF09E2">
            <w:pPr>
              <w:widowControl/>
              <w:rPr>
                <w:rFonts w:ascii="Arial Narrow" w:hAnsi="Arial Narrow"/>
                <w:sz w:val="20"/>
                <w:szCs w:val="20"/>
              </w:rPr>
            </w:pPr>
            <w:r w:rsidRPr="00795225">
              <w:rPr>
                <w:rFonts w:ascii="Arial Narrow" w:hAnsi="Arial Narrow"/>
                <w:sz w:val="20"/>
                <w:szCs w:val="20"/>
              </w:rPr>
              <w:t>Utility values</w:t>
            </w:r>
          </w:p>
        </w:tc>
        <w:tc>
          <w:tcPr>
            <w:tcW w:w="212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LR = 0.737; DR = 0.620</w:t>
            </w:r>
          </w:p>
        </w:tc>
        <w:tc>
          <w:tcPr>
            <w:tcW w:w="2126" w:type="dxa"/>
            <w:tcMar>
              <w:left w:w="28" w:type="dxa"/>
              <w:right w:w="28" w:type="dxa"/>
            </w:tcMar>
          </w:tcPr>
          <w:p w:rsidR="00DC2B4D" w:rsidRPr="00795225" w:rsidRDefault="00DC2B4D" w:rsidP="00EB1C39">
            <w:pPr>
              <w:widowControl/>
              <w:jc w:val="center"/>
              <w:rPr>
                <w:rFonts w:ascii="Arial Narrow" w:hAnsi="Arial Narrow"/>
                <w:sz w:val="20"/>
                <w:szCs w:val="20"/>
              </w:rPr>
            </w:pPr>
            <w:r w:rsidRPr="00795225">
              <w:rPr>
                <w:rFonts w:ascii="Arial Narrow" w:hAnsi="Arial Narrow"/>
                <w:sz w:val="20"/>
                <w:szCs w:val="20"/>
              </w:rPr>
              <w:t>LR = 0.85</w:t>
            </w:r>
            <w:r w:rsidR="00EB1C39">
              <w:rPr>
                <w:rFonts w:ascii="Arial Narrow" w:hAnsi="Arial Narrow"/>
                <w:sz w:val="20"/>
                <w:szCs w:val="20"/>
              </w:rPr>
              <w:t>5</w:t>
            </w:r>
            <w:r w:rsidRPr="00795225">
              <w:rPr>
                <w:rFonts w:ascii="Arial Narrow" w:hAnsi="Arial Narrow"/>
                <w:sz w:val="20"/>
                <w:szCs w:val="20"/>
              </w:rPr>
              <w:t>; DR = 0.737</w:t>
            </w:r>
          </w:p>
        </w:tc>
        <w:tc>
          <w:tcPr>
            <w:tcW w:w="207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LR = 0.796; DR = 0.679</w:t>
            </w:r>
          </w:p>
        </w:tc>
      </w:tr>
      <w:tr w:rsidR="00DC2B4D" w:rsidRPr="00795225" w:rsidTr="00AF09E2">
        <w:tc>
          <w:tcPr>
            <w:tcW w:w="2689" w:type="dxa"/>
            <w:tcMar>
              <w:left w:w="28" w:type="dxa"/>
              <w:right w:w="28" w:type="dxa"/>
            </w:tcMar>
          </w:tcPr>
          <w:p w:rsidR="00DC2B4D" w:rsidRPr="00795225" w:rsidRDefault="00DC2B4D" w:rsidP="00AF09E2">
            <w:pPr>
              <w:widowControl/>
              <w:rPr>
                <w:rFonts w:ascii="Arial Narrow" w:hAnsi="Arial Narrow"/>
                <w:sz w:val="20"/>
                <w:szCs w:val="20"/>
              </w:rPr>
            </w:pPr>
            <w:proofErr w:type="spellStart"/>
            <w:r w:rsidRPr="00795225">
              <w:rPr>
                <w:rFonts w:ascii="Arial Narrow" w:hAnsi="Arial Narrow"/>
                <w:sz w:val="20"/>
                <w:szCs w:val="20"/>
              </w:rPr>
              <w:t>SoC</w:t>
            </w:r>
            <w:proofErr w:type="spellEnd"/>
            <w:r w:rsidRPr="00795225">
              <w:rPr>
                <w:rFonts w:ascii="Arial Narrow" w:hAnsi="Arial Narrow"/>
                <w:sz w:val="20"/>
                <w:szCs w:val="20"/>
              </w:rPr>
              <w:t xml:space="preserve"> adjustment factor</w:t>
            </w:r>
          </w:p>
        </w:tc>
        <w:tc>
          <w:tcPr>
            <w:tcW w:w="212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0.91</w:t>
            </w:r>
          </w:p>
        </w:tc>
        <w:tc>
          <w:tcPr>
            <w:tcW w:w="212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0.91</w:t>
            </w:r>
          </w:p>
        </w:tc>
        <w:tc>
          <w:tcPr>
            <w:tcW w:w="207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0.89</w:t>
            </w:r>
          </w:p>
        </w:tc>
      </w:tr>
      <w:tr w:rsidR="00DC2B4D" w:rsidRPr="00795225" w:rsidTr="00AF09E2">
        <w:tc>
          <w:tcPr>
            <w:tcW w:w="2689" w:type="dxa"/>
            <w:tcMar>
              <w:left w:w="28" w:type="dxa"/>
              <w:right w:w="28" w:type="dxa"/>
            </w:tcMar>
          </w:tcPr>
          <w:p w:rsidR="00DC2B4D" w:rsidRPr="00795225" w:rsidRDefault="00DC2B4D" w:rsidP="00AF09E2">
            <w:pPr>
              <w:widowControl/>
              <w:rPr>
                <w:rFonts w:ascii="Arial Narrow" w:hAnsi="Arial Narrow"/>
                <w:sz w:val="20"/>
                <w:szCs w:val="20"/>
              </w:rPr>
            </w:pPr>
            <w:r w:rsidRPr="00795225">
              <w:rPr>
                <w:rFonts w:ascii="Arial Narrow" w:hAnsi="Arial Narrow"/>
                <w:sz w:val="20"/>
                <w:szCs w:val="20"/>
              </w:rPr>
              <w:t>Proposed price per 100 mg vial</w:t>
            </w:r>
          </w:p>
        </w:tc>
        <w:tc>
          <w:tcPr>
            <w:tcW w:w="212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w:t>
            </w:r>
            <w:r w:rsidR="002B3E82">
              <w:rPr>
                <w:rFonts w:ascii="Arial Narrow" w:hAnsi="Arial Narrow"/>
                <w:noProof/>
                <w:color w:val="000000"/>
                <w:sz w:val="20"/>
                <w:szCs w:val="20"/>
                <w:highlight w:val="black"/>
              </w:rPr>
              <w:t>''''''''''''''</w:t>
            </w:r>
          </w:p>
        </w:tc>
        <w:tc>
          <w:tcPr>
            <w:tcW w:w="212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w:t>
            </w:r>
            <w:r w:rsidR="002B3E82">
              <w:rPr>
                <w:rFonts w:ascii="Arial Narrow" w:hAnsi="Arial Narrow"/>
                <w:noProof/>
                <w:color w:val="000000"/>
                <w:sz w:val="20"/>
                <w:szCs w:val="20"/>
                <w:highlight w:val="black"/>
              </w:rPr>
              <w:t>''''''''''''''</w:t>
            </w:r>
          </w:p>
        </w:tc>
        <w:tc>
          <w:tcPr>
            <w:tcW w:w="2076" w:type="dxa"/>
            <w:tcMar>
              <w:left w:w="28" w:type="dxa"/>
              <w:right w:w="28" w:type="dxa"/>
            </w:tcMar>
          </w:tcPr>
          <w:p w:rsidR="00DC2B4D" w:rsidRPr="00795225" w:rsidRDefault="00DC2B4D" w:rsidP="00AF09E2">
            <w:pPr>
              <w:widowControl/>
              <w:jc w:val="center"/>
              <w:rPr>
                <w:rFonts w:ascii="Arial Narrow" w:hAnsi="Arial Narrow"/>
                <w:sz w:val="20"/>
                <w:szCs w:val="20"/>
              </w:rPr>
            </w:pPr>
            <w:r w:rsidRPr="00795225">
              <w:rPr>
                <w:rFonts w:ascii="Arial Narrow" w:hAnsi="Arial Narrow"/>
                <w:sz w:val="20"/>
                <w:szCs w:val="20"/>
              </w:rPr>
              <w:t>$</w:t>
            </w:r>
            <w:r w:rsidR="002B3E82">
              <w:rPr>
                <w:rFonts w:ascii="Arial Narrow" w:hAnsi="Arial Narrow"/>
                <w:noProof/>
                <w:color w:val="000000"/>
                <w:sz w:val="20"/>
                <w:szCs w:val="20"/>
                <w:highlight w:val="black"/>
              </w:rPr>
              <w:t>'''''''''</w:t>
            </w:r>
          </w:p>
        </w:tc>
      </w:tr>
    </w:tbl>
    <w:p w:rsidR="00DC2B4D" w:rsidRPr="00795225" w:rsidRDefault="00DC2B4D" w:rsidP="00DC2B4D">
      <w:pPr>
        <w:widowControl/>
        <w:rPr>
          <w:rFonts w:ascii="Arial Narrow" w:hAnsi="Arial Narrow"/>
          <w:sz w:val="18"/>
          <w:szCs w:val="18"/>
        </w:rPr>
      </w:pPr>
      <w:r w:rsidRPr="00795225">
        <w:rPr>
          <w:rFonts w:ascii="Arial Narrow" w:hAnsi="Arial Narrow"/>
          <w:sz w:val="18"/>
          <w:szCs w:val="18"/>
        </w:rPr>
        <w:t xml:space="preserve">DR = distant recurrence; ESC = Economic Sub-Committee; LR = local recurrence; </w:t>
      </w:r>
      <w:proofErr w:type="spellStart"/>
      <w:r w:rsidRPr="00795225">
        <w:rPr>
          <w:rFonts w:ascii="Arial Narrow" w:hAnsi="Arial Narrow"/>
          <w:sz w:val="18"/>
          <w:szCs w:val="18"/>
        </w:rPr>
        <w:t>SoC</w:t>
      </w:r>
      <w:proofErr w:type="spellEnd"/>
      <w:r w:rsidRPr="00795225">
        <w:rPr>
          <w:rFonts w:ascii="Arial Narrow" w:hAnsi="Arial Narrow"/>
          <w:sz w:val="18"/>
          <w:szCs w:val="18"/>
        </w:rPr>
        <w:t xml:space="preserve"> = standard of care</w:t>
      </w:r>
    </w:p>
    <w:p w:rsidR="00DC2B4D" w:rsidRPr="00795225" w:rsidRDefault="00DC2B4D" w:rsidP="00DC2B4D">
      <w:pPr>
        <w:widowControl/>
        <w:rPr>
          <w:rFonts w:ascii="Arial Narrow" w:hAnsi="Arial Narrow"/>
          <w:sz w:val="18"/>
          <w:szCs w:val="18"/>
        </w:rPr>
      </w:pPr>
      <w:r w:rsidRPr="00795225">
        <w:rPr>
          <w:rFonts w:ascii="Arial Narrow" w:hAnsi="Arial Narrow"/>
          <w:sz w:val="18"/>
          <w:szCs w:val="18"/>
        </w:rPr>
        <w:t>Source: Table 1, p2 of the pre-PBAC response</w:t>
      </w:r>
    </w:p>
    <w:p w:rsidR="00DC2B4D" w:rsidRPr="00795225" w:rsidRDefault="00DC2B4D" w:rsidP="00DC2B4D"/>
    <w:p w:rsidR="00EF12D9" w:rsidRPr="00795225" w:rsidRDefault="00EF12D9" w:rsidP="00DC2B4D">
      <w:pPr>
        <w:pStyle w:val="ListParagraph"/>
        <w:widowControl/>
        <w:numPr>
          <w:ilvl w:val="1"/>
          <w:numId w:val="1"/>
        </w:numPr>
      </w:pPr>
      <w:r w:rsidRPr="00795225">
        <w:t>Results of the stepped economic evaluation</w:t>
      </w:r>
      <w:r w:rsidR="00DC2B4D" w:rsidRPr="00795225">
        <w:t xml:space="preserve">, and the </w:t>
      </w:r>
      <w:r w:rsidR="006C72B0" w:rsidRPr="00795225">
        <w:t xml:space="preserve">revised base case presented in the </w:t>
      </w:r>
      <w:r w:rsidR="00DC2B4D" w:rsidRPr="00795225">
        <w:t>pre-PBAC response,</w:t>
      </w:r>
      <w:r w:rsidRPr="00795225">
        <w:t xml:space="preserve"> are provided in the table below. </w:t>
      </w:r>
    </w:p>
    <w:p w:rsidR="00EF12D9" w:rsidRPr="00795225" w:rsidRDefault="00EF12D9" w:rsidP="008D1BDC">
      <w:pPr>
        <w:pStyle w:val="Caption"/>
        <w:widowControl/>
        <w:rPr>
          <w:b w:val="0"/>
        </w:rPr>
      </w:pPr>
      <w:r w:rsidRPr="00795225">
        <w:lastRenderedPageBreak/>
        <w:t xml:space="preserve">Table </w:t>
      </w:r>
      <w:r w:rsidR="00B87AFE" w:rsidRPr="00795225">
        <w:t>11</w:t>
      </w:r>
      <w:r w:rsidRPr="00795225">
        <w:t xml:space="preserve">: </w:t>
      </w:r>
      <w:r w:rsidRPr="00795225">
        <w:rPr>
          <w:rStyle w:val="CommentReference"/>
          <w:b/>
        </w:rPr>
        <w:t>Results of the stepped economic evaluation</w:t>
      </w:r>
    </w:p>
    <w:tbl>
      <w:tblPr>
        <w:tblStyle w:val="ASDTable1"/>
        <w:tblW w:w="5000" w:type="pct"/>
        <w:tblLook w:val="04A0" w:firstRow="1" w:lastRow="0" w:firstColumn="1" w:lastColumn="0" w:noHBand="0" w:noVBand="1"/>
        <w:tblCaption w:val="Table 11: Results of the stepped economic evaluation"/>
      </w:tblPr>
      <w:tblGrid>
        <w:gridCol w:w="5379"/>
        <w:gridCol w:w="1137"/>
        <w:gridCol w:w="1137"/>
        <w:gridCol w:w="1364"/>
      </w:tblGrid>
      <w:tr w:rsidR="00EF12D9" w:rsidRPr="00795225" w:rsidTr="00525352">
        <w:trPr>
          <w:tblHeader/>
        </w:trPr>
        <w:tc>
          <w:tcPr>
            <w:tcW w:w="3063" w:type="pct"/>
          </w:tcPr>
          <w:p w:rsidR="00EF12D9" w:rsidRPr="00795225" w:rsidRDefault="00EF12D9" w:rsidP="008D1BDC">
            <w:pPr>
              <w:pStyle w:val="Tabletext"/>
              <w:keepNext/>
              <w:rPr>
                <w:b/>
              </w:rPr>
            </w:pPr>
            <w:r w:rsidRPr="00795225">
              <w:rPr>
                <w:b/>
              </w:rPr>
              <w:t>Step</w:t>
            </w:r>
          </w:p>
        </w:tc>
        <w:tc>
          <w:tcPr>
            <w:tcW w:w="550" w:type="pct"/>
          </w:tcPr>
          <w:p w:rsidR="00EF12D9" w:rsidRPr="00795225" w:rsidRDefault="00EF12D9" w:rsidP="00B87AFE">
            <w:pPr>
              <w:pStyle w:val="Tabletext"/>
              <w:keepNext/>
              <w:jc w:val="center"/>
              <w:rPr>
                <w:b/>
              </w:rPr>
            </w:pPr>
            <w:r w:rsidRPr="00795225">
              <w:rPr>
                <w:b/>
              </w:rPr>
              <w:t>Incr</w:t>
            </w:r>
            <w:r w:rsidR="00B87AFE" w:rsidRPr="00795225">
              <w:rPr>
                <w:b/>
              </w:rPr>
              <w:t>emental</w:t>
            </w:r>
            <w:r w:rsidRPr="00795225">
              <w:rPr>
                <w:b/>
              </w:rPr>
              <w:t xml:space="preserve"> cost</w:t>
            </w:r>
          </w:p>
        </w:tc>
        <w:tc>
          <w:tcPr>
            <w:tcW w:w="550" w:type="pct"/>
          </w:tcPr>
          <w:p w:rsidR="00EF12D9" w:rsidRPr="00795225" w:rsidRDefault="00EF12D9" w:rsidP="00B87AFE">
            <w:pPr>
              <w:pStyle w:val="Tabletext"/>
              <w:keepNext/>
              <w:jc w:val="center"/>
              <w:rPr>
                <w:b/>
              </w:rPr>
            </w:pPr>
            <w:r w:rsidRPr="00795225">
              <w:rPr>
                <w:b/>
              </w:rPr>
              <w:t>Incr</w:t>
            </w:r>
            <w:r w:rsidR="00B87AFE" w:rsidRPr="00795225">
              <w:rPr>
                <w:b/>
              </w:rPr>
              <w:t>emental</w:t>
            </w:r>
            <w:r w:rsidRPr="00795225">
              <w:rPr>
                <w:b/>
              </w:rPr>
              <w:t xml:space="preserve"> outcome</w:t>
            </w:r>
          </w:p>
        </w:tc>
        <w:tc>
          <w:tcPr>
            <w:tcW w:w="837" w:type="pct"/>
          </w:tcPr>
          <w:p w:rsidR="00EF12D9" w:rsidRPr="00795225" w:rsidRDefault="00B87AFE" w:rsidP="00525352">
            <w:pPr>
              <w:pStyle w:val="Tabletext"/>
              <w:keepNext/>
              <w:jc w:val="center"/>
              <w:rPr>
                <w:b/>
              </w:rPr>
            </w:pPr>
            <w:r w:rsidRPr="00795225">
              <w:rPr>
                <w:b/>
              </w:rPr>
              <w:t>ICER</w:t>
            </w:r>
          </w:p>
        </w:tc>
      </w:tr>
      <w:tr w:rsidR="00EF12D9" w:rsidRPr="00795225" w:rsidTr="00525352">
        <w:tc>
          <w:tcPr>
            <w:tcW w:w="3063" w:type="pct"/>
          </w:tcPr>
          <w:p w:rsidR="00EF12D9" w:rsidRPr="00795225" w:rsidRDefault="00EF12D9" w:rsidP="008D1BDC">
            <w:pPr>
              <w:pStyle w:val="Tabletext"/>
              <w:keepNext/>
              <w:rPr>
                <w:b/>
              </w:rPr>
            </w:pPr>
            <w:r w:rsidRPr="00795225">
              <w:rPr>
                <w:b/>
              </w:rPr>
              <w:t xml:space="preserve">Step 1: “Trial based” </w:t>
            </w:r>
          </w:p>
          <w:p w:rsidR="00EF12D9" w:rsidRPr="00795225" w:rsidRDefault="00EF12D9" w:rsidP="00D736AF">
            <w:pPr>
              <w:pStyle w:val="Tabletext"/>
              <w:keepNext/>
              <w:numPr>
                <w:ilvl w:val="0"/>
                <w:numId w:val="6"/>
              </w:numPr>
              <w:ind w:left="394"/>
            </w:pPr>
            <w:r w:rsidRPr="00795225">
              <w:t>Incremental cost per recurrence-free survival year</w:t>
            </w:r>
          </w:p>
          <w:p w:rsidR="00EF12D9" w:rsidRPr="00795225" w:rsidRDefault="00EF12D9" w:rsidP="00D736AF">
            <w:pPr>
              <w:pStyle w:val="Tabletext"/>
              <w:keepNext/>
              <w:numPr>
                <w:ilvl w:val="0"/>
                <w:numId w:val="6"/>
              </w:numPr>
              <w:ind w:left="394"/>
            </w:pPr>
            <w:r w:rsidRPr="00795225">
              <w:t>RFS curves for the observation arm from the PBO arm of CA029</w:t>
            </w:r>
          </w:p>
          <w:p w:rsidR="00EF12D9" w:rsidRPr="00795225" w:rsidRDefault="00EF12D9" w:rsidP="00D736AF">
            <w:pPr>
              <w:pStyle w:val="Tabletext"/>
              <w:keepNext/>
              <w:numPr>
                <w:ilvl w:val="0"/>
                <w:numId w:val="6"/>
              </w:numPr>
              <w:ind w:left="394"/>
            </w:pPr>
            <w:r w:rsidRPr="00795225">
              <w:t>NIVO RFS curve derived using the indirect HR of NIVO to observation via IPI for RFS</w:t>
            </w:r>
          </w:p>
          <w:p w:rsidR="00EF12D9" w:rsidRPr="00795225" w:rsidRDefault="00EF12D9" w:rsidP="00D736AF">
            <w:pPr>
              <w:pStyle w:val="Tabletext"/>
              <w:keepNext/>
              <w:numPr>
                <w:ilvl w:val="0"/>
                <w:numId w:val="6"/>
              </w:numPr>
              <w:ind w:left="394"/>
            </w:pPr>
            <w:r w:rsidRPr="00795225">
              <w:t>Include drug acquisition costs only</w:t>
            </w:r>
          </w:p>
          <w:p w:rsidR="00EF12D9" w:rsidRPr="00795225" w:rsidRDefault="00EF12D9" w:rsidP="00D736AF">
            <w:pPr>
              <w:pStyle w:val="Tabletext"/>
              <w:keepNext/>
              <w:numPr>
                <w:ilvl w:val="0"/>
                <w:numId w:val="6"/>
              </w:numPr>
              <w:ind w:left="394"/>
            </w:pPr>
            <w:r w:rsidRPr="00795225">
              <w:t>3-year trial duration</w:t>
            </w:r>
          </w:p>
        </w:tc>
        <w:tc>
          <w:tcPr>
            <w:tcW w:w="550" w:type="pct"/>
          </w:tcPr>
          <w:p w:rsidR="00EF12D9" w:rsidRPr="002B3E82" w:rsidRDefault="002B3E82" w:rsidP="0078704E">
            <w:pPr>
              <w:pStyle w:val="Tabletext"/>
              <w:keepNext/>
              <w:jc w:val="center"/>
              <w:rPr>
                <w:highlight w:val="black"/>
              </w:rPr>
            </w:pPr>
            <w:r>
              <w:rPr>
                <w:noProof/>
                <w:color w:val="000000"/>
                <w:highlight w:val="black"/>
              </w:rPr>
              <w:t>''''''''''''''''''</w:t>
            </w:r>
          </w:p>
        </w:tc>
        <w:tc>
          <w:tcPr>
            <w:tcW w:w="550" w:type="pct"/>
          </w:tcPr>
          <w:p w:rsidR="00EF12D9" w:rsidRPr="003B6E85" w:rsidRDefault="00EF12D9" w:rsidP="00525352">
            <w:pPr>
              <w:pStyle w:val="Tabletext"/>
              <w:keepNext/>
              <w:jc w:val="center"/>
            </w:pPr>
            <w:r w:rsidRPr="003B6E85">
              <w:t>0.5201</w:t>
            </w:r>
          </w:p>
        </w:tc>
        <w:tc>
          <w:tcPr>
            <w:tcW w:w="837" w:type="pct"/>
          </w:tcPr>
          <w:p w:rsidR="00EF12D9" w:rsidRPr="002B3E82" w:rsidRDefault="002B3E82" w:rsidP="00525352">
            <w:pPr>
              <w:pStyle w:val="Tabletext"/>
              <w:keepNext/>
              <w:tabs>
                <w:tab w:val="right" w:pos="2039"/>
              </w:tabs>
              <w:jc w:val="center"/>
              <w:rPr>
                <w:highlight w:val="black"/>
              </w:rPr>
            </w:pPr>
            <w:r>
              <w:rPr>
                <w:noProof/>
                <w:color w:val="000000"/>
                <w:highlight w:val="black"/>
              </w:rPr>
              <w:t>'''''''''''''''''''''''</w:t>
            </w:r>
          </w:p>
        </w:tc>
      </w:tr>
      <w:tr w:rsidR="00EF12D9" w:rsidRPr="00795225" w:rsidTr="00525352">
        <w:tc>
          <w:tcPr>
            <w:tcW w:w="3063" w:type="pct"/>
          </w:tcPr>
          <w:p w:rsidR="00EF12D9" w:rsidRPr="00795225" w:rsidRDefault="00EF12D9" w:rsidP="008D1BDC">
            <w:pPr>
              <w:pStyle w:val="Tabletext"/>
              <w:keepNext/>
              <w:rPr>
                <w:b/>
              </w:rPr>
            </w:pPr>
            <w:r w:rsidRPr="00795225">
              <w:rPr>
                <w:b/>
              </w:rPr>
              <w:t>Step 2: Inclusion of OS</w:t>
            </w:r>
          </w:p>
          <w:p w:rsidR="00EF12D9" w:rsidRPr="00795225" w:rsidRDefault="00EF12D9" w:rsidP="00D736AF">
            <w:pPr>
              <w:pStyle w:val="Tabletext"/>
              <w:keepNext/>
              <w:numPr>
                <w:ilvl w:val="0"/>
                <w:numId w:val="6"/>
              </w:numPr>
              <w:ind w:left="394"/>
            </w:pPr>
            <w:r w:rsidRPr="00795225">
              <w:t>Incremental cost per life year gained</w:t>
            </w:r>
          </w:p>
          <w:p w:rsidR="00EF12D9" w:rsidRPr="00795225" w:rsidRDefault="00EF12D9" w:rsidP="00D736AF">
            <w:pPr>
              <w:pStyle w:val="Tabletext"/>
              <w:keepNext/>
              <w:numPr>
                <w:ilvl w:val="0"/>
                <w:numId w:val="6"/>
              </w:numPr>
              <w:ind w:left="394"/>
            </w:pPr>
            <w:r w:rsidRPr="00795225">
              <w:t>OS curves for observation arm from the PBO arm of CA029</w:t>
            </w:r>
          </w:p>
          <w:p w:rsidR="00EF12D9" w:rsidRPr="00795225" w:rsidRDefault="00EF12D9" w:rsidP="00D736AF">
            <w:pPr>
              <w:pStyle w:val="Tabletext"/>
              <w:keepNext/>
              <w:numPr>
                <w:ilvl w:val="0"/>
                <w:numId w:val="6"/>
              </w:numPr>
              <w:ind w:left="394"/>
            </w:pPr>
            <w:r w:rsidRPr="00795225">
              <w:t>NIVO OS curve derived using an indirect HR of NIVO to observation via IPI where the NIVO to IPI HR is assumed to be 1.00</w:t>
            </w:r>
          </w:p>
        </w:tc>
        <w:tc>
          <w:tcPr>
            <w:tcW w:w="550" w:type="pct"/>
          </w:tcPr>
          <w:p w:rsidR="00EF12D9" w:rsidRPr="002B3E82" w:rsidRDefault="002B3E82" w:rsidP="0078704E">
            <w:pPr>
              <w:pStyle w:val="Tabletext"/>
              <w:keepNext/>
              <w:jc w:val="center"/>
              <w:rPr>
                <w:highlight w:val="black"/>
              </w:rPr>
            </w:pPr>
            <w:r>
              <w:rPr>
                <w:noProof/>
                <w:color w:val="000000"/>
                <w:highlight w:val="black"/>
              </w:rPr>
              <w:t>''''''''''''''''''</w:t>
            </w:r>
          </w:p>
        </w:tc>
        <w:tc>
          <w:tcPr>
            <w:tcW w:w="550" w:type="pct"/>
          </w:tcPr>
          <w:p w:rsidR="00EF12D9" w:rsidRPr="003B6E85" w:rsidRDefault="00EF12D9" w:rsidP="00525352">
            <w:pPr>
              <w:pStyle w:val="Tabletext"/>
              <w:keepNext/>
              <w:jc w:val="center"/>
            </w:pPr>
            <w:r w:rsidRPr="003B6E85">
              <w:t>0.1270</w:t>
            </w:r>
          </w:p>
        </w:tc>
        <w:tc>
          <w:tcPr>
            <w:tcW w:w="837" w:type="pct"/>
          </w:tcPr>
          <w:p w:rsidR="00EF12D9" w:rsidRPr="002B3E82" w:rsidRDefault="002B3E82" w:rsidP="00525352">
            <w:pPr>
              <w:pStyle w:val="Tabletext"/>
              <w:keepNext/>
              <w:jc w:val="center"/>
              <w:rPr>
                <w:highlight w:val="black"/>
              </w:rPr>
            </w:pPr>
            <w:r>
              <w:rPr>
                <w:noProof/>
                <w:color w:val="000000"/>
                <w:highlight w:val="black"/>
              </w:rPr>
              <w:t>''''''''''''''''''''''''</w:t>
            </w:r>
          </w:p>
        </w:tc>
      </w:tr>
      <w:tr w:rsidR="00EF12D9" w:rsidRPr="00795225" w:rsidTr="00525352">
        <w:tc>
          <w:tcPr>
            <w:tcW w:w="3063" w:type="pct"/>
          </w:tcPr>
          <w:p w:rsidR="00EF12D9" w:rsidRPr="00795225" w:rsidRDefault="00EF12D9" w:rsidP="008D1BDC">
            <w:pPr>
              <w:pStyle w:val="Tabletext"/>
              <w:keepNext/>
              <w:rPr>
                <w:b/>
              </w:rPr>
            </w:pPr>
            <w:r w:rsidRPr="00795225">
              <w:rPr>
                <w:b/>
              </w:rPr>
              <w:t>Step 3: Transformation of health states to utility values and inclusion of all non-adjuvant treatment related costs</w:t>
            </w:r>
          </w:p>
          <w:p w:rsidR="00EF12D9" w:rsidRPr="00795225" w:rsidRDefault="00EF12D9" w:rsidP="00D736AF">
            <w:pPr>
              <w:pStyle w:val="Tabletext"/>
              <w:keepNext/>
              <w:numPr>
                <w:ilvl w:val="0"/>
                <w:numId w:val="6"/>
              </w:numPr>
              <w:ind w:left="394"/>
            </w:pPr>
            <w:r w:rsidRPr="00795225">
              <w:t>Incremental cost per QALY gained</w:t>
            </w:r>
          </w:p>
          <w:p w:rsidR="00EF12D9" w:rsidRPr="00795225" w:rsidRDefault="00EF12D9" w:rsidP="00D736AF">
            <w:pPr>
              <w:pStyle w:val="Tabletext"/>
              <w:keepNext/>
              <w:numPr>
                <w:ilvl w:val="0"/>
                <w:numId w:val="6"/>
              </w:numPr>
              <w:ind w:left="394"/>
            </w:pPr>
            <w:r w:rsidRPr="00795225">
              <w:t xml:space="preserve">DMFS curves for observation arm from the PBO arm of the CA029 trial </w:t>
            </w:r>
          </w:p>
          <w:p w:rsidR="00EF12D9" w:rsidRPr="00795225" w:rsidRDefault="00EF12D9" w:rsidP="00D736AF">
            <w:pPr>
              <w:pStyle w:val="Tabletext"/>
              <w:keepNext/>
              <w:numPr>
                <w:ilvl w:val="0"/>
                <w:numId w:val="6"/>
              </w:numPr>
              <w:ind w:left="394"/>
            </w:pPr>
            <w:r w:rsidRPr="00795225">
              <w:t>NIVO DMFS curve derived using the indirect HR of NIVO to observation via IPI for DMFS</w:t>
            </w:r>
          </w:p>
          <w:p w:rsidR="00EF12D9" w:rsidRPr="00795225" w:rsidRDefault="00EF12D9" w:rsidP="00D736AF">
            <w:pPr>
              <w:pStyle w:val="Tabletext"/>
              <w:keepNext/>
              <w:numPr>
                <w:ilvl w:val="0"/>
                <w:numId w:val="6"/>
              </w:numPr>
              <w:ind w:left="394"/>
            </w:pPr>
            <w:r w:rsidRPr="00795225">
              <w:t>Include health state costs and utility values</w:t>
            </w:r>
          </w:p>
          <w:p w:rsidR="00EF12D9" w:rsidRPr="00795225" w:rsidRDefault="00EF12D9" w:rsidP="00D736AF">
            <w:pPr>
              <w:pStyle w:val="Tabletext"/>
              <w:keepNext/>
              <w:numPr>
                <w:ilvl w:val="0"/>
                <w:numId w:val="6"/>
              </w:numPr>
              <w:ind w:left="394"/>
            </w:pPr>
            <w:r w:rsidRPr="00795225">
              <w:t>Include costs of metastatic treatment</w:t>
            </w:r>
          </w:p>
        </w:tc>
        <w:tc>
          <w:tcPr>
            <w:tcW w:w="550" w:type="pct"/>
          </w:tcPr>
          <w:p w:rsidR="00EF12D9" w:rsidRPr="002B3E82" w:rsidRDefault="002B3E82" w:rsidP="0078704E">
            <w:pPr>
              <w:pStyle w:val="Tabletext"/>
              <w:keepNext/>
              <w:jc w:val="center"/>
              <w:rPr>
                <w:highlight w:val="black"/>
              </w:rPr>
            </w:pPr>
            <w:r>
              <w:rPr>
                <w:noProof/>
                <w:color w:val="000000"/>
                <w:highlight w:val="black"/>
              </w:rPr>
              <w:t>''''''''''''''''''''</w:t>
            </w:r>
          </w:p>
        </w:tc>
        <w:tc>
          <w:tcPr>
            <w:tcW w:w="550" w:type="pct"/>
          </w:tcPr>
          <w:p w:rsidR="00EF12D9" w:rsidRPr="003B6E85" w:rsidRDefault="00EF12D9" w:rsidP="00525352">
            <w:pPr>
              <w:pStyle w:val="Tabletext"/>
              <w:keepNext/>
              <w:jc w:val="center"/>
            </w:pPr>
            <w:r w:rsidRPr="003B6E85">
              <w:t>0.1616</w:t>
            </w:r>
          </w:p>
        </w:tc>
        <w:tc>
          <w:tcPr>
            <w:tcW w:w="837" w:type="pct"/>
          </w:tcPr>
          <w:p w:rsidR="00EF12D9" w:rsidRPr="002B3E82" w:rsidRDefault="002B3E82" w:rsidP="00525352">
            <w:pPr>
              <w:pStyle w:val="Tabletext"/>
              <w:keepNext/>
              <w:jc w:val="center"/>
              <w:rPr>
                <w:highlight w:val="black"/>
              </w:rPr>
            </w:pPr>
            <w:r>
              <w:rPr>
                <w:noProof/>
                <w:color w:val="000000"/>
                <w:highlight w:val="black"/>
              </w:rPr>
              <w:t>''''''''''''''''''''''</w:t>
            </w:r>
          </w:p>
        </w:tc>
      </w:tr>
      <w:tr w:rsidR="00EF12D9" w:rsidRPr="00795225" w:rsidTr="00525352">
        <w:tc>
          <w:tcPr>
            <w:tcW w:w="3063" w:type="pct"/>
          </w:tcPr>
          <w:p w:rsidR="00EF12D9" w:rsidRPr="00795225" w:rsidRDefault="00EF12D9" w:rsidP="008D1BDC">
            <w:pPr>
              <w:pStyle w:val="Tabletext"/>
              <w:keepNext/>
              <w:rPr>
                <w:b/>
              </w:rPr>
            </w:pPr>
            <w:r w:rsidRPr="00795225">
              <w:rPr>
                <w:b/>
              </w:rPr>
              <w:t>Step 4: Extrapolation of model duration</w:t>
            </w:r>
          </w:p>
          <w:p w:rsidR="00EF12D9" w:rsidRPr="00795225" w:rsidRDefault="00EF12D9" w:rsidP="00D736AF">
            <w:pPr>
              <w:pStyle w:val="Tabletext"/>
              <w:keepNext/>
              <w:numPr>
                <w:ilvl w:val="0"/>
                <w:numId w:val="6"/>
              </w:numPr>
              <w:ind w:left="394"/>
            </w:pPr>
            <w:r w:rsidRPr="00795225">
              <w:t>Incremental cost per QALY gained</w:t>
            </w:r>
          </w:p>
          <w:p w:rsidR="00EF12D9" w:rsidRPr="00795225" w:rsidRDefault="00EF12D9" w:rsidP="00D736AF">
            <w:pPr>
              <w:pStyle w:val="Tabletext"/>
              <w:keepNext/>
              <w:numPr>
                <w:ilvl w:val="0"/>
                <w:numId w:val="6"/>
              </w:numPr>
              <w:ind w:left="394"/>
            </w:pPr>
            <w:r w:rsidRPr="00795225">
              <w:t>Extrapolation of observation curves using parametric survival functions</w:t>
            </w:r>
          </w:p>
          <w:p w:rsidR="00EF12D9" w:rsidRPr="00795225" w:rsidRDefault="00525352" w:rsidP="00D736AF">
            <w:pPr>
              <w:pStyle w:val="Tabletext"/>
              <w:keepNext/>
              <w:numPr>
                <w:ilvl w:val="0"/>
                <w:numId w:val="6"/>
              </w:numPr>
              <w:ind w:left="394"/>
            </w:pPr>
            <w:r w:rsidRPr="00795225">
              <w:t xml:space="preserve">30 </w:t>
            </w:r>
            <w:r w:rsidR="00EF12D9" w:rsidRPr="00795225">
              <w:t>years</w:t>
            </w:r>
            <w:r w:rsidRPr="00795225">
              <w:t>’</w:t>
            </w:r>
            <w:r w:rsidR="00EF12D9" w:rsidRPr="00795225">
              <w:t xml:space="preserve"> duration</w:t>
            </w:r>
          </w:p>
        </w:tc>
        <w:tc>
          <w:tcPr>
            <w:tcW w:w="550" w:type="pct"/>
          </w:tcPr>
          <w:p w:rsidR="00EF12D9" w:rsidRPr="002B3E82" w:rsidRDefault="002B3E82" w:rsidP="0078704E">
            <w:pPr>
              <w:pStyle w:val="Tabletext"/>
              <w:keepNext/>
              <w:jc w:val="center"/>
              <w:rPr>
                <w:highlight w:val="black"/>
              </w:rPr>
            </w:pPr>
            <w:r>
              <w:rPr>
                <w:noProof/>
                <w:color w:val="000000"/>
                <w:highlight w:val="black"/>
              </w:rPr>
              <w:t>''''''''''''''''''</w:t>
            </w:r>
          </w:p>
        </w:tc>
        <w:tc>
          <w:tcPr>
            <w:tcW w:w="550" w:type="pct"/>
          </w:tcPr>
          <w:p w:rsidR="00EF12D9" w:rsidRPr="003B6E85" w:rsidRDefault="00EF12D9" w:rsidP="00525352">
            <w:pPr>
              <w:pStyle w:val="Tabletext"/>
              <w:keepNext/>
              <w:jc w:val="center"/>
            </w:pPr>
            <w:r w:rsidRPr="003B6E85">
              <w:t>0.8716</w:t>
            </w:r>
          </w:p>
        </w:tc>
        <w:tc>
          <w:tcPr>
            <w:tcW w:w="837" w:type="pct"/>
          </w:tcPr>
          <w:p w:rsidR="00EF12D9" w:rsidRPr="002B3E82" w:rsidRDefault="002B3E82" w:rsidP="00525352">
            <w:pPr>
              <w:pStyle w:val="Tabletext"/>
              <w:keepNext/>
              <w:jc w:val="center"/>
              <w:rPr>
                <w:highlight w:val="black"/>
              </w:rPr>
            </w:pPr>
            <w:r>
              <w:rPr>
                <w:noProof/>
                <w:color w:val="000000"/>
                <w:highlight w:val="black"/>
              </w:rPr>
              <w:t>'''''''''''''''''''''</w:t>
            </w:r>
          </w:p>
        </w:tc>
      </w:tr>
      <w:tr w:rsidR="00EF12D9" w:rsidRPr="00795225" w:rsidTr="00525352">
        <w:tc>
          <w:tcPr>
            <w:tcW w:w="3063" w:type="pct"/>
          </w:tcPr>
          <w:p w:rsidR="00EF12D9" w:rsidRPr="00795225" w:rsidRDefault="00EF12D9" w:rsidP="008D1BDC">
            <w:pPr>
              <w:pStyle w:val="Tabletext"/>
              <w:keepNext/>
              <w:rPr>
                <w:b/>
              </w:rPr>
            </w:pPr>
            <w:r w:rsidRPr="00795225">
              <w:rPr>
                <w:b/>
              </w:rPr>
              <w:t>Step 5: PBS population adjustments</w:t>
            </w:r>
          </w:p>
          <w:p w:rsidR="00EF12D9" w:rsidRPr="00795225" w:rsidRDefault="00EF12D9" w:rsidP="00D736AF">
            <w:pPr>
              <w:pStyle w:val="Tabletext"/>
              <w:keepNext/>
              <w:numPr>
                <w:ilvl w:val="0"/>
                <w:numId w:val="6"/>
              </w:numPr>
              <w:ind w:left="394"/>
            </w:pPr>
            <w:r w:rsidRPr="00795225">
              <w:t>Incremental cost per QALY gained</w:t>
            </w:r>
          </w:p>
          <w:p w:rsidR="00EF12D9" w:rsidRPr="00795225" w:rsidRDefault="00EF12D9" w:rsidP="00D736AF">
            <w:pPr>
              <w:pStyle w:val="Tabletext"/>
              <w:keepNext/>
              <w:numPr>
                <w:ilvl w:val="0"/>
                <w:numId w:val="6"/>
              </w:numPr>
              <w:ind w:left="394"/>
            </w:pPr>
            <w:r w:rsidRPr="00795225">
              <w:t xml:space="preserve">OS curves for the observation arm of the model from </w:t>
            </w:r>
            <w:proofErr w:type="spellStart"/>
            <w:r w:rsidRPr="00795225">
              <w:t>Haydu</w:t>
            </w:r>
            <w:proofErr w:type="spellEnd"/>
            <w:r w:rsidRPr="00795225">
              <w:t xml:space="preserve"> </w:t>
            </w:r>
            <w:r w:rsidR="00B87AFE" w:rsidRPr="00795225">
              <w:t>(</w:t>
            </w:r>
            <w:r w:rsidRPr="00795225">
              <w:t>2017</w:t>
            </w:r>
            <w:r w:rsidR="00B87AFE" w:rsidRPr="00795225">
              <w:t>)</w:t>
            </w:r>
          </w:p>
        </w:tc>
        <w:tc>
          <w:tcPr>
            <w:tcW w:w="550" w:type="pct"/>
          </w:tcPr>
          <w:p w:rsidR="00EF12D9" w:rsidRPr="002B3E82" w:rsidRDefault="002B3E82" w:rsidP="0078704E">
            <w:pPr>
              <w:pStyle w:val="Tabletext"/>
              <w:keepNext/>
              <w:jc w:val="center"/>
              <w:rPr>
                <w:highlight w:val="black"/>
              </w:rPr>
            </w:pPr>
            <w:r>
              <w:rPr>
                <w:noProof/>
                <w:color w:val="000000"/>
                <w:highlight w:val="black"/>
              </w:rPr>
              <w:t>''''''''''''''''''''</w:t>
            </w:r>
          </w:p>
        </w:tc>
        <w:tc>
          <w:tcPr>
            <w:tcW w:w="550" w:type="pct"/>
          </w:tcPr>
          <w:p w:rsidR="00EF12D9" w:rsidRPr="003B6E85" w:rsidRDefault="00EF12D9" w:rsidP="00525352">
            <w:pPr>
              <w:pStyle w:val="Tabletext"/>
              <w:keepNext/>
              <w:jc w:val="center"/>
            </w:pPr>
            <w:r w:rsidRPr="003B6E85">
              <w:t>0.9339</w:t>
            </w:r>
          </w:p>
        </w:tc>
        <w:tc>
          <w:tcPr>
            <w:tcW w:w="837" w:type="pct"/>
          </w:tcPr>
          <w:p w:rsidR="00EF12D9" w:rsidRPr="002B3E82" w:rsidRDefault="002B3E82" w:rsidP="00525352">
            <w:pPr>
              <w:pStyle w:val="Tabletext"/>
              <w:keepNext/>
              <w:jc w:val="center"/>
              <w:rPr>
                <w:highlight w:val="black"/>
              </w:rPr>
            </w:pPr>
            <w:r>
              <w:rPr>
                <w:noProof/>
                <w:color w:val="000000"/>
                <w:highlight w:val="black"/>
              </w:rPr>
              <w:t>'''''''''''''''''''</w:t>
            </w:r>
          </w:p>
        </w:tc>
      </w:tr>
      <w:tr w:rsidR="00EF12D9" w:rsidRPr="00795225" w:rsidTr="00525352">
        <w:tc>
          <w:tcPr>
            <w:tcW w:w="3063" w:type="pct"/>
          </w:tcPr>
          <w:p w:rsidR="00EF12D9" w:rsidRPr="00795225" w:rsidRDefault="00EF12D9" w:rsidP="008D1BDC">
            <w:pPr>
              <w:pStyle w:val="Tabletext"/>
              <w:keepNext/>
              <w:rPr>
                <w:b/>
              </w:rPr>
            </w:pPr>
            <w:r w:rsidRPr="00795225">
              <w:rPr>
                <w:b/>
              </w:rPr>
              <w:t>Step 6: PBS circumstances of use adjustments</w:t>
            </w:r>
          </w:p>
          <w:p w:rsidR="00EF12D9" w:rsidRPr="00795225" w:rsidRDefault="00EF12D9" w:rsidP="00D736AF">
            <w:pPr>
              <w:pStyle w:val="Tabletext"/>
              <w:keepNext/>
              <w:numPr>
                <w:ilvl w:val="0"/>
                <w:numId w:val="6"/>
              </w:numPr>
              <w:ind w:left="394"/>
            </w:pPr>
            <w:r w:rsidRPr="00795225">
              <w:t>Incremental cost per QALY gained</w:t>
            </w:r>
          </w:p>
          <w:p w:rsidR="00EF12D9" w:rsidRPr="00795225" w:rsidRDefault="00EF12D9" w:rsidP="00D736AF">
            <w:pPr>
              <w:pStyle w:val="Tabletext"/>
              <w:keepNext/>
              <w:numPr>
                <w:ilvl w:val="0"/>
                <w:numId w:val="6"/>
              </w:numPr>
              <w:ind w:left="394"/>
            </w:pPr>
            <w:r w:rsidRPr="00795225">
              <w:t>HR applied to observation OS curve to increase survival to account for effective modern metastatic treatments</w:t>
            </w:r>
          </w:p>
        </w:tc>
        <w:tc>
          <w:tcPr>
            <w:tcW w:w="550" w:type="pct"/>
          </w:tcPr>
          <w:p w:rsidR="00EF12D9" w:rsidRPr="002B3E82" w:rsidRDefault="002B3E82" w:rsidP="0078704E">
            <w:pPr>
              <w:pStyle w:val="Tabletext"/>
              <w:keepNext/>
              <w:jc w:val="center"/>
              <w:rPr>
                <w:highlight w:val="black"/>
              </w:rPr>
            </w:pPr>
            <w:r>
              <w:rPr>
                <w:noProof/>
                <w:color w:val="000000"/>
                <w:highlight w:val="black"/>
              </w:rPr>
              <w:t>''''''''''''''''''''</w:t>
            </w:r>
          </w:p>
        </w:tc>
        <w:tc>
          <w:tcPr>
            <w:tcW w:w="550" w:type="pct"/>
          </w:tcPr>
          <w:p w:rsidR="00EF12D9" w:rsidRPr="003B6E85" w:rsidRDefault="00EF12D9" w:rsidP="00525352">
            <w:pPr>
              <w:pStyle w:val="Tabletext"/>
              <w:keepNext/>
              <w:jc w:val="center"/>
            </w:pPr>
            <w:r w:rsidRPr="003B6E85">
              <w:t>0.7923</w:t>
            </w:r>
          </w:p>
        </w:tc>
        <w:tc>
          <w:tcPr>
            <w:tcW w:w="837" w:type="pct"/>
          </w:tcPr>
          <w:p w:rsidR="00EF12D9" w:rsidRPr="002B3E82" w:rsidRDefault="002B3E82" w:rsidP="00525352">
            <w:pPr>
              <w:pStyle w:val="Tabletext"/>
              <w:keepNext/>
              <w:jc w:val="center"/>
              <w:rPr>
                <w:highlight w:val="black"/>
              </w:rPr>
            </w:pPr>
            <w:r>
              <w:rPr>
                <w:noProof/>
                <w:color w:val="000000"/>
                <w:highlight w:val="black"/>
              </w:rPr>
              <w:t>'''''''''''''''''''</w:t>
            </w:r>
          </w:p>
        </w:tc>
      </w:tr>
      <w:tr w:rsidR="0078704E" w:rsidRPr="00795225" w:rsidTr="00525352">
        <w:tc>
          <w:tcPr>
            <w:tcW w:w="3063" w:type="pct"/>
          </w:tcPr>
          <w:p w:rsidR="0078704E" w:rsidRPr="00795225" w:rsidRDefault="0078704E" w:rsidP="008D1BDC">
            <w:pPr>
              <w:pStyle w:val="Tabletext"/>
              <w:keepNext/>
              <w:rPr>
                <w:b/>
              </w:rPr>
            </w:pPr>
            <w:r w:rsidRPr="00795225">
              <w:rPr>
                <w:b/>
              </w:rPr>
              <w:t>Pre-PBAC response revised base case</w:t>
            </w:r>
          </w:p>
          <w:p w:rsidR="0078704E" w:rsidRPr="00795225" w:rsidRDefault="0078704E" w:rsidP="0078704E">
            <w:pPr>
              <w:pStyle w:val="Tabletext"/>
              <w:keepNext/>
              <w:numPr>
                <w:ilvl w:val="0"/>
                <w:numId w:val="27"/>
              </w:numPr>
              <w:rPr>
                <w:b/>
              </w:rPr>
            </w:pPr>
            <w:r w:rsidRPr="00795225">
              <w:t>Convergence</w:t>
            </w:r>
            <w:r w:rsidR="000665DD">
              <w:t xml:space="preserve"> </w:t>
            </w:r>
            <w:r w:rsidRPr="00795225">
              <w:t>from 5 to 30 years (base case: no convergence)</w:t>
            </w:r>
          </w:p>
          <w:p w:rsidR="0078704E" w:rsidRPr="00795225" w:rsidRDefault="0078704E" w:rsidP="0078704E">
            <w:pPr>
              <w:pStyle w:val="Tabletext"/>
              <w:keepNext/>
              <w:numPr>
                <w:ilvl w:val="0"/>
                <w:numId w:val="27"/>
              </w:numPr>
              <w:rPr>
                <w:b/>
              </w:rPr>
            </w:pPr>
            <w:r w:rsidRPr="00795225">
              <w:t>Utility values updated RFS = 0.855 (unchanged); LR = 0.796 (base case: 0.737); and DR = 0.6785 (base case: 0.62)</w:t>
            </w:r>
          </w:p>
          <w:p w:rsidR="0078704E" w:rsidRPr="00795225" w:rsidRDefault="0078704E" w:rsidP="0078704E">
            <w:pPr>
              <w:pStyle w:val="Tabletext"/>
              <w:keepNext/>
              <w:numPr>
                <w:ilvl w:val="0"/>
                <w:numId w:val="27"/>
              </w:numPr>
              <w:rPr>
                <w:b/>
              </w:rPr>
            </w:pPr>
            <w:proofErr w:type="spellStart"/>
            <w:r w:rsidRPr="00795225">
              <w:t>SoC</w:t>
            </w:r>
            <w:proofErr w:type="spellEnd"/>
            <w:r w:rsidRPr="00795225">
              <w:t xml:space="preserve"> adjustment factor = 0.89 (base case: 0.91)</w:t>
            </w:r>
          </w:p>
          <w:p w:rsidR="0078704E" w:rsidRPr="00795225" w:rsidRDefault="0078704E" w:rsidP="0078704E">
            <w:pPr>
              <w:pStyle w:val="Tabletext"/>
              <w:keepNext/>
              <w:numPr>
                <w:ilvl w:val="0"/>
                <w:numId w:val="27"/>
              </w:numPr>
              <w:rPr>
                <w:b/>
              </w:rPr>
            </w:pPr>
            <w:r w:rsidRPr="00795225">
              <w:t>Price = $955/100 mg vial (base case: $1,200)</w:t>
            </w:r>
          </w:p>
        </w:tc>
        <w:tc>
          <w:tcPr>
            <w:tcW w:w="550" w:type="pct"/>
          </w:tcPr>
          <w:p w:rsidR="0078704E" w:rsidRPr="002B3E82" w:rsidRDefault="002B3E82" w:rsidP="0078704E">
            <w:pPr>
              <w:pStyle w:val="Tabletext"/>
              <w:keepNext/>
              <w:jc w:val="center"/>
              <w:rPr>
                <w:highlight w:val="black"/>
              </w:rPr>
            </w:pPr>
            <w:r>
              <w:rPr>
                <w:noProof/>
                <w:color w:val="000000"/>
                <w:highlight w:val="black"/>
              </w:rPr>
              <w:t>'''''''''''''''''''''</w:t>
            </w:r>
          </w:p>
        </w:tc>
        <w:tc>
          <w:tcPr>
            <w:tcW w:w="550" w:type="pct"/>
          </w:tcPr>
          <w:p w:rsidR="0078704E" w:rsidRPr="003B6E85" w:rsidRDefault="0078704E" w:rsidP="00525352">
            <w:pPr>
              <w:pStyle w:val="Tabletext"/>
              <w:keepNext/>
              <w:jc w:val="center"/>
            </w:pPr>
            <w:r w:rsidRPr="003B6E85">
              <w:t>0.6328</w:t>
            </w:r>
          </w:p>
        </w:tc>
        <w:tc>
          <w:tcPr>
            <w:tcW w:w="837" w:type="pct"/>
          </w:tcPr>
          <w:p w:rsidR="0078704E" w:rsidRPr="002B3E82" w:rsidRDefault="002B3E82" w:rsidP="00525352">
            <w:pPr>
              <w:pStyle w:val="Tabletext"/>
              <w:keepNext/>
              <w:jc w:val="center"/>
              <w:rPr>
                <w:highlight w:val="black"/>
              </w:rPr>
            </w:pPr>
            <w:r>
              <w:rPr>
                <w:noProof/>
                <w:color w:val="000000"/>
                <w:highlight w:val="black"/>
              </w:rPr>
              <w:t>''''''''''''''''''''</w:t>
            </w:r>
          </w:p>
        </w:tc>
      </w:tr>
    </w:tbl>
    <w:p w:rsidR="00EF12D9" w:rsidRPr="00795225" w:rsidRDefault="00EF12D9" w:rsidP="008D1BDC">
      <w:pPr>
        <w:pStyle w:val="TableFooter"/>
        <w:widowControl/>
      </w:pPr>
      <w:r w:rsidRPr="00795225">
        <w:t xml:space="preserve">DMFS = distant metastatic-free survival; </w:t>
      </w:r>
      <w:r w:rsidR="00DC2B4D" w:rsidRPr="00795225">
        <w:t xml:space="preserve">DR = distant recurrence; </w:t>
      </w:r>
      <w:r w:rsidRPr="00795225">
        <w:t xml:space="preserve">HR = hazard ratio; </w:t>
      </w:r>
      <w:r w:rsidR="00B87AFE" w:rsidRPr="00795225">
        <w:t xml:space="preserve">ICER = incremental cost-effectiveness ratio; </w:t>
      </w:r>
      <w:r w:rsidRPr="00795225">
        <w:t xml:space="preserve">IPI = </w:t>
      </w:r>
      <w:proofErr w:type="spellStart"/>
      <w:r w:rsidRPr="00795225">
        <w:t>ipilimumab</w:t>
      </w:r>
      <w:proofErr w:type="spellEnd"/>
      <w:r w:rsidRPr="00795225">
        <w:t xml:space="preserve">; </w:t>
      </w:r>
      <w:r w:rsidR="00DC2B4D" w:rsidRPr="00795225">
        <w:t xml:space="preserve">LR = local recurrence; </w:t>
      </w:r>
      <w:r w:rsidRPr="00795225">
        <w:t xml:space="preserve">NIVO = nivolumab; OS = overall survival; </w:t>
      </w:r>
      <w:r w:rsidR="00DC2B4D" w:rsidRPr="00795225">
        <w:t xml:space="preserve">PBAC = Pharmaceutical Benefits Advisory Committee; </w:t>
      </w:r>
      <w:r w:rsidRPr="00795225">
        <w:t>PBO = placebo; QALY = quality-adjusted life-year; RFS = recurrence-free survival;</w:t>
      </w:r>
      <w:r w:rsidR="00DC2B4D" w:rsidRPr="00795225">
        <w:t xml:space="preserve"> </w:t>
      </w:r>
      <w:proofErr w:type="spellStart"/>
      <w:r w:rsidR="00DC2B4D" w:rsidRPr="00795225">
        <w:t>SoC</w:t>
      </w:r>
      <w:proofErr w:type="spellEnd"/>
      <w:r w:rsidR="00DC2B4D" w:rsidRPr="00795225">
        <w:t xml:space="preserve"> = standard of care</w:t>
      </w:r>
    </w:p>
    <w:p w:rsidR="00EF12D9" w:rsidRPr="00795225" w:rsidRDefault="00EF12D9" w:rsidP="008D1BDC">
      <w:pPr>
        <w:pStyle w:val="TableFooter"/>
        <w:widowControl/>
      </w:pPr>
      <w:r w:rsidRPr="00795225">
        <w:t>Source: Complied during the evaluation based on information presented in Table 88, Section 3 and Section 3.1.6 of the resubmission</w:t>
      </w:r>
      <w:r w:rsidR="00DC2B4D" w:rsidRPr="00795225">
        <w:t xml:space="preserve"> and Table 2, p2 of the pre-PBAC response.</w:t>
      </w:r>
    </w:p>
    <w:p w:rsidR="0078704E" w:rsidRDefault="0078704E" w:rsidP="0078704E">
      <w:pPr>
        <w:widowControl/>
      </w:pPr>
    </w:p>
    <w:p w:rsidR="00AE532E" w:rsidRDefault="00AE532E" w:rsidP="00AE532E">
      <w:pPr>
        <w:widowControl/>
      </w:pPr>
      <w:r w:rsidRPr="00AE532E">
        <w:t>The redacted table shows ICERs in the range of</w:t>
      </w:r>
      <w:r>
        <w:t xml:space="preserve"> $45,000/QALY – more than $200,000/QALY.</w:t>
      </w:r>
    </w:p>
    <w:p w:rsidR="00AE532E" w:rsidRPr="00AE532E" w:rsidRDefault="00AE532E" w:rsidP="00AE532E">
      <w:pPr>
        <w:widowControl/>
      </w:pPr>
    </w:p>
    <w:p w:rsidR="00EF12D9" w:rsidRPr="00795225" w:rsidRDefault="00DB5ACC" w:rsidP="00D736AF">
      <w:pPr>
        <w:pStyle w:val="ListParagraph"/>
        <w:widowControl/>
        <w:numPr>
          <w:ilvl w:val="1"/>
          <w:numId w:val="1"/>
        </w:numPr>
      </w:pPr>
      <w:r w:rsidRPr="00795225">
        <w:lastRenderedPageBreak/>
        <w:t xml:space="preserve">Figure </w:t>
      </w:r>
      <w:r w:rsidR="00DF43D3" w:rsidRPr="00795225">
        <w:t>6</w:t>
      </w:r>
      <w:r w:rsidR="00EF12D9" w:rsidRPr="00795225">
        <w:t xml:space="preserve"> provides a summary of the relationship between the ICER and the time horizon of the model. The results are sensitive to the time horizon of the model.</w:t>
      </w:r>
      <w:r w:rsidR="00EF12D9" w:rsidRPr="00795225">
        <w:rPr>
          <w:i/>
        </w:rPr>
        <w:t xml:space="preserve"> </w:t>
      </w:r>
    </w:p>
    <w:p w:rsidR="00EF12D9" w:rsidRPr="00795225" w:rsidRDefault="00EF12D9" w:rsidP="008D1BDC">
      <w:pPr>
        <w:pStyle w:val="Caption"/>
        <w:widowControl/>
      </w:pPr>
      <w:bookmarkStart w:id="25" w:name="_Ref533767491"/>
      <w:r w:rsidRPr="00795225">
        <w:t xml:space="preserve">Figure </w:t>
      </w:r>
      <w:bookmarkEnd w:id="25"/>
      <w:r w:rsidR="00DF43D3" w:rsidRPr="00795225">
        <w:t>6</w:t>
      </w:r>
      <w:r w:rsidRPr="00795225">
        <w:t>: Relationship between the time horizon and resulting ICER</w:t>
      </w:r>
      <w:r w:rsidR="002D51E0" w:rsidRPr="00795225">
        <w:t xml:space="preserve"> for the submission base case</w:t>
      </w:r>
    </w:p>
    <w:p w:rsidR="00EF12D9" w:rsidRPr="00795225" w:rsidRDefault="00EF12D9" w:rsidP="008D1BDC">
      <w:pPr>
        <w:widowControl/>
      </w:pPr>
      <w:r w:rsidRPr="00795225">
        <w:rPr>
          <w:noProof/>
          <w:lang w:eastAsia="en-AU"/>
        </w:rPr>
        <w:drawing>
          <wp:inline distT="0" distB="0" distL="0" distR="0" wp14:anchorId="02ECA804" wp14:editId="2416CDB1">
            <wp:extent cx="4563110" cy="2743200"/>
            <wp:effectExtent l="0" t="0" r="8890" b="0"/>
            <wp:docPr id="29" name="Picture 29" title="Figure 6: Relationship between the time horizon and resulting ICER for the submission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3110" cy="2743200"/>
                    </a:xfrm>
                    <a:prstGeom prst="rect">
                      <a:avLst/>
                    </a:prstGeom>
                    <a:noFill/>
                    <a:ln>
                      <a:noFill/>
                    </a:ln>
                  </pic:spPr>
                </pic:pic>
              </a:graphicData>
            </a:graphic>
          </wp:inline>
        </w:drawing>
      </w:r>
    </w:p>
    <w:p w:rsidR="00EF12D9" w:rsidRPr="00795225" w:rsidRDefault="00EF12D9" w:rsidP="008D1BDC">
      <w:pPr>
        <w:pStyle w:val="TableFooter"/>
        <w:widowControl/>
      </w:pPr>
      <w:r w:rsidRPr="00795225">
        <w:t>ICER = incremental cost-effectiveness ratio; QALY = quality-adjusted life year</w:t>
      </w:r>
    </w:p>
    <w:p w:rsidR="00EF12D9" w:rsidRPr="00795225" w:rsidRDefault="00EF12D9" w:rsidP="008D1BDC">
      <w:pPr>
        <w:pStyle w:val="TableFooter"/>
        <w:widowControl/>
      </w:pPr>
      <w:r w:rsidRPr="00795225">
        <w:t>Source: Compiled during the evaluation based on information presented in ‘AdjvNIVO_Section3Model.xlsx’</w:t>
      </w:r>
    </w:p>
    <w:p w:rsidR="00EF12D9" w:rsidRPr="00795225" w:rsidRDefault="00EF12D9" w:rsidP="008D1BDC">
      <w:pPr>
        <w:widowControl/>
      </w:pPr>
    </w:p>
    <w:p w:rsidR="00C725FC" w:rsidRPr="00795225" w:rsidRDefault="00C725FC" w:rsidP="00C725FC">
      <w:pPr>
        <w:pStyle w:val="ListParagraph"/>
        <w:widowControl/>
        <w:numPr>
          <w:ilvl w:val="1"/>
          <w:numId w:val="1"/>
        </w:numPr>
      </w:pPr>
      <w:r w:rsidRPr="00795225">
        <w:t xml:space="preserve">The results of selected sensitivity analyses are provided in </w:t>
      </w:r>
      <w:r w:rsidR="00B87AFE" w:rsidRPr="00795225">
        <w:t>Table 12</w:t>
      </w:r>
      <w:r w:rsidRPr="00795225">
        <w:t>. Given its concerns about the transitivity of the trials used in the ITC, the lack of convergence of the survival curves, and the appropriateness of the utility values for local and distant recurrence, the ESC suggested that the PBAC may find additional sensitivity analyses informative, and these have been included below.</w:t>
      </w:r>
      <w:r w:rsidR="006520A8" w:rsidRPr="00795225">
        <w:t xml:space="preserve"> In addition to the parameters noted by ESC, the PBAC noted the ICER was sensitive to the </w:t>
      </w:r>
      <w:r w:rsidR="001E1955" w:rsidRPr="00795225">
        <w:t xml:space="preserve">distant metastatic disease </w:t>
      </w:r>
      <w:r w:rsidR="006520A8" w:rsidRPr="00795225">
        <w:t>recurrence non drug cost</w:t>
      </w:r>
      <w:r w:rsidR="001E1955" w:rsidRPr="00795225">
        <w:t>,</w:t>
      </w:r>
      <w:r w:rsidR="006520A8" w:rsidRPr="00795225">
        <w:t xml:space="preserve"> with the ICER ranging from </w:t>
      </w:r>
      <w:r w:rsidR="00DD5452">
        <w:t>$45,000 - $75,000/QALY</w:t>
      </w:r>
      <w:r w:rsidR="006520A8" w:rsidRPr="00795225">
        <w:t xml:space="preserve"> to </w:t>
      </w:r>
      <w:r w:rsidR="00DD5452">
        <w:t>$45,000 - $75,000/QALY</w:t>
      </w:r>
      <w:r w:rsidR="006520A8" w:rsidRPr="00795225">
        <w:t xml:space="preserve"> when these costs were varied by </w:t>
      </w:r>
      <w:r w:rsidR="006520A8" w:rsidRPr="00795225">
        <w:rPr>
          <w:rFonts w:cs="Calibri"/>
        </w:rPr>
        <w:t>±</w:t>
      </w:r>
      <w:r w:rsidR="006520A8" w:rsidRPr="00795225">
        <w:t>50%.</w:t>
      </w:r>
    </w:p>
    <w:p w:rsidR="00EF12D9" w:rsidRPr="00795225" w:rsidRDefault="00EF12D9" w:rsidP="008D1BDC">
      <w:pPr>
        <w:pStyle w:val="Caption"/>
        <w:widowControl/>
      </w:pPr>
      <w:bookmarkStart w:id="26" w:name="_Ref533768538"/>
      <w:r w:rsidRPr="00795225">
        <w:lastRenderedPageBreak/>
        <w:t xml:space="preserve">Table </w:t>
      </w:r>
      <w:bookmarkEnd w:id="26"/>
      <w:r w:rsidR="00B87AFE" w:rsidRPr="00795225">
        <w:t>12</w:t>
      </w:r>
      <w:r w:rsidRPr="00795225">
        <w:t>: Results of selected sensitivity analyses</w:t>
      </w:r>
    </w:p>
    <w:tbl>
      <w:tblPr>
        <w:tblStyle w:val="TableGrid1"/>
        <w:tblW w:w="5000" w:type="pct"/>
        <w:tblLayout w:type="fixed"/>
        <w:tblLook w:val="04A0" w:firstRow="1" w:lastRow="0" w:firstColumn="1" w:lastColumn="0" w:noHBand="0" w:noVBand="1"/>
        <w:tblCaption w:val="Table 12: Results of selected sensitivity analyses"/>
      </w:tblPr>
      <w:tblGrid>
        <w:gridCol w:w="2405"/>
        <w:gridCol w:w="2833"/>
        <w:gridCol w:w="1277"/>
        <w:gridCol w:w="1277"/>
        <w:gridCol w:w="1225"/>
      </w:tblGrid>
      <w:tr w:rsidR="00EF12D9" w:rsidRPr="00795225" w:rsidTr="00713754">
        <w:trPr>
          <w:trHeight w:val="290"/>
          <w:tblHeader/>
        </w:trPr>
        <w:tc>
          <w:tcPr>
            <w:tcW w:w="1334" w:type="pct"/>
            <w:noWrap/>
            <w:hideMark/>
          </w:tcPr>
          <w:p w:rsidR="00EF12D9" w:rsidRPr="00795225" w:rsidRDefault="00EF12D9" w:rsidP="008D1BDC">
            <w:pPr>
              <w:pStyle w:val="Tableheading0"/>
            </w:pPr>
            <w:r w:rsidRPr="00795225">
              <w:t>Variable tested</w:t>
            </w:r>
            <w:r w:rsidRPr="00795225">
              <w:br/>
              <w:t>(base case)</w:t>
            </w:r>
          </w:p>
        </w:tc>
        <w:tc>
          <w:tcPr>
            <w:tcW w:w="1571" w:type="pct"/>
            <w:noWrap/>
            <w:hideMark/>
          </w:tcPr>
          <w:p w:rsidR="00EF12D9" w:rsidRPr="00795225" w:rsidRDefault="00EF12D9" w:rsidP="008D1BDC">
            <w:pPr>
              <w:pStyle w:val="Tableheading0"/>
            </w:pPr>
            <w:r w:rsidRPr="00795225">
              <w:t xml:space="preserve">Sensitivity analysis </w:t>
            </w:r>
          </w:p>
        </w:tc>
        <w:tc>
          <w:tcPr>
            <w:tcW w:w="708" w:type="pct"/>
            <w:noWrap/>
            <w:hideMark/>
          </w:tcPr>
          <w:p w:rsidR="00EF12D9" w:rsidRPr="00795225" w:rsidRDefault="00EF12D9" w:rsidP="00B87AFE">
            <w:pPr>
              <w:pStyle w:val="Tableheading0"/>
              <w:jc w:val="center"/>
            </w:pPr>
            <w:r w:rsidRPr="00795225">
              <w:t>Incr</w:t>
            </w:r>
            <w:r w:rsidR="00B87AFE" w:rsidRPr="00795225">
              <w:t>emental</w:t>
            </w:r>
            <w:r w:rsidRPr="00795225">
              <w:t xml:space="preserve"> costs</w:t>
            </w:r>
          </w:p>
        </w:tc>
        <w:tc>
          <w:tcPr>
            <w:tcW w:w="708" w:type="pct"/>
          </w:tcPr>
          <w:p w:rsidR="00EF12D9" w:rsidRPr="00795225" w:rsidRDefault="00EF12D9" w:rsidP="00B87AFE">
            <w:pPr>
              <w:pStyle w:val="Tableheading0"/>
              <w:jc w:val="center"/>
            </w:pPr>
            <w:r w:rsidRPr="00795225">
              <w:t>Incr</w:t>
            </w:r>
            <w:r w:rsidR="00B87AFE" w:rsidRPr="00795225">
              <w:t>emental</w:t>
            </w:r>
            <w:r w:rsidRPr="00795225">
              <w:t xml:space="preserve"> QALYs</w:t>
            </w:r>
          </w:p>
        </w:tc>
        <w:tc>
          <w:tcPr>
            <w:tcW w:w="679" w:type="pct"/>
            <w:noWrap/>
          </w:tcPr>
          <w:p w:rsidR="00EF12D9" w:rsidRPr="00795225" w:rsidRDefault="00B87AFE" w:rsidP="00B87AFE">
            <w:pPr>
              <w:pStyle w:val="Tableheading0"/>
              <w:jc w:val="center"/>
            </w:pPr>
            <w:r w:rsidRPr="00795225">
              <w:t>ICER</w:t>
            </w:r>
          </w:p>
        </w:tc>
      </w:tr>
      <w:tr w:rsidR="00EF12D9" w:rsidRPr="00795225" w:rsidTr="00713754">
        <w:tc>
          <w:tcPr>
            <w:tcW w:w="1334" w:type="pct"/>
            <w:tcBorders>
              <w:bottom w:val="single" w:sz="4" w:space="0" w:color="auto"/>
            </w:tcBorders>
            <w:noWrap/>
          </w:tcPr>
          <w:p w:rsidR="00EF12D9" w:rsidRPr="00795225" w:rsidRDefault="00EF12D9" w:rsidP="008D1BDC">
            <w:pPr>
              <w:pStyle w:val="Tabletext"/>
              <w:keepNext/>
            </w:pPr>
            <w:r w:rsidRPr="00795225">
              <w:t xml:space="preserve">Base Case </w:t>
            </w:r>
          </w:p>
        </w:tc>
        <w:tc>
          <w:tcPr>
            <w:tcW w:w="1571" w:type="pct"/>
            <w:tcBorders>
              <w:bottom w:val="single" w:sz="4" w:space="0" w:color="auto"/>
            </w:tcBorders>
            <w:noWrap/>
          </w:tcPr>
          <w:p w:rsidR="00EF12D9" w:rsidRPr="00795225" w:rsidRDefault="00EF12D9" w:rsidP="008D1BDC">
            <w:pPr>
              <w:pStyle w:val="Tabletext"/>
              <w:keepNext/>
            </w:pPr>
            <w:r w:rsidRPr="00795225">
              <w:t>-</w:t>
            </w:r>
          </w:p>
        </w:tc>
        <w:tc>
          <w:tcPr>
            <w:tcW w:w="708" w:type="pct"/>
            <w:tcBorders>
              <w:bottom w:val="single" w:sz="4" w:space="0" w:color="auto"/>
            </w:tcBorders>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Borders>
              <w:bottom w:val="single" w:sz="4" w:space="0" w:color="auto"/>
            </w:tcBorders>
          </w:tcPr>
          <w:p w:rsidR="00EF12D9" w:rsidRPr="002B3E82" w:rsidRDefault="00EF12D9" w:rsidP="008D1BDC">
            <w:pPr>
              <w:pStyle w:val="Tabletext"/>
              <w:keepNext/>
              <w:ind w:right="205"/>
              <w:jc w:val="right"/>
            </w:pPr>
            <w:r w:rsidRPr="003B6E85">
              <w:t>0.7923</w:t>
            </w:r>
          </w:p>
        </w:tc>
        <w:tc>
          <w:tcPr>
            <w:tcW w:w="679" w:type="pct"/>
            <w:tcBorders>
              <w:bottom w:val="single" w:sz="4" w:space="0" w:color="auto"/>
            </w:tcBorders>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5000" w:type="pct"/>
            <w:gridSpan w:val="5"/>
            <w:noWrap/>
          </w:tcPr>
          <w:p w:rsidR="00EF12D9" w:rsidRPr="00795225" w:rsidRDefault="00EF12D9" w:rsidP="008D1BDC">
            <w:pPr>
              <w:pStyle w:val="Tabletext"/>
              <w:keepNext/>
              <w:rPr>
                <w:rFonts w:cs="Arial"/>
                <w:b/>
                <w:szCs w:val="18"/>
              </w:rPr>
            </w:pPr>
            <w:r w:rsidRPr="00795225">
              <w:rPr>
                <w:b/>
              </w:rPr>
              <w:t>Extrapolation variables</w:t>
            </w:r>
          </w:p>
        </w:tc>
      </w:tr>
      <w:tr w:rsidR="002B76FE" w:rsidRPr="00795225" w:rsidTr="00713754">
        <w:tc>
          <w:tcPr>
            <w:tcW w:w="1334" w:type="pct"/>
            <w:vMerge w:val="restart"/>
            <w:noWrap/>
          </w:tcPr>
          <w:p w:rsidR="002B76FE" w:rsidRPr="00795225" w:rsidRDefault="002B76FE" w:rsidP="008D1BDC">
            <w:pPr>
              <w:pStyle w:val="Tabletext"/>
              <w:keepNext/>
            </w:pPr>
            <w:r w:rsidRPr="00795225">
              <w:t>Parametric survival method (Log-normal)</w:t>
            </w:r>
            <w:r w:rsidRPr="00795225">
              <w:rPr>
                <w:vertAlign w:val="superscript"/>
              </w:rPr>
              <w:t>b</w:t>
            </w:r>
          </w:p>
        </w:tc>
        <w:tc>
          <w:tcPr>
            <w:tcW w:w="1571" w:type="pct"/>
            <w:noWrap/>
          </w:tcPr>
          <w:p w:rsidR="002B76FE" w:rsidRPr="00795225" w:rsidRDefault="002B76FE" w:rsidP="008D1BDC">
            <w:pPr>
              <w:pStyle w:val="Tabletext"/>
              <w:keepNext/>
            </w:pPr>
            <w:r w:rsidRPr="00795225">
              <w:t>Gamma</w:t>
            </w:r>
          </w:p>
        </w:tc>
        <w:tc>
          <w:tcPr>
            <w:tcW w:w="708" w:type="pct"/>
            <w:noWrap/>
          </w:tcPr>
          <w:p w:rsidR="002B76FE"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B76FE" w:rsidRPr="003B6E85" w:rsidRDefault="002B76FE" w:rsidP="008D1BDC">
            <w:pPr>
              <w:pStyle w:val="Tabletext"/>
              <w:keepNext/>
              <w:ind w:right="205"/>
              <w:jc w:val="right"/>
            </w:pPr>
            <w:r w:rsidRPr="003B6E85">
              <w:t>0.8493</w:t>
            </w:r>
          </w:p>
        </w:tc>
        <w:tc>
          <w:tcPr>
            <w:tcW w:w="679" w:type="pct"/>
            <w:noWrap/>
          </w:tcPr>
          <w:p w:rsidR="002B76FE" w:rsidRPr="002B3E82" w:rsidRDefault="002B3E82" w:rsidP="008D1BDC">
            <w:pPr>
              <w:pStyle w:val="Tabletext"/>
              <w:keepNext/>
              <w:ind w:right="205"/>
              <w:jc w:val="right"/>
              <w:rPr>
                <w:highlight w:val="black"/>
              </w:rPr>
            </w:pPr>
            <w:r>
              <w:rPr>
                <w:noProof/>
                <w:color w:val="000000"/>
                <w:highlight w:val="black"/>
              </w:rPr>
              <w:t>'''''''''''''''''''</w:t>
            </w:r>
          </w:p>
        </w:tc>
      </w:tr>
      <w:tr w:rsidR="002B76FE" w:rsidRPr="00795225" w:rsidTr="00713754">
        <w:tc>
          <w:tcPr>
            <w:tcW w:w="1334" w:type="pct"/>
            <w:vMerge/>
            <w:noWrap/>
          </w:tcPr>
          <w:p w:rsidR="002B76FE" w:rsidRPr="00795225" w:rsidRDefault="002B76FE" w:rsidP="008D1BDC">
            <w:pPr>
              <w:pStyle w:val="Tabletext"/>
              <w:keepNext/>
            </w:pPr>
          </w:p>
        </w:tc>
        <w:tc>
          <w:tcPr>
            <w:tcW w:w="1571" w:type="pct"/>
            <w:noWrap/>
          </w:tcPr>
          <w:p w:rsidR="002B76FE" w:rsidRPr="00795225" w:rsidRDefault="002B76FE" w:rsidP="008D1BDC">
            <w:pPr>
              <w:pStyle w:val="Tabletext"/>
              <w:keepNext/>
            </w:pPr>
            <w:r w:rsidRPr="00795225">
              <w:t>Weibull</w:t>
            </w:r>
          </w:p>
        </w:tc>
        <w:tc>
          <w:tcPr>
            <w:tcW w:w="708" w:type="pct"/>
            <w:noWrap/>
          </w:tcPr>
          <w:p w:rsidR="002B76FE"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B76FE" w:rsidRPr="002B3E82" w:rsidRDefault="002B76FE" w:rsidP="008D1BDC">
            <w:pPr>
              <w:pStyle w:val="Tabletext"/>
              <w:keepNext/>
              <w:ind w:right="205"/>
              <w:jc w:val="right"/>
            </w:pPr>
            <w:r w:rsidRPr="003B6E85">
              <w:t>0.7459</w:t>
            </w:r>
          </w:p>
        </w:tc>
        <w:tc>
          <w:tcPr>
            <w:tcW w:w="679" w:type="pct"/>
            <w:noWrap/>
          </w:tcPr>
          <w:p w:rsidR="002B76FE" w:rsidRPr="002B3E82" w:rsidRDefault="002B3E82" w:rsidP="008D1BDC">
            <w:pPr>
              <w:pStyle w:val="Tabletext"/>
              <w:keepNext/>
              <w:ind w:right="205"/>
              <w:jc w:val="right"/>
              <w:rPr>
                <w:highlight w:val="black"/>
              </w:rPr>
            </w:pPr>
            <w:r>
              <w:rPr>
                <w:noProof/>
                <w:color w:val="000000"/>
                <w:highlight w:val="black"/>
              </w:rPr>
              <w:t>''''''''''''''''''</w:t>
            </w:r>
          </w:p>
        </w:tc>
      </w:tr>
      <w:tr w:rsidR="002B76FE" w:rsidRPr="00795225" w:rsidTr="00713754">
        <w:tc>
          <w:tcPr>
            <w:tcW w:w="1334" w:type="pct"/>
            <w:vMerge/>
            <w:noWrap/>
          </w:tcPr>
          <w:p w:rsidR="002B76FE" w:rsidRPr="00795225" w:rsidRDefault="002B76FE" w:rsidP="008D1BDC">
            <w:pPr>
              <w:pStyle w:val="Tabletext"/>
              <w:keepNext/>
            </w:pPr>
          </w:p>
        </w:tc>
        <w:tc>
          <w:tcPr>
            <w:tcW w:w="1571" w:type="pct"/>
            <w:noWrap/>
          </w:tcPr>
          <w:p w:rsidR="002B76FE" w:rsidRPr="00795225" w:rsidRDefault="002B76FE" w:rsidP="008D1BDC">
            <w:pPr>
              <w:pStyle w:val="Tabletext"/>
              <w:keepNext/>
            </w:pPr>
            <w:r w:rsidRPr="00795225">
              <w:t>Exponential</w:t>
            </w:r>
          </w:p>
        </w:tc>
        <w:tc>
          <w:tcPr>
            <w:tcW w:w="708" w:type="pct"/>
            <w:noWrap/>
          </w:tcPr>
          <w:p w:rsidR="002B76FE"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B76FE" w:rsidRPr="002B3E82" w:rsidRDefault="002B76FE" w:rsidP="008D1BDC">
            <w:pPr>
              <w:pStyle w:val="Tabletext"/>
              <w:keepNext/>
              <w:ind w:right="205"/>
              <w:jc w:val="right"/>
            </w:pPr>
            <w:r w:rsidRPr="003B6E85">
              <w:t>0.6076</w:t>
            </w:r>
          </w:p>
        </w:tc>
        <w:tc>
          <w:tcPr>
            <w:tcW w:w="679" w:type="pct"/>
            <w:noWrap/>
          </w:tcPr>
          <w:p w:rsidR="002B76FE" w:rsidRPr="002B3E82" w:rsidRDefault="002B3E82" w:rsidP="008D1BDC">
            <w:pPr>
              <w:pStyle w:val="Tabletext"/>
              <w:keepNext/>
              <w:ind w:right="205"/>
              <w:jc w:val="right"/>
              <w:rPr>
                <w:highlight w:val="black"/>
              </w:rPr>
            </w:pPr>
            <w:r>
              <w:rPr>
                <w:noProof/>
                <w:color w:val="000000"/>
                <w:highlight w:val="black"/>
              </w:rPr>
              <w:t>''''''''''''''''''</w:t>
            </w:r>
          </w:p>
        </w:tc>
      </w:tr>
      <w:tr w:rsidR="002B76FE" w:rsidRPr="00795225" w:rsidTr="00713754">
        <w:tc>
          <w:tcPr>
            <w:tcW w:w="1334" w:type="pct"/>
            <w:vMerge w:val="restart"/>
            <w:noWrap/>
          </w:tcPr>
          <w:p w:rsidR="002B76FE" w:rsidRPr="00795225" w:rsidRDefault="002B76FE" w:rsidP="008D1BDC">
            <w:pPr>
              <w:pStyle w:val="Tabletext"/>
              <w:keepNext/>
            </w:pPr>
            <w:r w:rsidRPr="00795225">
              <w:t>Convergence extrapolation (HR based assumptions until start variable in years, then linear decline in incremental effect until converge end variable in years), for RFS, DMFS and OS curves</w:t>
            </w:r>
          </w:p>
        </w:tc>
        <w:tc>
          <w:tcPr>
            <w:tcW w:w="1571" w:type="pct"/>
            <w:noWrap/>
          </w:tcPr>
          <w:p w:rsidR="002B76FE" w:rsidRPr="00795225" w:rsidRDefault="002B76FE" w:rsidP="008D1BDC">
            <w:pPr>
              <w:pStyle w:val="Tabletext"/>
              <w:keepNext/>
            </w:pPr>
            <w:r w:rsidRPr="00795225">
              <w:t>Start 5, End 10</w:t>
            </w:r>
          </w:p>
        </w:tc>
        <w:tc>
          <w:tcPr>
            <w:tcW w:w="708" w:type="pct"/>
            <w:noWrap/>
          </w:tcPr>
          <w:p w:rsidR="002B76FE"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B76FE" w:rsidRPr="002B3E82" w:rsidRDefault="002B76FE" w:rsidP="008D1BDC">
            <w:pPr>
              <w:pStyle w:val="Tabletext"/>
              <w:keepNext/>
              <w:ind w:right="205"/>
              <w:jc w:val="right"/>
            </w:pPr>
            <w:r w:rsidRPr="003B6E85">
              <w:t>0.3935</w:t>
            </w:r>
          </w:p>
        </w:tc>
        <w:tc>
          <w:tcPr>
            <w:tcW w:w="679" w:type="pct"/>
            <w:noWrap/>
          </w:tcPr>
          <w:p w:rsidR="002B76FE" w:rsidRPr="002B3E82" w:rsidRDefault="002B3E82" w:rsidP="008D1BDC">
            <w:pPr>
              <w:pStyle w:val="Tabletext"/>
              <w:keepNext/>
              <w:ind w:right="205"/>
              <w:jc w:val="right"/>
              <w:rPr>
                <w:highlight w:val="black"/>
              </w:rPr>
            </w:pPr>
            <w:r>
              <w:rPr>
                <w:noProof/>
                <w:color w:val="000000"/>
                <w:highlight w:val="black"/>
              </w:rPr>
              <w:t>''''''''''''''''''''''</w:t>
            </w:r>
          </w:p>
        </w:tc>
      </w:tr>
      <w:tr w:rsidR="002B76FE" w:rsidRPr="00795225" w:rsidTr="00713754">
        <w:tc>
          <w:tcPr>
            <w:tcW w:w="1334" w:type="pct"/>
            <w:vMerge/>
            <w:noWrap/>
          </w:tcPr>
          <w:p w:rsidR="002B76FE" w:rsidRPr="00795225" w:rsidRDefault="002B76FE" w:rsidP="0025368D">
            <w:pPr>
              <w:pStyle w:val="Tabletext"/>
              <w:keepNext/>
            </w:pPr>
          </w:p>
        </w:tc>
        <w:tc>
          <w:tcPr>
            <w:tcW w:w="1571" w:type="pct"/>
            <w:noWrap/>
          </w:tcPr>
          <w:p w:rsidR="002B76FE" w:rsidRPr="00795225" w:rsidRDefault="002B76FE" w:rsidP="0025368D">
            <w:pPr>
              <w:pStyle w:val="Tabletext"/>
              <w:keepNext/>
            </w:pPr>
            <w:r w:rsidRPr="00795225">
              <w:t>Start 5, End 15</w:t>
            </w:r>
          </w:p>
        </w:tc>
        <w:tc>
          <w:tcPr>
            <w:tcW w:w="708" w:type="pct"/>
            <w:noWrap/>
          </w:tcPr>
          <w:p w:rsidR="002B76FE" w:rsidRPr="002B3E82" w:rsidRDefault="002B3E82" w:rsidP="0025368D">
            <w:pPr>
              <w:pStyle w:val="Tabletext"/>
              <w:keepNext/>
              <w:ind w:right="205"/>
              <w:jc w:val="right"/>
              <w:rPr>
                <w:highlight w:val="black"/>
              </w:rPr>
            </w:pPr>
            <w:r>
              <w:rPr>
                <w:noProof/>
                <w:color w:val="000000"/>
                <w:highlight w:val="black"/>
              </w:rPr>
              <w:t>''''''''''''''''''</w:t>
            </w:r>
          </w:p>
        </w:tc>
        <w:tc>
          <w:tcPr>
            <w:tcW w:w="708" w:type="pct"/>
          </w:tcPr>
          <w:p w:rsidR="002B76FE" w:rsidRPr="002B3E82" w:rsidRDefault="002B76FE" w:rsidP="0025368D">
            <w:pPr>
              <w:pStyle w:val="Tabletext"/>
              <w:keepNext/>
              <w:ind w:right="205"/>
              <w:jc w:val="right"/>
            </w:pPr>
            <w:r w:rsidRPr="003B6E85">
              <w:t>0.5111</w:t>
            </w:r>
          </w:p>
        </w:tc>
        <w:tc>
          <w:tcPr>
            <w:tcW w:w="679" w:type="pct"/>
            <w:noWrap/>
          </w:tcPr>
          <w:p w:rsidR="002B76FE" w:rsidRPr="002B3E82" w:rsidRDefault="002B3E82" w:rsidP="0025368D">
            <w:pPr>
              <w:pStyle w:val="Tabletext"/>
              <w:keepNext/>
              <w:ind w:right="205"/>
              <w:jc w:val="right"/>
              <w:rPr>
                <w:highlight w:val="black"/>
              </w:rPr>
            </w:pPr>
            <w:r>
              <w:rPr>
                <w:noProof/>
                <w:color w:val="000000"/>
                <w:highlight w:val="black"/>
              </w:rPr>
              <w:t>''''''''''''''''''''''</w:t>
            </w:r>
          </w:p>
        </w:tc>
      </w:tr>
      <w:tr w:rsidR="002B76FE" w:rsidRPr="00795225" w:rsidTr="00713754">
        <w:trPr>
          <w:trHeight w:val="70"/>
        </w:trPr>
        <w:tc>
          <w:tcPr>
            <w:tcW w:w="1334" w:type="pct"/>
            <w:vMerge/>
            <w:noWrap/>
          </w:tcPr>
          <w:p w:rsidR="002B76FE" w:rsidRPr="00795225" w:rsidRDefault="002B76FE" w:rsidP="008D1BDC">
            <w:pPr>
              <w:pStyle w:val="Tabletext"/>
              <w:keepNext/>
            </w:pPr>
          </w:p>
        </w:tc>
        <w:tc>
          <w:tcPr>
            <w:tcW w:w="1571" w:type="pct"/>
            <w:noWrap/>
          </w:tcPr>
          <w:p w:rsidR="002B76FE" w:rsidRPr="00795225" w:rsidRDefault="002B76FE" w:rsidP="008D1BDC">
            <w:pPr>
              <w:pStyle w:val="Tabletext"/>
              <w:keepNext/>
            </w:pPr>
            <w:r w:rsidRPr="00795225">
              <w:t>Start 5, End 20</w:t>
            </w:r>
          </w:p>
        </w:tc>
        <w:tc>
          <w:tcPr>
            <w:tcW w:w="708" w:type="pct"/>
            <w:noWrap/>
          </w:tcPr>
          <w:p w:rsidR="002B76FE"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B76FE" w:rsidRPr="002B3E82" w:rsidRDefault="002B76FE" w:rsidP="008D1BDC">
            <w:pPr>
              <w:pStyle w:val="Tabletext"/>
              <w:keepNext/>
              <w:ind w:right="205"/>
              <w:jc w:val="right"/>
            </w:pPr>
            <w:r w:rsidRPr="003B6E85">
              <w:t>0.6117</w:t>
            </w:r>
          </w:p>
        </w:tc>
        <w:tc>
          <w:tcPr>
            <w:tcW w:w="679" w:type="pct"/>
            <w:noWrap/>
          </w:tcPr>
          <w:p w:rsidR="002B76FE" w:rsidRPr="002B3E82" w:rsidRDefault="002B3E82" w:rsidP="008D1BDC">
            <w:pPr>
              <w:pStyle w:val="Tabletext"/>
              <w:keepNext/>
              <w:ind w:right="205"/>
              <w:jc w:val="right"/>
              <w:rPr>
                <w:highlight w:val="black"/>
              </w:rPr>
            </w:pPr>
            <w:r>
              <w:rPr>
                <w:noProof/>
                <w:color w:val="000000"/>
                <w:highlight w:val="black"/>
              </w:rPr>
              <w:t>''''''''''''''''''''</w:t>
            </w:r>
          </w:p>
        </w:tc>
      </w:tr>
      <w:tr w:rsidR="002B76FE" w:rsidRPr="00795225" w:rsidTr="00713754">
        <w:tc>
          <w:tcPr>
            <w:tcW w:w="1334" w:type="pct"/>
            <w:vMerge/>
            <w:noWrap/>
          </w:tcPr>
          <w:p w:rsidR="002B76FE" w:rsidRPr="00795225" w:rsidRDefault="002B76FE" w:rsidP="008D1BDC">
            <w:pPr>
              <w:pStyle w:val="Tabletext"/>
              <w:keepNext/>
              <w:rPr>
                <w:u w:val="single"/>
              </w:rPr>
            </w:pPr>
          </w:p>
        </w:tc>
        <w:tc>
          <w:tcPr>
            <w:tcW w:w="1571" w:type="pct"/>
            <w:noWrap/>
          </w:tcPr>
          <w:p w:rsidR="002B76FE" w:rsidRPr="00795225" w:rsidRDefault="002B76FE" w:rsidP="008D1BDC">
            <w:pPr>
              <w:pStyle w:val="Tabletext"/>
              <w:keepNext/>
            </w:pPr>
            <w:r w:rsidRPr="00795225">
              <w:t>Start 5, End 30</w:t>
            </w:r>
          </w:p>
        </w:tc>
        <w:tc>
          <w:tcPr>
            <w:tcW w:w="708" w:type="pct"/>
            <w:noWrap/>
          </w:tcPr>
          <w:p w:rsidR="002B76FE"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B76FE" w:rsidRPr="002B3E82" w:rsidRDefault="002B76FE" w:rsidP="008D1BDC">
            <w:pPr>
              <w:pStyle w:val="Tabletext"/>
              <w:keepNext/>
              <w:ind w:right="205"/>
              <w:jc w:val="right"/>
            </w:pPr>
            <w:r w:rsidRPr="003B6E85">
              <w:t>0.7726</w:t>
            </w:r>
          </w:p>
        </w:tc>
        <w:tc>
          <w:tcPr>
            <w:tcW w:w="679" w:type="pct"/>
            <w:noWrap/>
          </w:tcPr>
          <w:p w:rsidR="002B76FE"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5000" w:type="pct"/>
            <w:gridSpan w:val="5"/>
            <w:noWrap/>
          </w:tcPr>
          <w:p w:rsidR="00EF12D9" w:rsidRPr="00795225" w:rsidRDefault="00EF12D9" w:rsidP="008D1BDC">
            <w:pPr>
              <w:pStyle w:val="Tabletext"/>
              <w:keepNext/>
              <w:ind w:right="205"/>
            </w:pPr>
            <w:r w:rsidRPr="00795225">
              <w:rPr>
                <w:b/>
              </w:rPr>
              <w:t xml:space="preserve">Treatment </w:t>
            </w:r>
            <w:proofErr w:type="spellStart"/>
            <w:r w:rsidRPr="00795225">
              <w:rPr>
                <w:b/>
              </w:rPr>
              <w:t>effects</w:t>
            </w:r>
            <w:r w:rsidRPr="00795225">
              <w:rPr>
                <w:b/>
                <w:vertAlign w:val="superscript"/>
              </w:rPr>
              <w:t>a</w:t>
            </w:r>
            <w:proofErr w:type="spellEnd"/>
          </w:p>
        </w:tc>
      </w:tr>
      <w:tr w:rsidR="00EF12D9" w:rsidRPr="00795225" w:rsidTr="00713754">
        <w:tc>
          <w:tcPr>
            <w:tcW w:w="1334" w:type="pct"/>
            <w:vMerge w:val="restart"/>
            <w:noWrap/>
          </w:tcPr>
          <w:p w:rsidR="00EF12D9" w:rsidRPr="00795225" w:rsidRDefault="00EF12D9" w:rsidP="00B87AFE">
            <w:pPr>
              <w:pStyle w:val="Tabletext"/>
              <w:keepNext/>
              <w:rPr>
                <w:u w:val="single"/>
              </w:rPr>
            </w:pPr>
            <w:r w:rsidRPr="00795225">
              <w:t xml:space="preserve">NIVO vs </w:t>
            </w:r>
            <w:proofErr w:type="spellStart"/>
            <w:r w:rsidRPr="00795225">
              <w:t>SoC</w:t>
            </w:r>
            <w:proofErr w:type="spellEnd"/>
            <w:r w:rsidRPr="00795225">
              <w:t xml:space="preserve"> HR</w:t>
            </w:r>
            <w:r w:rsidRPr="00795225">
              <w:rPr>
                <w:vertAlign w:val="subscript"/>
              </w:rPr>
              <w:t>RFS</w:t>
            </w:r>
            <w:r w:rsidRPr="00795225">
              <w:rPr>
                <w:vertAlign w:val="superscript"/>
              </w:rPr>
              <w:t xml:space="preserve"> </w:t>
            </w:r>
            <w:r w:rsidRPr="00795225">
              <w:t>(0.50)</w:t>
            </w:r>
          </w:p>
        </w:tc>
        <w:tc>
          <w:tcPr>
            <w:tcW w:w="1571" w:type="pct"/>
            <w:noWrap/>
          </w:tcPr>
          <w:p w:rsidR="00EF12D9" w:rsidRPr="00795225" w:rsidRDefault="00EF12D9" w:rsidP="008D1BDC">
            <w:pPr>
              <w:pStyle w:val="Tabletext"/>
              <w:keepNext/>
            </w:pPr>
            <w:r w:rsidRPr="00795225">
              <w:t>95% LCL 0.38</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3B6E85" w:rsidRDefault="00EF12D9" w:rsidP="008D1BDC">
            <w:pPr>
              <w:pStyle w:val="Tabletext"/>
              <w:keepNext/>
              <w:ind w:right="205"/>
              <w:jc w:val="right"/>
            </w:pPr>
            <w:r w:rsidRPr="003B6E85">
              <w:t>0.8952</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noWrap/>
          </w:tcPr>
          <w:p w:rsidR="00EF12D9" w:rsidRPr="00795225" w:rsidRDefault="00EF12D9" w:rsidP="008D1BDC">
            <w:pPr>
              <w:pStyle w:val="Tabletext"/>
              <w:keepNext/>
              <w:rPr>
                <w:u w:val="single"/>
              </w:rPr>
            </w:pPr>
          </w:p>
        </w:tc>
        <w:tc>
          <w:tcPr>
            <w:tcW w:w="1571" w:type="pct"/>
            <w:noWrap/>
          </w:tcPr>
          <w:p w:rsidR="00EF12D9" w:rsidRPr="00795225" w:rsidRDefault="00EF12D9" w:rsidP="008D1BDC">
            <w:pPr>
              <w:pStyle w:val="Tabletext"/>
              <w:keepNext/>
            </w:pPr>
            <w:r w:rsidRPr="00795225">
              <w:t>95% UCL 0.65</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3B6E85" w:rsidRDefault="00EF12D9" w:rsidP="008D1BDC">
            <w:pPr>
              <w:pStyle w:val="Tabletext"/>
              <w:keepNext/>
              <w:ind w:right="205"/>
              <w:jc w:val="right"/>
            </w:pPr>
            <w:r w:rsidRPr="003B6E85">
              <w:t>0.7025</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val="restart"/>
            <w:noWrap/>
          </w:tcPr>
          <w:p w:rsidR="00EF12D9" w:rsidRPr="00795225" w:rsidRDefault="00EF12D9" w:rsidP="00B87AFE">
            <w:pPr>
              <w:pStyle w:val="Tabletext"/>
              <w:keepNext/>
              <w:rPr>
                <w:u w:val="single"/>
              </w:rPr>
            </w:pPr>
            <w:r w:rsidRPr="00795225">
              <w:t xml:space="preserve">NIVO vs </w:t>
            </w:r>
            <w:proofErr w:type="spellStart"/>
            <w:r w:rsidRPr="00795225">
              <w:t>SoC</w:t>
            </w:r>
            <w:proofErr w:type="spellEnd"/>
            <w:r w:rsidRPr="00795225">
              <w:t xml:space="preserve"> HR</w:t>
            </w:r>
            <w:r w:rsidRPr="00795225">
              <w:rPr>
                <w:vertAlign w:val="subscript"/>
              </w:rPr>
              <w:t>DMFS</w:t>
            </w:r>
            <w:r w:rsidRPr="00795225">
              <w:t xml:space="preserve"> (0.58)</w:t>
            </w:r>
          </w:p>
        </w:tc>
        <w:tc>
          <w:tcPr>
            <w:tcW w:w="1571" w:type="pct"/>
            <w:noWrap/>
          </w:tcPr>
          <w:p w:rsidR="00EF12D9" w:rsidRPr="00795225" w:rsidRDefault="00EF12D9" w:rsidP="008D1BDC">
            <w:pPr>
              <w:pStyle w:val="Tabletext"/>
              <w:keepNext/>
            </w:pPr>
            <w:r w:rsidRPr="00795225">
              <w:t>95% LCL 0.42</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3B6E85" w:rsidRDefault="00EF12D9" w:rsidP="008D1BDC">
            <w:pPr>
              <w:pStyle w:val="Tabletext"/>
              <w:keepNext/>
              <w:ind w:right="205"/>
              <w:jc w:val="right"/>
            </w:pPr>
            <w:r w:rsidRPr="003B6E85">
              <w:t>0.8848</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noWrap/>
          </w:tcPr>
          <w:p w:rsidR="00EF12D9" w:rsidRPr="00795225" w:rsidRDefault="00EF12D9" w:rsidP="008D1BDC">
            <w:pPr>
              <w:pStyle w:val="Tabletext"/>
              <w:keepNext/>
              <w:rPr>
                <w:u w:val="single"/>
              </w:rPr>
            </w:pPr>
          </w:p>
        </w:tc>
        <w:tc>
          <w:tcPr>
            <w:tcW w:w="1571" w:type="pct"/>
            <w:noWrap/>
          </w:tcPr>
          <w:p w:rsidR="00EF12D9" w:rsidRPr="00795225" w:rsidRDefault="00EF12D9" w:rsidP="008D1BDC">
            <w:pPr>
              <w:pStyle w:val="Tabletext"/>
              <w:keepNext/>
            </w:pPr>
            <w:r w:rsidRPr="00795225">
              <w:t>95% UCL 0.79</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3B6E85" w:rsidRDefault="00EF12D9" w:rsidP="008D1BDC">
            <w:pPr>
              <w:pStyle w:val="Tabletext"/>
              <w:keepNext/>
              <w:ind w:right="205"/>
              <w:jc w:val="right"/>
            </w:pPr>
            <w:r w:rsidRPr="003B6E85">
              <w:t>0.7216</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val="restart"/>
            <w:noWrap/>
          </w:tcPr>
          <w:p w:rsidR="00EF12D9" w:rsidRPr="00795225" w:rsidRDefault="00EF12D9" w:rsidP="00B87AFE">
            <w:pPr>
              <w:pStyle w:val="Tabletext"/>
              <w:keepNext/>
              <w:rPr>
                <w:u w:val="single"/>
              </w:rPr>
            </w:pPr>
            <w:r w:rsidRPr="00795225">
              <w:t xml:space="preserve">IPI vs </w:t>
            </w:r>
            <w:proofErr w:type="spellStart"/>
            <w:r w:rsidRPr="00795225">
              <w:t>SoC</w:t>
            </w:r>
            <w:proofErr w:type="spellEnd"/>
            <w:r w:rsidRPr="00795225">
              <w:t xml:space="preserve"> HR</w:t>
            </w:r>
            <w:r w:rsidRPr="00795225">
              <w:rPr>
                <w:vertAlign w:val="subscript"/>
              </w:rPr>
              <w:t>OS</w:t>
            </w:r>
            <w:r w:rsidRPr="00795225">
              <w:t xml:space="preserve"> (0.72)</w:t>
            </w:r>
          </w:p>
        </w:tc>
        <w:tc>
          <w:tcPr>
            <w:tcW w:w="1571" w:type="pct"/>
            <w:noWrap/>
          </w:tcPr>
          <w:p w:rsidR="00EF12D9" w:rsidRPr="00795225" w:rsidRDefault="00EF12D9" w:rsidP="008D1BDC">
            <w:pPr>
              <w:pStyle w:val="Tabletext"/>
              <w:keepNext/>
            </w:pPr>
            <w:r w:rsidRPr="00795225">
              <w:t>95% LCL 0.58</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3B6E85" w:rsidRDefault="00EF12D9" w:rsidP="008D1BDC">
            <w:pPr>
              <w:pStyle w:val="Tabletext"/>
              <w:keepNext/>
              <w:ind w:right="205"/>
              <w:jc w:val="right"/>
            </w:pPr>
            <w:r w:rsidRPr="003B6E85">
              <w:t>1.0748</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noWrap/>
          </w:tcPr>
          <w:p w:rsidR="00EF12D9" w:rsidRPr="00795225" w:rsidRDefault="00EF12D9" w:rsidP="008D1BDC">
            <w:pPr>
              <w:pStyle w:val="Tabletext"/>
              <w:keepNext/>
              <w:rPr>
                <w:u w:val="single"/>
              </w:rPr>
            </w:pPr>
          </w:p>
        </w:tc>
        <w:tc>
          <w:tcPr>
            <w:tcW w:w="1571" w:type="pct"/>
            <w:noWrap/>
          </w:tcPr>
          <w:p w:rsidR="00EF12D9" w:rsidRPr="00795225" w:rsidRDefault="00EF12D9" w:rsidP="008D1BDC">
            <w:pPr>
              <w:pStyle w:val="Tabletext"/>
              <w:keepNext/>
            </w:pPr>
            <w:r w:rsidRPr="00795225">
              <w:t>95% UCL 0.88</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2B3E82" w:rsidRDefault="00EF12D9" w:rsidP="008D1BDC">
            <w:pPr>
              <w:pStyle w:val="Tabletext"/>
              <w:keepNext/>
              <w:ind w:right="205"/>
              <w:jc w:val="right"/>
            </w:pPr>
            <w:r w:rsidRPr="003B6E85">
              <w:t>0.4893</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val="restart"/>
            <w:noWrap/>
          </w:tcPr>
          <w:p w:rsidR="00EF12D9" w:rsidRPr="00795225" w:rsidRDefault="00EF12D9" w:rsidP="002D79C8">
            <w:pPr>
              <w:pStyle w:val="Tabletext"/>
              <w:keepNext/>
              <w:rPr>
                <w:u w:val="single"/>
              </w:rPr>
            </w:pPr>
            <w:r w:rsidRPr="00795225">
              <w:t xml:space="preserve">Survival benefit of modern metastatic therapies: </w:t>
            </w:r>
            <w:proofErr w:type="spellStart"/>
            <w:r w:rsidRPr="00795225">
              <w:t>SoC</w:t>
            </w:r>
            <w:proofErr w:type="spellEnd"/>
            <w:r w:rsidR="002D79C8" w:rsidRPr="00795225">
              <w:t>(New)</w:t>
            </w:r>
            <w:r w:rsidRPr="00795225">
              <w:t xml:space="preserve"> vs </w:t>
            </w:r>
            <w:proofErr w:type="spellStart"/>
            <w:r w:rsidRPr="00795225">
              <w:t>SoC</w:t>
            </w:r>
            <w:proofErr w:type="spellEnd"/>
            <w:r w:rsidR="002D79C8" w:rsidRPr="00795225">
              <w:t>(Old)</w:t>
            </w:r>
            <w:r w:rsidRPr="00795225">
              <w:t xml:space="preserve"> HR</w:t>
            </w:r>
            <w:r w:rsidRPr="00795225">
              <w:rPr>
                <w:vertAlign w:val="subscript"/>
              </w:rPr>
              <w:t>OS</w:t>
            </w:r>
            <w:r w:rsidRPr="00795225">
              <w:t xml:space="preserve"> (0.91)</w:t>
            </w:r>
          </w:p>
        </w:tc>
        <w:tc>
          <w:tcPr>
            <w:tcW w:w="1571" w:type="pct"/>
            <w:noWrap/>
          </w:tcPr>
          <w:p w:rsidR="00EF12D9" w:rsidRPr="00795225" w:rsidRDefault="00EF12D9" w:rsidP="008D1BDC">
            <w:pPr>
              <w:pStyle w:val="Tabletext"/>
              <w:keepNext/>
            </w:pPr>
            <w:r w:rsidRPr="00795225">
              <w:t>1.00 (no survival benefit for modern metastatic treatments)</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2B3E82" w:rsidRDefault="00EF12D9" w:rsidP="008D1BDC">
            <w:pPr>
              <w:pStyle w:val="Tabletext"/>
              <w:keepNext/>
              <w:ind w:right="205"/>
              <w:jc w:val="right"/>
            </w:pPr>
            <w:r w:rsidRPr="003B6E85">
              <w:t>0.9339</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noWrap/>
          </w:tcPr>
          <w:p w:rsidR="00EF12D9" w:rsidRPr="00795225" w:rsidRDefault="00EF12D9" w:rsidP="008D1BDC">
            <w:pPr>
              <w:pStyle w:val="Tabletext"/>
              <w:keepNext/>
              <w:rPr>
                <w:u w:val="single"/>
              </w:rPr>
            </w:pPr>
          </w:p>
        </w:tc>
        <w:tc>
          <w:tcPr>
            <w:tcW w:w="1571" w:type="pct"/>
            <w:noWrap/>
          </w:tcPr>
          <w:p w:rsidR="00EF12D9" w:rsidRPr="00795225" w:rsidRDefault="00EF12D9" w:rsidP="008D1BDC">
            <w:pPr>
              <w:pStyle w:val="Tabletext"/>
              <w:keepNext/>
            </w:pPr>
            <w:r w:rsidRPr="00795225">
              <w:t>0.85 (</w:t>
            </w:r>
            <w:r w:rsidRPr="00795225">
              <w:rPr>
                <w:rFonts w:cs="Arial"/>
              </w:rPr>
              <w:t>≈</w:t>
            </w:r>
            <w:r w:rsidRPr="00795225">
              <w:t xml:space="preserve">30 months survival benefit </w:t>
            </w:r>
            <w:r w:rsidRPr="00795225">
              <w:rPr>
                <w:vertAlign w:val="superscript"/>
              </w:rPr>
              <w:t>a</w:t>
            </w:r>
            <w:r w:rsidRPr="00795225">
              <w:t>)</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2B3E82" w:rsidRDefault="00EF12D9" w:rsidP="008D1BDC">
            <w:pPr>
              <w:pStyle w:val="Tabletext"/>
              <w:keepNext/>
              <w:ind w:right="205"/>
              <w:jc w:val="right"/>
            </w:pPr>
            <w:r w:rsidRPr="003B6E85">
              <w:t>0.6885</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5000" w:type="pct"/>
            <w:gridSpan w:val="5"/>
            <w:noWrap/>
          </w:tcPr>
          <w:p w:rsidR="00EF12D9" w:rsidRPr="00795225" w:rsidRDefault="00EF12D9" w:rsidP="008D1BDC">
            <w:pPr>
              <w:pStyle w:val="Tabletext"/>
              <w:keepNext/>
              <w:rPr>
                <w:rFonts w:cs="Arial"/>
                <w:b/>
                <w:szCs w:val="18"/>
              </w:rPr>
            </w:pPr>
            <w:r w:rsidRPr="00795225">
              <w:rPr>
                <w:b/>
              </w:rPr>
              <w:t>Utility values</w:t>
            </w:r>
          </w:p>
        </w:tc>
      </w:tr>
      <w:tr w:rsidR="0025368D" w:rsidRPr="00795225" w:rsidTr="00713754">
        <w:tc>
          <w:tcPr>
            <w:tcW w:w="1334" w:type="pct"/>
            <w:vMerge w:val="restart"/>
            <w:noWrap/>
          </w:tcPr>
          <w:p w:rsidR="0025368D" w:rsidRPr="00795225" w:rsidRDefault="0025368D" w:rsidP="008D1BDC">
            <w:pPr>
              <w:pStyle w:val="Tabletext"/>
              <w:keepNext/>
            </w:pPr>
            <w:r w:rsidRPr="00795225">
              <w:t>LD recurrence utility value (0.737)</w:t>
            </w:r>
          </w:p>
          <w:p w:rsidR="0025368D" w:rsidRPr="00795225" w:rsidRDefault="0025368D" w:rsidP="008D1BDC">
            <w:pPr>
              <w:pStyle w:val="Tabletext"/>
              <w:keepNext/>
            </w:pPr>
            <w:r w:rsidRPr="00795225">
              <w:t>DMD recurrence utility value (0.620)</w:t>
            </w:r>
          </w:p>
        </w:tc>
        <w:tc>
          <w:tcPr>
            <w:tcW w:w="1571" w:type="pct"/>
            <w:noWrap/>
          </w:tcPr>
          <w:p w:rsidR="0025368D" w:rsidRPr="00795225" w:rsidRDefault="0025368D" w:rsidP="008D1BDC">
            <w:pPr>
              <w:pStyle w:val="Tabletext"/>
              <w:keepNext/>
            </w:pPr>
            <w:r w:rsidRPr="00795225">
              <w:t>Both 0.62</w:t>
            </w:r>
          </w:p>
        </w:tc>
        <w:tc>
          <w:tcPr>
            <w:tcW w:w="708" w:type="pct"/>
            <w:noWrap/>
          </w:tcPr>
          <w:p w:rsidR="0025368D"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5368D" w:rsidRPr="003B6E85" w:rsidRDefault="0025368D" w:rsidP="008D1BDC">
            <w:pPr>
              <w:pStyle w:val="Tabletext"/>
              <w:keepNext/>
              <w:ind w:right="205"/>
              <w:jc w:val="right"/>
            </w:pPr>
            <w:r w:rsidRPr="003B6E85">
              <w:t>0.8498</w:t>
            </w:r>
          </w:p>
        </w:tc>
        <w:tc>
          <w:tcPr>
            <w:tcW w:w="679" w:type="pct"/>
            <w:noWrap/>
          </w:tcPr>
          <w:p w:rsidR="0025368D" w:rsidRPr="002B3E82" w:rsidRDefault="002B3E82" w:rsidP="008D1BDC">
            <w:pPr>
              <w:pStyle w:val="Tabletext"/>
              <w:keepNext/>
              <w:ind w:right="205"/>
              <w:jc w:val="right"/>
              <w:rPr>
                <w:highlight w:val="black"/>
              </w:rPr>
            </w:pPr>
            <w:r>
              <w:rPr>
                <w:noProof/>
                <w:color w:val="000000"/>
                <w:highlight w:val="black"/>
              </w:rPr>
              <w:t>''''''''''''''''''''</w:t>
            </w:r>
          </w:p>
        </w:tc>
      </w:tr>
      <w:tr w:rsidR="0025368D" w:rsidRPr="00795225" w:rsidTr="00713754">
        <w:tc>
          <w:tcPr>
            <w:tcW w:w="1334" w:type="pct"/>
            <w:vMerge/>
            <w:noWrap/>
          </w:tcPr>
          <w:p w:rsidR="0025368D" w:rsidRPr="00795225" w:rsidRDefault="0025368D" w:rsidP="008D1BDC">
            <w:pPr>
              <w:pStyle w:val="Tabletext"/>
              <w:keepNext/>
            </w:pPr>
          </w:p>
        </w:tc>
        <w:tc>
          <w:tcPr>
            <w:tcW w:w="1571" w:type="pct"/>
            <w:noWrap/>
          </w:tcPr>
          <w:p w:rsidR="0025368D" w:rsidRPr="00795225" w:rsidRDefault="0025368D" w:rsidP="008D1BDC">
            <w:pPr>
              <w:pStyle w:val="Tabletext"/>
              <w:keepNext/>
            </w:pPr>
            <w:r w:rsidRPr="00795225">
              <w:t>Both 0.6785 (average)</w:t>
            </w:r>
          </w:p>
        </w:tc>
        <w:tc>
          <w:tcPr>
            <w:tcW w:w="708" w:type="pct"/>
            <w:noWrap/>
          </w:tcPr>
          <w:p w:rsidR="0025368D"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5368D" w:rsidRPr="003B6E85" w:rsidRDefault="0025368D" w:rsidP="008D1BDC">
            <w:pPr>
              <w:pStyle w:val="Tabletext"/>
              <w:keepNext/>
              <w:ind w:right="205"/>
              <w:jc w:val="right"/>
            </w:pPr>
            <w:r w:rsidRPr="003B6E85">
              <w:t>0.7558</w:t>
            </w:r>
          </w:p>
        </w:tc>
        <w:tc>
          <w:tcPr>
            <w:tcW w:w="679" w:type="pct"/>
            <w:noWrap/>
          </w:tcPr>
          <w:p w:rsidR="0025368D" w:rsidRPr="002B3E82" w:rsidRDefault="002B3E82" w:rsidP="008D1BDC">
            <w:pPr>
              <w:pStyle w:val="Tabletext"/>
              <w:keepNext/>
              <w:ind w:right="205"/>
              <w:jc w:val="right"/>
              <w:rPr>
                <w:highlight w:val="black"/>
              </w:rPr>
            </w:pPr>
            <w:r>
              <w:rPr>
                <w:noProof/>
                <w:color w:val="000000"/>
                <w:highlight w:val="black"/>
              </w:rPr>
              <w:t>'''''''''''''''''''</w:t>
            </w:r>
          </w:p>
        </w:tc>
      </w:tr>
      <w:tr w:rsidR="0025368D" w:rsidRPr="00795225" w:rsidTr="00713754">
        <w:tc>
          <w:tcPr>
            <w:tcW w:w="1334" w:type="pct"/>
            <w:vMerge/>
            <w:noWrap/>
          </w:tcPr>
          <w:p w:rsidR="0025368D" w:rsidRPr="00795225" w:rsidRDefault="0025368D" w:rsidP="008D1BDC">
            <w:pPr>
              <w:pStyle w:val="Tabletext"/>
              <w:keepNext/>
            </w:pPr>
          </w:p>
        </w:tc>
        <w:tc>
          <w:tcPr>
            <w:tcW w:w="1571" w:type="pct"/>
            <w:noWrap/>
          </w:tcPr>
          <w:p w:rsidR="0025368D" w:rsidRPr="00795225" w:rsidRDefault="0025368D" w:rsidP="008D1BDC">
            <w:pPr>
              <w:pStyle w:val="Tabletext"/>
              <w:keepNext/>
            </w:pPr>
            <w:r w:rsidRPr="00795225">
              <w:t>Both 0.737</w:t>
            </w:r>
          </w:p>
        </w:tc>
        <w:tc>
          <w:tcPr>
            <w:tcW w:w="708" w:type="pct"/>
            <w:noWrap/>
          </w:tcPr>
          <w:p w:rsidR="0025368D"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25368D" w:rsidRPr="002B3E82" w:rsidRDefault="0025368D" w:rsidP="008D1BDC">
            <w:pPr>
              <w:pStyle w:val="Tabletext"/>
              <w:keepNext/>
              <w:ind w:right="205"/>
              <w:jc w:val="right"/>
            </w:pPr>
            <w:r w:rsidRPr="003B6E85">
              <w:t>0.6617</w:t>
            </w:r>
          </w:p>
        </w:tc>
        <w:tc>
          <w:tcPr>
            <w:tcW w:w="679" w:type="pct"/>
            <w:noWrap/>
          </w:tcPr>
          <w:p w:rsidR="0025368D" w:rsidRPr="002B3E82" w:rsidRDefault="002B3E82" w:rsidP="008D1BDC">
            <w:pPr>
              <w:pStyle w:val="Tabletext"/>
              <w:keepNext/>
              <w:ind w:right="205"/>
              <w:jc w:val="right"/>
              <w:rPr>
                <w:highlight w:val="black"/>
              </w:rPr>
            </w:pPr>
            <w:r>
              <w:rPr>
                <w:noProof/>
                <w:color w:val="000000"/>
                <w:highlight w:val="black"/>
              </w:rPr>
              <w:t>'''''''''''''''''''</w:t>
            </w:r>
          </w:p>
        </w:tc>
      </w:tr>
      <w:tr w:rsidR="00167B2B" w:rsidRPr="00795225" w:rsidTr="00713754">
        <w:trPr>
          <w:trHeight w:val="469"/>
        </w:trPr>
        <w:tc>
          <w:tcPr>
            <w:tcW w:w="1334" w:type="pct"/>
            <w:vMerge/>
            <w:noWrap/>
          </w:tcPr>
          <w:p w:rsidR="00167B2B" w:rsidRPr="00795225" w:rsidRDefault="00167B2B" w:rsidP="008D1BDC">
            <w:pPr>
              <w:pStyle w:val="Tabletext"/>
              <w:keepNext/>
            </w:pPr>
          </w:p>
        </w:tc>
        <w:tc>
          <w:tcPr>
            <w:tcW w:w="1571" w:type="pct"/>
            <w:noWrap/>
          </w:tcPr>
          <w:p w:rsidR="00167B2B" w:rsidRPr="00795225" w:rsidRDefault="00167B2B" w:rsidP="008D1BDC">
            <w:pPr>
              <w:pStyle w:val="Tabletext"/>
              <w:keepNext/>
            </w:pPr>
            <w:r w:rsidRPr="00795225">
              <w:t>Both 0.8 (NIVO and IPI metastatic clinical trials, Tilden 2017)</w:t>
            </w:r>
          </w:p>
        </w:tc>
        <w:tc>
          <w:tcPr>
            <w:tcW w:w="708" w:type="pct"/>
            <w:noWrap/>
          </w:tcPr>
          <w:p w:rsidR="00167B2B"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167B2B" w:rsidRPr="002B3E82" w:rsidRDefault="00167B2B" w:rsidP="008D1BDC">
            <w:pPr>
              <w:pStyle w:val="Tabletext"/>
              <w:keepNext/>
              <w:ind w:right="205"/>
              <w:jc w:val="right"/>
            </w:pPr>
            <w:r w:rsidRPr="003B6E85">
              <w:t>0.5605</w:t>
            </w:r>
          </w:p>
        </w:tc>
        <w:tc>
          <w:tcPr>
            <w:tcW w:w="679" w:type="pct"/>
            <w:noWrap/>
          </w:tcPr>
          <w:p w:rsidR="00167B2B"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5000" w:type="pct"/>
            <w:gridSpan w:val="5"/>
            <w:noWrap/>
          </w:tcPr>
          <w:p w:rsidR="00EF12D9" w:rsidRPr="00795225" w:rsidRDefault="00EF12D9" w:rsidP="008D1BDC">
            <w:pPr>
              <w:pStyle w:val="Tabletext"/>
              <w:keepNext/>
              <w:rPr>
                <w:rFonts w:cs="Arial"/>
                <w:b/>
                <w:szCs w:val="18"/>
              </w:rPr>
            </w:pPr>
            <w:r w:rsidRPr="00795225">
              <w:rPr>
                <w:b/>
              </w:rPr>
              <w:t>Costs</w:t>
            </w:r>
          </w:p>
        </w:tc>
      </w:tr>
      <w:tr w:rsidR="00EF12D9" w:rsidRPr="00795225" w:rsidTr="00713754">
        <w:tc>
          <w:tcPr>
            <w:tcW w:w="1334" w:type="pct"/>
            <w:vMerge w:val="restart"/>
            <w:noWrap/>
          </w:tcPr>
          <w:p w:rsidR="00EF12D9" w:rsidRPr="00795225" w:rsidRDefault="00EF12D9" w:rsidP="008D1BDC">
            <w:pPr>
              <w:pStyle w:val="Tabletext"/>
              <w:keepNext/>
            </w:pPr>
            <w:r w:rsidRPr="00795225">
              <w:t>DMD recurrence health state non-drug costs ($11,429 per annum)</w:t>
            </w:r>
          </w:p>
        </w:tc>
        <w:tc>
          <w:tcPr>
            <w:tcW w:w="1571" w:type="pct"/>
            <w:noWrap/>
          </w:tcPr>
          <w:p w:rsidR="00EF12D9" w:rsidRPr="00795225" w:rsidRDefault="00EF12D9" w:rsidP="008D1BDC">
            <w:pPr>
              <w:pStyle w:val="Tabletext"/>
              <w:keepNext/>
            </w:pPr>
            <w:r w:rsidRPr="00795225">
              <w:t>Decreased 50%</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2B3E82" w:rsidRDefault="00EF12D9" w:rsidP="008D1BDC">
            <w:pPr>
              <w:pStyle w:val="Tabletext"/>
              <w:keepNext/>
              <w:ind w:right="205"/>
              <w:jc w:val="right"/>
            </w:pPr>
            <w:r w:rsidRPr="003B6E85">
              <w:t>0.7923</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noWrap/>
          </w:tcPr>
          <w:p w:rsidR="00EF12D9" w:rsidRPr="00795225" w:rsidRDefault="00EF12D9" w:rsidP="008D1BDC">
            <w:pPr>
              <w:pStyle w:val="Tabletext"/>
              <w:keepNext/>
            </w:pPr>
          </w:p>
        </w:tc>
        <w:tc>
          <w:tcPr>
            <w:tcW w:w="1571" w:type="pct"/>
            <w:noWrap/>
          </w:tcPr>
          <w:p w:rsidR="00EF12D9" w:rsidRPr="00795225" w:rsidRDefault="00EF12D9" w:rsidP="008D1BDC">
            <w:pPr>
              <w:pStyle w:val="Tabletext"/>
              <w:keepNext/>
            </w:pPr>
            <w:r w:rsidRPr="00795225">
              <w:t>Increased 50%</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2B3E82" w:rsidRDefault="00EF12D9" w:rsidP="008D1BDC">
            <w:pPr>
              <w:pStyle w:val="Tabletext"/>
              <w:keepNext/>
              <w:ind w:right="205"/>
              <w:jc w:val="right"/>
            </w:pPr>
            <w:r w:rsidRPr="003B6E85">
              <w:t>0.7923</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val="restart"/>
            <w:noWrap/>
          </w:tcPr>
          <w:p w:rsidR="00EF12D9" w:rsidRPr="00795225" w:rsidRDefault="00EF12D9" w:rsidP="008D1BDC">
            <w:pPr>
              <w:pStyle w:val="Tabletext"/>
              <w:keepNext/>
            </w:pPr>
            <w:r w:rsidRPr="00795225">
              <w:t>Recurrent treatment costs</w:t>
            </w:r>
          </w:p>
          <w:p w:rsidR="00EF12D9" w:rsidRPr="00795225" w:rsidRDefault="00EF12D9" w:rsidP="008D1BDC">
            <w:pPr>
              <w:pStyle w:val="Tabletext"/>
              <w:keepNext/>
            </w:pPr>
            <w:r w:rsidRPr="00795225">
              <w:t>($66,502 per patient)</w:t>
            </w:r>
          </w:p>
        </w:tc>
        <w:tc>
          <w:tcPr>
            <w:tcW w:w="1571" w:type="pct"/>
            <w:noWrap/>
          </w:tcPr>
          <w:p w:rsidR="00EF12D9" w:rsidRPr="00795225" w:rsidRDefault="00EF12D9" w:rsidP="008D1BDC">
            <w:pPr>
              <w:pStyle w:val="Tabletext"/>
              <w:keepNext/>
            </w:pPr>
            <w:r w:rsidRPr="00795225">
              <w:t>Decreased 50%</w:t>
            </w:r>
          </w:p>
        </w:tc>
        <w:tc>
          <w:tcPr>
            <w:tcW w:w="708" w:type="pct"/>
            <w:noWrap/>
          </w:tcPr>
          <w:p w:rsidR="00EF12D9" w:rsidRPr="002B3E82" w:rsidRDefault="002B3E82" w:rsidP="008D1BDC">
            <w:pPr>
              <w:pStyle w:val="Tabletext"/>
              <w:keepNext/>
              <w:ind w:right="205"/>
              <w:jc w:val="right"/>
              <w:rPr>
                <w:highlight w:val="black"/>
              </w:rPr>
            </w:pPr>
            <w:r>
              <w:rPr>
                <w:noProof/>
                <w:color w:val="000000"/>
                <w:highlight w:val="black"/>
              </w:rPr>
              <w:t>'''''''''''''''''''</w:t>
            </w:r>
          </w:p>
        </w:tc>
        <w:tc>
          <w:tcPr>
            <w:tcW w:w="708" w:type="pct"/>
          </w:tcPr>
          <w:p w:rsidR="00EF12D9" w:rsidRPr="002B3E82" w:rsidRDefault="00EF12D9" w:rsidP="008D1BDC">
            <w:pPr>
              <w:pStyle w:val="Tabletext"/>
              <w:keepNext/>
              <w:ind w:right="205"/>
              <w:jc w:val="right"/>
            </w:pPr>
            <w:r w:rsidRPr="003B6E85">
              <w:t>0.7923</w:t>
            </w:r>
          </w:p>
        </w:tc>
        <w:tc>
          <w:tcPr>
            <w:tcW w:w="679" w:type="pct"/>
            <w:noWrap/>
          </w:tcPr>
          <w:p w:rsidR="00EF12D9" w:rsidRPr="002B3E82" w:rsidRDefault="002B3E82" w:rsidP="008D1BDC">
            <w:pPr>
              <w:pStyle w:val="Tabletext"/>
              <w:keepNext/>
              <w:ind w:right="205"/>
              <w:jc w:val="right"/>
              <w:rPr>
                <w:highlight w:val="black"/>
              </w:rPr>
            </w:pPr>
            <w:r>
              <w:rPr>
                <w:noProof/>
                <w:color w:val="000000"/>
                <w:highlight w:val="black"/>
              </w:rPr>
              <w:t>''''''''''''''''''''''</w:t>
            </w:r>
          </w:p>
        </w:tc>
      </w:tr>
      <w:tr w:rsidR="00EF12D9" w:rsidRPr="00795225" w:rsidTr="00713754">
        <w:tc>
          <w:tcPr>
            <w:tcW w:w="1334" w:type="pct"/>
            <w:vMerge/>
            <w:noWrap/>
          </w:tcPr>
          <w:p w:rsidR="00EF12D9" w:rsidRPr="00795225" w:rsidRDefault="00EF12D9" w:rsidP="008D1BDC">
            <w:pPr>
              <w:pStyle w:val="Tabletext"/>
            </w:pPr>
          </w:p>
        </w:tc>
        <w:tc>
          <w:tcPr>
            <w:tcW w:w="1571" w:type="pct"/>
            <w:noWrap/>
          </w:tcPr>
          <w:p w:rsidR="00EF12D9" w:rsidRPr="00795225" w:rsidRDefault="00EF12D9" w:rsidP="008D1BDC">
            <w:pPr>
              <w:pStyle w:val="Tabletext"/>
            </w:pPr>
            <w:r w:rsidRPr="00795225">
              <w:t>Increased 50%</w:t>
            </w:r>
          </w:p>
        </w:tc>
        <w:tc>
          <w:tcPr>
            <w:tcW w:w="708" w:type="pct"/>
            <w:noWrap/>
          </w:tcPr>
          <w:p w:rsidR="00EF12D9" w:rsidRPr="002B3E82" w:rsidRDefault="002B3E82" w:rsidP="008D1BDC">
            <w:pPr>
              <w:pStyle w:val="Tabletext"/>
              <w:ind w:right="205"/>
              <w:jc w:val="right"/>
              <w:rPr>
                <w:highlight w:val="black"/>
              </w:rPr>
            </w:pPr>
            <w:r>
              <w:rPr>
                <w:noProof/>
                <w:color w:val="000000"/>
                <w:highlight w:val="black"/>
              </w:rPr>
              <w:t>'''''''''''''''''''</w:t>
            </w:r>
          </w:p>
        </w:tc>
        <w:tc>
          <w:tcPr>
            <w:tcW w:w="708" w:type="pct"/>
          </w:tcPr>
          <w:p w:rsidR="00EF12D9" w:rsidRPr="002B3E82" w:rsidRDefault="00EF12D9" w:rsidP="008D1BDC">
            <w:pPr>
              <w:pStyle w:val="Tabletext"/>
              <w:ind w:right="205"/>
              <w:jc w:val="right"/>
            </w:pPr>
            <w:r w:rsidRPr="003B6E85">
              <w:t>0.7923</w:t>
            </w:r>
          </w:p>
        </w:tc>
        <w:tc>
          <w:tcPr>
            <w:tcW w:w="679" w:type="pct"/>
            <w:noWrap/>
          </w:tcPr>
          <w:p w:rsidR="00EF12D9" w:rsidRPr="002B3E82" w:rsidRDefault="002B3E82" w:rsidP="008D1BDC">
            <w:pPr>
              <w:pStyle w:val="Tabletext"/>
              <w:ind w:right="205"/>
              <w:jc w:val="right"/>
              <w:rPr>
                <w:highlight w:val="black"/>
              </w:rPr>
            </w:pPr>
            <w:r>
              <w:rPr>
                <w:noProof/>
                <w:color w:val="000000"/>
                <w:highlight w:val="black"/>
              </w:rPr>
              <w:t>'''''''''''''''''''''</w:t>
            </w:r>
          </w:p>
        </w:tc>
      </w:tr>
      <w:tr w:rsidR="00896FE1" w:rsidRPr="00795225" w:rsidTr="00713754">
        <w:tc>
          <w:tcPr>
            <w:tcW w:w="5000" w:type="pct"/>
            <w:gridSpan w:val="5"/>
            <w:noWrap/>
          </w:tcPr>
          <w:p w:rsidR="00896FE1" w:rsidRPr="00795225" w:rsidRDefault="00A0531E" w:rsidP="00A0531E">
            <w:pPr>
              <w:pStyle w:val="Tabletext"/>
              <w:ind w:right="205"/>
              <w:rPr>
                <w:b/>
              </w:rPr>
            </w:pPr>
            <w:r w:rsidRPr="00795225">
              <w:rPr>
                <w:b/>
              </w:rPr>
              <w:t>Additional analysis requested by the ESC</w:t>
            </w:r>
          </w:p>
        </w:tc>
      </w:tr>
      <w:tr w:rsidR="0025368D" w:rsidRPr="00795225" w:rsidTr="00713754">
        <w:tc>
          <w:tcPr>
            <w:tcW w:w="1334" w:type="pct"/>
            <w:noWrap/>
          </w:tcPr>
          <w:p w:rsidR="0025368D" w:rsidRPr="00795225" w:rsidRDefault="0025368D" w:rsidP="0025368D">
            <w:pPr>
              <w:pStyle w:val="Tabletext"/>
            </w:pPr>
            <w:r w:rsidRPr="00795225">
              <w:t>NIVO vs SOC</w:t>
            </w:r>
            <w:r w:rsidR="00197F6F" w:rsidRPr="00795225">
              <w:t>:</w:t>
            </w:r>
          </w:p>
          <w:p w:rsidR="0025368D" w:rsidRPr="00795225" w:rsidRDefault="0025368D" w:rsidP="002D79C8">
            <w:pPr>
              <w:pStyle w:val="Tabletext"/>
            </w:pPr>
            <w:r w:rsidRPr="00795225">
              <w:t>HR</w:t>
            </w:r>
            <w:r w:rsidRPr="00795225">
              <w:rPr>
                <w:vertAlign w:val="subscript"/>
              </w:rPr>
              <w:t>RFS</w:t>
            </w:r>
            <w:r w:rsidRPr="00795225">
              <w:t xml:space="preserve"> (0.50) and HR</w:t>
            </w:r>
            <w:r w:rsidRPr="00795225">
              <w:rPr>
                <w:vertAlign w:val="subscript"/>
              </w:rPr>
              <w:t>DMFS</w:t>
            </w:r>
            <w:r w:rsidRPr="00795225">
              <w:t xml:space="preserve"> (0.58)</w:t>
            </w:r>
          </w:p>
        </w:tc>
        <w:tc>
          <w:tcPr>
            <w:tcW w:w="1571" w:type="pct"/>
          </w:tcPr>
          <w:p w:rsidR="0025368D" w:rsidRPr="00795225" w:rsidRDefault="0025368D" w:rsidP="0025368D">
            <w:pPr>
              <w:pStyle w:val="Tabletext"/>
            </w:pPr>
            <w:r w:rsidRPr="00795225">
              <w:t>NIVO vs SOC</w:t>
            </w:r>
            <w:r w:rsidR="00197F6F" w:rsidRPr="00795225">
              <w:t>:</w:t>
            </w:r>
          </w:p>
          <w:p w:rsidR="0025368D" w:rsidRPr="00795225" w:rsidRDefault="0025368D" w:rsidP="0025368D">
            <w:pPr>
              <w:pStyle w:val="Tabletext"/>
            </w:pPr>
            <w:r w:rsidRPr="00795225">
              <w:t>HR</w:t>
            </w:r>
            <w:r w:rsidRPr="00795225">
              <w:rPr>
                <w:vertAlign w:val="subscript"/>
              </w:rPr>
              <w:t>RFS</w:t>
            </w:r>
            <w:r w:rsidRPr="00795225">
              <w:t xml:space="preserve"> 95% UCL 0.65; </w:t>
            </w:r>
          </w:p>
          <w:p w:rsidR="0025368D" w:rsidRPr="00795225" w:rsidRDefault="0025368D" w:rsidP="002D79C8">
            <w:pPr>
              <w:pStyle w:val="Tabletext"/>
              <w:rPr>
                <w:highlight w:val="yellow"/>
              </w:rPr>
            </w:pPr>
            <w:r w:rsidRPr="00795225">
              <w:t>HR</w:t>
            </w:r>
            <w:r w:rsidRPr="00795225">
              <w:rPr>
                <w:vertAlign w:val="subscript"/>
              </w:rPr>
              <w:t>DMFS</w:t>
            </w:r>
            <w:r w:rsidRPr="00795225">
              <w:t xml:space="preserve"> 95% UCL 0.79</w:t>
            </w:r>
          </w:p>
        </w:tc>
        <w:tc>
          <w:tcPr>
            <w:tcW w:w="708" w:type="pct"/>
            <w:noWrap/>
          </w:tcPr>
          <w:p w:rsidR="0025368D" w:rsidRPr="002B3E82" w:rsidRDefault="002B3E82" w:rsidP="0025368D">
            <w:pPr>
              <w:pStyle w:val="Tabletext"/>
              <w:ind w:right="205"/>
              <w:jc w:val="right"/>
              <w:rPr>
                <w:highlight w:val="black"/>
              </w:rPr>
            </w:pPr>
            <w:r>
              <w:rPr>
                <w:noProof/>
                <w:color w:val="000000"/>
                <w:highlight w:val="black"/>
              </w:rPr>
              <w:t>''''''''''''''''''''</w:t>
            </w:r>
          </w:p>
        </w:tc>
        <w:tc>
          <w:tcPr>
            <w:tcW w:w="708" w:type="pct"/>
          </w:tcPr>
          <w:p w:rsidR="0025368D" w:rsidRPr="002B3E82" w:rsidRDefault="0025368D" w:rsidP="0025368D">
            <w:pPr>
              <w:pStyle w:val="Tabletext"/>
              <w:ind w:right="205"/>
              <w:jc w:val="right"/>
            </w:pPr>
            <w:r w:rsidRPr="003B6E85">
              <w:t>0.5958</w:t>
            </w:r>
          </w:p>
        </w:tc>
        <w:tc>
          <w:tcPr>
            <w:tcW w:w="679" w:type="pct"/>
            <w:noWrap/>
          </w:tcPr>
          <w:p w:rsidR="0025368D" w:rsidRPr="002B3E82" w:rsidRDefault="002B3E82" w:rsidP="0025368D">
            <w:pPr>
              <w:pStyle w:val="Tabletext"/>
              <w:ind w:right="205"/>
              <w:jc w:val="right"/>
              <w:rPr>
                <w:highlight w:val="black"/>
              </w:rPr>
            </w:pPr>
            <w:r>
              <w:rPr>
                <w:noProof/>
                <w:color w:val="000000"/>
                <w:highlight w:val="black"/>
              </w:rPr>
              <w:t>'''''''''''''''''''''</w:t>
            </w:r>
          </w:p>
        </w:tc>
      </w:tr>
      <w:tr w:rsidR="006C72B0" w:rsidRPr="00795225" w:rsidTr="00713754">
        <w:tc>
          <w:tcPr>
            <w:tcW w:w="1334" w:type="pct"/>
            <w:noWrap/>
          </w:tcPr>
          <w:p w:rsidR="006C72B0" w:rsidRPr="00795225" w:rsidRDefault="006C72B0" w:rsidP="00B375C8">
            <w:pPr>
              <w:pStyle w:val="Tabletext"/>
              <w:keepNext/>
            </w:pPr>
            <w:r w:rsidRPr="00795225">
              <w:t>LD recurrence utility value (0.737)</w:t>
            </w:r>
          </w:p>
          <w:p w:rsidR="006C72B0" w:rsidRPr="00795225" w:rsidRDefault="006C72B0" w:rsidP="00B375C8">
            <w:pPr>
              <w:pStyle w:val="Tabletext"/>
            </w:pPr>
            <w:r w:rsidRPr="00795225">
              <w:t>DMD recurrence utility value (0.620)</w:t>
            </w:r>
          </w:p>
        </w:tc>
        <w:tc>
          <w:tcPr>
            <w:tcW w:w="1571" w:type="pct"/>
          </w:tcPr>
          <w:p w:rsidR="006C72B0" w:rsidRPr="00795225" w:rsidRDefault="006C72B0" w:rsidP="00B375C8">
            <w:pPr>
              <w:pStyle w:val="Tabletext"/>
            </w:pPr>
            <w:r w:rsidRPr="00795225">
              <w:t>LD utility (0.855)</w:t>
            </w:r>
          </w:p>
          <w:p w:rsidR="006C72B0" w:rsidRPr="00795225" w:rsidRDefault="006C72B0" w:rsidP="00B375C8">
            <w:pPr>
              <w:pStyle w:val="Tabletext"/>
            </w:pPr>
            <w:r w:rsidRPr="00795225">
              <w:t>DMD utility (0.737)</w:t>
            </w:r>
          </w:p>
        </w:tc>
        <w:tc>
          <w:tcPr>
            <w:tcW w:w="708" w:type="pct"/>
            <w:noWrap/>
          </w:tcPr>
          <w:p w:rsidR="006C72B0" w:rsidRPr="002B3E82" w:rsidRDefault="002B3E82" w:rsidP="00B375C8">
            <w:pPr>
              <w:pStyle w:val="Tabletext"/>
              <w:ind w:right="205"/>
              <w:jc w:val="right"/>
              <w:rPr>
                <w:highlight w:val="black"/>
              </w:rPr>
            </w:pPr>
            <w:r>
              <w:rPr>
                <w:noProof/>
                <w:color w:val="000000"/>
                <w:highlight w:val="black"/>
              </w:rPr>
              <w:t>'''''''''''''''''''</w:t>
            </w:r>
          </w:p>
        </w:tc>
        <w:tc>
          <w:tcPr>
            <w:tcW w:w="708" w:type="pct"/>
          </w:tcPr>
          <w:p w:rsidR="006C72B0" w:rsidRPr="002B3E82" w:rsidRDefault="006C72B0" w:rsidP="00B375C8">
            <w:pPr>
              <w:pStyle w:val="Tabletext"/>
              <w:ind w:right="205"/>
              <w:jc w:val="right"/>
            </w:pPr>
            <w:r w:rsidRPr="003B6E85">
              <w:t>0.6037</w:t>
            </w:r>
          </w:p>
        </w:tc>
        <w:tc>
          <w:tcPr>
            <w:tcW w:w="679" w:type="pct"/>
            <w:noWrap/>
          </w:tcPr>
          <w:p w:rsidR="006C72B0" w:rsidRPr="002B3E82" w:rsidRDefault="002B3E82" w:rsidP="00B375C8">
            <w:pPr>
              <w:pStyle w:val="Tabletext"/>
              <w:ind w:right="205"/>
              <w:jc w:val="right"/>
              <w:rPr>
                <w:highlight w:val="black"/>
              </w:rPr>
            </w:pPr>
            <w:r>
              <w:rPr>
                <w:noProof/>
                <w:color w:val="000000"/>
                <w:highlight w:val="black"/>
              </w:rPr>
              <w:t>''''''''''''''''''''</w:t>
            </w:r>
          </w:p>
        </w:tc>
      </w:tr>
      <w:tr w:rsidR="0025368D" w:rsidRPr="00795225" w:rsidTr="00713754">
        <w:tc>
          <w:tcPr>
            <w:tcW w:w="1334" w:type="pct"/>
            <w:noWrap/>
          </w:tcPr>
          <w:p w:rsidR="00197F6F" w:rsidRPr="00795225" w:rsidRDefault="00197F6F" w:rsidP="00197F6F">
            <w:pPr>
              <w:pStyle w:val="Tabletext"/>
            </w:pPr>
            <w:r w:rsidRPr="00795225">
              <w:t xml:space="preserve">Utilities: </w:t>
            </w:r>
          </w:p>
          <w:p w:rsidR="00197F6F" w:rsidRPr="00795225" w:rsidRDefault="00197F6F" w:rsidP="00197F6F">
            <w:pPr>
              <w:pStyle w:val="Tabletext"/>
            </w:pPr>
            <w:r w:rsidRPr="00795225">
              <w:t>LD utility (0.737)</w:t>
            </w:r>
          </w:p>
          <w:p w:rsidR="00197F6F" w:rsidRPr="00795225" w:rsidRDefault="00197F6F" w:rsidP="00197F6F">
            <w:pPr>
              <w:pStyle w:val="Tabletext"/>
            </w:pPr>
            <w:r w:rsidRPr="00795225">
              <w:t>DMD utility (0.620)</w:t>
            </w:r>
          </w:p>
          <w:p w:rsidR="0025368D" w:rsidRPr="00795225" w:rsidRDefault="00197F6F" w:rsidP="00197F6F">
            <w:pPr>
              <w:pStyle w:val="Tabletext"/>
            </w:pPr>
            <w:r w:rsidRPr="00795225">
              <w:t>Convergence: Not applied</w:t>
            </w:r>
          </w:p>
        </w:tc>
        <w:tc>
          <w:tcPr>
            <w:tcW w:w="1571" w:type="pct"/>
          </w:tcPr>
          <w:p w:rsidR="0025368D" w:rsidRPr="00795225" w:rsidRDefault="0025368D" w:rsidP="0025368D">
            <w:pPr>
              <w:pStyle w:val="Tabletext"/>
            </w:pPr>
            <w:r w:rsidRPr="00795225">
              <w:t xml:space="preserve">Utilities: </w:t>
            </w:r>
          </w:p>
          <w:p w:rsidR="0025368D" w:rsidRPr="00795225" w:rsidRDefault="0025368D" w:rsidP="0025368D">
            <w:pPr>
              <w:pStyle w:val="Tabletext"/>
            </w:pPr>
            <w:r w:rsidRPr="00795225">
              <w:t>LD utility (0.855)</w:t>
            </w:r>
          </w:p>
          <w:p w:rsidR="0025368D" w:rsidRPr="00795225" w:rsidRDefault="0025368D" w:rsidP="0025368D">
            <w:pPr>
              <w:pStyle w:val="Tabletext"/>
            </w:pPr>
            <w:r w:rsidRPr="00795225">
              <w:t>DMD utility (0.737)</w:t>
            </w:r>
          </w:p>
          <w:p w:rsidR="0025368D" w:rsidRPr="00795225" w:rsidRDefault="0025368D" w:rsidP="0001122E">
            <w:pPr>
              <w:pStyle w:val="Tabletext"/>
            </w:pPr>
            <w:r w:rsidRPr="00795225">
              <w:t xml:space="preserve">Convergence: Start 5, </w:t>
            </w:r>
            <w:r w:rsidR="0001122E" w:rsidRPr="00795225">
              <w:t>E</w:t>
            </w:r>
            <w:r w:rsidRPr="00795225">
              <w:t xml:space="preserve">nd 10. </w:t>
            </w:r>
          </w:p>
        </w:tc>
        <w:tc>
          <w:tcPr>
            <w:tcW w:w="708" w:type="pct"/>
            <w:noWrap/>
          </w:tcPr>
          <w:p w:rsidR="0025368D" w:rsidRPr="002B3E82" w:rsidRDefault="002B3E82" w:rsidP="0025368D">
            <w:pPr>
              <w:pStyle w:val="Tabletext"/>
              <w:ind w:right="205"/>
              <w:jc w:val="right"/>
              <w:rPr>
                <w:highlight w:val="black"/>
              </w:rPr>
            </w:pPr>
            <w:r>
              <w:rPr>
                <w:noProof/>
                <w:color w:val="000000"/>
                <w:highlight w:val="black"/>
              </w:rPr>
              <w:t>'''''''''''''''''</w:t>
            </w:r>
          </w:p>
        </w:tc>
        <w:tc>
          <w:tcPr>
            <w:tcW w:w="708" w:type="pct"/>
          </w:tcPr>
          <w:p w:rsidR="0025368D" w:rsidRPr="002B3E82" w:rsidRDefault="0025368D" w:rsidP="0025368D">
            <w:pPr>
              <w:pStyle w:val="Tabletext"/>
              <w:ind w:right="205"/>
              <w:jc w:val="right"/>
            </w:pPr>
            <w:r w:rsidRPr="003B6E85">
              <w:t>0.2787</w:t>
            </w:r>
          </w:p>
        </w:tc>
        <w:tc>
          <w:tcPr>
            <w:tcW w:w="679" w:type="pct"/>
            <w:noWrap/>
          </w:tcPr>
          <w:p w:rsidR="0025368D" w:rsidRPr="002B3E82" w:rsidRDefault="002B3E82" w:rsidP="0025368D">
            <w:pPr>
              <w:pStyle w:val="Tabletext"/>
              <w:ind w:right="205"/>
              <w:jc w:val="right"/>
              <w:rPr>
                <w:highlight w:val="black"/>
              </w:rPr>
            </w:pPr>
            <w:r>
              <w:rPr>
                <w:noProof/>
                <w:color w:val="000000"/>
                <w:highlight w:val="black"/>
              </w:rPr>
              <w:t>''''''''''''''''''''</w:t>
            </w:r>
          </w:p>
        </w:tc>
      </w:tr>
      <w:tr w:rsidR="00C53789" w:rsidRPr="00795225" w:rsidTr="00713754">
        <w:tc>
          <w:tcPr>
            <w:tcW w:w="1334" w:type="pct"/>
            <w:noWrap/>
          </w:tcPr>
          <w:p w:rsidR="00C53789" w:rsidRPr="00795225" w:rsidRDefault="00C53789" w:rsidP="00C53789">
            <w:pPr>
              <w:pStyle w:val="Tabletext"/>
            </w:pPr>
            <w:r w:rsidRPr="00795225">
              <w:t xml:space="preserve">Utilities: </w:t>
            </w:r>
          </w:p>
          <w:p w:rsidR="00C53789" w:rsidRPr="00795225" w:rsidRDefault="00C53789" w:rsidP="00C53789">
            <w:pPr>
              <w:pStyle w:val="Tabletext"/>
            </w:pPr>
            <w:r w:rsidRPr="00795225">
              <w:t>LD utility (0.737)</w:t>
            </w:r>
          </w:p>
          <w:p w:rsidR="00C53789" w:rsidRPr="00795225" w:rsidRDefault="00C53789" w:rsidP="00C53789">
            <w:pPr>
              <w:pStyle w:val="Tabletext"/>
            </w:pPr>
            <w:r w:rsidRPr="00795225">
              <w:t>DMD utility (0.620)</w:t>
            </w:r>
          </w:p>
          <w:p w:rsidR="00C53789" w:rsidRPr="00795225" w:rsidRDefault="00C53789" w:rsidP="00C53789">
            <w:pPr>
              <w:pStyle w:val="Tabletext"/>
            </w:pPr>
            <w:r w:rsidRPr="00795225">
              <w:lastRenderedPageBreak/>
              <w:t>Convergence: Not applied</w:t>
            </w:r>
          </w:p>
        </w:tc>
        <w:tc>
          <w:tcPr>
            <w:tcW w:w="1571" w:type="pct"/>
          </w:tcPr>
          <w:p w:rsidR="00C53789" w:rsidRPr="00795225" w:rsidRDefault="00C53789" w:rsidP="00C53789">
            <w:pPr>
              <w:pStyle w:val="Tabletext"/>
            </w:pPr>
            <w:r w:rsidRPr="00795225">
              <w:lastRenderedPageBreak/>
              <w:t xml:space="preserve">Utilities: </w:t>
            </w:r>
          </w:p>
          <w:p w:rsidR="00C53789" w:rsidRPr="00795225" w:rsidRDefault="00C53789" w:rsidP="00C53789">
            <w:pPr>
              <w:pStyle w:val="Tabletext"/>
            </w:pPr>
            <w:r w:rsidRPr="00795225">
              <w:t>LD utility (0.855)</w:t>
            </w:r>
          </w:p>
          <w:p w:rsidR="00C53789" w:rsidRPr="00795225" w:rsidRDefault="00C53789" w:rsidP="00C53789">
            <w:pPr>
              <w:pStyle w:val="Tabletext"/>
            </w:pPr>
            <w:r w:rsidRPr="00795225">
              <w:t>DMD utility (0.737)</w:t>
            </w:r>
          </w:p>
          <w:p w:rsidR="00C53789" w:rsidRPr="00795225" w:rsidRDefault="00C53789" w:rsidP="00C53789">
            <w:pPr>
              <w:pStyle w:val="Tabletext"/>
            </w:pPr>
            <w:r w:rsidRPr="00795225">
              <w:lastRenderedPageBreak/>
              <w:t xml:space="preserve">Convergence: Start 5, End 15. </w:t>
            </w:r>
          </w:p>
        </w:tc>
        <w:tc>
          <w:tcPr>
            <w:tcW w:w="708" w:type="pct"/>
            <w:noWrap/>
          </w:tcPr>
          <w:p w:rsidR="00C53789" w:rsidRPr="002B3E82" w:rsidRDefault="002B3E82" w:rsidP="00C53789">
            <w:pPr>
              <w:pStyle w:val="Tabletext"/>
              <w:ind w:right="205"/>
              <w:jc w:val="right"/>
              <w:rPr>
                <w:highlight w:val="black"/>
              </w:rPr>
            </w:pPr>
            <w:r>
              <w:rPr>
                <w:noProof/>
                <w:color w:val="000000"/>
                <w:highlight w:val="black"/>
              </w:rPr>
              <w:lastRenderedPageBreak/>
              <w:t>''''''''''''''''''</w:t>
            </w:r>
          </w:p>
        </w:tc>
        <w:tc>
          <w:tcPr>
            <w:tcW w:w="708" w:type="pct"/>
          </w:tcPr>
          <w:p w:rsidR="00C53789" w:rsidRPr="002B3E82" w:rsidRDefault="00C53789" w:rsidP="00C53789">
            <w:pPr>
              <w:pStyle w:val="Tabletext"/>
              <w:ind w:right="205"/>
              <w:jc w:val="right"/>
            </w:pPr>
            <w:r w:rsidRPr="003B6E85">
              <w:t>0.3670</w:t>
            </w:r>
          </w:p>
        </w:tc>
        <w:tc>
          <w:tcPr>
            <w:tcW w:w="679" w:type="pct"/>
            <w:noWrap/>
          </w:tcPr>
          <w:p w:rsidR="00C53789" w:rsidRPr="002B3E82" w:rsidRDefault="002B3E82" w:rsidP="00C53789">
            <w:pPr>
              <w:pStyle w:val="Tabletext"/>
              <w:ind w:right="205"/>
              <w:jc w:val="right"/>
              <w:rPr>
                <w:highlight w:val="black"/>
              </w:rPr>
            </w:pPr>
            <w:r>
              <w:rPr>
                <w:noProof/>
                <w:color w:val="000000"/>
                <w:highlight w:val="black"/>
              </w:rPr>
              <w:t>''''''''''''''''''''''''</w:t>
            </w:r>
          </w:p>
        </w:tc>
      </w:tr>
      <w:tr w:rsidR="0025368D" w:rsidRPr="00795225" w:rsidTr="00713754">
        <w:tc>
          <w:tcPr>
            <w:tcW w:w="1334" w:type="pct"/>
            <w:noWrap/>
          </w:tcPr>
          <w:p w:rsidR="00197F6F" w:rsidRPr="00795225" w:rsidRDefault="00197F6F" w:rsidP="00197F6F">
            <w:pPr>
              <w:pStyle w:val="Tabletext"/>
            </w:pPr>
            <w:r w:rsidRPr="00795225">
              <w:t xml:space="preserve">Utilities: </w:t>
            </w:r>
          </w:p>
          <w:p w:rsidR="00197F6F" w:rsidRPr="00795225" w:rsidRDefault="00197F6F" w:rsidP="00197F6F">
            <w:pPr>
              <w:pStyle w:val="Tabletext"/>
            </w:pPr>
            <w:r w:rsidRPr="00795225">
              <w:t>LD utility (0.737)</w:t>
            </w:r>
          </w:p>
          <w:p w:rsidR="00197F6F" w:rsidRPr="00795225" w:rsidRDefault="00197F6F" w:rsidP="00197F6F">
            <w:pPr>
              <w:pStyle w:val="Tabletext"/>
            </w:pPr>
            <w:r w:rsidRPr="00795225">
              <w:t>DMD utility (0.620)</w:t>
            </w:r>
          </w:p>
          <w:p w:rsidR="00197F6F" w:rsidRPr="00795225" w:rsidRDefault="00197F6F" w:rsidP="00197F6F">
            <w:pPr>
              <w:pStyle w:val="Tabletext"/>
            </w:pPr>
            <w:r w:rsidRPr="00795225">
              <w:t>Convergence: Not applied</w:t>
            </w:r>
          </w:p>
          <w:p w:rsidR="00197F6F" w:rsidRPr="00795225" w:rsidRDefault="00197F6F" w:rsidP="00197F6F">
            <w:pPr>
              <w:pStyle w:val="Tabletext"/>
            </w:pPr>
            <w:r w:rsidRPr="00795225">
              <w:t>NIVO vs SOC:</w:t>
            </w:r>
          </w:p>
          <w:p w:rsidR="0025368D" w:rsidRPr="00795225" w:rsidRDefault="00197F6F" w:rsidP="002D79C8">
            <w:pPr>
              <w:pStyle w:val="Tabletext"/>
            </w:pPr>
            <w:r w:rsidRPr="00795225">
              <w:t>HR</w:t>
            </w:r>
            <w:r w:rsidRPr="00795225">
              <w:rPr>
                <w:vertAlign w:val="subscript"/>
              </w:rPr>
              <w:t>RFS</w:t>
            </w:r>
            <w:r w:rsidRPr="00795225">
              <w:t xml:space="preserve"> (0.50) and HR</w:t>
            </w:r>
            <w:r w:rsidRPr="00795225">
              <w:rPr>
                <w:vertAlign w:val="subscript"/>
              </w:rPr>
              <w:t>DMFS</w:t>
            </w:r>
            <w:r w:rsidRPr="00795225">
              <w:t xml:space="preserve"> (0.58)</w:t>
            </w:r>
          </w:p>
        </w:tc>
        <w:tc>
          <w:tcPr>
            <w:tcW w:w="1571" w:type="pct"/>
          </w:tcPr>
          <w:p w:rsidR="0025368D" w:rsidRPr="00795225" w:rsidRDefault="0025368D" w:rsidP="0025368D">
            <w:pPr>
              <w:pStyle w:val="Tabletext"/>
            </w:pPr>
            <w:r w:rsidRPr="00795225">
              <w:t xml:space="preserve">Utilities: </w:t>
            </w:r>
          </w:p>
          <w:p w:rsidR="0025368D" w:rsidRPr="00795225" w:rsidRDefault="0025368D" w:rsidP="0025368D">
            <w:pPr>
              <w:pStyle w:val="Tabletext"/>
            </w:pPr>
            <w:r w:rsidRPr="00795225">
              <w:t>LD utility (0.855)</w:t>
            </w:r>
          </w:p>
          <w:p w:rsidR="0025368D" w:rsidRPr="00795225" w:rsidRDefault="0025368D" w:rsidP="0025368D">
            <w:pPr>
              <w:pStyle w:val="Tabletext"/>
            </w:pPr>
            <w:r w:rsidRPr="00795225">
              <w:t>DMD utility (0.737)</w:t>
            </w:r>
          </w:p>
          <w:p w:rsidR="0025368D" w:rsidRPr="00795225" w:rsidRDefault="0025368D" w:rsidP="0025368D">
            <w:pPr>
              <w:pStyle w:val="Tabletext"/>
            </w:pPr>
            <w:r w:rsidRPr="00795225">
              <w:t xml:space="preserve">Convergence: Start 5, </w:t>
            </w:r>
            <w:r w:rsidR="0001122E" w:rsidRPr="00795225">
              <w:t>E</w:t>
            </w:r>
            <w:r w:rsidRPr="00795225">
              <w:t>nd 15.</w:t>
            </w:r>
          </w:p>
          <w:p w:rsidR="0025368D" w:rsidRPr="00795225" w:rsidRDefault="0025368D" w:rsidP="0025368D">
            <w:pPr>
              <w:pStyle w:val="Tabletext"/>
            </w:pPr>
            <w:r w:rsidRPr="00795225">
              <w:t>NIVO vs SOC</w:t>
            </w:r>
            <w:r w:rsidR="00197F6F" w:rsidRPr="00795225">
              <w:t>:</w:t>
            </w:r>
          </w:p>
          <w:p w:rsidR="0025368D" w:rsidRPr="00795225" w:rsidRDefault="0025368D" w:rsidP="0025368D">
            <w:pPr>
              <w:pStyle w:val="Tabletext"/>
            </w:pPr>
            <w:r w:rsidRPr="00795225">
              <w:t>HR</w:t>
            </w:r>
            <w:r w:rsidRPr="00795225">
              <w:rPr>
                <w:vertAlign w:val="subscript"/>
              </w:rPr>
              <w:t>RFS</w:t>
            </w:r>
            <w:r w:rsidRPr="00795225">
              <w:t xml:space="preserve"> 95% UCL 0.65</w:t>
            </w:r>
          </w:p>
          <w:p w:rsidR="0025368D" w:rsidRPr="00795225" w:rsidRDefault="0025368D" w:rsidP="002D79C8">
            <w:pPr>
              <w:pStyle w:val="Tabletext"/>
            </w:pPr>
            <w:r w:rsidRPr="00795225">
              <w:t>HR</w:t>
            </w:r>
            <w:r w:rsidRPr="00795225">
              <w:rPr>
                <w:vertAlign w:val="subscript"/>
              </w:rPr>
              <w:t>DMFS</w:t>
            </w:r>
            <w:r w:rsidRPr="00795225">
              <w:t xml:space="preserve"> 95% UCL 0.79</w:t>
            </w:r>
          </w:p>
        </w:tc>
        <w:tc>
          <w:tcPr>
            <w:tcW w:w="708" w:type="pct"/>
            <w:noWrap/>
          </w:tcPr>
          <w:p w:rsidR="0025368D" w:rsidRPr="002B3E82" w:rsidRDefault="002B3E82" w:rsidP="0025368D">
            <w:pPr>
              <w:pStyle w:val="Tabletext"/>
              <w:ind w:right="205"/>
              <w:jc w:val="right"/>
              <w:rPr>
                <w:highlight w:val="black"/>
              </w:rPr>
            </w:pPr>
            <w:r>
              <w:rPr>
                <w:noProof/>
                <w:color w:val="000000"/>
                <w:highlight w:val="black"/>
              </w:rPr>
              <w:t>'''''''''''''''''''</w:t>
            </w:r>
          </w:p>
        </w:tc>
        <w:tc>
          <w:tcPr>
            <w:tcW w:w="708" w:type="pct"/>
          </w:tcPr>
          <w:p w:rsidR="0025368D" w:rsidRPr="002B3E82" w:rsidRDefault="0025368D" w:rsidP="0025368D">
            <w:pPr>
              <w:pStyle w:val="Tabletext"/>
              <w:ind w:right="205"/>
              <w:jc w:val="right"/>
            </w:pPr>
            <w:r w:rsidRPr="003B6E85">
              <w:t>0.2952</w:t>
            </w:r>
          </w:p>
        </w:tc>
        <w:tc>
          <w:tcPr>
            <w:tcW w:w="679" w:type="pct"/>
            <w:noWrap/>
          </w:tcPr>
          <w:p w:rsidR="0025368D" w:rsidRPr="002B3E82" w:rsidRDefault="002B3E82" w:rsidP="0025368D">
            <w:pPr>
              <w:pStyle w:val="Tabletext"/>
              <w:ind w:right="205"/>
              <w:jc w:val="right"/>
              <w:rPr>
                <w:highlight w:val="black"/>
              </w:rPr>
            </w:pPr>
            <w:r>
              <w:rPr>
                <w:noProof/>
                <w:color w:val="000000"/>
                <w:highlight w:val="black"/>
              </w:rPr>
              <w:t>'''''''''''''''''''''''</w:t>
            </w:r>
          </w:p>
        </w:tc>
      </w:tr>
    </w:tbl>
    <w:p w:rsidR="00AE1E18" w:rsidRPr="00795225" w:rsidRDefault="002D79C8" w:rsidP="008D1BDC">
      <w:pPr>
        <w:pStyle w:val="TableFooter"/>
        <w:widowControl/>
      </w:pPr>
      <w:r w:rsidRPr="00795225">
        <w:t xml:space="preserve">DMD = distant metastatic disease; </w:t>
      </w:r>
      <w:r w:rsidR="00B87AFE" w:rsidRPr="00795225">
        <w:t xml:space="preserve">DMFS = distant metastases free survival; </w:t>
      </w:r>
      <w:r w:rsidRPr="00795225">
        <w:t xml:space="preserve">ESC = Economic Sub-Committee; </w:t>
      </w:r>
      <w:r w:rsidR="00B87AFE" w:rsidRPr="00795225">
        <w:t xml:space="preserve">HR = hazard ratio; </w:t>
      </w:r>
      <w:r w:rsidRPr="00795225">
        <w:t xml:space="preserve">IPI = </w:t>
      </w:r>
      <w:proofErr w:type="spellStart"/>
      <w:r w:rsidRPr="00795225">
        <w:t>ipilimumab</w:t>
      </w:r>
      <w:proofErr w:type="spellEnd"/>
      <w:r w:rsidRPr="00795225">
        <w:t xml:space="preserve">; LD = </w:t>
      </w:r>
      <w:proofErr w:type="spellStart"/>
      <w:r w:rsidRPr="00795225">
        <w:t>locoregional</w:t>
      </w:r>
      <w:proofErr w:type="spellEnd"/>
      <w:r w:rsidRPr="00795225">
        <w:t xml:space="preserve"> disease; </w:t>
      </w:r>
      <w:r w:rsidR="00B87AFE" w:rsidRPr="00795225">
        <w:t xml:space="preserve">NIVO = nivolumab; OS = overall survival; </w:t>
      </w:r>
      <w:r w:rsidR="00EF12D9" w:rsidRPr="00795225">
        <w:t xml:space="preserve">QALY = quality-adjusted life year; </w:t>
      </w:r>
      <w:r w:rsidR="00B87AFE" w:rsidRPr="00795225">
        <w:t xml:space="preserve">RFS = recurrence free survival; </w:t>
      </w:r>
      <w:proofErr w:type="spellStart"/>
      <w:r w:rsidR="00EF12D9" w:rsidRPr="00795225">
        <w:t>SoC</w:t>
      </w:r>
      <w:proofErr w:type="spellEnd"/>
      <w:r w:rsidR="00EF12D9" w:rsidRPr="00795225">
        <w:t xml:space="preserve"> = standard of care; </w:t>
      </w:r>
      <w:r w:rsidRPr="00795225">
        <w:t xml:space="preserve">UCL = upper confidence limit; </w:t>
      </w:r>
    </w:p>
    <w:p w:rsidR="00EF12D9" w:rsidRPr="00795225" w:rsidRDefault="00EF12D9" w:rsidP="008D1BDC">
      <w:pPr>
        <w:pStyle w:val="TableFooter"/>
        <w:widowControl/>
      </w:pPr>
      <w:r w:rsidRPr="00795225">
        <w:rPr>
          <w:vertAlign w:val="superscript"/>
        </w:rPr>
        <w:t>a</w:t>
      </w:r>
      <w:r w:rsidRPr="00795225">
        <w:t xml:space="preserve"> Due to the use of a partitioned survival model structure, changes in the effectiveness of nivolumab in terms of RFS and DMFS does not impact overall survival. </w:t>
      </w:r>
    </w:p>
    <w:p w:rsidR="00EF12D9" w:rsidRPr="00795225" w:rsidRDefault="00EF12D9" w:rsidP="008D1BDC">
      <w:pPr>
        <w:pStyle w:val="TableFooter"/>
        <w:widowControl/>
      </w:pPr>
      <w:r w:rsidRPr="00795225">
        <w:rPr>
          <w:vertAlign w:val="superscript"/>
        </w:rPr>
        <w:t xml:space="preserve">b </w:t>
      </w:r>
      <w:r w:rsidRPr="00795225">
        <w:t>The extrapolation of DMFS and RFS curves using some of the parametric functions produced unexpected results. For example, using the gamma parametric function to extrapolate both the RFS and DMFS resulted in a much lower risk of recurrence in the extrapolated portion of the model, which, all else being equal, would be expected to increase the ICER. However, the ICER in this sensitivity analyses decreased. This is likely due to assumptions made in the implementation of the partitioned survival model: 1) The per-cycle hazard of patients transitioning from the RFS or LD health states (as evidenced by the flat RFS/DMFS survival curves) was lower than the per-cycle hazard of patients dying (either from melanoma-related causes or from all-cause mortality), which meant that patients were preferentially moved from the DMFS, then LD disease states as they die; and 2) The OS curve crossed the RFS and DMFS curves much sooner in the nivolumab arm which resulted in a larger proportion of patients remaining in the RF health state compared to the base, despite the overall survival remaining the same.</w:t>
      </w:r>
    </w:p>
    <w:p w:rsidR="00771E3F" w:rsidRPr="00795225" w:rsidRDefault="00102C5A" w:rsidP="008D1BDC">
      <w:pPr>
        <w:pStyle w:val="TableFooter"/>
        <w:widowControl/>
      </w:pPr>
      <w:r w:rsidRPr="00795225">
        <w:t>Source:</w:t>
      </w:r>
      <w:r w:rsidR="000665DD">
        <w:t xml:space="preserve"> </w:t>
      </w:r>
      <w:r w:rsidR="00771E3F" w:rsidRPr="00795225">
        <w:t>Tables 93, 94, 95, 96 and 97, Section 3 of the resubmission</w:t>
      </w:r>
    </w:p>
    <w:p w:rsidR="00102C5A" w:rsidRDefault="00102C5A" w:rsidP="008D1BDC">
      <w:pPr>
        <w:pStyle w:val="TableFooter"/>
        <w:widowControl/>
      </w:pPr>
    </w:p>
    <w:p w:rsidR="006144A6" w:rsidRDefault="006144A6" w:rsidP="008D1BDC">
      <w:pPr>
        <w:pStyle w:val="TableFooter"/>
        <w:widowControl/>
        <w:rPr>
          <w:rFonts w:asciiTheme="minorHAnsi" w:hAnsiTheme="minorHAnsi" w:cstheme="minorHAnsi"/>
          <w:sz w:val="24"/>
          <w:szCs w:val="24"/>
        </w:rPr>
      </w:pPr>
      <w:r w:rsidRPr="006144A6">
        <w:rPr>
          <w:rFonts w:asciiTheme="minorHAnsi" w:hAnsiTheme="minorHAnsi" w:cstheme="minorHAnsi"/>
          <w:sz w:val="24"/>
          <w:szCs w:val="24"/>
        </w:rPr>
        <w:t>The redacted table shows ICERs in the range of $45,000/QALY – more than $200,000/QALY.</w:t>
      </w:r>
    </w:p>
    <w:p w:rsidR="006144A6" w:rsidRPr="006144A6" w:rsidRDefault="006144A6" w:rsidP="008D1BDC">
      <w:pPr>
        <w:pStyle w:val="TableFooter"/>
        <w:widowControl/>
        <w:rPr>
          <w:rFonts w:asciiTheme="minorHAnsi" w:hAnsiTheme="minorHAnsi" w:cstheme="minorHAnsi"/>
          <w:sz w:val="24"/>
          <w:szCs w:val="24"/>
        </w:rPr>
      </w:pPr>
    </w:p>
    <w:p w:rsidR="00EF12D9" w:rsidRPr="00795225" w:rsidRDefault="00EF12D9" w:rsidP="002E5FAF">
      <w:pPr>
        <w:pStyle w:val="Heading2"/>
        <w:widowControl/>
      </w:pPr>
      <w:bookmarkStart w:id="27" w:name="_Toc371170711"/>
      <w:bookmarkStart w:id="28" w:name="_Toc536007263"/>
      <w:r w:rsidRPr="00795225">
        <w:t>Drug cost/patient/</w:t>
      </w:r>
      <w:bookmarkEnd w:id="27"/>
      <w:r w:rsidRPr="00795225">
        <w:t>course: $</w:t>
      </w:r>
      <w:bookmarkEnd w:id="28"/>
      <w:r w:rsidR="002B3E82">
        <w:rPr>
          <w:noProof/>
          <w:color w:val="000000"/>
          <w:highlight w:val="black"/>
        </w:rPr>
        <w:t xml:space="preserve">''''''''''' </w:t>
      </w:r>
    </w:p>
    <w:p w:rsidR="00C0275B" w:rsidRPr="00795225" w:rsidRDefault="00E571C0" w:rsidP="00D736AF">
      <w:pPr>
        <w:pStyle w:val="ListParagraph"/>
        <w:keepNext/>
        <w:widowControl/>
        <w:numPr>
          <w:ilvl w:val="1"/>
          <w:numId w:val="1"/>
        </w:numPr>
      </w:pPr>
      <w:r w:rsidRPr="00795225">
        <w:t>This cost was b</w:t>
      </w:r>
      <w:r w:rsidR="00EF12D9" w:rsidRPr="00795225">
        <w:t xml:space="preserve">ased on </w:t>
      </w:r>
      <w:r w:rsidR="00B6184F" w:rsidRPr="00795225">
        <w:t>a</w:t>
      </w:r>
      <w:r w:rsidRPr="00795225">
        <w:t xml:space="preserve"> recommended dose of 3 mg/</w:t>
      </w:r>
      <w:r w:rsidR="002D79C8" w:rsidRPr="00795225">
        <w:t>kg administered every two weeks and</w:t>
      </w:r>
      <w:r w:rsidRPr="00795225">
        <w:t xml:space="preserve"> </w:t>
      </w:r>
      <w:r w:rsidR="00EF12D9" w:rsidRPr="00795225">
        <w:t>a mean (SD) weight of 81.33 (SD</w:t>
      </w:r>
      <w:r w:rsidR="002D79C8" w:rsidRPr="00795225">
        <w:t>:</w:t>
      </w:r>
      <w:r w:rsidR="00EF12D9" w:rsidRPr="00795225">
        <w:t xml:space="preserve"> 19.42) kilograms per person (</w:t>
      </w:r>
      <w:r w:rsidR="00916E4E" w:rsidRPr="00795225">
        <w:t xml:space="preserve">from </w:t>
      </w:r>
      <w:r w:rsidR="00EF12D9" w:rsidRPr="00795225">
        <w:t>CA238), assuming a normal distribution around the mean. The expected number of whole 20 mg dispensing intervals (i.e. incorporating wastage, as nivolumab may be dispensed in 20</w:t>
      </w:r>
      <w:r w:rsidR="00525352" w:rsidRPr="00795225">
        <w:t xml:space="preserve"> </w:t>
      </w:r>
      <w:r w:rsidR="00EF12D9" w:rsidRPr="00795225">
        <w:t>mg intervals</w:t>
      </w:r>
      <w:r w:rsidR="00916E4E" w:rsidRPr="00795225">
        <w:t xml:space="preserve"> for doses over 80 mg</w:t>
      </w:r>
      <w:r w:rsidR="00EF12D9" w:rsidRPr="00795225">
        <w:t>) per dose was calculated to be 12.70, which equated to a mean dose 254</w:t>
      </w:r>
      <w:r w:rsidR="00525352" w:rsidRPr="00795225">
        <w:t xml:space="preserve"> </w:t>
      </w:r>
      <w:r w:rsidR="00EF12D9" w:rsidRPr="00795225">
        <w:t>mg per person. This was multiplied by the expected average number of doses of nivolumab (19.6 doses) as observed in CA238</w:t>
      </w:r>
      <w:r w:rsidR="00A7565E" w:rsidRPr="00795225">
        <w:t xml:space="preserve"> (i.e. 39.2 weeks’ total duration)</w:t>
      </w:r>
      <w:r w:rsidR="002D79C8" w:rsidRPr="00795225">
        <w:t xml:space="preserve"> and</w:t>
      </w:r>
      <w:r w:rsidR="00EF12D9" w:rsidRPr="00795225">
        <w:t xml:space="preserve"> assuming 70% will be dispensed for use in a </w:t>
      </w:r>
      <w:r w:rsidR="00EF12D9" w:rsidRPr="00795225">
        <w:lastRenderedPageBreak/>
        <w:t xml:space="preserve">private hospital (based on PBS statistics for </w:t>
      </w:r>
      <w:proofErr w:type="spellStart"/>
      <w:r w:rsidR="00EF12D9" w:rsidRPr="00795225">
        <w:t>ipilimumab</w:t>
      </w:r>
      <w:proofErr w:type="spellEnd"/>
      <w:r w:rsidR="00EF12D9" w:rsidRPr="00795225">
        <w:t>, nivolumab and pembrolizumab).</w:t>
      </w:r>
    </w:p>
    <w:p w:rsidR="00DA6D66" w:rsidRPr="00795225" w:rsidRDefault="00DA6D66" w:rsidP="00AB274E">
      <w:pPr>
        <w:pStyle w:val="ListParagraph"/>
        <w:keepNext/>
        <w:widowControl/>
        <w:numPr>
          <w:ilvl w:val="1"/>
          <w:numId w:val="1"/>
        </w:numPr>
        <w:spacing w:after="0"/>
      </w:pPr>
      <w:r w:rsidRPr="00795225">
        <w:t xml:space="preserve">For </w:t>
      </w:r>
      <w:r w:rsidR="00AB274E" w:rsidRPr="00795225">
        <w:t xml:space="preserve">a </w:t>
      </w:r>
      <w:r w:rsidR="002E5FAF" w:rsidRPr="00795225">
        <w:t xml:space="preserve">maximum </w:t>
      </w:r>
      <w:r w:rsidR="00AB274E" w:rsidRPr="00795225">
        <w:t>12-month course of treatment</w:t>
      </w:r>
      <w:r w:rsidR="002E5FAF" w:rsidRPr="00795225">
        <w:t xml:space="preserve"> (i.e. 26 administrations)</w:t>
      </w:r>
      <w:r w:rsidR="00AB274E" w:rsidRPr="00795225">
        <w:t xml:space="preserve">, with 3 mg/kg </w:t>
      </w:r>
      <w:r w:rsidR="006B563A" w:rsidRPr="00795225">
        <w:t xml:space="preserve">every two week </w:t>
      </w:r>
      <w:r w:rsidR="00AB274E" w:rsidRPr="00795225">
        <w:t>dosing:</w:t>
      </w:r>
    </w:p>
    <w:p w:rsidR="00AB274E" w:rsidRPr="00795225" w:rsidRDefault="00AB274E" w:rsidP="002D79C8">
      <w:pPr>
        <w:pStyle w:val="ListParagraph"/>
        <w:keepNext/>
        <w:widowControl/>
        <w:numPr>
          <w:ilvl w:val="0"/>
          <w:numId w:val="14"/>
        </w:numPr>
        <w:spacing w:after="0"/>
        <w:ind w:left="1077" w:hanging="357"/>
      </w:pPr>
      <w:r w:rsidRPr="00795225">
        <w:t>Drug cost/patient/course: $</w:t>
      </w:r>
      <w:r w:rsidR="002B3E82">
        <w:rPr>
          <w:noProof/>
          <w:color w:val="000000"/>
          <w:highlight w:val="black"/>
        </w:rPr>
        <w:t>''''''''''''</w:t>
      </w:r>
      <w:r w:rsidRPr="00795225">
        <w:t xml:space="preserve"> </w:t>
      </w:r>
    </w:p>
    <w:p w:rsidR="00AB274E" w:rsidRPr="00795225" w:rsidRDefault="00AB274E" w:rsidP="002D79C8">
      <w:pPr>
        <w:pStyle w:val="ListParagraph"/>
        <w:keepNext/>
        <w:widowControl/>
        <w:numPr>
          <w:ilvl w:val="0"/>
          <w:numId w:val="14"/>
        </w:numPr>
        <w:ind w:left="1077" w:hanging="357"/>
      </w:pPr>
      <w:r w:rsidRPr="00795225">
        <w:t>Administration cost/patient/</w:t>
      </w:r>
      <w:r w:rsidR="002E5FAF" w:rsidRPr="00795225">
        <w:t>course</w:t>
      </w:r>
      <w:r w:rsidRPr="00795225">
        <w:t>: $</w:t>
      </w:r>
      <w:r w:rsidR="002B3E82">
        <w:rPr>
          <w:noProof/>
          <w:color w:val="000000"/>
          <w:highlight w:val="black"/>
        </w:rPr>
        <w:t>'''''''''''</w:t>
      </w:r>
    </w:p>
    <w:p w:rsidR="00AB274E" w:rsidRPr="00795225" w:rsidRDefault="008A2994" w:rsidP="00AB274E">
      <w:pPr>
        <w:pStyle w:val="ListParagraph"/>
        <w:keepNext/>
        <w:widowControl/>
        <w:numPr>
          <w:ilvl w:val="1"/>
          <w:numId w:val="1"/>
        </w:numPr>
        <w:spacing w:after="0"/>
      </w:pPr>
      <w:r w:rsidRPr="00795225">
        <w:t>W</w:t>
      </w:r>
      <w:r w:rsidR="00AB274E" w:rsidRPr="00795225">
        <w:t xml:space="preserve">ith fixed dose 480 mg </w:t>
      </w:r>
      <w:r w:rsidR="006B563A" w:rsidRPr="00795225">
        <w:t xml:space="preserve">every four week </w:t>
      </w:r>
      <w:r w:rsidR="00AB274E" w:rsidRPr="00795225">
        <w:t>dosing</w:t>
      </w:r>
      <w:r w:rsidR="00A7565E" w:rsidRPr="00795225">
        <w:t>:</w:t>
      </w:r>
    </w:p>
    <w:p w:rsidR="00AB274E" w:rsidRPr="00795225" w:rsidRDefault="00AB274E" w:rsidP="002D79C8">
      <w:pPr>
        <w:pStyle w:val="ListParagraph"/>
        <w:keepNext/>
        <w:widowControl/>
        <w:numPr>
          <w:ilvl w:val="0"/>
          <w:numId w:val="14"/>
        </w:numPr>
        <w:spacing w:after="0"/>
        <w:ind w:left="1077" w:hanging="357"/>
      </w:pPr>
      <w:r w:rsidRPr="00795225">
        <w:t xml:space="preserve">Drug cost/patient/course: </w:t>
      </w:r>
      <w:r w:rsidR="002E5FAF" w:rsidRPr="00795225">
        <w:t>$</w:t>
      </w:r>
      <w:r w:rsidR="002B3E82">
        <w:rPr>
          <w:noProof/>
          <w:color w:val="000000"/>
          <w:highlight w:val="black"/>
        </w:rPr>
        <w:t>'''''''''''''</w:t>
      </w:r>
      <w:r w:rsidR="002E5FAF" w:rsidRPr="00795225">
        <w:t xml:space="preserve"> (13 administrations</w:t>
      </w:r>
      <w:r w:rsidR="008A2994" w:rsidRPr="00795225">
        <w:t xml:space="preserve"> for maximum 12 month course of treatment</w:t>
      </w:r>
      <w:r w:rsidR="002E5FAF" w:rsidRPr="00795225">
        <w:t>) or $</w:t>
      </w:r>
      <w:r w:rsidR="002B3E82">
        <w:rPr>
          <w:noProof/>
          <w:color w:val="000000"/>
          <w:highlight w:val="black"/>
        </w:rPr>
        <w:t>''''''''''''</w:t>
      </w:r>
      <w:r w:rsidR="002E5FAF" w:rsidRPr="00795225">
        <w:t xml:space="preserve"> (9.8 doses, same treatment duration as CA238)</w:t>
      </w:r>
    </w:p>
    <w:p w:rsidR="00AB274E" w:rsidRPr="00795225" w:rsidRDefault="00AB274E" w:rsidP="002D79C8">
      <w:pPr>
        <w:pStyle w:val="ListParagraph"/>
        <w:keepNext/>
        <w:widowControl/>
        <w:numPr>
          <w:ilvl w:val="0"/>
          <w:numId w:val="14"/>
        </w:numPr>
        <w:ind w:left="1077" w:hanging="357"/>
      </w:pPr>
      <w:r w:rsidRPr="00795225">
        <w:t>Administration cost/patient/course</w:t>
      </w:r>
      <w:r w:rsidR="002E5FAF" w:rsidRPr="00795225">
        <w:t>: $</w:t>
      </w:r>
      <w:r w:rsidR="002B3E82">
        <w:rPr>
          <w:noProof/>
          <w:color w:val="000000"/>
          <w:highlight w:val="black"/>
        </w:rPr>
        <w:t>'''''''''''''</w:t>
      </w:r>
      <w:r w:rsidR="002E5FAF" w:rsidRPr="00795225">
        <w:t xml:space="preserve"> (13 administrations) or $</w:t>
      </w:r>
      <w:r w:rsidR="002B3E82">
        <w:rPr>
          <w:noProof/>
          <w:color w:val="000000"/>
          <w:highlight w:val="black"/>
        </w:rPr>
        <w:t>''''''''''''''</w:t>
      </w:r>
      <w:r w:rsidR="002E5FAF" w:rsidRPr="00795225">
        <w:t xml:space="preserve"> (9.8 administrations).</w:t>
      </w:r>
    </w:p>
    <w:p w:rsidR="00EF12D9" w:rsidRPr="00795225" w:rsidRDefault="00EF12D9" w:rsidP="00D736AF">
      <w:pPr>
        <w:pStyle w:val="ListParagraph"/>
        <w:keepNext/>
        <w:widowControl/>
        <w:numPr>
          <w:ilvl w:val="1"/>
          <w:numId w:val="1"/>
        </w:numPr>
      </w:pPr>
      <w:r w:rsidRPr="00795225">
        <w:t>This compared to a drug cost/patient/course of $</w:t>
      </w:r>
      <w:r w:rsidR="002B3E82">
        <w:rPr>
          <w:noProof/>
          <w:color w:val="000000"/>
          <w:highlight w:val="black"/>
        </w:rPr>
        <w:t>''''''''''''''''</w:t>
      </w:r>
      <w:r w:rsidRPr="00795225">
        <w:t xml:space="preserve"> in the previous submission. The </w:t>
      </w:r>
      <w:r w:rsidR="002D79C8" w:rsidRPr="00795225">
        <w:t>assumption of</w:t>
      </w:r>
      <w:r w:rsidR="00547D5F" w:rsidRPr="00795225">
        <w:t xml:space="preserve"> 19.6 doses </w:t>
      </w:r>
      <w:r w:rsidRPr="00795225">
        <w:t>was consistent with the original submission</w:t>
      </w:r>
      <w:r w:rsidR="002D79C8" w:rsidRPr="00795225">
        <w:t xml:space="preserve">; however the cost per 100 mg vial has changed from </w:t>
      </w:r>
      <w:r w:rsidRPr="00795225">
        <w:t>$</w:t>
      </w:r>
      <w:r w:rsidR="002B3E82">
        <w:rPr>
          <w:noProof/>
          <w:color w:val="000000"/>
          <w:highlight w:val="black"/>
        </w:rPr>
        <w:t>'''''''''''''''''</w:t>
      </w:r>
      <w:r w:rsidRPr="00795225">
        <w:t xml:space="preserve"> in the original submission to $</w:t>
      </w:r>
      <w:r w:rsidR="002B3E82">
        <w:rPr>
          <w:noProof/>
          <w:color w:val="000000"/>
          <w:highlight w:val="black"/>
        </w:rPr>
        <w:t>'''''''''''</w:t>
      </w:r>
      <w:r w:rsidRPr="00795225">
        <w:t xml:space="preserve"> in the resubmission. </w:t>
      </w:r>
    </w:p>
    <w:p w:rsidR="00EF12D9" w:rsidRPr="00795225" w:rsidRDefault="00EF12D9" w:rsidP="008D1BDC">
      <w:pPr>
        <w:pStyle w:val="Heading2"/>
        <w:widowControl/>
      </w:pPr>
      <w:bookmarkStart w:id="29" w:name="_Toc536007264"/>
      <w:r w:rsidRPr="00795225">
        <w:t>Estimated PBS usage &amp; financial implications</w:t>
      </w:r>
      <w:bookmarkEnd w:id="29"/>
    </w:p>
    <w:p w:rsidR="00EF12D9" w:rsidRPr="00795225" w:rsidRDefault="00EF12D9" w:rsidP="00D736AF">
      <w:pPr>
        <w:pStyle w:val="ListParagraph"/>
        <w:widowControl/>
        <w:numPr>
          <w:ilvl w:val="1"/>
          <w:numId w:val="1"/>
        </w:numPr>
      </w:pPr>
      <w:r w:rsidRPr="00795225">
        <w:t xml:space="preserve">This submission </w:t>
      </w:r>
      <w:r w:rsidR="00673625" w:rsidRPr="00795225">
        <w:t>was</w:t>
      </w:r>
      <w:r w:rsidRPr="00795225">
        <w:t xml:space="preserve"> not considered by DUSC</w:t>
      </w:r>
      <w:r w:rsidR="003C49F5">
        <w:t>.</w:t>
      </w:r>
    </w:p>
    <w:p w:rsidR="000E743B" w:rsidRPr="00795225" w:rsidRDefault="00EF12D9" w:rsidP="00B5681B">
      <w:pPr>
        <w:pStyle w:val="ListParagraph"/>
        <w:widowControl/>
        <w:numPr>
          <w:ilvl w:val="1"/>
          <w:numId w:val="1"/>
        </w:numPr>
        <w:rPr>
          <w:i/>
        </w:rPr>
      </w:pPr>
      <w:r w:rsidRPr="00795225">
        <w:t xml:space="preserve">The submission used an epidemiological approach to estimate the likely extent of use of adjuvant nivolumab and </w:t>
      </w:r>
      <w:r w:rsidR="002D79C8" w:rsidRPr="00795225">
        <w:t xml:space="preserve">the </w:t>
      </w:r>
      <w:r w:rsidRPr="00795225">
        <w:t xml:space="preserve">associated financial implications to the PBS/RPBS. Most of the data sources used in the financial analysis were changed from the previous submission. The number of patients likely to receive nivolumab adjuvant therapy was </w:t>
      </w:r>
      <w:r w:rsidR="002D79C8" w:rsidRPr="00795225">
        <w:t xml:space="preserve">mainly </w:t>
      </w:r>
      <w:r w:rsidRPr="00795225">
        <w:t xml:space="preserve">estimated </w:t>
      </w:r>
      <w:r w:rsidR="002D79C8" w:rsidRPr="00795225">
        <w:t>using</w:t>
      </w:r>
      <w:r w:rsidRPr="00795225">
        <w:t xml:space="preserve"> Australian studies</w:t>
      </w:r>
      <w:r w:rsidRPr="00795225">
        <w:rPr>
          <w:rStyle w:val="FootnoteReference"/>
        </w:rPr>
        <w:footnoteReference w:id="8"/>
      </w:r>
      <w:r w:rsidRPr="00795225">
        <w:t xml:space="preserve"> and national databases</w:t>
      </w:r>
      <w:r w:rsidRPr="00795225">
        <w:rPr>
          <w:rStyle w:val="FootnoteReference"/>
        </w:rPr>
        <w:footnoteReference w:id="9"/>
      </w:r>
      <w:r w:rsidRPr="00795225">
        <w:t>. Retreatment with nivolumab in the same (adjuvant) setting was not taken into account in the base case financial analysis, although such use was proposed by the resubmission. The size of the patient population initially diagnosed with earlier stages of disease that progress to Stage III</w:t>
      </w:r>
      <w:r w:rsidR="002D79C8" w:rsidRPr="00795225">
        <w:t xml:space="preserve"> or </w:t>
      </w:r>
      <w:r w:rsidRPr="00795225">
        <w:t>IV melanoma was estimated on the basis of a study</w:t>
      </w:r>
      <w:r w:rsidRPr="00795225">
        <w:rPr>
          <w:rStyle w:val="FootnoteReference"/>
        </w:rPr>
        <w:footnoteReference w:id="10"/>
      </w:r>
      <w:r w:rsidRPr="00795225">
        <w:t xml:space="preserve"> which analysed RFS data from the Melanoma Institute Australia on an inception cohort of patients first diagnosed with </w:t>
      </w:r>
      <w:r w:rsidR="00916E4E" w:rsidRPr="00795225">
        <w:t>S</w:t>
      </w:r>
      <w:r w:rsidRPr="00795225">
        <w:t xml:space="preserve">tage I or II melanoma in 1985-2009. The disease staging system and melanoma treatments of the included patients were outdated. </w:t>
      </w:r>
      <w:r w:rsidR="00A50621" w:rsidRPr="00795225">
        <w:t>In addition, the rate reported in the study is the recurrence of all dis</w:t>
      </w:r>
      <w:r w:rsidR="002D79C8" w:rsidRPr="00795225">
        <w:t xml:space="preserve">ease stages, not only Stages III and </w:t>
      </w:r>
      <w:r w:rsidR="00A50621" w:rsidRPr="00795225">
        <w:t xml:space="preserve">IV. </w:t>
      </w:r>
      <w:r w:rsidRPr="00795225">
        <w:t>Therefore, the number of patients</w:t>
      </w:r>
      <w:r w:rsidR="002D79C8" w:rsidRPr="00795225">
        <w:t xml:space="preserve"> developing recurrent Stage III or </w:t>
      </w:r>
      <w:r w:rsidRPr="00795225">
        <w:t xml:space="preserve">IV </w:t>
      </w:r>
      <w:r w:rsidRPr="00795225">
        <w:lastRenderedPageBreak/>
        <w:t xml:space="preserve">disease from earlier stages may differ </w:t>
      </w:r>
      <w:r w:rsidR="002D79C8" w:rsidRPr="00795225">
        <w:t xml:space="preserve">in clinical practice </w:t>
      </w:r>
      <w:r w:rsidRPr="00795225">
        <w:t>from the resubmission’s estimate.</w:t>
      </w:r>
    </w:p>
    <w:p w:rsidR="00EF12D9" w:rsidRPr="00795225" w:rsidRDefault="00EF12D9" w:rsidP="00D736AF">
      <w:pPr>
        <w:pStyle w:val="ListParagraph"/>
        <w:widowControl/>
        <w:numPr>
          <w:ilvl w:val="1"/>
          <w:numId w:val="1"/>
        </w:numPr>
      </w:pPr>
      <w:r w:rsidRPr="00795225">
        <w:t xml:space="preserve">The resubmission expected that the use of adjuvant nivolumab would result in a decrease in the number of patients who experience disease recurrence and require treatment for </w:t>
      </w:r>
      <w:proofErr w:type="spellStart"/>
      <w:r w:rsidRPr="00795225">
        <w:t>unresectable</w:t>
      </w:r>
      <w:proofErr w:type="spellEnd"/>
      <w:r w:rsidRPr="00795225">
        <w:t xml:space="preserve"> Stage III</w:t>
      </w:r>
      <w:r w:rsidR="00BA5DBD" w:rsidRPr="00795225">
        <w:t xml:space="preserve"> or </w:t>
      </w:r>
      <w:r w:rsidRPr="00795225">
        <w:t xml:space="preserve">IV melanoma. It was assumed that the flow-on impact to the treatment costs in the </w:t>
      </w:r>
      <w:proofErr w:type="spellStart"/>
      <w:r w:rsidR="00BA5DBD" w:rsidRPr="00795225">
        <w:t>unresectable</w:t>
      </w:r>
      <w:proofErr w:type="spellEnd"/>
      <w:r w:rsidR="00BA5DBD" w:rsidRPr="00795225">
        <w:t xml:space="preserve"> or metastatic </w:t>
      </w:r>
      <w:r w:rsidRPr="00795225">
        <w:t>setting would commence 12 months post listing of adjuvant nivolumab (</w:t>
      </w:r>
      <w:r w:rsidR="00916E4E" w:rsidRPr="00795225">
        <w:t>i.e</w:t>
      </w:r>
      <w:r w:rsidRPr="00795225">
        <w:t xml:space="preserve">. no cost offsets in Year 1 of listing). In subsequent years, the decrease in the costs of melanoma therapies in the </w:t>
      </w:r>
      <w:proofErr w:type="spellStart"/>
      <w:r w:rsidR="00BA5DBD" w:rsidRPr="00795225">
        <w:t>unresectable</w:t>
      </w:r>
      <w:proofErr w:type="spellEnd"/>
      <w:r w:rsidR="00BA5DBD" w:rsidRPr="00795225">
        <w:t xml:space="preserve"> or metastatic </w:t>
      </w:r>
      <w:r w:rsidRPr="00795225">
        <w:t>setting was estimated by applying 58% (the resubmission’s estimate of the proportion of Stage IV patients that could receive adjuvant treatment) and 11% (difference in 10-Year DMFS rate between the nivolumab and observation arm in the economic model) to the extrapolated Risk Sharing Arrangement (RSA) caps (for PD-1 inhibitors</w:t>
      </w:r>
      <w:r w:rsidR="003858AF" w:rsidRPr="00795225">
        <w:t xml:space="preserve"> </w:t>
      </w:r>
      <w:r w:rsidRPr="00795225">
        <w:t xml:space="preserve">and </w:t>
      </w:r>
      <w:proofErr w:type="spellStart"/>
      <w:r w:rsidR="003858AF" w:rsidRPr="00795225">
        <w:t>ip</w:t>
      </w:r>
      <w:r w:rsidR="001E1955" w:rsidRPr="00795225">
        <w:t>ilimumab</w:t>
      </w:r>
      <w:proofErr w:type="spellEnd"/>
      <w:r w:rsidRPr="00795225">
        <w:t>) or government expenditure (for BRAF/MEK inhibitors). The submission’s approach raised a number of issues</w:t>
      </w:r>
      <w:r w:rsidR="002D79C8" w:rsidRPr="00795225">
        <w:t>, including</w:t>
      </w:r>
      <w:r w:rsidRPr="00795225">
        <w:t>:</w:t>
      </w:r>
    </w:p>
    <w:p w:rsidR="00EF12D9" w:rsidRPr="00795225" w:rsidRDefault="00EF12D9" w:rsidP="002D79C8">
      <w:pPr>
        <w:pStyle w:val="Bulletpoints"/>
        <w:widowControl/>
        <w:ind w:left="1077" w:hanging="357"/>
      </w:pPr>
      <w:r w:rsidRPr="00795225">
        <w:t xml:space="preserve">PD-1 inhibitors, </w:t>
      </w:r>
      <w:proofErr w:type="spellStart"/>
      <w:r w:rsidRPr="00795225">
        <w:t>ipilimumab</w:t>
      </w:r>
      <w:proofErr w:type="spellEnd"/>
      <w:r w:rsidRPr="00795225">
        <w:t xml:space="preserve"> and BRAF/MEK inhibitors are currently listed on the PBS for treatment of </w:t>
      </w:r>
      <w:proofErr w:type="spellStart"/>
      <w:r w:rsidRPr="00795225">
        <w:t>unresectable</w:t>
      </w:r>
      <w:proofErr w:type="spellEnd"/>
      <w:r w:rsidRPr="00795225">
        <w:t xml:space="preserve"> Stage III or Stage IV melanoma. DMFS is not a reasonable proxy for estimating the avoidance of subsequent anti-cancer treatments, as patients with </w:t>
      </w:r>
      <w:proofErr w:type="spellStart"/>
      <w:r w:rsidRPr="00795225">
        <w:t>unresectable</w:t>
      </w:r>
      <w:proofErr w:type="spellEnd"/>
      <w:r w:rsidRPr="00795225">
        <w:t xml:space="preserve"> regional (Stage III) recurrent disease are also eligible for post-recurrence medicines;</w:t>
      </w:r>
    </w:p>
    <w:p w:rsidR="00EF12D9" w:rsidRPr="00795225" w:rsidRDefault="00D4619E" w:rsidP="002D79C8">
      <w:pPr>
        <w:pStyle w:val="Bulletpoints"/>
        <w:widowControl/>
        <w:ind w:left="1077" w:hanging="357"/>
      </w:pPr>
      <w:r w:rsidRPr="00795225">
        <w:t>t</w:t>
      </w:r>
      <w:r w:rsidR="00EF12D9" w:rsidRPr="00795225">
        <w:t>he resubmission assumed that the estimated 6.4%</w:t>
      </w:r>
      <w:r w:rsidR="00EF12D9" w:rsidRPr="00795225">
        <w:rPr>
          <w:vertAlign w:val="superscript"/>
        </w:rPr>
        <w:footnoteReference w:id="11"/>
      </w:r>
      <w:r w:rsidR="00EF12D9" w:rsidRPr="00795225">
        <w:t xml:space="preserve"> reduction in patients treated in the </w:t>
      </w:r>
      <w:proofErr w:type="spellStart"/>
      <w:r w:rsidR="00EF12D9" w:rsidRPr="00795225">
        <w:t>unresectable</w:t>
      </w:r>
      <w:proofErr w:type="spellEnd"/>
      <w:r w:rsidR="00EF12D9" w:rsidRPr="00795225">
        <w:t xml:space="preserve"> </w:t>
      </w:r>
      <w:r w:rsidR="00BA5DBD" w:rsidRPr="00795225">
        <w:t xml:space="preserve">or metastatic </w:t>
      </w:r>
      <w:r w:rsidR="00EF12D9" w:rsidRPr="00795225">
        <w:t xml:space="preserve">setting would result in a 6.4% reduction in </w:t>
      </w:r>
      <w:r w:rsidRPr="00795225">
        <w:t xml:space="preserve">the </w:t>
      </w:r>
      <w:r w:rsidR="00EF12D9" w:rsidRPr="00795225">
        <w:t xml:space="preserve">RSA caps for PD-1 inhibitors and for </w:t>
      </w:r>
      <w:proofErr w:type="spellStart"/>
      <w:r w:rsidR="00EF12D9" w:rsidRPr="00795225">
        <w:t>ipilimumab</w:t>
      </w:r>
      <w:proofErr w:type="spellEnd"/>
      <w:r w:rsidR="00EF12D9" w:rsidRPr="00795225">
        <w:t xml:space="preserve">. This implicitly assumed that the use of adjuvant nivolumab would not affect the distribution of post-recurrence treatments with PD-1 inhibitors, </w:t>
      </w:r>
      <w:proofErr w:type="spellStart"/>
      <w:r w:rsidR="00EF12D9" w:rsidRPr="00795225">
        <w:t>ipilimumab</w:t>
      </w:r>
      <w:proofErr w:type="spellEnd"/>
      <w:r w:rsidR="00EF12D9" w:rsidRPr="00795225">
        <w:t xml:space="preserve"> and BRAF/MEK inhibitors for </w:t>
      </w:r>
      <w:proofErr w:type="spellStart"/>
      <w:r w:rsidR="00EF12D9" w:rsidRPr="00795225">
        <w:t>unresectable</w:t>
      </w:r>
      <w:proofErr w:type="spellEnd"/>
      <w:r w:rsidR="00BA5DBD" w:rsidRPr="00795225">
        <w:t xml:space="preserve"> or </w:t>
      </w:r>
      <w:r w:rsidRPr="00795225">
        <w:t>metastatic melanoma. This wa</w:t>
      </w:r>
      <w:r w:rsidR="00EF12D9" w:rsidRPr="00795225">
        <w:t>s unreasonable;</w:t>
      </w:r>
      <w:r w:rsidRPr="00795225">
        <w:t xml:space="preserve"> and</w:t>
      </w:r>
      <w:r w:rsidR="00EF12D9" w:rsidRPr="00795225">
        <w:t xml:space="preserve"> </w:t>
      </w:r>
    </w:p>
    <w:p w:rsidR="00EF12D9" w:rsidRPr="00795225" w:rsidRDefault="00D4619E" w:rsidP="002D79C8">
      <w:pPr>
        <w:pStyle w:val="Bulletpoints"/>
        <w:widowControl/>
        <w:spacing w:after="160"/>
        <w:ind w:left="1077" w:hanging="357"/>
      </w:pPr>
      <w:r w:rsidRPr="00795225">
        <w:t>t</w:t>
      </w:r>
      <w:r w:rsidR="00EF12D9" w:rsidRPr="00795225">
        <w:t xml:space="preserve">he expenditure cap for </w:t>
      </w:r>
      <w:proofErr w:type="spellStart"/>
      <w:r w:rsidR="00EF12D9" w:rsidRPr="00795225">
        <w:t>ipilimumab</w:t>
      </w:r>
      <w:proofErr w:type="spellEnd"/>
      <w:r w:rsidR="00EF12D9" w:rsidRPr="00795225">
        <w:t xml:space="preserve"> was not reached over the first 4 years of the Deed. The use of the </w:t>
      </w:r>
      <w:proofErr w:type="spellStart"/>
      <w:r w:rsidR="00EF12D9" w:rsidRPr="00795225">
        <w:t>ipilimumab</w:t>
      </w:r>
      <w:proofErr w:type="spellEnd"/>
      <w:r w:rsidR="00EF12D9" w:rsidRPr="00795225">
        <w:t xml:space="preserve"> RSA cap, not the actual government expenditure, to determine the reduction in PBS/RPBS cost for </w:t>
      </w:r>
      <w:proofErr w:type="spellStart"/>
      <w:r w:rsidR="00EF12D9" w:rsidRPr="00795225">
        <w:t>ipilimumab</w:t>
      </w:r>
      <w:proofErr w:type="spellEnd"/>
      <w:r w:rsidR="00EF12D9" w:rsidRPr="00795225">
        <w:t xml:space="preserve"> in the </w:t>
      </w:r>
      <w:proofErr w:type="spellStart"/>
      <w:r w:rsidR="00BA5DBD" w:rsidRPr="00795225">
        <w:t>unresectable</w:t>
      </w:r>
      <w:proofErr w:type="spellEnd"/>
      <w:r w:rsidR="00BA5DBD" w:rsidRPr="00795225">
        <w:t xml:space="preserve"> or metastatic</w:t>
      </w:r>
      <w:r w:rsidR="00EF12D9" w:rsidRPr="00795225">
        <w:t xml:space="preserve"> setting due to the listing of adjuvant nivolumab</w:t>
      </w:r>
      <w:r w:rsidR="006B6EEB" w:rsidRPr="00795225">
        <w:t xml:space="preserve">, </w:t>
      </w:r>
      <w:r w:rsidR="00EF12D9" w:rsidRPr="00795225">
        <w:t>resulted in an overestimation of the associated cost offsets.</w:t>
      </w:r>
    </w:p>
    <w:p w:rsidR="00EF12D9" w:rsidRPr="00795225" w:rsidRDefault="00EF12D9" w:rsidP="00D736AF">
      <w:pPr>
        <w:pStyle w:val="ListParagraph"/>
        <w:widowControl/>
        <w:numPr>
          <w:ilvl w:val="1"/>
          <w:numId w:val="1"/>
        </w:numPr>
      </w:pPr>
      <w:r w:rsidRPr="00795225">
        <w:t>The extent of use and the financial implications to the government budget associated with the proposed listing of adjuvant nivolumab are summarised in the table below. Compared with the original submission, the net cost to the PBS/RPBS increased by approxim</w:t>
      </w:r>
      <w:r w:rsidR="00D4619E" w:rsidRPr="00795225">
        <w:t>ately 50% in Y</w:t>
      </w:r>
      <w:r w:rsidRPr="00795225">
        <w:t xml:space="preserve">ear 1 of listing. This was due to the inclusion </w:t>
      </w:r>
      <w:r w:rsidR="00794D9A" w:rsidRPr="00795225">
        <w:t>of grandfathered</w:t>
      </w:r>
      <w:r w:rsidR="00D4619E" w:rsidRPr="00795225">
        <w:t xml:space="preserve"> patients (N </w:t>
      </w:r>
      <w:r w:rsidRPr="00795225">
        <w:t>=</w:t>
      </w:r>
      <w:r w:rsidR="00D4619E" w:rsidRPr="00795225">
        <w:t xml:space="preserve"> </w:t>
      </w:r>
      <w:r w:rsidRPr="00795225">
        <w:t xml:space="preserve">720; estimated </w:t>
      </w:r>
      <w:r w:rsidR="00D4619E" w:rsidRPr="00795225">
        <w:t>on the basis of the current nivolumab</w:t>
      </w:r>
      <w:r w:rsidRPr="00795225">
        <w:t xml:space="preserve"> PAP) and the removal of cost offsets in Year 1. In subsequent years, the PBS/RPBS cost of nivolumab did not change greatly from the previous submission</w:t>
      </w:r>
      <w:r w:rsidR="003858AF" w:rsidRPr="00795225">
        <w:t xml:space="preserve"> as a</w:t>
      </w:r>
      <w:r w:rsidRPr="00795225">
        <w:t>lthough the estimated number of patients likely to be treated increased by a</w:t>
      </w:r>
      <w:r w:rsidR="00D4619E" w:rsidRPr="00795225">
        <w:t>pproximately</w:t>
      </w:r>
      <w:r w:rsidRPr="00795225">
        <w:t xml:space="preserve"> 50% (primarily due </w:t>
      </w:r>
      <w:r w:rsidRPr="00795225">
        <w:lastRenderedPageBreak/>
        <w:t xml:space="preserve">to the inclusion of patients </w:t>
      </w:r>
      <w:r w:rsidR="006B6EEB" w:rsidRPr="00795225">
        <w:t xml:space="preserve">initially </w:t>
      </w:r>
      <w:r w:rsidRPr="00795225">
        <w:t xml:space="preserve">diagnosed with Stage I or II disease that experience recurrence with </w:t>
      </w:r>
      <w:proofErr w:type="spellStart"/>
      <w:r w:rsidRPr="00795225">
        <w:t>resectable</w:t>
      </w:r>
      <w:proofErr w:type="spellEnd"/>
      <w:r w:rsidRPr="00795225">
        <w:t xml:space="preserve"> Stage III or Stage IV</w:t>
      </w:r>
      <w:r w:rsidR="006B6EEB" w:rsidRPr="00795225">
        <w:t xml:space="preserve"> disease</w:t>
      </w:r>
      <w:r w:rsidRPr="00795225">
        <w:t xml:space="preserve">), the resubmission proposed a lower price for nivolumab. </w:t>
      </w:r>
      <w:r w:rsidR="00D4619E" w:rsidRPr="00795225">
        <w:t>In addition, t</w:t>
      </w:r>
      <w:r w:rsidRPr="00795225">
        <w:t xml:space="preserve">he cost offsets </w:t>
      </w:r>
      <w:r w:rsidR="00D4619E" w:rsidRPr="00795225">
        <w:t xml:space="preserve">were </w:t>
      </w:r>
      <w:r w:rsidRPr="00795225">
        <w:t>reduced by 24%</w:t>
      </w:r>
      <w:r w:rsidR="00D4619E" w:rsidRPr="00795225">
        <w:t xml:space="preserve"> to 40% compared to </w:t>
      </w:r>
      <w:r w:rsidRPr="00795225">
        <w:t xml:space="preserve">the original submission’s estimates. </w:t>
      </w:r>
    </w:p>
    <w:p w:rsidR="00DC2B4D" w:rsidRPr="00795225" w:rsidRDefault="00D526E5" w:rsidP="00DC2B4D">
      <w:pPr>
        <w:pStyle w:val="ListParagraph"/>
        <w:widowControl/>
        <w:numPr>
          <w:ilvl w:val="1"/>
          <w:numId w:val="1"/>
        </w:numPr>
      </w:pPr>
      <w:r w:rsidRPr="00795225">
        <w:t xml:space="preserve">The ESC noted that whist the drug price for </w:t>
      </w:r>
      <w:r w:rsidR="00D4619E" w:rsidRPr="00795225">
        <w:t>the</w:t>
      </w:r>
      <w:r w:rsidRPr="00795225">
        <w:t xml:space="preserve"> 100 mg vial had been reduced by more </w:t>
      </w:r>
      <w:r w:rsidRPr="00B03C5A">
        <w:t xml:space="preserve">than </w:t>
      </w:r>
      <w:r w:rsidR="002B3E82">
        <w:rPr>
          <w:noProof/>
          <w:color w:val="000000"/>
          <w:highlight w:val="black"/>
        </w:rPr>
        <w:t>'''''</w:t>
      </w:r>
      <w:r w:rsidRPr="00B03C5A">
        <w:t>%, the</w:t>
      </w:r>
      <w:r w:rsidRPr="00795225">
        <w:t xml:space="preserve"> net implicati</w:t>
      </w:r>
      <w:r w:rsidR="00D4619E" w:rsidRPr="00795225">
        <w:t xml:space="preserve">ons to the PBS/RPBS </w:t>
      </w:r>
      <w:r w:rsidR="003858AF" w:rsidRPr="00795225">
        <w:t xml:space="preserve">were reduced </w:t>
      </w:r>
      <w:r w:rsidR="00D4619E" w:rsidRPr="00795225">
        <w:t xml:space="preserve">by less than </w:t>
      </w:r>
      <w:r w:rsidRPr="00795225">
        <w:t>4%</w:t>
      </w:r>
      <w:r w:rsidR="003858AF" w:rsidRPr="00795225">
        <w:t xml:space="preserve"> compared to the previous submission</w:t>
      </w:r>
      <w:r w:rsidR="001E1955" w:rsidRPr="00795225">
        <w:t xml:space="preserve">. </w:t>
      </w:r>
      <w:r w:rsidR="00B5681B" w:rsidRPr="00795225">
        <w:t xml:space="preserve">The ESC noted that this was driven by a significant increase in the forecast of treated patients compared to the July 2018 submission. In its consideration of the July 2018 submission, DUSC noted that the incident melanoma estimates that were used to quantify the eligible population were based on the diagnosis of primary disease and did not incorporate those patients diagnosed with earlier stages of disease that subsequently progress to later stages. The resubmission’s approach in incorporating patients with earlier stage disease progressing to Stage III or IV has introduced a large additional cohort of patients initiating nivolumab compared to the prior submission. </w:t>
      </w:r>
      <w:r w:rsidR="003D431D" w:rsidRPr="00795225">
        <w:t>The</w:t>
      </w:r>
      <w:r w:rsidR="00B5681B" w:rsidRPr="00795225">
        <w:t xml:space="preserve"> ESC also noted grandfathered patients accessing nivolumab in Year 1 of listing </w:t>
      </w:r>
      <w:r w:rsidR="00D4619E" w:rsidRPr="00795225">
        <w:t>were</w:t>
      </w:r>
      <w:r w:rsidR="00B5681B" w:rsidRPr="00795225">
        <w:t xml:space="preserve"> included.</w:t>
      </w:r>
    </w:p>
    <w:p w:rsidR="00B5681B" w:rsidRPr="00795225" w:rsidRDefault="003D431D" w:rsidP="00D4619E">
      <w:pPr>
        <w:keepNext/>
        <w:rPr>
          <w:rStyle w:val="CommentReference"/>
          <w:szCs w:val="20"/>
        </w:rPr>
      </w:pPr>
      <w:r w:rsidRPr="00795225">
        <w:rPr>
          <w:rStyle w:val="CommentReference"/>
          <w:szCs w:val="20"/>
        </w:rPr>
        <w:t xml:space="preserve">Table </w:t>
      </w:r>
      <w:r w:rsidR="00B87AFE" w:rsidRPr="00795225">
        <w:rPr>
          <w:rFonts w:ascii="Arial Narrow" w:hAnsi="Arial Narrow"/>
          <w:b/>
          <w:sz w:val="20"/>
          <w:szCs w:val="20"/>
        </w:rPr>
        <w:t>13:</w:t>
      </w:r>
      <w:r w:rsidRPr="00795225">
        <w:rPr>
          <w:rStyle w:val="CommentReference"/>
          <w:szCs w:val="20"/>
        </w:rPr>
        <w:t xml:space="preserve"> </w:t>
      </w:r>
      <w:r w:rsidR="00B5681B" w:rsidRPr="00795225">
        <w:rPr>
          <w:rStyle w:val="CommentReference"/>
          <w:szCs w:val="20"/>
        </w:rPr>
        <w:t xml:space="preserve">Comparison of the eligible populations derived for the July 2018 </w:t>
      </w:r>
      <w:r w:rsidR="00283D62" w:rsidRPr="00795225">
        <w:rPr>
          <w:rStyle w:val="CommentReference"/>
          <w:szCs w:val="20"/>
        </w:rPr>
        <w:t>and</w:t>
      </w:r>
      <w:r w:rsidR="00B5681B" w:rsidRPr="00795225">
        <w:rPr>
          <w:rStyle w:val="CommentReference"/>
          <w:szCs w:val="20"/>
        </w:rPr>
        <w:t xml:space="preserve"> March 2019 submissions</w:t>
      </w:r>
    </w:p>
    <w:tbl>
      <w:tblPr>
        <w:tblStyle w:val="TableGrid"/>
        <w:tblW w:w="5000" w:type="pct"/>
        <w:tblLook w:val="04A0" w:firstRow="1" w:lastRow="0" w:firstColumn="1" w:lastColumn="0" w:noHBand="0" w:noVBand="1"/>
        <w:tblCaption w:val="Table 13: Comparison of the eligible populations derived for the July 2018 and March 2019 submissions"/>
      </w:tblPr>
      <w:tblGrid>
        <w:gridCol w:w="2075"/>
        <w:gridCol w:w="750"/>
        <w:gridCol w:w="750"/>
        <w:gridCol w:w="750"/>
        <w:gridCol w:w="750"/>
        <w:gridCol w:w="750"/>
        <w:gridCol w:w="750"/>
        <w:gridCol w:w="2442"/>
      </w:tblGrid>
      <w:tr w:rsidR="003D431D" w:rsidRPr="00795225" w:rsidTr="007E6CED">
        <w:trPr>
          <w:tblHeader/>
        </w:trPr>
        <w:tc>
          <w:tcPr>
            <w:tcW w:w="1150" w:type="pct"/>
            <w:shd w:val="clear" w:color="auto" w:fill="auto"/>
            <w:tcMar>
              <w:left w:w="28" w:type="dxa"/>
              <w:right w:w="28" w:type="dxa"/>
            </w:tcMar>
          </w:tcPr>
          <w:p w:rsidR="00B5681B" w:rsidRPr="00795225" w:rsidRDefault="00B5681B" w:rsidP="00D4619E">
            <w:pPr>
              <w:keepNext/>
              <w:rPr>
                <w:rFonts w:ascii="Arial Narrow" w:hAnsi="Arial Narrow" w:cstheme="minorHAnsi"/>
                <w:sz w:val="20"/>
                <w:szCs w:val="20"/>
              </w:rPr>
            </w:pPr>
          </w:p>
        </w:tc>
        <w:tc>
          <w:tcPr>
            <w:tcW w:w="416" w:type="pct"/>
            <w:shd w:val="clear" w:color="auto" w:fill="auto"/>
            <w:tcMar>
              <w:left w:w="28" w:type="dxa"/>
              <w:right w:w="28" w:type="dxa"/>
            </w:tcMar>
            <w:vAlign w:val="center"/>
          </w:tcPr>
          <w:p w:rsidR="00B5681B" w:rsidRPr="00795225" w:rsidRDefault="00B5681B" w:rsidP="00D4619E">
            <w:pPr>
              <w:keepNext/>
              <w:jc w:val="center"/>
              <w:rPr>
                <w:rFonts w:ascii="Arial Narrow" w:hAnsi="Arial Narrow" w:cstheme="minorHAnsi"/>
                <w:b/>
                <w:sz w:val="20"/>
                <w:szCs w:val="20"/>
              </w:rPr>
            </w:pPr>
            <w:r w:rsidRPr="00795225">
              <w:rPr>
                <w:rFonts w:ascii="Arial Narrow" w:hAnsi="Arial Narrow" w:cstheme="minorHAnsi"/>
                <w:b/>
                <w:sz w:val="20"/>
                <w:szCs w:val="20"/>
              </w:rPr>
              <w:t>Year 1 (2019)</w:t>
            </w:r>
          </w:p>
        </w:tc>
        <w:tc>
          <w:tcPr>
            <w:tcW w:w="416" w:type="pct"/>
            <w:shd w:val="clear" w:color="auto" w:fill="auto"/>
            <w:tcMar>
              <w:left w:w="28" w:type="dxa"/>
              <w:right w:w="28" w:type="dxa"/>
            </w:tcMar>
            <w:vAlign w:val="center"/>
          </w:tcPr>
          <w:p w:rsidR="00B5681B" w:rsidRPr="00795225" w:rsidRDefault="00B5681B" w:rsidP="00D4619E">
            <w:pPr>
              <w:keepNext/>
              <w:jc w:val="center"/>
              <w:rPr>
                <w:rFonts w:ascii="Arial Narrow" w:hAnsi="Arial Narrow" w:cstheme="minorHAnsi"/>
                <w:b/>
                <w:sz w:val="20"/>
                <w:szCs w:val="20"/>
              </w:rPr>
            </w:pPr>
            <w:r w:rsidRPr="00795225">
              <w:rPr>
                <w:rFonts w:ascii="Arial Narrow" w:hAnsi="Arial Narrow" w:cstheme="minorHAnsi"/>
                <w:b/>
                <w:sz w:val="20"/>
                <w:szCs w:val="20"/>
              </w:rPr>
              <w:t>Year 2</w:t>
            </w:r>
          </w:p>
        </w:tc>
        <w:tc>
          <w:tcPr>
            <w:tcW w:w="416" w:type="pct"/>
            <w:shd w:val="clear" w:color="auto" w:fill="auto"/>
            <w:tcMar>
              <w:left w:w="28" w:type="dxa"/>
              <w:right w:w="28" w:type="dxa"/>
            </w:tcMar>
            <w:vAlign w:val="center"/>
          </w:tcPr>
          <w:p w:rsidR="00B5681B" w:rsidRPr="00795225" w:rsidRDefault="00B5681B" w:rsidP="00D4619E">
            <w:pPr>
              <w:keepNext/>
              <w:jc w:val="center"/>
              <w:rPr>
                <w:rFonts w:ascii="Arial Narrow" w:hAnsi="Arial Narrow" w:cstheme="minorHAnsi"/>
                <w:b/>
                <w:sz w:val="20"/>
                <w:szCs w:val="20"/>
              </w:rPr>
            </w:pPr>
            <w:r w:rsidRPr="00795225">
              <w:rPr>
                <w:rFonts w:ascii="Arial Narrow" w:hAnsi="Arial Narrow" w:cstheme="minorHAnsi"/>
                <w:b/>
                <w:sz w:val="20"/>
                <w:szCs w:val="20"/>
              </w:rPr>
              <w:t>Year 3</w:t>
            </w:r>
          </w:p>
        </w:tc>
        <w:tc>
          <w:tcPr>
            <w:tcW w:w="416" w:type="pct"/>
            <w:shd w:val="clear" w:color="auto" w:fill="auto"/>
            <w:tcMar>
              <w:left w:w="28" w:type="dxa"/>
              <w:right w:w="28" w:type="dxa"/>
            </w:tcMar>
            <w:vAlign w:val="center"/>
          </w:tcPr>
          <w:p w:rsidR="00B5681B" w:rsidRPr="00795225" w:rsidRDefault="00B5681B" w:rsidP="00D4619E">
            <w:pPr>
              <w:keepNext/>
              <w:jc w:val="center"/>
              <w:rPr>
                <w:rFonts w:ascii="Arial Narrow" w:hAnsi="Arial Narrow" w:cstheme="minorHAnsi"/>
                <w:b/>
                <w:sz w:val="20"/>
                <w:szCs w:val="20"/>
              </w:rPr>
            </w:pPr>
            <w:r w:rsidRPr="00795225">
              <w:rPr>
                <w:rFonts w:ascii="Arial Narrow" w:hAnsi="Arial Narrow" w:cstheme="minorHAnsi"/>
                <w:b/>
                <w:sz w:val="20"/>
                <w:szCs w:val="20"/>
              </w:rPr>
              <w:t>Year 4</w:t>
            </w:r>
          </w:p>
        </w:tc>
        <w:tc>
          <w:tcPr>
            <w:tcW w:w="416" w:type="pct"/>
            <w:shd w:val="clear" w:color="auto" w:fill="auto"/>
            <w:tcMar>
              <w:left w:w="28" w:type="dxa"/>
              <w:right w:w="28" w:type="dxa"/>
            </w:tcMar>
            <w:vAlign w:val="center"/>
          </w:tcPr>
          <w:p w:rsidR="00B5681B" w:rsidRPr="00795225" w:rsidRDefault="00B5681B" w:rsidP="00D4619E">
            <w:pPr>
              <w:keepNext/>
              <w:jc w:val="center"/>
              <w:rPr>
                <w:rFonts w:ascii="Arial Narrow" w:hAnsi="Arial Narrow" w:cstheme="minorHAnsi"/>
                <w:b/>
                <w:sz w:val="20"/>
                <w:szCs w:val="20"/>
              </w:rPr>
            </w:pPr>
            <w:r w:rsidRPr="00795225">
              <w:rPr>
                <w:rFonts w:ascii="Arial Narrow" w:hAnsi="Arial Narrow" w:cstheme="minorHAnsi"/>
                <w:b/>
                <w:sz w:val="20"/>
                <w:szCs w:val="20"/>
              </w:rPr>
              <w:t>Year 5</w:t>
            </w:r>
          </w:p>
        </w:tc>
        <w:tc>
          <w:tcPr>
            <w:tcW w:w="416" w:type="pct"/>
            <w:shd w:val="clear" w:color="auto" w:fill="auto"/>
            <w:tcMar>
              <w:left w:w="28" w:type="dxa"/>
              <w:right w:w="28" w:type="dxa"/>
            </w:tcMar>
            <w:vAlign w:val="center"/>
          </w:tcPr>
          <w:p w:rsidR="00B5681B" w:rsidRPr="00795225" w:rsidRDefault="00B5681B" w:rsidP="00D4619E">
            <w:pPr>
              <w:keepNext/>
              <w:jc w:val="center"/>
              <w:rPr>
                <w:rFonts w:ascii="Arial Narrow" w:hAnsi="Arial Narrow" w:cstheme="minorHAnsi"/>
                <w:b/>
                <w:sz w:val="20"/>
                <w:szCs w:val="20"/>
              </w:rPr>
            </w:pPr>
            <w:r w:rsidRPr="00795225">
              <w:rPr>
                <w:rFonts w:ascii="Arial Narrow" w:hAnsi="Arial Narrow" w:cstheme="minorHAnsi"/>
                <w:b/>
                <w:sz w:val="20"/>
                <w:szCs w:val="20"/>
              </w:rPr>
              <w:t>Year 6</w:t>
            </w:r>
          </w:p>
        </w:tc>
        <w:tc>
          <w:tcPr>
            <w:tcW w:w="1356" w:type="pct"/>
            <w:shd w:val="clear" w:color="auto" w:fill="auto"/>
            <w:tcMar>
              <w:left w:w="28" w:type="dxa"/>
              <w:right w:w="28" w:type="dxa"/>
            </w:tcMar>
            <w:vAlign w:val="center"/>
          </w:tcPr>
          <w:p w:rsidR="00B5681B" w:rsidRPr="00795225" w:rsidRDefault="00B5681B" w:rsidP="00D4619E">
            <w:pPr>
              <w:keepNext/>
              <w:jc w:val="center"/>
              <w:rPr>
                <w:rFonts w:ascii="Arial Narrow" w:hAnsi="Arial Narrow" w:cstheme="minorHAnsi"/>
                <w:b/>
                <w:sz w:val="20"/>
                <w:szCs w:val="20"/>
              </w:rPr>
            </w:pPr>
            <w:r w:rsidRPr="00795225">
              <w:rPr>
                <w:rFonts w:ascii="Arial Narrow" w:hAnsi="Arial Narrow" w:cstheme="minorHAnsi"/>
                <w:b/>
                <w:sz w:val="20"/>
                <w:szCs w:val="20"/>
              </w:rPr>
              <w:t>Source/comments</w:t>
            </w:r>
          </w:p>
        </w:tc>
      </w:tr>
      <w:tr w:rsidR="00B5681B" w:rsidRPr="00795225" w:rsidTr="007E6CED">
        <w:tc>
          <w:tcPr>
            <w:tcW w:w="5000" w:type="pct"/>
            <w:gridSpan w:val="8"/>
            <w:shd w:val="clear" w:color="auto" w:fill="auto"/>
            <w:tcMar>
              <w:left w:w="28" w:type="dxa"/>
              <w:right w:w="28" w:type="dxa"/>
            </w:tcMar>
          </w:tcPr>
          <w:p w:rsidR="00B5681B" w:rsidRPr="00795225" w:rsidRDefault="00B5681B" w:rsidP="00D4619E">
            <w:pPr>
              <w:keepNext/>
              <w:rPr>
                <w:rFonts w:ascii="Arial Narrow" w:hAnsi="Arial Narrow" w:cstheme="minorHAnsi"/>
                <w:b/>
                <w:sz w:val="20"/>
                <w:szCs w:val="20"/>
              </w:rPr>
            </w:pPr>
            <w:r w:rsidRPr="00795225">
              <w:rPr>
                <w:rFonts w:ascii="Arial Narrow" w:hAnsi="Arial Narrow" w:cstheme="minorHAnsi"/>
                <w:b/>
                <w:sz w:val="20"/>
                <w:szCs w:val="20"/>
              </w:rPr>
              <w:t>July 2018</w:t>
            </w:r>
          </w:p>
        </w:tc>
      </w:tr>
      <w:tr w:rsidR="003D431D" w:rsidRPr="00795225" w:rsidTr="007E6CED">
        <w:tc>
          <w:tcPr>
            <w:tcW w:w="1150" w:type="pct"/>
            <w:shd w:val="clear" w:color="auto" w:fill="auto"/>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 xml:space="preserve">Incident </w:t>
            </w:r>
            <w:r w:rsidR="00A240F8" w:rsidRPr="00795225">
              <w:rPr>
                <w:rFonts w:ascii="Arial Narrow" w:hAnsi="Arial Narrow" w:cstheme="minorHAnsi"/>
                <w:sz w:val="20"/>
                <w:szCs w:val="20"/>
              </w:rPr>
              <w:t>malignant melanoma</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356" w:type="pct"/>
            <w:shd w:val="clear" w:color="auto" w:fill="auto"/>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AIHW Cancer incidence projections (2012)</w:t>
            </w:r>
          </w:p>
        </w:tc>
      </w:tr>
      <w:tr w:rsidR="003D431D" w:rsidRPr="00795225" w:rsidTr="007E6CED">
        <w:tc>
          <w:tcPr>
            <w:tcW w:w="1150" w:type="pct"/>
            <w:shd w:val="clear" w:color="auto" w:fill="auto"/>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 xml:space="preserve">Patients eligible for nivolumab, Stage III or IV </w:t>
            </w:r>
            <w:proofErr w:type="spellStart"/>
            <w:r w:rsidRPr="00795225">
              <w:rPr>
                <w:rFonts w:ascii="Arial Narrow" w:hAnsi="Arial Narrow" w:cstheme="minorHAnsi"/>
                <w:sz w:val="20"/>
                <w:szCs w:val="20"/>
              </w:rPr>
              <w:t>resectable</w:t>
            </w:r>
            <w:proofErr w:type="spellEnd"/>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 '''''''''</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shd w:val="clear" w:color="auto" w:fill="auto"/>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356" w:type="pct"/>
            <w:shd w:val="clear" w:color="auto" w:fill="auto"/>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 xml:space="preserve">Stage III 8.68% and Stage IV 0.6% </w:t>
            </w:r>
            <w:proofErr w:type="spellStart"/>
            <w:r w:rsidRPr="00795225">
              <w:rPr>
                <w:rFonts w:ascii="Arial Narrow" w:hAnsi="Arial Narrow" w:cstheme="minorHAnsi"/>
                <w:sz w:val="20"/>
                <w:szCs w:val="20"/>
              </w:rPr>
              <w:t>resectable</w:t>
            </w:r>
            <w:proofErr w:type="spellEnd"/>
            <w:r w:rsidRPr="00795225">
              <w:rPr>
                <w:rFonts w:ascii="Arial Narrow" w:hAnsi="Arial Narrow" w:cstheme="minorHAnsi"/>
                <w:sz w:val="20"/>
                <w:szCs w:val="20"/>
              </w:rPr>
              <w:t>, based on Balch (2001)</w:t>
            </w:r>
          </w:p>
        </w:tc>
      </w:tr>
      <w:tr w:rsidR="00B5681B" w:rsidRPr="00795225" w:rsidTr="007E6CED">
        <w:tc>
          <w:tcPr>
            <w:tcW w:w="5000" w:type="pct"/>
            <w:gridSpan w:val="8"/>
            <w:shd w:val="clear" w:color="auto" w:fill="auto"/>
            <w:tcMar>
              <w:left w:w="28" w:type="dxa"/>
              <w:right w:w="28" w:type="dxa"/>
            </w:tcMar>
            <w:vAlign w:val="center"/>
          </w:tcPr>
          <w:p w:rsidR="00B5681B" w:rsidRPr="00795225" w:rsidRDefault="00B5681B" w:rsidP="00D4619E">
            <w:pPr>
              <w:keepNext/>
              <w:jc w:val="left"/>
              <w:rPr>
                <w:rFonts w:ascii="Arial Narrow" w:hAnsi="Arial Narrow" w:cstheme="minorHAnsi"/>
                <w:b/>
                <w:sz w:val="20"/>
                <w:szCs w:val="20"/>
              </w:rPr>
            </w:pPr>
            <w:r w:rsidRPr="00795225">
              <w:rPr>
                <w:rFonts w:ascii="Arial Narrow" w:hAnsi="Arial Narrow" w:cstheme="minorHAnsi"/>
                <w:b/>
                <w:sz w:val="20"/>
                <w:szCs w:val="20"/>
              </w:rPr>
              <w:t>March 2019</w:t>
            </w:r>
          </w:p>
        </w:tc>
      </w:tr>
      <w:tr w:rsidR="003D431D" w:rsidRPr="00795225" w:rsidTr="007E6CED">
        <w:tc>
          <w:tcPr>
            <w:tcW w:w="1150" w:type="pct"/>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 xml:space="preserve">Incident </w:t>
            </w:r>
            <w:r w:rsidR="00A240F8" w:rsidRPr="00795225">
              <w:rPr>
                <w:rFonts w:ascii="Arial Narrow" w:hAnsi="Arial Narrow" w:cstheme="minorHAnsi"/>
                <w:sz w:val="20"/>
                <w:szCs w:val="20"/>
              </w:rPr>
              <w:t>malignant melanoma</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1356" w:type="pct"/>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ACIM books: melanoma of the skin (AIHW 2017).</w:t>
            </w:r>
          </w:p>
        </w:tc>
      </w:tr>
      <w:tr w:rsidR="003D431D" w:rsidRPr="00795225" w:rsidTr="007E6CED">
        <w:tc>
          <w:tcPr>
            <w:tcW w:w="1150" w:type="pct"/>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Patients eligible, Stage III or IV at diagnosis</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356" w:type="pct"/>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 xml:space="preserve">Stage III 3.0% and Stage IV 2.1% </w:t>
            </w:r>
            <w:proofErr w:type="spellStart"/>
            <w:r w:rsidRPr="00795225">
              <w:rPr>
                <w:rFonts w:ascii="Arial Narrow" w:hAnsi="Arial Narrow" w:cstheme="minorHAnsi"/>
                <w:sz w:val="20"/>
                <w:szCs w:val="20"/>
              </w:rPr>
              <w:t>resectable</w:t>
            </w:r>
            <w:proofErr w:type="spellEnd"/>
            <w:r w:rsidRPr="00795225">
              <w:rPr>
                <w:rFonts w:ascii="Arial Narrow" w:hAnsi="Arial Narrow" w:cstheme="minorHAnsi"/>
                <w:sz w:val="20"/>
                <w:szCs w:val="20"/>
              </w:rPr>
              <w:t>, based on NCCI (2011)</w:t>
            </w:r>
          </w:p>
        </w:tc>
      </w:tr>
      <w:tr w:rsidR="003D431D" w:rsidRPr="00795225" w:rsidTr="007E6CED">
        <w:tc>
          <w:tcPr>
            <w:tcW w:w="1150" w:type="pct"/>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lang w:eastAsia="en-AU"/>
              </w:rPr>
              <w:t>Recurrent Stage I/II to Stage III/IV</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356" w:type="pct"/>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 xml:space="preserve">Survival estimates from </w:t>
            </w:r>
            <w:r w:rsidRPr="00795225">
              <w:rPr>
                <w:rFonts w:ascii="Arial Narrow" w:hAnsi="Arial Narrow" w:cstheme="minorHAnsi"/>
                <w:sz w:val="20"/>
                <w:szCs w:val="20"/>
                <w:lang w:eastAsia="en-AU"/>
              </w:rPr>
              <w:t xml:space="preserve">Turner </w:t>
            </w:r>
            <w:r w:rsidR="00A240F8" w:rsidRPr="00795225">
              <w:rPr>
                <w:rFonts w:ascii="Arial Narrow" w:hAnsi="Arial Narrow" w:cstheme="minorHAnsi"/>
                <w:sz w:val="20"/>
                <w:szCs w:val="20"/>
                <w:lang w:eastAsia="en-AU"/>
              </w:rPr>
              <w:t>(</w:t>
            </w:r>
            <w:r w:rsidRPr="00795225">
              <w:rPr>
                <w:rFonts w:ascii="Arial Narrow" w:hAnsi="Arial Narrow" w:cstheme="minorHAnsi"/>
                <w:sz w:val="20"/>
                <w:szCs w:val="20"/>
                <w:lang w:eastAsia="en-AU"/>
              </w:rPr>
              <w:t>2011</w:t>
            </w:r>
            <w:r w:rsidR="00A240F8" w:rsidRPr="00795225">
              <w:rPr>
                <w:rFonts w:ascii="Arial Narrow" w:hAnsi="Arial Narrow" w:cstheme="minorHAnsi"/>
                <w:sz w:val="20"/>
                <w:szCs w:val="20"/>
                <w:lang w:eastAsia="en-AU"/>
              </w:rPr>
              <w:t>)</w:t>
            </w:r>
          </w:p>
        </w:tc>
      </w:tr>
      <w:tr w:rsidR="003D431D" w:rsidRPr="00795225" w:rsidTr="007E6CED">
        <w:tc>
          <w:tcPr>
            <w:tcW w:w="1150" w:type="pct"/>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lang w:eastAsia="en-AU"/>
              </w:rPr>
              <w:t xml:space="preserve">Completely </w:t>
            </w:r>
            <w:proofErr w:type="spellStart"/>
            <w:r w:rsidRPr="00795225">
              <w:rPr>
                <w:rFonts w:ascii="Arial Narrow" w:hAnsi="Arial Narrow" w:cstheme="minorHAnsi"/>
                <w:sz w:val="20"/>
                <w:szCs w:val="20"/>
                <w:lang w:eastAsia="en-AU"/>
              </w:rPr>
              <w:t>resectable</w:t>
            </w:r>
            <w:proofErr w:type="spellEnd"/>
            <w:r w:rsidRPr="00795225">
              <w:rPr>
                <w:rFonts w:ascii="Arial Narrow" w:hAnsi="Arial Narrow" w:cstheme="minorHAnsi"/>
                <w:sz w:val="20"/>
                <w:szCs w:val="20"/>
                <w:lang w:eastAsia="en-AU"/>
              </w:rPr>
              <w:t xml:space="preserve"> stage III </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1356" w:type="pct"/>
            <w:vMerge w:val="restart"/>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 xml:space="preserve">Proportion </w:t>
            </w:r>
            <w:proofErr w:type="spellStart"/>
            <w:r w:rsidRPr="00795225">
              <w:rPr>
                <w:rFonts w:ascii="Arial Narrow" w:hAnsi="Arial Narrow" w:cstheme="minorHAnsi"/>
                <w:sz w:val="20"/>
                <w:szCs w:val="20"/>
              </w:rPr>
              <w:t>resectable</w:t>
            </w:r>
            <w:proofErr w:type="spellEnd"/>
            <w:r w:rsidRPr="00795225">
              <w:rPr>
                <w:rFonts w:ascii="Arial Narrow" w:hAnsi="Arial Narrow" w:cstheme="minorHAnsi"/>
                <w:sz w:val="20"/>
                <w:szCs w:val="20"/>
              </w:rPr>
              <w:t xml:space="preserve"> was 86% for Stage III and 13% for Stage IV, based on a treatment survey</w:t>
            </w:r>
          </w:p>
        </w:tc>
      </w:tr>
      <w:tr w:rsidR="003D431D" w:rsidRPr="00795225" w:rsidTr="007E6CED">
        <w:tc>
          <w:tcPr>
            <w:tcW w:w="1150" w:type="pct"/>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lang w:eastAsia="en-AU"/>
              </w:rPr>
              <w:t xml:space="preserve">Completely </w:t>
            </w:r>
            <w:proofErr w:type="spellStart"/>
            <w:r w:rsidRPr="00795225">
              <w:rPr>
                <w:rFonts w:ascii="Arial Narrow" w:hAnsi="Arial Narrow" w:cstheme="minorHAnsi"/>
                <w:sz w:val="20"/>
                <w:szCs w:val="20"/>
                <w:lang w:eastAsia="en-AU"/>
              </w:rPr>
              <w:t>resectable</w:t>
            </w:r>
            <w:proofErr w:type="spellEnd"/>
            <w:r w:rsidRPr="00795225">
              <w:rPr>
                <w:rFonts w:ascii="Arial Narrow" w:hAnsi="Arial Narrow" w:cstheme="minorHAnsi"/>
                <w:sz w:val="20"/>
                <w:szCs w:val="20"/>
                <w:lang w:eastAsia="en-AU"/>
              </w:rPr>
              <w:t xml:space="preserve"> stage IV</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lang w:eastAsia="en-AU"/>
              </w:rPr>
              <w:t>'''''''''</w:t>
            </w:r>
          </w:p>
        </w:tc>
        <w:tc>
          <w:tcPr>
            <w:tcW w:w="1356" w:type="pct"/>
            <w:vMerge/>
            <w:tcMar>
              <w:left w:w="28" w:type="dxa"/>
              <w:right w:w="28" w:type="dxa"/>
            </w:tcMar>
          </w:tcPr>
          <w:p w:rsidR="00B5681B" w:rsidRPr="00795225" w:rsidRDefault="00B5681B" w:rsidP="00D4619E">
            <w:pPr>
              <w:keepNext/>
              <w:jc w:val="left"/>
              <w:rPr>
                <w:rFonts w:ascii="Arial Narrow" w:hAnsi="Arial Narrow" w:cstheme="minorHAnsi"/>
                <w:sz w:val="20"/>
                <w:szCs w:val="20"/>
              </w:rPr>
            </w:pPr>
          </w:p>
        </w:tc>
      </w:tr>
      <w:tr w:rsidR="003D431D" w:rsidRPr="00795225" w:rsidTr="007E6CED">
        <w:tc>
          <w:tcPr>
            <w:tcW w:w="1150" w:type="pct"/>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Grandfathered patients</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356" w:type="pct"/>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Current nivolumab PAP, assumption</w:t>
            </w:r>
          </w:p>
        </w:tc>
      </w:tr>
      <w:tr w:rsidR="003D431D" w:rsidRPr="00795225" w:rsidTr="007E6CED">
        <w:tc>
          <w:tcPr>
            <w:tcW w:w="1150" w:type="pct"/>
            <w:tcMar>
              <w:left w:w="28" w:type="dxa"/>
              <w:right w:w="28" w:type="dxa"/>
            </w:tcMar>
            <w:vAlign w:val="cente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Total eligible patients for adjuvant therapy</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16" w:type="pct"/>
            <w:tcMar>
              <w:left w:w="28" w:type="dxa"/>
              <w:right w:w="28" w:type="dxa"/>
            </w:tcMar>
            <w:vAlign w:val="center"/>
          </w:tcPr>
          <w:p w:rsidR="00B5681B" w:rsidRPr="002B3E82" w:rsidRDefault="002B3E82" w:rsidP="00D4619E">
            <w:pPr>
              <w:keepNext/>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356" w:type="pct"/>
            <w:tcMar>
              <w:left w:w="28" w:type="dxa"/>
              <w:right w:w="28" w:type="dxa"/>
            </w:tcMar>
          </w:tcPr>
          <w:p w:rsidR="00B5681B" w:rsidRPr="00795225" w:rsidRDefault="00B5681B" w:rsidP="00D4619E">
            <w:pPr>
              <w:keepNext/>
              <w:jc w:val="left"/>
              <w:rPr>
                <w:rFonts w:ascii="Arial Narrow" w:hAnsi="Arial Narrow" w:cstheme="minorHAnsi"/>
                <w:sz w:val="20"/>
                <w:szCs w:val="20"/>
              </w:rPr>
            </w:pPr>
            <w:r w:rsidRPr="00795225">
              <w:rPr>
                <w:rFonts w:ascii="Arial Narrow" w:hAnsi="Arial Narrow" w:cstheme="minorHAnsi"/>
                <w:sz w:val="20"/>
                <w:szCs w:val="20"/>
              </w:rPr>
              <w:t>Including grandfathered patients in Year 1</w:t>
            </w:r>
          </w:p>
        </w:tc>
      </w:tr>
    </w:tbl>
    <w:p w:rsidR="00D4619E" w:rsidRPr="00795225" w:rsidRDefault="00D4619E" w:rsidP="00B91692">
      <w:pPr>
        <w:pStyle w:val="TableFooter"/>
        <w:widowControl/>
      </w:pPr>
      <w:r w:rsidRPr="00795225">
        <w:t>ACIM = Australia Cancer Incidence and Mortality; AIHW = Australian Institute of Health and Welfare; NCCI = National Cancer Control Indicators; PAP = patient access program</w:t>
      </w:r>
    </w:p>
    <w:p w:rsidR="00B5681B" w:rsidRPr="00795225" w:rsidRDefault="00B5681B" w:rsidP="00B91692">
      <w:pPr>
        <w:pStyle w:val="TableFooter"/>
        <w:widowControl/>
        <w:rPr>
          <w:rFonts w:eastAsia="Calibri"/>
          <w:snapToGrid/>
          <w:lang w:eastAsia="en-AU"/>
        </w:rPr>
      </w:pPr>
      <w:r w:rsidRPr="00795225">
        <w:t xml:space="preserve">Sources: </w:t>
      </w:r>
      <w:r w:rsidR="00B91692" w:rsidRPr="00795225">
        <w:t>Table 102, p176 Section 4 of the July 2018 submission; Table 104, pp244-245 and T</w:t>
      </w:r>
      <w:r w:rsidR="00B91692" w:rsidRPr="00795225">
        <w:rPr>
          <w:rFonts w:eastAsia="Calibri"/>
          <w:snapToGrid/>
          <w:lang w:eastAsia="en-AU"/>
        </w:rPr>
        <w:t>able 107, p247 of the March 2019 resubmission.</w:t>
      </w:r>
      <w:r w:rsidR="00A240F8" w:rsidRPr="00795225">
        <w:rPr>
          <w:rFonts w:eastAsia="Calibri"/>
          <w:snapToGrid/>
          <w:lang w:eastAsia="en-AU"/>
        </w:rPr>
        <w:t xml:space="preserve"> </w:t>
      </w:r>
    </w:p>
    <w:p w:rsidR="001070A7" w:rsidRPr="00795225" w:rsidRDefault="001070A7" w:rsidP="00B91692">
      <w:pPr>
        <w:pStyle w:val="TableFooter"/>
        <w:widowControl/>
      </w:pPr>
    </w:p>
    <w:p w:rsidR="00B03C5A" w:rsidRDefault="00B03C5A" w:rsidP="00B03C5A">
      <w:pPr>
        <w:widowControl/>
      </w:pPr>
      <w:r>
        <w:t xml:space="preserve">The redacted table shows that at Year 6, the estimated number of patients was less than 10,000. </w:t>
      </w:r>
    </w:p>
    <w:p w:rsidR="004E6EA0" w:rsidRPr="00795225" w:rsidRDefault="004E6EA0" w:rsidP="004E6EA0">
      <w:pPr>
        <w:pStyle w:val="ListParagraph"/>
        <w:widowControl/>
        <w:numPr>
          <w:ilvl w:val="1"/>
          <w:numId w:val="1"/>
        </w:numPr>
      </w:pPr>
      <w:r w:rsidRPr="00795225">
        <w:lastRenderedPageBreak/>
        <w:t xml:space="preserve">The </w:t>
      </w:r>
      <w:r w:rsidR="006B6EEB" w:rsidRPr="00795225">
        <w:t>PSCR</w:t>
      </w:r>
      <w:r w:rsidRPr="00795225">
        <w:t xml:space="preserve"> suggested that the dosing regimen for adjuvant treatment should be aligned with the requested changes to other nivolumab listings, if recommended (i.e. allowing clinician choice between weight based dosing (3 mg/kg </w:t>
      </w:r>
      <w:r w:rsidR="003858AF" w:rsidRPr="00795225">
        <w:t>every two weeks</w:t>
      </w:r>
      <w:r w:rsidRPr="00795225">
        <w:t xml:space="preserve">) or fixed dosing (240 mg </w:t>
      </w:r>
      <w:r w:rsidR="003858AF" w:rsidRPr="00795225">
        <w:t>every two weeks or</w:t>
      </w:r>
      <w:r w:rsidRPr="00795225">
        <w:t xml:space="preserve"> 480 mg </w:t>
      </w:r>
      <w:r w:rsidR="003858AF" w:rsidRPr="00795225">
        <w:t>every four weeks</w:t>
      </w:r>
      <w:r w:rsidRPr="00795225">
        <w:t>)</w:t>
      </w:r>
      <w:r w:rsidR="00557D62" w:rsidRPr="00795225">
        <w:t>, item 6.14 refers</w:t>
      </w:r>
      <w:r w:rsidRPr="00795225">
        <w:t xml:space="preserve">). The PSCR suggested that the 480 mg </w:t>
      </w:r>
      <w:r w:rsidR="003858AF" w:rsidRPr="00795225">
        <w:t xml:space="preserve">every four weeks </w:t>
      </w:r>
      <w:r w:rsidRPr="00795225">
        <w:t xml:space="preserve">fixed dose regimen was the likely to be the most utilised regimen for adjuvant therapy. A sensitivity analysis was conducted for </w:t>
      </w:r>
      <w:r w:rsidR="00B64FC4" w:rsidRPr="00795225">
        <w:t xml:space="preserve">the 240 mg </w:t>
      </w:r>
      <w:r w:rsidR="003858AF" w:rsidRPr="00795225">
        <w:t xml:space="preserve">every two weeks </w:t>
      </w:r>
      <w:r w:rsidRPr="00795225">
        <w:t xml:space="preserve">dosing regimen in the resubmission, and </w:t>
      </w:r>
      <w:r w:rsidR="00B5681B" w:rsidRPr="00795225">
        <w:t>is</w:t>
      </w:r>
      <w:r w:rsidRPr="00795225">
        <w:t xml:space="preserve"> included in the table below.</w:t>
      </w:r>
    </w:p>
    <w:p w:rsidR="00DC2B4D" w:rsidRPr="00795225" w:rsidRDefault="00DC2B4D" w:rsidP="004E6EA0">
      <w:pPr>
        <w:pStyle w:val="ListParagraph"/>
        <w:widowControl/>
        <w:numPr>
          <w:ilvl w:val="1"/>
          <w:numId w:val="1"/>
        </w:numPr>
      </w:pPr>
      <w:r w:rsidRPr="00795225">
        <w:t>The pre-PBAC response provided revised cost estimates which excluded Stage IIIA patients, adjusted grandfathered patients to better account of time on treatment and incorporated the revised proposed price.</w:t>
      </w:r>
    </w:p>
    <w:p w:rsidR="00EF12D9" w:rsidRPr="00795225" w:rsidRDefault="00EF12D9" w:rsidP="004E6EA0">
      <w:r w:rsidRPr="00795225">
        <w:rPr>
          <w:rStyle w:val="CommentReference"/>
        </w:rPr>
        <w:t>Table</w:t>
      </w:r>
      <w:r w:rsidR="00B87AFE" w:rsidRPr="00795225">
        <w:rPr>
          <w:rStyle w:val="CommentReference"/>
        </w:rPr>
        <w:t xml:space="preserve"> 14</w:t>
      </w:r>
      <w:r w:rsidRPr="00795225">
        <w:rPr>
          <w:rStyle w:val="CommentReference"/>
        </w:rPr>
        <w:t>:</w:t>
      </w:r>
      <w:r w:rsidRPr="00795225">
        <w:t xml:space="preserve"> </w:t>
      </w:r>
      <w:r w:rsidRPr="00795225">
        <w:rPr>
          <w:rStyle w:val="CommentReference"/>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1693"/>
        <w:gridCol w:w="1219"/>
        <w:gridCol w:w="1219"/>
        <w:gridCol w:w="1219"/>
        <w:gridCol w:w="1221"/>
        <w:gridCol w:w="1221"/>
        <w:gridCol w:w="1225"/>
      </w:tblGrid>
      <w:tr w:rsidR="00EF12D9" w:rsidRPr="00795225" w:rsidTr="007E6CED">
        <w:trPr>
          <w:tblHeader/>
        </w:trPr>
        <w:tc>
          <w:tcPr>
            <w:tcW w:w="939" w:type="pct"/>
            <w:shd w:val="clear" w:color="auto" w:fill="auto"/>
            <w:vAlign w:val="center"/>
          </w:tcPr>
          <w:p w:rsidR="00EF12D9" w:rsidRPr="00795225" w:rsidRDefault="00EF12D9" w:rsidP="008D1BDC">
            <w:pPr>
              <w:pStyle w:val="Tabletext"/>
              <w:rPr>
                <w:szCs w:val="20"/>
              </w:rPr>
            </w:pPr>
          </w:p>
        </w:tc>
        <w:tc>
          <w:tcPr>
            <w:tcW w:w="676" w:type="pct"/>
            <w:shd w:val="clear" w:color="auto" w:fill="auto"/>
            <w:vAlign w:val="center"/>
          </w:tcPr>
          <w:p w:rsidR="00EF12D9" w:rsidRPr="00795225" w:rsidRDefault="00EF12D9" w:rsidP="008D1BDC">
            <w:pPr>
              <w:pStyle w:val="Tabletext"/>
              <w:jc w:val="center"/>
              <w:rPr>
                <w:b/>
                <w:szCs w:val="20"/>
              </w:rPr>
            </w:pPr>
            <w:r w:rsidRPr="00795225">
              <w:rPr>
                <w:b/>
                <w:szCs w:val="20"/>
              </w:rPr>
              <w:t>Year 1</w:t>
            </w:r>
          </w:p>
          <w:p w:rsidR="00290875" w:rsidRPr="00795225" w:rsidRDefault="00290875" w:rsidP="008D1BDC">
            <w:pPr>
              <w:pStyle w:val="Tabletext"/>
              <w:jc w:val="center"/>
              <w:rPr>
                <w:b/>
                <w:szCs w:val="20"/>
              </w:rPr>
            </w:pPr>
            <w:r w:rsidRPr="00795225">
              <w:rPr>
                <w:b/>
                <w:szCs w:val="20"/>
              </w:rPr>
              <w:t>(2019)</w:t>
            </w:r>
          </w:p>
        </w:tc>
        <w:tc>
          <w:tcPr>
            <w:tcW w:w="676" w:type="pct"/>
            <w:shd w:val="clear" w:color="auto" w:fill="auto"/>
            <w:vAlign w:val="center"/>
          </w:tcPr>
          <w:p w:rsidR="00EF12D9" w:rsidRPr="00795225" w:rsidRDefault="00EF12D9" w:rsidP="008D1BDC">
            <w:pPr>
              <w:pStyle w:val="Tabletext"/>
              <w:jc w:val="center"/>
              <w:rPr>
                <w:b/>
                <w:szCs w:val="20"/>
              </w:rPr>
            </w:pPr>
            <w:r w:rsidRPr="00795225">
              <w:rPr>
                <w:b/>
                <w:szCs w:val="20"/>
              </w:rPr>
              <w:t>Year 2</w:t>
            </w:r>
          </w:p>
        </w:tc>
        <w:tc>
          <w:tcPr>
            <w:tcW w:w="676" w:type="pct"/>
            <w:shd w:val="clear" w:color="auto" w:fill="auto"/>
            <w:vAlign w:val="center"/>
          </w:tcPr>
          <w:p w:rsidR="00EF12D9" w:rsidRPr="00795225" w:rsidRDefault="00EF12D9" w:rsidP="008D1BDC">
            <w:pPr>
              <w:pStyle w:val="Tabletext"/>
              <w:jc w:val="center"/>
              <w:rPr>
                <w:b/>
                <w:szCs w:val="20"/>
              </w:rPr>
            </w:pPr>
            <w:r w:rsidRPr="00795225">
              <w:rPr>
                <w:b/>
                <w:szCs w:val="20"/>
              </w:rPr>
              <w:t>Year 3</w:t>
            </w:r>
          </w:p>
        </w:tc>
        <w:tc>
          <w:tcPr>
            <w:tcW w:w="677" w:type="pct"/>
            <w:shd w:val="clear" w:color="auto" w:fill="auto"/>
            <w:vAlign w:val="center"/>
          </w:tcPr>
          <w:p w:rsidR="00EF12D9" w:rsidRPr="00795225" w:rsidRDefault="00EF12D9" w:rsidP="008D1BDC">
            <w:pPr>
              <w:pStyle w:val="Tabletext"/>
              <w:jc w:val="center"/>
              <w:rPr>
                <w:b/>
                <w:szCs w:val="20"/>
              </w:rPr>
            </w:pPr>
            <w:r w:rsidRPr="00795225">
              <w:rPr>
                <w:b/>
                <w:szCs w:val="20"/>
              </w:rPr>
              <w:t>Year 4</w:t>
            </w:r>
          </w:p>
        </w:tc>
        <w:tc>
          <w:tcPr>
            <w:tcW w:w="677" w:type="pct"/>
            <w:shd w:val="clear" w:color="auto" w:fill="auto"/>
            <w:vAlign w:val="center"/>
          </w:tcPr>
          <w:p w:rsidR="00EF12D9" w:rsidRPr="00795225" w:rsidRDefault="00EF12D9" w:rsidP="008D1BDC">
            <w:pPr>
              <w:pStyle w:val="Tabletext"/>
              <w:jc w:val="center"/>
              <w:rPr>
                <w:b/>
                <w:szCs w:val="20"/>
              </w:rPr>
            </w:pPr>
            <w:r w:rsidRPr="00795225">
              <w:rPr>
                <w:b/>
                <w:szCs w:val="20"/>
              </w:rPr>
              <w:t>Year 5</w:t>
            </w:r>
          </w:p>
        </w:tc>
        <w:tc>
          <w:tcPr>
            <w:tcW w:w="679" w:type="pct"/>
            <w:vAlign w:val="center"/>
          </w:tcPr>
          <w:p w:rsidR="00EF12D9" w:rsidRPr="00795225" w:rsidRDefault="00EF12D9" w:rsidP="00290875">
            <w:pPr>
              <w:pStyle w:val="Tabletext"/>
              <w:jc w:val="center"/>
              <w:rPr>
                <w:b/>
                <w:szCs w:val="20"/>
              </w:rPr>
            </w:pPr>
            <w:r w:rsidRPr="00795225">
              <w:rPr>
                <w:b/>
                <w:szCs w:val="20"/>
              </w:rPr>
              <w:t>Year 6</w:t>
            </w:r>
          </w:p>
        </w:tc>
      </w:tr>
      <w:tr w:rsidR="00EF12D9" w:rsidRPr="00795225" w:rsidTr="007E6CED">
        <w:tc>
          <w:tcPr>
            <w:tcW w:w="5000" w:type="pct"/>
            <w:gridSpan w:val="7"/>
            <w:shd w:val="clear" w:color="auto" w:fill="auto"/>
            <w:vAlign w:val="center"/>
          </w:tcPr>
          <w:p w:rsidR="00EF12D9" w:rsidRPr="00795225" w:rsidRDefault="00EF12D9" w:rsidP="008D1BDC">
            <w:pPr>
              <w:pStyle w:val="Tabletext"/>
              <w:rPr>
                <w:b/>
                <w:bCs/>
                <w:color w:val="000000"/>
                <w:szCs w:val="20"/>
              </w:rPr>
            </w:pPr>
            <w:r w:rsidRPr="00795225">
              <w:rPr>
                <w:b/>
                <w:bCs/>
                <w:color w:val="000000"/>
                <w:szCs w:val="20"/>
              </w:rPr>
              <w:t>Estimated extent of use</w:t>
            </w:r>
          </w:p>
        </w:tc>
      </w:tr>
      <w:tr w:rsidR="00EF12D9" w:rsidRPr="00795225" w:rsidTr="007E6CED">
        <w:tc>
          <w:tcPr>
            <w:tcW w:w="939" w:type="pct"/>
            <w:shd w:val="clear" w:color="auto" w:fill="auto"/>
            <w:vAlign w:val="center"/>
          </w:tcPr>
          <w:p w:rsidR="00EF12D9" w:rsidRPr="00795225" w:rsidRDefault="00EF12D9" w:rsidP="008D1BDC">
            <w:pPr>
              <w:pStyle w:val="Tabletext"/>
              <w:rPr>
                <w:rFonts w:ascii="Times" w:hAnsi="Times"/>
                <w:szCs w:val="20"/>
              </w:rPr>
            </w:pPr>
            <w:r w:rsidRPr="00795225">
              <w:rPr>
                <w:szCs w:val="20"/>
              </w:rPr>
              <w:t>Number of patients treated</w:t>
            </w:r>
          </w:p>
        </w:tc>
        <w:tc>
          <w:tcPr>
            <w:tcW w:w="676"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9" w:type="pct"/>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shd w:val="clear" w:color="auto" w:fill="auto"/>
            <w:vAlign w:val="center"/>
          </w:tcPr>
          <w:p w:rsidR="00EF12D9" w:rsidRPr="00795225" w:rsidRDefault="00EF12D9" w:rsidP="00290875">
            <w:pPr>
              <w:pStyle w:val="Tabletext"/>
              <w:rPr>
                <w:rFonts w:ascii="Times" w:hAnsi="Times"/>
                <w:szCs w:val="20"/>
              </w:rPr>
            </w:pPr>
            <w:r w:rsidRPr="00795225">
              <w:rPr>
                <w:szCs w:val="20"/>
              </w:rPr>
              <w:t xml:space="preserve">Number of scripts </w:t>
            </w:r>
            <w:proofErr w:type="spellStart"/>
            <w:r w:rsidRPr="00795225">
              <w:rPr>
                <w:szCs w:val="20"/>
              </w:rPr>
              <w:t>dispensed</w:t>
            </w:r>
            <w:r w:rsidRPr="00795225">
              <w:rPr>
                <w:szCs w:val="20"/>
                <w:vertAlign w:val="superscript"/>
              </w:rPr>
              <w:t>a</w:t>
            </w:r>
            <w:proofErr w:type="spellEnd"/>
          </w:p>
        </w:tc>
        <w:tc>
          <w:tcPr>
            <w:tcW w:w="676"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c>
          <w:tcPr>
            <w:tcW w:w="679" w:type="pct"/>
            <w:vAlign w:val="center"/>
          </w:tcPr>
          <w:p w:rsidR="00EF12D9" w:rsidRPr="002B3E82" w:rsidRDefault="002B3E82" w:rsidP="008D1BDC">
            <w:pPr>
              <w:pStyle w:val="Tabletext"/>
              <w:jc w:val="center"/>
              <w:rPr>
                <w:bCs/>
                <w:color w:val="000000"/>
                <w:szCs w:val="20"/>
                <w:highlight w:val="black"/>
              </w:rPr>
            </w:pPr>
            <w:r>
              <w:rPr>
                <w:noProof/>
                <w:color w:val="000000"/>
                <w:szCs w:val="20"/>
                <w:highlight w:val="black"/>
              </w:rPr>
              <w:t>'''''''''''''''''</w:t>
            </w:r>
          </w:p>
        </w:tc>
      </w:tr>
      <w:tr w:rsidR="00EF12D9" w:rsidRPr="00795225" w:rsidTr="007E6CED">
        <w:tc>
          <w:tcPr>
            <w:tcW w:w="5000" w:type="pct"/>
            <w:gridSpan w:val="7"/>
            <w:shd w:val="clear" w:color="auto" w:fill="auto"/>
            <w:vAlign w:val="center"/>
          </w:tcPr>
          <w:p w:rsidR="00EF12D9" w:rsidRPr="00795225" w:rsidRDefault="00EF12D9" w:rsidP="008D1BDC">
            <w:pPr>
              <w:pStyle w:val="Tabletext"/>
              <w:rPr>
                <w:b/>
                <w:bCs/>
                <w:color w:val="000000"/>
                <w:szCs w:val="20"/>
              </w:rPr>
            </w:pPr>
            <w:r w:rsidRPr="00795225">
              <w:rPr>
                <w:b/>
                <w:bCs/>
                <w:color w:val="000000"/>
                <w:szCs w:val="20"/>
              </w:rPr>
              <w:t>Estimated financial implications of nivolumab in the adjuvant setting</w:t>
            </w:r>
          </w:p>
        </w:tc>
      </w:tr>
      <w:tr w:rsidR="00EF12D9" w:rsidRPr="00795225" w:rsidTr="007E6CED">
        <w:tc>
          <w:tcPr>
            <w:tcW w:w="939" w:type="pct"/>
            <w:shd w:val="clear" w:color="auto" w:fill="auto"/>
            <w:vAlign w:val="center"/>
          </w:tcPr>
          <w:p w:rsidR="00EF12D9" w:rsidRPr="00795225" w:rsidRDefault="00EF12D9" w:rsidP="008D1BDC">
            <w:pPr>
              <w:pStyle w:val="Tabletext"/>
              <w:rPr>
                <w:rFonts w:ascii="Times" w:hAnsi="Times"/>
                <w:szCs w:val="20"/>
              </w:rPr>
            </w:pPr>
            <w:r w:rsidRPr="00795225">
              <w:rPr>
                <w:szCs w:val="20"/>
              </w:rPr>
              <w:t>Cost to PBS/RPBS</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tcBorders>
              <w:bottom w:val="single" w:sz="4" w:space="0" w:color="auto"/>
            </w:tcBorders>
            <w:shd w:val="clear" w:color="auto" w:fill="auto"/>
            <w:vAlign w:val="center"/>
          </w:tcPr>
          <w:p w:rsidR="00EF12D9" w:rsidRPr="00795225" w:rsidRDefault="00EF12D9" w:rsidP="008D1BDC">
            <w:pPr>
              <w:pStyle w:val="Tabletext"/>
              <w:rPr>
                <w:szCs w:val="20"/>
              </w:rPr>
            </w:pPr>
            <w:r w:rsidRPr="00795225">
              <w:rPr>
                <w:szCs w:val="20"/>
              </w:rPr>
              <w:t>Copayments</w:t>
            </w:r>
          </w:p>
        </w:tc>
        <w:tc>
          <w:tcPr>
            <w:tcW w:w="676"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tcBorders>
              <w:bottom w:val="single" w:sz="4" w:space="0" w:color="auto"/>
            </w:tcBorders>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tcBorders>
              <w:bottom w:val="nil"/>
            </w:tcBorders>
            <w:shd w:val="clear" w:color="auto" w:fill="auto"/>
            <w:vAlign w:val="center"/>
          </w:tcPr>
          <w:p w:rsidR="00EF12D9" w:rsidRPr="00795225" w:rsidRDefault="00EF12D9" w:rsidP="008D1BDC">
            <w:pPr>
              <w:pStyle w:val="Tabletext"/>
              <w:rPr>
                <w:szCs w:val="20"/>
              </w:rPr>
            </w:pPr>
            <w:r w:rsidRPr="00795225">
              <w:rPr>
                <w:szCs w:val="20"/>
              </w:rPr>
              <w:t>Cost to PBS/RPBS less copayments</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tcBorders>
              <w:bottom w:val="nil"/>
            </w:tcBorders>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tcBorders>
              <w:top w:val="nil"/>
            </w:tcBorders>
            <w:shd w:val="clear" w:color="auto" w:fill="auto"/>
            <w:vAlign w:val="center"/>
          </w:tcPr>
          <w:p w:rsidR="00EF12D9" w:rsidRPr="00795225" w:rsidRDefault="00EF12D9" w:rsidP="008D1BDC">
            <w:pPr>
              <w:pStyle w:val="Tabletext"/>
              <w:ind w:left="393"/>
              <w:rPr>
                <w:szCs w:val="20"/>
              </w:rPr>
            </w:pPr>
            <w:r w:rsidRPr="00795225">
              <w:rPr>
                <w:szCs w:val="20"/>
              </w:rPr>
              <w:t>Revised</w:t>
            </w:r>
            <w:r w:rsidRPr="00795225">
              <w:rPr>
                <w:szCs w:val="20"/>
                <w:vertAlign w:val="superscript"/>
              </w:rPr>
              <w:t xml:space="preserve"> b</w:t>
            </w:r>
          </w:p>
        </w:tc>
        <w:tc>
          <w:tcPr>
            <w:tcW w:w="676" w:type="pct"/>
            <w:tcBorders>
              <w:top w:val="nil"/>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6" w:type="pct"/>
            <w:tcBorders>
              <w:top w:val="nil"/>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6" w:type="pct"/>
            <w:tcBorders>
              <w:top w:val="nil"/>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7" w:type="pct"/>
            <w:tcBorders>
              <w:top w:val="nil"/>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7" w:type="pct"/>
            <w:tcBorders>
              <w:top w:val="nil"/>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9" w:type="pct"/>
            <w:tcBorders>
              <w:top w:val="nil"/>
            </w:tcBorders>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r>
      <w:tr w:rsidR="00EF12D9" w:rsidRPr="00795225" w:rsidTr="007E6CED">
        <w:tc>
          <w:tcPr>
            <w:tcW w:w="5000" w:type="pct"/>
            <w:gridSpan w:val="7"/>
            <w:shd w:val="clear" w:color="auto" w:fill="auto"/>
            <w:vAlign w:val="center"/>
          </w:tcPr>
          <w:p w:rsidR="00EF12D9" w:rsidRPr="00795225" w:rsidRDefault="00EF12D9" w:rsidP="006B6EEB">
            <w:pPr>
              <w:pStyle w:val="Tabletext"/>
              <w:rPr>
                <w:bCs/>
                <w:color w:val="000000"/>
                <w:szCs w:val="20"/>
              </w:rPr>
            </w:pPr>
            <w:r w:rsidRPr="00795225">
              <w:rPr>
                <w:b/>
                <w:bCs/>
                <w:color w:val="000000"/>
                <w:szCs w:val="20"/>
              </w:rPr>
              <w:t xml:space="preserve">Changed in costs for treatments in the </w:t>
            </w:r>
            <w:proofErr w:type="spellStart"/>
            <w:r w:rsidR="00BA5DBD" w:rsidRPr="00795225">
              <w:rPr>
                <w:b/>
                <w:bCs/>
                <w:color w:val="000000"/>
                <w:szCs w:val="20"/>
              </w:rPr>
              <w:t>unresectable</w:t>
            </w:r>
            <w:proofErr w:type="spellEnd"/>
            <w:r w:rsidR="00BA5DBD" w:rsidRPr="00795225">
              <w:rPr>
                <w:b/>
                <w:bCs/>
                <w:color w:val="000000"/>
                <w:szCs w:val="20"/>
              </w:rPr>
              <w:t xml:space="preserve"> or metastatic</w:t>
            </w:r>
            <w:r w:rsidRPr="00795225">
              <w:rPr>
                <w:b/>
                <w:bCs/>
                <w:color w:val="000000"/>
                <w:szCs w:val="20"/>
              </w:rPr>
              <w:t xml:space="preserve"> setting</w:t>
            </w:r>
          </w:p>
        </w:tc>
      </w:tr>
      <w:tr w:rsidR="00EF12D9" w:rsidRPr="00795225" w:rsidTr="007E6CED">
        <w:tc>
          <w:tcPr>
            <w:tcW w:w="939" w:type="pct"/>
            <w:shd w:val="clear" w:color="auto" w:fill="auto"/>
            <w:vAlign w:val="center"/>
          </w:tcPr>
          <w:p w:rsidR="00EF12D9" w:rsidRPr="00795225" w:rsidRDefault="00EF12D9" w:rsidP="008D1BDC">
            <w:pPr>
              <w:pStyle w:val="Tabletext"/>
              <w:rPr>
                <w:szCs w:val="20"/>
              </w:rPr>
            </w:pPr>
            <w:r w:rsidRPr="00795225">
              <w:rPr>
                <w:szCs w:val="20"/>
              </w:rPr>
              <w:t>PD-1 inhibitors</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 ''''''''''''''''''''''''''</w:t>
            </w:r>
          </w:p>
        </w:tc>
        <w:tc>
          <w:tcPr>
            <w:tcW w:w="679" w:type="pct"/>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shd w:val="clear" w:color="auto" w:fill="auto"/>
          </w:tcPr>
          <w:p w:rsidR="00EF12D9" w:rsidRPr="00795225" w:rsidRDefault="00EF12D9" w:rsidP="008D1BDC">
            <w:pPr>
              <w:pStyle w:val="Tabletext"/>
              <w:rPr>
                <w:szCs w:val="20"/>
              </w:rPr>
            </w:pPr>
            <w:r w:rsidRPr="00795225">
              <w:rPr>
                <w:szCs w:val="20"/>
              </w:rPr>
              <w:t>Ipilimumab</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 '''''''''''''''''''''''''</w:t>
            </w:r>
          </w:p>
        </w:tc>
        <w:tc>
          <w:tcPr>
            <w:tcW w:w="679" w:type="pct"/>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shd w:val="clear" w:color="auto" w:fill="auto"/>
          </w:tcPr>
          <w:p w:rsidR="00EF12D9" w:rsidRPr="00795225" w:rsidRDefault="00EF12D9" w:rsidP="008D1BDC">
            <w:pPr>
              <w:pStyle w:val="Tabletext"/>
              <w:rPr>
                <w:szCs w:val="20"/>
              </w:rPr>
            </w:pPr>
            <w:r w:rsidRPr="00795225">
              <w:rPr>
                <w:szCs w:val="20"/>
              </w:rPr>
              <w:t>BRAF/MEK inhibitors</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shd w:val="clear" w:color="auto" w:fill="auto"/>
          </w:tcPr>
          <w:p w:rsidR="00EF12D9" w:rsidRPr="00795225" w:rsidRDefault="00EF12D9" w:rsidP="008D1BDC">
            <w:pPr>
              <w:pStyle w:val="Tabletext"/>
              <w:rPr>
                <w:szCs w:val="20"/>
              </w:rPr>
            </w:pPr>
            <w:r w:rsidRPr="00795225">
              <w:rPr>
                <w:szCs w:val="20"/>
              </w:rPr>
              <w:t>Total</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5000" w:type="pct"/>
            <w:gridSpan w:val="7"/>
            <w:tcBorders>
              <w:bottom w:val="single" w:sz="4" w:space="0" w:color="auto"/>
            </w:tcBorders>
            <w:shd w:val="clear" w:color="auto" w:fill="auto"/>
            <w:vAlign w:val="center"/>
          </w:tcPr>
          <w:p w:rsidR="00EF12D9" w:rsidRPr="00795225" w:rsidRDefault="00EF12D9" w:rsidP="006B6EEB">
            <w:pPr>
              <w:pStyle w:val="Tabletext"/>
              <w:rPr>
                <w:b/>
                <w:bCs/>
                <w:color w:val="000000"/>
                <w:szCs w:val="20"/>
              </w:rPr>
            </w:pPr>
            <w:r w:rsidRPr="00795225">
              <w:rPr>
                <w:b/>
                <w:bCs/>
                <w:color w:val="000000"/>
                <w:szCs w:val="20"/>
              </w:rPr>
              <w:t>Net financial implications</w:t>
            </w:r>
          </w:p>
        </w:tc>
      </w:tr>
      <w:tr w:rsidR="00EF12D9" w:rsidRPr="00795225" w:rsidTr="007E6CED">
        <w:tc>
          <w:tcPr>
            <w:tcW w:w="939" w:type="pct"/>
            <w:tcBorders>
              <w:bottom w:val="nil"/>
            </w:tcBorders>
            <w:shd w:val="clear" w:color="auto" w:fill="auto"/>
            <w:vAlign w:val="center"/>
          </w:tcPr>
          <w:p w:rsidR="00EF12D9" w:rsidRPr="00795225" w:rsidRDefault="00EF12D9" w:rsidP="008D1BDC">
            <w:pPr>
              <w:pStyle w:val="Tabletext"/>
              <w:rPr>
                <w:szCs w:val="20"/>
              </w:rPr>
            </w:pPr>
            <w:r w:rsidRPr="00795225">
              <w:rPr>
                <w:szCs w:val="20"/>
              </w:rPr>
              <w:t>Net cost to PBS/RPBS</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tcBorders>
              <w:bottom w:val="nil"/>
            </w:tcBorders>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tcBorders>
              <w:top w:val="nil"/>
            </w:tcBorders>
            <w:shd w:val="clear" w:color="auto" w:fill="auto"/>
            <w:vAlign w:val="center"/>
          </w:tcPr>
          <w:p w:rsidR="00EF12D9" w:rsidRPr="00795225" w:rsidRDefault="00EF12D9" w:rsidP="008D1BDC">
            <w:pPr>
              <w:pStyle w:val="Tabletext"/>
              <w:ind w:left="393"/>
              <w:rPr>
                <w:szCs w:val="20"/>
              </w:rPr>
            </w:pPr>
            <w:r w:rsidRPr="00795225">
              <w:rPr>
                <w:szCs w:val="20"/>
              </w:rPr>
              <w:t>Revised</w:t>
            </w:r>
            <w:r w:rsidRPr="00795225">
              <w:rPr>
                <w:szCs w:val="20"/>
                <w:vertAlign w:val="superscript"/>
              </w:rPr>
              <w:t xml:space="preserve"> b</w:t>
            </w:r>
          </w:p>
        </w:tc>
        <w:tc>
          <w:tcPr>
            <w:tcW w:w="676" w:type="pct"/>
            <w:tcBorders>
              <w:top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top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top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top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top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tcBorders>
              <w:top w:val="nil"/>
            </w:tcBorders>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tcBorders>
              <w:bottom w:val="single" w:sz="4" w:space="0" w:color="auto"/>
            </w:tcBorders>
            <w:shd w:val="clear" w:color="auto" w:fill="auto"/>
            <w:vAlign w:val="center"/>
          </w:tcPr>
          <w:p w:rsidR="00EF12D9" w:rsidRPr="00795225" w:rsidRDefault="00EF12D9" w:rsidP="008D1BDC">
            <w:pPr>
              <w:pStyle w:val="Tabletext"/>
              <w:rPr>
                <w:rFonts w:ascii="Times" w:hAnsi="Times"/>
                <w:szCs w:val="20"/>
              </w:rPr>
            </w:pPr>
            <w:r w:rsidRPr="00795225">
              <w:rPr>
                <w:szCs w:val="20"/>
              </w:rPr>
              <w:t>Net cost to MBS</w:t>
            </w:r>
          </w:p>
        </w:tc>
        <w:tc>
          <w:tcPr>
            <w:tcW w:w="676"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tcBorders>
              <w:bottom w:val="single" w:sz="4" w:space="0" w:color="auto"/>
            </w:tcBorders>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tcBorders>
              <w:bottom w:val="nil"/>
            </w:tcBorders>
            <w:shd w:val="clear" w:color="auto" w:fill="auto"/>
            <w:vAlign w:val="center"/>
          </w:tcPr>
          <w:p w:rsidR="00EF12D9" w:rsidRPr="00795225" w:rsidRDefault="00EF12D9" w:rsidP="008D1BDC">
            <w:pPr>
              <w:pStyle w:val="Tabletext"/>
              <w:rPr>
                <w:szCs w:val="20"/>
              </w:rPr>
            </w:pPr>
            <w:r w:rsidRPr="00795225">
              <w:rPr>
                <w:szCs w:val="20"/>
              </w:rPr>
              <w:t>Net cost to PBS/RPBS/MBS</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bottom w:val="nil"/>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tcBorders>
              <w:bottom w:val="nil"/>
            </w:tcBorders>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EF12D9" w:rsidRPr="00795225" w:rsidTr="007E6CED">
        <w:tc>
          <w:tcPr>
            <w:tcW w:w="939" w:type="pct"/>
            <w:tcBorders>
              <w:top w:val="nil"/>
              <w:bottom w:val="single" w:sz="4" w:space="0" w:color="auto"/>
            </w:tcBorders>
            <w:shd w:val="clear" w:color="auto" w:fill="auto"/>
            <w:vAlign w:val="center"/>
          </w:tcPr>
          <w:p w:rsidR="00EF12D9" w:rsidRPr="00795225" w:rsidRDefault="00EF12D9" w:rsidP="008D1BDC">
            <w:pPr>
              <w:pStyle w:val="Tabletext"/>
              <w:ind w:left="393"/>
              <w:rPr>
                <w:szCs w:val="20"/>
              </w:rPr>
            </w:pPr>
            <w:r w:rsidRPr="00795225">
              <w:rPr>
                <w:szCs w:val="20"/>
              </w:rPr>
              <w:t>Revised</w:t>
            </w:r>
            <w:r w:rsidRPr="00795225">
              <w:rPr>
                <w:szCs w:val="20"/>
                <w:vertAlign w:val="superscript"/>
              </w:rPr>
              <w:t xml:space="preserve"> b</w:t>
            </w:r>
          </w:p>
        </w:tc>
        <w:tc>
          <w:tcPr>
            <w:tcW w:w="676" w:type="pct"/>
            <w:tcBorders>
              <w:top w:val="nil"/>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top w:val="nil"/>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6" w:type="pct"/>
            <w:tcBorders>
              <w:top w:val="nil"/>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top w:val="nil"/>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7" w:type="pct"/>
            <w:tcBorders>
              <w:top w:val="nil"/>
              <w:bottom w:val="single" w:sz="4" w:space="0" w:color="auto"/>
            </w:tcBorders>
            <w:shd w:val="clear" w:color="auto" w:fill="auto"/>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c>
          <w:tcPr>
            <w:tcW w:w="679" w:type="pct"/>
            <w:tcBorders>
              <w:top w:val="nil"/>
              <w:bottom w:val="single" w:sz="4" w:space="0" w:color="auto"/>
            </w:tcBorders>
            <w:vAlign w:val="center"/>
          </w:tcPr>
          <w:p w:rsidR="00EF12D9" w:rsidRPr="002B3E82" w:rsidRDefault="002B3E82" w:rsidP="006B6EEB">
            <w:pPr>
              <w:pStyle w:val="Tabletext"/>
              <w:jc w:val="center"/>
              <w:rPr>
                <w:bCs/>
                <w:color w:val="000000"/>
                <w:szCs w:val="20"/>
                <w:highlight w:val="black"/>
              </w:rPr>
            </w:pPr>
            <w:r>
              <w:rPr>
                <w:noProof/>
                <w:color w:val="000000"/>
                <w:szCs w:val="20"/>
                <w:highlight w:val="black"/>
              </w:rPr>
              <w:t>''''''''''''''''''''''''''''''</w:t>
            </w:r>
          </w:p>
        </w:tc>
      </w:tr>
      <w:tr w:rsidR="004E6EA0" w:rsidRPr="00795225" w:rsidTr="007E6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9" w:type="pct"/>
            <w:tcBorders>
              <w:top w:val="nil"/>
              <w:left w:val="single" w:sz="4" w:space="0" w:color="auto"/>
              <w:bottom w:val="single" w:sz="4" w:space="0" w:color="auto"/>
              <w:right w:val="single" w:sz="4" w:space="0" w:color="auto"/>
            </w:tcBorders>
            <w:shd w:val="clear" w:color="auto" w:fill="auto"/>
            <w:vAlign w:val="center"/>
          </w:tcPr>
          <w:p w:rsidR="004E6EA0" w:rsidRPr="00795225" w:rsidRDefault="004E6EA0" w:rsidP="004E6EA0">
            <w:pPr>
              <w:pStyle w:val="Tabletext"/>
              <w:rPr>
                <w:szCs w:val="20"/>
              </w:rPr>
            </w:pPr>
            <w:r w:rsidRPr="00795225">
              <w:rPr>
                <w:szCs w:val="20"/>
              </w:rPr>
              <w:t>Sensitivity analysis: Fixed dose of 240 mg</w:t>
            </w:r>
            <w:r w:rsidR="00D864B9" w:rsidRPr="00795225">
              <w:rPr>
                <w:szCs w:val="20"/>
              </w:rPr>
              <w:t xml:space="preserve"> Q2W</w:t>
            </w:r>
            <w:r w:rsidR="00B04B43" w:rsidRPr="00795225">
              <w:rPr>
                <w:szCs w:val="20"/>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tcPr>
          <w:p w:rsidR="004E6EA0" w:rsidRPr="002B3E82" w:rsidRDefault="002B3E82" w:rsidP="004E6EA0">
            <w:pPr>
              <w:pStyle w:val="Tabletext"/>
              <w:jc w:val="center"/>
              <w:rPr>
                <w:szCs w:val="20"/>
                <w:highlight w:val="black"/>
              </w:rPr>
            </w:pPr>
            <w:r>
              <w:rPr>
                <w:noProof/>
                <w:color w:val="000000"/>
                <w:szCs w:val="20"/>
                <w:highlight w:val="black"/>
              </w:rPr>
              <w:t>'''''''''''''''''''''''''''''</w:t>
            </w:r>
          </w:p>
        </w:tc>
        <w:tc>
          <w:tcPr>
            <w:tcW w:w="676" w:type="pct"/>
            <w:tcBorders>
              <w:top w:val="nil"/>
              <w:left w:val="single" w:sz="4" w:space="0" w:color="auto"/>
              <w:bottom w:val="single" w:sz="4" w:space="0" w:color="auto"/>
              <w:right w:val="single" w:sz="4" w:space="0" w:color="auto"/>
            </w:tcBorders>
            <w:shd w:val="clear" w:color="auto" w:fill="auto"/>
            <w:vAlign w:val="center"/>
          </w:tcPr>
          <w:p w:rsidR="004E6EA0" w:rsidRPr="002B3E82" w:rsidRDefault="002B3E82" w:rsidP="004E6EA0">
            <w:pPr>
              <w:pStyle w:val="Tabletext"/>
              <w:jc w:val="center"/>
              <w:rPr>
                <w:szCs w:val="20"/>
                <w:highlight w:val="black"/>
              </w:rPr>
            </w:pPr>
            <w:r>
              <w:rPr>
                <w:noProof/>
                <w:color w:val="000000"/>
                <w:szCs w:val="20"/>
                <w:highlight w:val="black"/>
              </w:rPr>
              <w:t>''''''''''''''''''''''''''''''''''</w:t>
            </w:r>
          </w:p>
        </w:tc>
        <w:tc>
          <w:tcPr>
            <w:tcW w:w="676" w:type="pct"/>
            <w:tcBorders>
              <w:top w:val="nil"/>
              <w:left w:val="single" w:sz="4" w:space="0" w:color="auto"/>
              <w:bottom w:val="single" w:sz="4" w:space="0" w:color="auto"/>
              <w:right w:val="single" w:sz="4" w:space="0" w:color="auto"/>
            </w:tcBorders>
            <w:shd w:val="clear" w:color="auto" w:fill="auto"/>
            <w:vAlign w:val="center"/>
          </w:tcPr>
          <w:p w:rsidR="004E6EA0" w:rsidRPr="002B3E82" w:rsidRDefault="002B3E82" w:rsidP="004E6EA0">
            <w:pPr>
              <w:pStyle w:val="Tabletext"/>
              <w:jc w:val="center"/>
              <w:rPr>
                <w:szCs w:val="20"/>
                <w:highlight w:val="black"/>
              </w:rPr>
            </w:pPr>
            <w:r>
              <w:rPr>
                <w:noProof/>
                <w:color w:val="000000"/>
                <w:szCs w:val="20"/>
                <w:highlight w:val="black"/>
              </w:rPr>
              <w:t>'''''''''''''''''''''''''''''''</w:t>
            </w:r>
          </w:p>
        </w:tc>
        <w:tc>
          <w:tcPr>
            <w:tcW w:w="677" w:type="pct"/>
            <w:tcBorders>
              <w:top w:val="nil"/>
              <w:left w:val="single" w:sz="4" w:space="0" w:color="auto"/>
              <w:bottom w:val="single" w:sz="4" w:space="0" w:color="auto"/>
              <w:right w:val="single" w:sz="4" w:space="0" w:color="auto"/>
            </w:tcBorders>
            <w:shd w:val="clear" w:color="auto" w:fill="auto"/>
            <w:vAlign w:val="center"/>
          </w:tcPr>
          <w:p w:rsidR="004E6EA0" w:rsidRPr="002B3E82" w:rsidRDefault="002B3E82" w:rsidP="004E6EA0">
            <w:pPr>
              <w:pStyle w:val="Tabletext"/>
              <w:jc w:val="center"/>
              <w:rPr>
                <w:szCs w:val="20"/>
                <w:highlight w:val="black"/>
              </w:rPr>
            </w:pPr>
            <w:r>
              <w:rPr>
                <w:noProof/>
                <w:color w:val="000000"/>
                <w:szCs w:val="20"/>
                <w:highlight w:val="black"/>
              </w:rPr>
              <w:t>'''''''''''''''''''''''''''''''</w:t>
            </w:r>
          </w:p>
        </w:tc>
        <w:tc>
          <w:tcPr>
            <w:tcW w:w="677" w:type="pct"/>
            <w:tcBorders>
              <w:top w:val="nil"/>
              <w:left w:val="single" w:sz="4" w:space="0" w:color="auto"/>
              <w:bottom w:val="single" w:sz="4" w:space="0" w:color="auto"/>
              <w:right w:val="single" w:sz="4" w:space="0" w:color="auto"/>
            </w:tcBorders>
            <w:shd w:val="clear" w:color="auto" w:fill="auto"/>
            <w:vAlign w:val="center"/>
          </w:tcPr>
          <w:p w:rsidR="004E6EA0" w:rsidRPr="002B3E82" w:rsidRDefault="002B3E82" w:rsidP="004E6EA0">
            <w:pPr>
              <w:pStyle w:val="Tabletext"/>
              <w:jc w:val="center"/>
              <w:rPr>
                <w:szCs w:val="20"/>
                <w:highlight w:val="black"/>
              </w:rPr>
            </w:pPr>
            <w:r>
              <w:rPr>
                <w:noProof/>
                <w:color w:val="000000"/>
                <w:szCs w:val="20"/>
                <w:highlight w:val="black"/>
              </w:rPr>
              <w:t>'''''''''''''''''''''''''''''''</w:t>
            </w:r>
          </w:p>
        </w:tc>
        <w:tc>
          <w:tcPr>
            <w:tcW w:w="679" w:type="pct"/>
            <w:tcBorders>
              <w:top w:val="nil"/>
              <w:left w:val="single" w:sz="4" w:space="0" w:color="auto"/>
              <w:bottom w:val="single" w:sz="4" w:space="0" w:color="auto"/>
              <w:right w:val="single" w:sz="4" w:space="0" w:color="auto"/>
            </w:tcBorders>
            <w:vAlign w:val="center"/>
          </w:tcPr>
          <w:p w:rsidR="004E6EA0" w:rsidRPr="002B3E82" w:rsidRDefault="002B3E82" w:rsidP="004E6EA0">
            <w:pPr>
              <w:pStyle w:val="Tabletext"/>
              <w:jc w:val="center"/>
              <w:rPr>
                <w:szCs w:val="20"/>
                <w:highlight w:val="black"/>
              </w:rPr>
            </w:pPr>
            <w:r>
              <w:rPr>
                <w:noProof/>
                <w:color w:val="000000"/>
                <w:szCs w:val="20"/>
                <w:highlight w:val="black"/>
              </w:rPr>
              <w:t>'''''''''''''''''''''''''''''</w:t>
            </w:r>
          </w:p>
        </w:tc>
      </w:tr>
      <w:tr w:rsidR="00EF12D9" w:rsidRPr="00795225" w:rsidTr="007E6CED">
        <w:tc>
          <w:tcPr>
            <w:tcW w:w="5000" w:type="pct"/>
            <w:gridSpan w:val="7"/>
            <w:tcBorders>
              <w:top w:val="single" w:sz="4" w:space="0" w:color="auto"/>
              <w:bottom w:val="single" w:sz="4" w:space="0" w:color="auto"/>
            </w:tcBorders>
            <w:shd w:val="clear" w:color="auto" w:fill="auto"/>
            <w:vAlign w:val="center"/>
          </w:tcPr>
          <w:p w:rsidR="00EF12D9" w:rsidRPr="00795225" w:rsidRDefault="00F605C5" w:rsidP="008D1BDC">
            <w:pPr>
              <w:pStyle w:val="Tabletext"/>
              <w:rPr>
                <w:b/>
                <w:szCs w:val="20"/>
              </w:rPr>
            </w:pPr>
            <w:r w:rsidRPr="00795225">
              <w:rPr>
                <w:b/>
                <w:szCs w:val="20"/>
              </w:rPr>
              <w:t>Estimates from the</w:t>
            </w:r>
            <w:r w:rsidR="00EF12D9" w:rsidRPr="00795225">
              <w:rPr>
                <w:b/>
                <w:szCs w:val="20"/>
              </w:rPr>
              <w:t xml:space="preserve"> July 2018 submission (compiled during the evaluation)</w:t>
            </w:r>
          </w:p>
        </w:tc>
      </w:tr>
      <w:tr w:rsidR="00EF12D9" w:rsidRPr="00795225" w:rsidTr="007E6CED">
        <w:tc>
          <w:tcPr>
            <w:tcW w:w="5000" w:type="pct"/>
            <w:gridSpan w:val="7"/>
            <w:tcBorders>
              <w:top w:val="single" w:sz="4" w:space="0" w:color="auto"/>
              <w:bottom w:val="single" w:sz="4" w:space="0" w:color="auto"/>
            </w:tcBorders>
            <w:shd w:val="clear" w:color="auto" w:fill="auto"/>
            <w:vAlign w:val="center"/>
          </w:tcPr>
          <w:p w:rsidR="00EF12D9" w:rsidRPr="00795225" w:rsidRDefault="00EF12D9" w:rsidP="008D1BDC">
            <w:pPr>
              <w:pStyle w:val="Tabletext"/>
              <w:rPr>
                <w:b/>
                <w:szCs w:val="20"/>
              </w:rPr>
            </w:pPr>
            <w:r w:rsidRPr="00795225">
              <w:rPr>
                <w:b/>
                <w:szCs w:val="20"/>
              </w:rPr>
              <w:t>Estimated extent of use</w:t>
            </w:r>
          </w:p>
        </w:tc>
      </w:tr>
      <w:tr w:rsidR="00EF12D9" w:rsidRPr="00795225" w:rsidTr="007E6CED">
        <w:tc>
          <w:tcPr>
            <w:tcW w:w="939" w:type="pct"/>
            <w:tcBorders>
              <w:top w:val="single" w:sz="4" w:space="0" w:color="auto"/>
              <w:bottom w:val="single" w:sz="4" w:space="0" w:color="auto"/>
            </w:tcBorders>
            <w:shd w:val="clear" w:color="auto" w:fill="auto"/>
            <w:vAlign w:val="center"/>
          </w:tcPr>
          <w:p w:rsidR="00EF12D9" w:rsidRPr="00795225" w:rsidRDefault="00EF12D9" w:rsidP="008D1BDC">
            <w:pPr>
              <w:pStyle w:val="Tabletext"/>
              <w:rPr>
                <w:szCs w:val="20"/>
              </w:rPr>
            </w:pPr>
            <w:r w:rsidRPr="00795225">
              <w:rPr>
                <w:szCs w:val="20"/>
              </w:rPr>
              <w:t>Number of patients treated</w:t>
            </w:r>
          </w:p>
        </w:tc>
        <w:tc>
          <w:tcPr>
            <w:tcW w:w="676" w:type="pct"/>
            <w:tcBorders>
              <w:top w:val="single" w:sz="4" w:space="0" w:color="auto"/>
              <w:bottom w:val="single" w:sz="4" w:space="0" w:color="auto"/>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c>
          <w:tcPr>
            <w:tcW w:w="679" w:type="pct"/>
            <w:tcBorders>
              <w:top w:val="single" w:sz="4" w:space="0" w:color="auto"/>
              <w:bottom w:val="single" w:sz="4" w:space="0" w:color="auto"/>
            </w:tcBorders>
            <w:vAlign w:val="center"/>
          </w:tcPr>
          <w:p w:rsidR="00EF12D9" w:rsidRPr="002B3E82" w:rsidRDefault="002B3E82" w:rsidP="006B6EEB">
            <w:pPr>
              <w:pStyle w:val="Tabletext"/>
              <w:jc w:val="center"/>
              <w:rPr>
                <w:szCs w:val="20"/>
                <w:highlight w:val="black"/>
              </w:rPr>
            </w:pPr>
            <w:r>
              <w:rPr>
                <w:noProof/>
                <w:color w:val="000000"/>
                <w:szCs w:val="20"/>
                <w:highlight w:val="black"/>
              </w:rPr>
              <w:t>'''''''''''''</w:t>
            </w:r>
          </w:p>
        </w:tc>
      </w:tr>
      <w:tr w:rsidR="00EF12D9" w:rsidRPr="00795225" w:rsidTr="007E6CED">
        <w:tc>
          <w:tcPr>
            <w:tcW w:w="5000" w:type="pct"/>
            <w:gridSpan w:val="7"/>
            <w:tcBorders>
              <w:top w:val="single" w:sz="4" w:space="0" w:color="auto"/>
              <w:bottom w:val="single" w:sz="4" w:space="0" w:color="auto"/>
            </w:tcBorders>
            <w:shd w:val="clear" w:color="auto" w:fill="auto"/>
            <w:vAlign w:val="center"/>
          </w:tcPr>
          <w:p w:rsidR="00EF12D9" w:rsidRPr="00795225" w:rsidRDefault="00EF12D9" w:rsidP="008D1BDC">
            <w:pPr>
              <w:pStyle w:val="Tabletext"/>
              <w:rPr>
                <w:b/>
                <w:szCs w:val="20"/>
              </w:rPr>
            </w:pPr>
            <w:r w:rsidRPr="00795225">
              <w:rPr>
                <w:b/>
                <w:szCs w:val="20"/>
              </w:rPr>
              <w:t xml:space="preserve">Estimated </w:t>
            </w:r>
            <w:r w:rsidR="006B6EEB" w:rsidRPr="00795225">
              <w:rPr>
                <w:b/>
                <w:szCs w:val="20"/>
              </w:rPr>
              <w:t>f</w:t>
            </w:r>
            <w:r w:rsidRPr="00795225">
              <w:rPr>
                <w:b/>
                <w:szCs w:val="20"/>
              </w:rPr>
              <w:t xml:space="preserve">inancial </w:t>
            </w:r>
            <w:r w:rsidR="006B6EEB" w:rsidRPr="00795225">
              <w:rPr>
                <w:b/>
                <w:szCs w:val="20"/>
              </w:rPr>
              <w:t>i</w:t>
            </w:r>
            <w:r w:rsidRPr="00795225">
              <w:rPr>
                <w:b/>
                <w:szCs w:val="20"/>
              </w:rPr>
              <w:t>mplications of nivolumab</w:t>
            </w:r>
          </w:p>
        </w:tc>
      </w:tr>
      <w:tr w:rsidR="00EF12D9" w:rsidRPr="00795225" w:rsidTr="007E6CED">
        <w:tc>
          <w:tcPr>
            <w:tcW w:w="939" w:type="pct"/>
            <w:tcBorders>
              <w:top w:val="single" w:sz="4" w:space="0" w:color="auto"/>
              <w:bottom w:val="single" w:sz="4" w:space="0" w:color="auto"/>
            </w:tcBorders>
            <w:shd w:val="clear" w:color="auto" w:fill="auto"/>
            <w:vAlign w:val="center"/>
          </w:tcPr>
          <w:p w:rsidR="00EF12D9" w:rsidRPr="00795225" w:rsidRDefault="00EF12D9" w:rsidP="008D1BDC">
            <w:pPr>
              <w:pStyle w:val="Tabletext"/>
              <w:rPr>
                <w:szCs w:val="20"/>
              </w:rPr>
            </w:pPr>
            <w:r w:rsidRPr="00795225">
              <w:rPr>
                <w:szCs w:val="20"/>
              </w:rPr>
              <w:t>Cost to PBS/RPBS less copayments</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9" w:type="pct"/>
            <w:tcBorders>
              <w:top w:val="single" w:sz="4" w:space="0" w:color="auto"/>
              <w:bottom w:val="single" w:sz="4" w:space="0" w:color="auto"/>
            </w:tcBorders>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r>
      <w:tr w:rsidR="00EF12D9" w:rsidRPr="00795225" w:rsidTr="007E6CED">
        <w:tc>
          <w:tcPr>
            <w:tcW w:w="5000" w:type="pct"/>
            <w:gridSpan w:val="7"/>
            <w:tcBorders>
              <w:top w:val="single" w:sz="4" w:space="0" w:color="auto"/>
              <w:bottom w:val="single" w:sz="4" w:space="0" w:color="auto"/>
            </w:tcBorders>
            <w:shd w:val="clear" w:color="auto" w:fill="auto"/>
            <w:vAlign w:val="center"/>
          </w:tcPr>
          <w:p w:rsidR="00EF12D9" w:rsidRPr="00795225" w:rsidRDefault="00EF12D9" w:rsidP="00455821">
            <w:pPr>
              <w:pStyle w:val="Tabletext"/>
              <w:rPr>
                <w:b/>
                <w:szCs w:val="20"/>
              </w:rPr>
            </w:pPr>
            <w:r w:rsidRPr="00795225">
              <w:rPr>
                <w:b/>
                <w:szCs w:val="20"/>
              </w:rPr>
              <w:t xml:space="preserve">Estimated </w:t>
            </w:r>
            <w:r w:rsidR="006B6EEB" w:rsidRPr="00795225">
              <w:rPr>
                <w:b/>
                <w:szCs w:val="20"/>
              </w:rPr>
              <w:t>f</w:t>
            </w:r>
            <w:r w:rsidRPr="00795225">
              <w:rPr>
                <w:b/>
                <w:szCs w:val="20"/>
              </w:rPr>
              <w:t xml:space="preserve">inancial </w:t>
            </w:r>
            <w:r w:rsidR="006B6EEB" w:rsidRPr="00795225">
              <w:rPr>
                <w:b/>
                <w:szCs w:val="20"/>
              </w:rPr>
              <w:t>i</w:t>
            </w:r>
            <w:r w:rsidRPr="00795225">
              <w:rPr>
                <w:b/>
                <w:szCs w:val="20"/>
              </w:rPr>
              <w:t xml:space="preserve">mplications </w:t>
            </w:r>
            <w:r w:rsidRPr="00795225">
              <w:rPr>
                <w:b/>
                <w:bCs/>
                <w:color w:val="000000"/>
                <w:szCs w:val="20"/>
              </w:rPr>
              <w:t>for medicines to treat disease recurrence (avoided)</w:t>
            </w:r>
          </w:p>
        </w:tc>
      </w:tr>
      <w:tr w:rsidR="00EF12D9" w:rsidRPr="00795225" w:rsidTr="007E6CED">
        <w:tc>
          <w:tcPr>
            <w:tcW w:w="939" w:type="pct"/>
            <w:tcBorders>
              <w:top w:val="single" w:sz="4" w:space="0" w:color="auto"/>
              <w:bottom w:val="single" w:sz="4" w:space="0" w:color="auto"/>
            </w:tcBorders>
            <w:shd w:val="clear" w:color="auto" w:fill="auto"/>
            <w:vAlign w:val="center"/>
          </w:tcPr>
          <w:p w:rsidR="00EF12D9" w:rsidRPr="00795225" w:rsidRDefault="00EF12D9" w:rsidP="008D1BDC">
            <w:pPr>
              <w:pStyle w:val="Tabletext"/>
              <w:ind w:left="393" w:hanging="393"/>
              <w:rPr>
                <w:szCs w:val="20"/>
              </w:rPr>
            </w:pPr>
            <w:r w:rsidRPr="00795225">
              <w:rPr>
                <w:szCs w:val="20"/>
              </w:rPr>
              <w:t>Cost to PBS/RPBS</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9" w:type="pct"/>
            <w:tcBorders>
              <w:top w:val="single" w:sz="4" w:space="0" w:color="auto"/>
              <w:bottom w:val="single" w:sz="4" w:space="0" w:color="auto"/>
            </w:tcBorders>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r>
      <w:tr w:rsidR="00EF12D9" w:rsidRPr="00795225" w:rsidTr="007E6CED">
        <w:tc>
          <w:tcPr>
            <w:tcW w:w="5000" w:type="pct"/>
            <w:gridSpan w:val="7"/>
            <w:tcBorders>
              <w:top w:val="single" w:sz="4" w:space="0" w:color="auto"/>
              <w:bottom w:val="single" w:sz="4" w:space="0" w:color="auto"/>
            </w:tcBorders>
            <w:shd w:val="clear" w:color="auto" w:fill="auto"/>
            <w:vAlign w:val="center"/>
          </w:tcPr>
          <w:p w:rsidR="00EF12D9" w:rsidRPr="00795225" w:rsidRDefault="00EF12D9" w:rsidP="00455821">
            <w:pPr>
              <w:pStyle w:val="Tabletext"/>
              <w:rPr>
                <w:b/>
                <w:szCs w:val="20"/>
              </w:rPr>
            </w:pPr>
            <w:r w:rsidRPr="00795225">
              <w:rPr>
                <w:b/>
                <w:szCs w:val="20"/>
              </w:rPr>
              <w:lastRenderedPageBreak/>
              <w:t>Net financial implications</w:t>
            </w:r>
          </w:p>
        </w:tc>
      </w:tr>
      <w:tr w:rsidR="00EF12D9" w:rsidRPr="00795225" w:rsidTr="007E6CED">
        <w:tc>
          <w:tcPr>
            <w:tcW w:w="939" w:type="pct"/>
            <w:tcBorders>
              <w:top w:val="single" w:sz="4" w:space="0" w:color="auto"/>
              <w:bottom w:val="single" w:sz="4" w:space="0" w:color="auto"/>
            </w:tcBorders>
            <w:shd w:val="clear" w:color="auto" w:fill="auto"/>
            <w:vAlign w:val="center"/>
          </w:tcPr>
          <w:p w:rsidR="00EF12D9" w:rsidRPr="00795225" w:rsidRDefault="00EF12D9" w:rsidP="008D1BDC">
            <w:pPr>
              <w:pStyle w:val="Tabletext"/>
              <w:rPr>
                <w:szCs w:val="20"/>
              </w:rPr>
            </w:pPr>
            <w:r w:rsidRPr="00795225">
              <w:rPr>
                <w:szCs w:val="20"/>
              </w:rPr>
              <w:t>Net cost to PBS/RPBS</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9" w:type="pct"/>
            <w:tcBorders>
              <w:top w:val="single" w:sz="4" w:space="0" w:color="auto"/>
              <w:bottom w:val="single" w:sz="4" w:space="0" w:color="auto"/>
            </w:tcBorders>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r>
      <w:tr w:rsidR="00EF12D9" w:rsidRPr="00795225" w:rsidTr="007E6CED">
        <w:tc>
          <w:tcPr>
            <w:tcW w:w="939" w:type="pct"/>
            <w:tcBorders>
              <w:top w:val="single" w:sz="4" w:space="0" w:color="auto"/>
              <w:bottom w:val="single" w:sz="4" w:space="0" w:color="auto"/>
            </w:tcBorders>
            <w:shd w:val="clear" w:color="auto" w:fill="auto"/>
            <w:vAlign w:val="center"/>
          </w:tcPr>
          <w:p w:rsidR="00EF12D9" w:rsidRPr="00795225" w:rsidRDefault="00EF12D9" w:rsidP="008D1BDC">
            <w:pPr>
              <w:pStyle w:val="Tabletext"/>
              <w:rPr>
                <w:szCs w:val="20"/>
              </w:rPr>
            </w:pPr>
            <w:r w:rsidRPr="00795225">
              <w:rPr>
                <w:szCs w:val="20"/>
              </w:rPr>
              <w:t xml:space="preserve">Net cost to </w:t>
            </w:r>
            <w:proofErr w:type="spellStart"/>
            <w:r w:rsidRPr="00795225">
              <w:rPr>
                <w:szCs w:val="20"/>
              </w:rPr>
              <w:t>MBS</w:t>
            </w:r>
            <w:r w:rsidRPr="00795225">
              <w:rPr>
                <w:szCs w:val="20"/>
                <w:vertAlign w:val="superscript"/>
              </w:rPr>
              <w:t>c</w:t>
            </w:r>
            <w:proofErr w:type="spellEnd"/>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9" w:type="pct"/>
            <w:tcBorders>
              <w:top w:val="single" w:sz="4" w:space="0" w:color="auto"/>
              <w:bottom w:val="single" w:sz="4" w:space="0" w:color="auto"/>
            </w:tcBorders>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r>
      <w:tr w:rsidR="00EF12D9" w:rsidRPr="00795225" w:rsidTr="007E6CED">
        <w:tc>
          <w:tcPr>
            <w:tcW w:w="939" w:type="pct"/>
            <w:tcBorders>
              <w:top w:val="single" w:sz="4" w:space="0" w:color="auto"/>
              <w:bottom w:val="single" w:sz="4" w:space="0" w:color="auto"/>
            </w:tcBorders>
            <w:shd w:val="clear" w:color="auto" w:fill="auto"/>
            <w:vAlign w:val="center"/>
          </w:tcPr>
          <w:p w:rsidR="00EF12D9" w:rsidRPr="00795225" w:rsidRDefault="00EF12D9" w:rsidP="008D1BDC">
            <w:pPr>
              <w:pStyle w:val="Tabletext"/>
              <w:rPr>
                <w:szCs w:val="20"/>
              </w:rPr>
            </w:pPr>
            <w:r w:rsidRPr="00795225">
              <w:rPr>
                <w:szCs w:val="20"/>
              </w:rPr>
              <w:t>Net cost to PBS/RPBS/MBS</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c>
          <w:tcPr>
            <w:tcW w:w="679" w:type="pct"/>
            <w:tcBorders>
              <w:top w:val="single" w:sz="4" w:space="0" w:color="auto"/>
              <w:bottom w:val="single" w:sz="4" w:space="0" w:color="auto"/>
            </w:tcBorders>
            <w:vAlign w:val="center"/>
          </w:tcPr>
          <w:p w:rsidR="00EF12D9" w:rsidRPr="002B3E82" w:rsidRDefault="002B3E82" w:rsidP="00EE5266">
            <w:pPr>
              <w:pStyle w:val="Tabletext"/>
              <w:jc w:val="center"/>
              <w:rPr>
                <w:szCs w:val="20"/>
                <w:highlight w:val="black"/>
              </w:rPr>
            </w:pPr>
            <w:r>
              <w:rPr>
                <w:noProof/>
                <w:color w:val="000000"/>
                <w:szCs w:val="20"/>
                <w:highlight w:val="black"/>
              </w:rPr>
              <w:t>''''''''''''''''''''''''''''''''</w:t>
            </w:r>
          </w:p>
        </w:tc>
      </w:tr>
      <w:tr w:rsidR="0062602F" w:rsidRPr="00795225" w:rsidTr="007E6CED">
        <w:tc>
          <w:tcPr>
            <w:tcW w:w="5000" w:type="pct"/>
            <w:gridSpan w:val="7"/>
            <w:tcBorders>
              <w:top w:val="single" w:sz="4" w:space="0" w:color="auto"/>
              <w:bottom w:val="single" w:sz="4" w:space="0" w:color="auto"/>
            </w:tcBorders>
            <w:shd w:val="clear" w:color="auto" w:fill="auto"/>
            <w:vAlign w:val="center"/>
          </w:tcPr>
          <w:p w:rsidR="0062602F" w:rsidRPr="00795225" w:rsidRDefault="0062602F" w:rsidP="0062602F">
            <w:pPr>
              <w:pStyle w:val="Tabletext"/>
              <w:rPr>
                <w:b/>
                <w:szCs w:val="20"/>
              </w:rPr>
            </w:pPr>
            <w:r w:rsidRPr="00795225">
              <w:rPr>
                <w:b/>
                <w:szCs w:val="20"/>
              </w:rPr>
              <w:t>Pre-PBAC response revised estimates</w:t>
            </w:r>
          </w:p>
        </w:tc>
      </w:tr>
      <w:tr w:rsidR="0062602F" w:rsidRPr="00795225" w:rsidTr="007E6CED">
        <w:tc>
          <w:tcPr>
            <w:tcW w:w="939" w:type="pct"/>
            <w:tcBorders>
              <w:top w:val="single" w:sz="4" w:space="0" w:color="auto"/>
              <w:bottom w:val="single" w:sz="4" w:space="0" w:color="auto"/>
            </w:tcBorders>
            <w:shd w:val="clear" w:color="auto" w:fill="auto"/>
            <w:vAlign w:val="center"/>
          </w:tcPr>
          <w:p w:rsidR="0062602F" w:rsidRPr="00795225" w:rsidRDefault="0062602F" w:rsidP="008D1BDC">
            <w:pPr>
              <w:pStyle w:val="Tabletext"/>
              <w:rPr>
                <w:szCs w:val="20"/>
              </w:rPr>
            </w:pPr>
            <w:r w:rsidRPr="00795225">
              <w:rPr>
                <w:szCs w:val="20"/>
              </w:rPr>
              <w:t>Number of patients treated</w:t>
            </w:r>
          </w:p>
        </w:tc>
        <w:tc>
          <w:tcPr>
            <w:tcW w:w="676" w:type="pct"/>
            <w:tcBorders>
              <w:top w:val="single" w:sz="4" w:space="0" w:color="auto"/>
              <w:bottom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bottom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bottom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9" w:type="pct"/>
            <w:tcBorders>
              <w:top w:val="single" w:sz="4" w:space="0" w:color="auto"/>
              <w:bottom w:val="single" w:sz="4" w:space="0" w:color="auto"/>
            </w:tcBorders>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r>
      <w:tr w:rsidR="0062602F" w:rsidRPr="00795225" w:rsidTr="007E6CED">
        <w:tc>
          <w:tcPr>
            <w:tcW w:w="939" w:type="pct"/>
            <w:tcBorders>
              <w:top w:val="single" w:sz="4" w:space="0" w:color="auto"/>
            </w:tcBorders>
            <w:shd w:val="clear" w:color="auto" w:fill="auto"/>
            <w:vAlign w:val="center"/>
          </w:tcPr>
          <w:p w:rsidR="0062602F" w:rsidRPr="00795225" w:rsidRDefault="0062602F" w:rsidP="008D1BDC">
            <w:pPr>
              <w:pStyle w:val="Tabletext"/>
              <w:rPr>
                <w:szCs w:val="20"/>
              </w:rPr>
            </w:pPr>
            <w:r w:rsidRPr="00795225">
              <w:rPr>
                <w:szCs w:val="20"/>
              </w:rPr>
              <w:t>Net cost to PBS/RPBS</w:t>
            </w:r>
          </w:p>
        </w:tc>
        <w:tc>
          <w:tcPr>
            <w:tcW w:w="676" w:type="pct"/>
            <w:tcBorders>
              <w:top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6" w:type="pct"/>
            <w:tcBorders>
              <w:top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7" w:type="pct"/>
            <w:tcBorders>
              <w:top w:val="single" w:sz="4" w:space="0" w:color="auto"/>
            </w:tcBorders>
            <w:shd w:val="clear" w:color="auto" w:fill="auto"/>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c>
          <w:tcPr>
            <w:tcW w:w="679" w:type="pct"/>
            <w:tcBorders>
              <w:top w:val="single" w:sz="4" w:space="0" w:color="auto"/>
            </w:tcBorders>
            <w:vAlign w:val="center"/>
          </w:tcPr>
          <w:p w:rsidR="0062602F" w:rsidRPr="002B3E82" w:rsidRDefault="002B3E82" w:rsidP="00EE5266">
            <w:pPr>
              <w:pStyle w:val="Tabletext"/>
              <w:jc w:val="center"/>
              <w:rPr>
                <w:szCs w:val="20"/>
                <w:highlight w:val="black"/>
              </w:rPr>
            </w:pPr>
            <w:r>
              <w:rPr>
                <w:noProof/>
                <w:color w:val="000000"/>
                <w:szCs w:val="20"/>
                <w:highlight w:val="black"/>
              </w:rPr>
              <w:t>'''''''''''''''''''''''''''''''''''</w:t>
            </w:r>
          </w:p>
        </w:tc>
      </w:tr>
    </w:tbl>
    <w:p w:rsidR="00290875" w:rsidRPr="00795225" w:rsidRDefault="00290875" w:rsidP="008D1BDC">
      <w:pPr>
        <w:pStyle w:val="TableFooter"/>
        <w:widowControl/>
        <w:tabs>
          <w:tab w:val="left" w:pos="142"/>
        </w:tabs>
      </w:pPr>
      <w:r w:rsidRPr="00795225">
        <w:t>MBS = Medicare Benefits Schedule; PBS = Pharmaceutical Benefits Scheme; PD-1 = programmed cell death-1; Q2W = every 2 weeks; RPBS = Repatriation Pharmaceutical Benefits Scheme</w:t>
      </w:r>
    </w:p>
    <w:p w:rsidR="00EF12D9" w:rsidRPr="00795225" w:rsidRDefault="00EF12D9" w:rsidP="008D1BDC">
      <w:pPr>
        <w:pStyle w:val="TableFooter"/>
        <w:widowControl/>
        <w:tabs>
          <w:tab w:val="left" w:pos="142"/>
        </w:tabs>
      </w:pPr>
      <w:proofErr w:type="spellStart"/>
      <w:r w:rsidRPr="00795225">
        <w:rPr>
          <w:vertAlign w:val="superscript"/>
        </w:rPr>
        <w:t>a</w:t>
      </w:r>
      <w:proofErr w:type="spellEnd"/>
      <w:r w:rsidRPr="00795225">
        <w:t xml:space="preserve"> Assuming 19.6 scripts per patient as estimated by the submission.</w:t>
      </w:r>
    </w:p>
    <w:p w:rsidR="00EF12D9" w:rsidRPr="00795225" w:rsidRDefault="00EF12D9" w:rsidP="008D1BDC">
      <w:pPr>
        <w:keepNext/>
        <w:keepLines/>
        <w:widowControl/>
        <w:contextualSpacing/>
        <w:jc w:val="left"/>
        <w:rPr>
          <w:rFonts w:ascii="Arial Narrow" w:hAnsi="Arial Narrow" w:cs="Times New Roman"/>
          <w:snapToGrid/>
          <w:sz w:val="18"/>
          <w:lang w:eastAsia="en-GB"/>
        </w:rPr>
      </w:pPr>
      <w:r w:rsidRPr="00795225">
        <w:rPr>
          <w:rFonts w:ascii="Arial Narrow" w:hAnsi="Arial Narrow" w:cs="Times New Roman"/>
          <w:snapToGrid/>
          <w:sz w:val="18"/>
          <w:vertAlign w:val="superscript"/>
          <w:lang w:eastAsia="en-GB"/>
        </w:rPr>
        <w:t>b</w:t>
      </w:r>
      <w:r w:rsidRPr="00795225">
        <w:rPr>
          <w:rFonts w:ascii="Arial Narrow" w:hAnsi="Arial Narrow" w:cs="Times New Roman"/>
          <w:snapToGrid/>
          <w:sz w:val="18"/>
          <w:lang w:eastAsia="en-GB"/>
        </w:rPr>
        <w:t xml:space="preserve"> The resubmission incorrectly calculated the cost to the PBS/RPBS (excluding copayments) by the cost to the PBS/RPBS (including copayments) plus (not minus) copayments. This error was corrected during the evaluation.</w:t>
      </w:r>
    </w:p>
    <w:p w:rsidR="00EF12D9" w:rsidRPr="00795225" w:rsidRDefault="00EF12D9" w:rsidP="008D1BDC">
      <w:pPr>
        <w:pStyle w:val="TableFooter"/>
        <w:widowControl/>
        <w:tabs>
          <w:tab w:val="left" w:pos="142"/>
        </w:tabs>
      </w:pPr>
      <w:r w:rsidRPr="00795225">
        <w:rPr>
          <w:rFonts w:cs="Times New Roman"/>
          <w:snapToGrid/>
          <w:vertAlign w:val="superscript"/>
          <w:lang w:eastAsia="en-GB"/>
        </w:rPr>
        <w:t>c</w:t>
      </w:r>
      <w:r w:rsidR="005D7463" w:rsidRPr="00795225">
        <w:rPr>
          <w:rFonts w:cs="Times New Roman"/>
          <w:snapToGrid/>
          <w:vertAlign w:val="superscript"/>
          <w:lang w:eastAsia="en-GB"/>
        </w:rPr>
        <w:t xml:space="preserve"> </w:t>
      </w:r>
      <w:r w:rsidRPr="00795225">
        <w:t>The submission assumed that the administration cost of nivolumab relates to MBS Item 13915. The expected number of drug administrations and MBS items per patient course is 19.6. The cost to the MBS per administration is $55.30 (85% benefit)</w:t>
      </w:r>
      <w:r w:rsidR="00F605C5" w:rsidRPr="00795225">
        <w:t>.</w:t>
      </w:r>
    </w:p>
    <w:p w:rsidR="00EF12D9" w:rsidRPr="00795225" w:rsidRDefault="00EF12D9" w:rsidP="008D1BDC">
      <w:pPr>
        <w:pStyle w:val="TableFooter"/>
        <w:widowControl/>
        <w:rPr>
          <w:rStyle w:val="CommentReference"/>
        </w:rPr>
      </w:pPr>
      <w:r w:rsidRPr="00795225">
        <w:t xml:space="preserve">Source: Table 107, p247, Table 110, p249, Table 114, p255, Table 115, p257 and Table 116, p258 of the resubmission and Table 106, Table 111, and Table 112 of the </w:t>
      </w:r>
      <w:r w:rsidR="00F605C5" w:rsidRPr="00795225">
        <w:t>July 2018</w:t>
      </w:r>
      <w:r w:rsidRPr="00795225">
        <w:t xml:space="preserve"> submission</w:t>
      </w:r>
      <w:r w:rsidR="0062602F" w:rsidRPr="00795225">
        <w:t xml:space="preserve"> and Table 3, p3 of the pre-PBAC response</w:t>
      </w:r>
    </w:p>
    <w:p w:rsidR="00EF12D9" w:rsidRDefault="00EF12D9" w:rsidP="008D1BDC">
      <w:pPr>
        <w:widowControl/>
      </w:pPr>
    </w:p>
    <w:p w:rsidR="001070A7" w:rsidRDefault="001070A7" w:rsidP="001070A7">
      <w:pPr>
        <w:widowControl/>
      </w:pPr>
      <w:r w:rsidRPr="00184A79">
        <w:rPr>
          <w:rFonts w:asciiTheme="minorHAnsi" w:hAnsiTheme="minorHAnsi"/>
          <w:szCs w:val="24"/>
        </w:rPr>
        <w:t xml:space="preserve">The redacted table shows that at </w:t>
      </w:r>
      <w:r>
        <w:rPr>
          <w:rFonts w:asciiTheme="minorHAnsi" w:hAnsiTheme="minorHAnsi"/>
          <w:szCs w:val="24"/>
        </w:rPr>
        <w:t>Y</w:t>
      </w:r>
      <w:r w:rsidRPr="00184A79">
        <w:rPr>
          <w:rFonts w:asciiTheme="minorHAnsi" w:hAnsiTheme="minorHAnsi"/>
          <w:szCs w:val="24"/>
        </w:rPr>
        <w:t xml:space="preserve">ear </w:t>
      </w:r>
      <w:r>
        <w:rPr>
          <w:rFonts w:asciiTheme="minorHAnsi" w:hAnsiTheme="minorHAnsi"/>
          <w:szCs w:val="24"/>
        </w:rPr>
        <w:t>6</w:t>
      </w:r>
      <w:r w:rsidRPr="00184A79">
        <w:rPr>
          <w:rFonts w:asciiTheme="minorHAnsi" w:hAnsiTheme="minorHAnsi"/>
          <w:szCs w:val="24"/>
        </w:rPr>
        <w:t xml:space="preserve">, the estimated number of patients was </w:t>
      </w:r>
      <w:r>
        <w:rPr>
          <w:rFonts w:asciiTheme="minorHAnsi" w:hAnsiTheme="minorHAnsi"/>
          <w:szCs w:val="24"/>
        </w:rPr>
        <w:t>less than 10,000</w:t>
      </w:r>
      <w:r w:rsidRPr="00184A79">
        <w:rPr>
          <w:rFonts w:asciiTheme="minorHAnsi" w:hAnsiTheme="minorHAnsi"/>
          <w:szCs w:val="24"/>
        </w:rPr>
        <w:t xml:space="preserve"> and the net cost to the PBS would be</w:t>
      </w:r>
      <w:r>
        <w:rPr>
          <w:rFonts w:asciiTheme="minorHAnsi" w:hAnsiTheme="minorHAnsi"/>
          <w:szCs w:val="24"/>
        </w:rPr>
        <w:t xml:space="preserve"> more than $100 million per year.</w:t>
      </w:r>
    </w:p>
    <w:p w:rsidR="001070A7" w:rsidRPr="00795225" w:rsidRDefault="001070A7" w:rsidP="008D1BDC">
      <w:pPr>
        <w:widowControl/>
      </w:pPr>
    </w:p>
    <w:p w:rsidR="00EF12D9" w:rsidRPr="00795225" w:rsidRDefault="00EF12D9" w:rsidP="00D736AF">
      <w:pPr>
        <w:pStyle w:val="ListParagraph"/>
        <w:widowControl/>
        <w:numPr>
          <w:ilvl w:val="1"/>
          <w:numId w:val="1"/>
        </w:numPr>
      </w:pPr>
      <w:r w:rsidRPr="00795225">
        <w:t>The main areas of uncertainty relating to the estimated financial implications of listing nivolumab in the adjuvant melanoma setting related to the:</w:t>
      </w:r>
    </w:p>
    <w:p w:rsidR="00EF12D9" w:rsidRPr="00795225" w:rsidRDefault="00290875" w:rsidP="00290875">
      <w:pPr>
        <w:pStyle w:val="Bulletpoints"/>
        <w:widowControl/>
        <w:ind w:left="1077" w:hanging="357"/>
      </w:pPr>
      <w:r w:rsidRPr="00795225">
        <w:t>p</w:t>
      </w:r>
      <w:r w:rsidR="00EF12D9" w:rsidRPr="00795225">
        <w:t xml:space="preserve">roportion of patients </w:t>
      </w:r>
      <w:r w:rsidR="0047579C" w:rsidRPr="00795225">
        <w:t>initially diagnosed with</w:t>
      </w:r>
      <w:r w:rsidRPr="00795225">
        <w:t xml:space="preserve"> Stage I or </w:t>
      </w:r>
      <w:r w:rsidR="00EF12D9" w:rsidRPr="00795225">
        <w:t>II</w:t>
      </w:r>
      <w:r w:rsidR="0047579C" w:rsidRPr="00795225">
        <w:t xml:space="preserve"> disease</w:t>
      </w:r>
      <w:r w:rsidR="00EF12D9" w:rsidRPr="00795225">
        <w:t xml:space="preserve"> </w:t>
      </w:r>
      <w:r w:rsidR="0047579C" w:rsidRPr="00795225">
        <w:t xml:space="preserve">that experience a disease recurrence with </w:t>
      </w:r>
      <w:proofErr w:type="spellStart"/>
      <w:r w:rsidR="0047579C" w:rsidRPr="00795225">
        <w:t>resectable</w:t>
      </w:r>
      <w:proofErr w:type="spellEnd"/>
      <w:r w:rsidR="00EF12D9" w:rsidRPr="00795225">
        <w:t xml:space="preserve"> Stage III or Stage IV</w:t>
      </w:r>
      <w:r w:rsidR="0047579C" w:rsidRPr="00795225">
        <w:t xml:space="preserve"> disease</w:t>
      </w:r>
      <w:r w:rsidR="00EF12D9" w:rsidRPr="00795225">
        <w:t>; and</w:t>
      </w:r>
    </w:p>
    <w:p w:rsidR="00EF12D9" w:rsidRPr="00795225" w:rsidRDefault="00290875" w:rsidP="00290875">
      <w:pPr>
        <w:pStyle w:val="Bulletpoints"/>
        <w:spacing w:after="160"/>
        <w:ind w:left="1077" w:hanging="357"/>
      </w:pPr>
      <w:r w:rsidRPr="00795225">
        <w:t>c</w:t>
      </w:r>
      <w:r w:rsidR="00EF12D9" w:rsidRPr="00795225">
        <w:t xml:space="preserve">ost offsets in the </w:t>
      </w:r>
      <w:proofErr w:type="spellStart"/>
      <w:r w:rsidR="00BA5DBD" w:rsidRPr="00795225">
        <w:t>unresectable</w:t>
      </w:r>
      <w:proofErr w:type="spellEnd"/>
      <w:r w:rsidR="00BA5DBD" w:rsidRPr="00795225">
        <w:t xml:space="preserve"> or metastatic </w:t>
      </w:r>
      <w:r w:rsidR="00EF12D9" w:rsidRPr="00795225">
        <w:t>setting.</w:t>
      </w:r>
      <w:r w:rsidR="005A4049" w:rsidRPr="00795225">
        <w:t xml:space="preserve"> The submission’s approach was not well justified in terms of the use of DMFS as a proxy for the avoidance of subsequent treatments for </w:t>
      </w:r>
      <w:proofErr w:type="spellStart"/>
      <w:r w:rsidR="005A4049" w:rsidRPr="00795225">
        <w:t>unresectable</w:t>
      </w:r>
      <w:proofErr w:type="spellEnd"/>
      <w:r w:rsidR="005A4049" w:rsidRPr="00795225">
        <w:t xml:space="preserve"> Stage III or Stage IV melanoma. The change of current RSA caps for treatments in the </w:t>
      </w:r>
      <w:proofErr w:type="spellStart"/>
      <w:r w:rsidR="005A4049" w:rsidRPr="00795225">
        <w:t>unresectable</w:t>
      </w:r>
      <w:proofErr w:type="spellEnd"/>
      <w:r w:rsidR="005A4049" w:rsidRPr="00795225">
        <w:t xml:space="preserve"> </w:t>
      </w:r>
      <w:r w:rsidR="00BA5DBD" w:rsidRPr="00795225">
        <w:t xml:space="preserve">or metastatic </w:t>
      </w:r>
      <w:r w:rsidR="005A4049" w:rsidRPr="00795225">
        <w:t>setting due to the</w:t>
      </w:r>
      <w:r w:rsidRPr="00795225">
        <w:t xml:space="preserve"> listing of adjuvant nivolumab wa</w:t>
      </w:r>
      <w:r w:rsidR="005A4049" w:rsidRPr="00795225">
        <w:t xml:space="preserve">s unknown. In addition, the use of the RSA cap in the financial analysis has overestimated the actual government expenditure for </w:t>
      </w:r>
      <w:proofErr w:type="spellStart"/>
      <w:r w:rsidR="005A4049" w:rsidRPr="00795225">
        <w:t>ipilimumab</w:t>
      </w:r>
      <w:proofErr w:type="spellEnd"/>
      <w:r w:rsidR="005A4049" w:rsidRPr="00795225">
        <w:t>.</w:t>
      </w:r>
    </w:p>
    <w:p w:rsidR="00EF12D9" w:rsidRPr="00795225" w:rsidRDefault="00EF12D9" w:rsidP="008D1BDC">
      <w:pPr>
        <w:pStyle w:val="Heading2"/>
        <w:widowControl/>
      </w:pPr>
      <w:bookmarkStart w:id="30" w:name="_Toc536007265"/>
      <w:r w:rsidRPr="00795225">
        <w:t>Financial Management – Risk Sharing Arrangements</w:t>
      </w:r>
      <w:bookmarkEnd w:id="30"/>
    </w:p>
    <w:p w:rsidR="00EF12D9" w:rsidRPr="00795225" w:rsidRDefault="00EF12D9" w:rsidP="00D736AF">
      <w:pPr>
        <w:pStyle w:val="ListParagraph"/>
        <w:widowControl/>
        <w:numPr>
          <w:ilvl w:val="1"/>
          <w:numId w:val="1"/>
        </w:numPr>
        <w:rPr>
          <w:i/>
        </w:rPr>
      </w:pPr>
      <w:r w:rsidRPr="00795225">
        <w:t>The resubmission proposed a Special Pricing Arrangement</w:t>
      </w:r>
      <w:r w:rsidR="00290875" w:rsidRPr="00795225">
        <w:t xml:space="preserve"> (SPA)</w:t>
      </w:r>
      <w:r w:rsidRPr="00795225">
        <w:t>. The resubmission did not provide any information on a potential Risk Sharing Arrangement (RSA) for nivolumab as adjuvant treatment fo</w:t>
      </w:r>
      <w:r w:rsidR="00290875" w:rsidRPr="00795225">
        <w:t xml:space="preserve">r completely resected Stage III or </w:t>
      </w:r>
      <w:r w:rsidRPr="00795225">
        <w:t xml:space="preserve">IV melanoma. </w:t>
      </w:r>
    </w:p>
    <w:p w:rsidR="00EF12D9" w:rsidRPr="00795225" w:rsidRDefault="00EF12D9" w:rsidP="00D736AF">
      <w:pPr>
        <w:pStyle w:val="ListParagraph"/>
        <w:widowControl/>
        <w:numPr>
          <w:ilvl w:val="1"/>
          <w:numId w:val="1"/>
        </w:numPr>
      </w:pPr>
      <w:r w:rsidRPr="00795225">
        <w:t xml:space="preserve">A RSA, in the form of financial caps, applies to PD-1 inhibitors (i.e. nivolumab and pembrolizumab), </w:t>
      </w:r>
      <w:r w:rsidR="006B6EEB" w:rsidRPr="00795225">
        <w:t xml:space="preserve">to </w:t>
      </w:r>
      <w:proofErr w:type="spellStart"/>
      <w:r w:rsidRPr="00795225">
        <w:t>ipilimumab</w:t>
      </w:r>
      <w:proofErr w:type="spellEnd"/>
      <w:r w:rsidRPr="00795225">
        <w:t xml:space="preserve"> and </w:t>
      </w:r>
      <w:r w:rsidR="006B6EEB" w:rsidRPr="00795225">
        <w:t xml:space="preserve">to </w:t>
      </w:r>
      <w:r w:rsidRPr="00795225">
        <w:t xml:space="preserve">BRAF/MEK inhibitors. </w:t>
      </w:r>
      <w:r w:rsidR="005D6985" w:rsidRPr="00795225">
        <w:t>T</w:t>
      </w:r>
      <w:r w:rsidRPr="00795225">
        <w:t xml:space="preserve">he availability of nivolumab at an earlier stage of treating melanoma will affect the extent of utilisation and, thus, the financial implications for all of the above medicines for </w:t>
      </w:r>
      <w:proofErr w:type="spellStart"/>
      <w:r w:rsidRPr="00795225">
        <w:t>unresectable</w:t>
      </w:r>
      <w:proofErr w:type="spellEnd"/>
      <w:r w:rsidRPr="00795225">
        <w:t xml:space="preserve"> Stage III or Stage IV melanoma.</w:t>
      </w:r>
    </w:p>
    <w:p w:rsidR="005D6985" w:rsidRPr="00795225" w:rsidRDefault="005D6985" w:rsidP="00D736AF">
      <w:pPr>
        <w:pStyle w:val="ListParagraph"/>
        <w:widowControl/>
        <w:numPr>
          <w:ilvl w:val="1"/>
          <w:numId w:val="1"/>
        </w:numPr>
      </w:pPr>
      <w:r w:rsidRPr="00795225">
        <w:lastRenderedPageBreak/>
        <w:t xml:space="preserve">The PBAC considered that the existing RSA should be extended to incorporate the proposed expansion of the nivolumab indication. To mitigate the uncertainty surrounding the extent of PD-1 inhibitors in both the adjuvant and </w:t>
      </w:r>
      <w:proofErr w:type="spellStart"/>
      <w:r w:rsidRPr="00795225">
        <w:t>unresectable</w:t>
      </w:r>
      <w:proofErr w:type="spellEnd"/>
      <w:r w:rsidRPr="00795225">
        <w:t xml:space="preserve"> or metastatic settings, the PBAC considered that a new deed should be negotiated that combines caps across the current PBS indication in </w:t>
      </w:r>
      <w:proofErr w:type="spellStart"/>
      <w:r w:rsidRPr="00795225">
        <w:t>unresectable</w:t>
      </w:r>
      <w:proofErr w:type="spellEnd"/>
      <w:r w:rsidRPr="00795225">
        <w:t xml:space="preserve"> or metastatic disease with the proposed adjuvant indication. The PBAC considered that the new deed should include hard caps with </w:t>
      </w:r>
      <w:r w:rsidR="002B3E82">
        <w:rPr>
          <w:noProof/>
          <w:color w:val="000000"/>
          <w:highlight w:val="black"/>
        </w:rPr>
        <w:t>''''''</w:t>
      </w:r>
      <w:r w:rsidRPr="00795225">
        <w:t>% rebates.</w:t>
      </w:r>
    </w:p>
    <w:p w:rsidR="00EF12D9" w:rsidRPr="00795225" w:rsidRDefault="00EF12D9" w:rsidP="00603BAB">
      <w:pPr>
        <w:pStyle w:val="Heading2"/>
        <w:keepNext/>
        <w:widowControl/>
      </w:pPr>
      <w:bookmarkStart w:id="31" w:name="_Toc536007266"/>
      <w:bookmarkStart w:id="32" w:name="_Ref1575966"/>
      <w:r w:rsidRPr="00795225">
        <w:t>Risk Management – Managed Access Program</w:t>
      </w:r>
      <w:bookmarkEnd w:id="31"/>
      <w:bookmarkEnd w:id="32"/>
    </w:p>
    <w:p w:rsidR="0061450F" w:rsidRPr="00795225" w:rsidRDefault="00290875" w:rsidP="00603BAB">
      <w:pPr>
        <w:pStyle w:val="ListParagraph"/>
        <w:keepNext/>
        <w:widowControl/>
        <w:numPr>
          <w:ilvl w:val="1"/>
          <w:numId w:val="1"/>
        </w:numPr>
      </w:pPr>
      <w:r w:rsidRPr="00795225">
        <w:t>The resubmission proposed a Managed A</w:t>
      </w:r>
      <w:r w:rsidR="00EF12D9" w:rsidRPr="00795225">
        <w:t xml:space="preserve">ccess </w:t>
      </w:r>
      <w:r w:rsidRPr="00795225">
        <w:t>P</w:t>
      </w:r>
      <w:r w:rsidR="00EF12D9" w:rsidRPr="00795225">
        <w:t xml:space="preserve">rogram (MAP). The proposed MAP would see nivolumab initially listed on the PBS at the PBAC agreed ex-manufacturer price based on the current available evidence, including the assumption that the OS HR for nivolumab vs </w:t>
      </w:r>
      <w:proofErr w:type="spellStart"/>
      <w:r w:rsidR="00EF12D9" w:rsidRPr="00795225">
        <w:t>ipilimumab</w:t>
      </w:r>
      <w:proofErr w:type="spellEnd"/>
      <w:r w:rsidR="00EF12D9" w:rsidRPr="00795225">
        <w:t xml:space="preserve"> =</w:t>
      </w:r>
      <w:r w:rsidR="00916E4E" w:rsidRPr="00795225">
        <w:t xml:space="preserve"> </w:t>
      </w:r>
      <w:r w:rsidR="00EF12D9" w:rsidRPr="00795225">
        <w:t>1.00, as applied in the base case of the economic model. Under the</w:t>
      </w:r>
      <w:r w:rsidR="00916E4E" w:rsidRPr="00795225">
        <w:t xml:space="preserve"> proposed</w:t>
      </w:r>
      <w:r w:rsidR="00EF12D9" w:rsidRPr="00795225">
        <w:t xml:space="preserve"> conditions of the MAP, the ex-manufacturer price would then be subject to (and conditional upon a review of) a price adjustment based on the subsequent provision of final OS data from CA238.</w:t>
      </w:r>
    </w:p>
    <w:p w:rsidR="001E1955" w:rsidRPr="00795225" w:rsidRDefault="001E1955" w:rsidP="00603BAB">
      <w:pPr>
        <w:pStyle w:val="ListParagraph"/>
        <w:keepNext/>
        <w:widowControl/>
        <w:numPr>
          <w:ilvl w:val="1"/>
          <w:numId w:val="1"/>
        </w:numPr>
      </w:pPr>
      <w:r w:rsidRPr="00795225">
        <w:t>The PBAC noted that the sponsor was willing to withdraw the proposed MAP as there was no certainty that there will be enough events to provide meaningful data at 48 months follow-up. The PBAC considered that any uncertainty was better mitigated through a</w:t>
      </w:r>
      <w:r w:rsidR="00795225">
        <w:t>n</w:t>
      </w:r>
      <w:r w:rsidRPr="00795225">
        <w:t xml:space="preserve"> RSA. </w:t>
      </w:r>
    </w:p>
    <w:p w:rsidR="00EC5A97" w:rsidRPr="00795225" w:rsidRDefault="00EC5A97" w:rsidP="00EC5A97">
      <w:pPr>
        <w:widowControl/>
        <w:spacing w:after="80"/>
        <w:ind w:left="720"/>
        <w:rPr>
          <w:i/>
        </w:rPr>
      </w:pPr>
      <w:r w:rsidRPr="00795225">
        <w:rPr>
          <w:i/>
        </w:rPr>
        <w:t>For more details on PBAC’s view, see Section 7 PBAC outcome.</w:t>
      </w:r>
    </w:p>
    <w:p w:rsidR="00EC5A97" w:rsidRPr="00795225" w:rsidRDefault="00EC5A97" w:rsidP="000E7C11">
      <w:pPr>
        <w:pStyle w:val="PBACHeading1"/>
        <w:keepNext/>
        <w:keepLines/>
        <w:spacing w:before="100" w:beforeAutospacing="1" w:after="120"/>
      </w:pPr>
      <w:r w:rsidRPr="00795225">
        <w:t>PBAC Outcome</w:t>
      </w:r>
    </w:p>
    <w:p w:rsidR="00AF09E2" w:rsidRPr="00795225" w:rsidRDefault="00AF09E2" w:rsidP="00EC5A97">
      <w:pPr>
        <w:numPr>
          <w:ilvl w:val="1"/>
          <w:numId w:val="1"/>
        </w:numPr>
        <w:spacing w:after="120"/>
        <w:rPr>
          <w:rFonts w:asciiTheme="minorHAnsi" w:hAnsiTheme="minorHAnsi"/>
          <w:bCs/>
        </w:rPr>
      </w:pPr>
      <w:r w:rsidRPr="00795225">
        <w:rPr>
          <w:rFonts w:asciiTheme="minorHAnsi" w:hAnsiTheme="minorHAnsi"/>
          <w:bCs/>
        </w:rPr>
        <w:t>The PBAC decided not to recommend nivolumab as an adjuvant treatment for completely resected Stage III or IV melanoma. The PBAC again acknowledged that there was a high unmet clinical need for effective therapies to reduce the risks of recurrence of resected Stage III or IV melanoma, and considered that in some circumstances</w:t>
      </w:r>
      <w:r w:rsidR="00DA37A3" w:rsidRPr="00795225">
        <w:rPr>
          <w:rFonts w:asciiTheme="minorHAnsi" w:hAnsiTheme="minorHAnsi"/>
          <w:bCs/>
        </w:rPr>
        <w:t xml:space="preserve">, </w:t>
      </w:r>
      <w:r w:rsidRPr="00795225">
        <w:rPr>
          <w:rFonts w:asciiTheme="minorHAnsi" w:hAnsiTheme="minorHAnsi"/>
          <w:bCs/>
        </w:rPr>
        <w:t xml:space="preserve">recurrence was less likely for nivolumab compared to placebo. However, the PBAC </w:t>
      </w:r>
      <w:r w:rsidR="001A07BC" w:rsidRPr="00795225">
        <w:rPr>
          <w:rFonts w:asciiTheme="minorHAnsi" w:hAnsiTheme="minorHAnsi"/>
          <w:bCs/>
        </w:rPr>
        <w:t>remained</w:t>
      </w:r>
      <w:r w:rsidRPr="00795225">
        <w:rPr>
          <w:rFonts w:asciiTheme="minorHAnsi" w:hAnsiTheme="minorHAnsi"/>
          <w:bCs/>
        </w:rPr>
        <w:t xml:space="preserve"> concerned that there was uncertainty in the ma</w:t>
      </w:r>
      <w:r w:rsidR="001A07BC" w:rsidRPr="00795225">
        <w:rPr>
          <w:rFonts w:asciiTheme="minorHAnsi" w:hAnsiTheme="minorHAnsi"/>
          <w:bCs/>
        </w:rPr>
        <w:t>gnitude of the clinical benefit and</w:t>
      </w:r>
      <w:r w:rsidRPr="00795225">
        <w:rPr>
          <w:rFonts w:asciiTheme="minorHAnsi" w:hAnsiTheme="minorHAnsi"/>
          <w:bCs/>
        </w:rPr>
        <w:t xml:space="preserve"> in the incremental cost-effectiveness ratio </w:t>
      </w:r>
      <w:r w:rsidR="00DF0938" w:rsidRPr="00795225">
        <w:rPr>
          <w:rFonts w:asciiTheme="minorHAnsi" w:hAnsiTheme="minorHAnsi"/>
          <w:bCs/>
        </w:rPr>
        <w:t xml:space="preserve">due to the immaturity of the data, and that the </w:t>
      </w:r>
      <w:r w:rsidRPr="00795225">
        <w:rPr>
          <w:rFonts w:asciiTheme="minorHAnsi" w:hAnsiTheme="minorHAnsi"/>
          <w:bCs/>
        </w:rPr>
        <w:t>estimated financial impact</w:t>
      </w:r>
      <w:r w:rsidR="00DF0938" w:rsidRPr="00795225">
        <w:rPr>
          <w:rFonts w:asciiTheme="minorHAnsi" w:hAnsiTheme="minorHAnsi"/>
          <w:bCs/>
        </w:rPr>
        <w:t xml:space="preserve"> remained high and uncertain</w:t>
      </w:r>
      <w:r w:rsidRPr="00795225">
        <w:rPr>
          <w:rFonts w:asciiTheme="minorHAnsi" w:hAnsiTheme="minorHAnsi"/>
          <w:bCs/>
        </w:rPr>
        <w:t>.</w:t>
      </w:r>
    </w:p>
    <w:p w:rsidR="00C42735" w:rsidRPr="00795225" w:rsidRDefault="00AF09E2" w:rsidP="00EC5A97">
      <w:pPr>
        <w:numPr>
          <w:ilvl w:val="1"/>
          <w:numId w:val="1"/>
        </w:numPr>
        <w:spacing w:after="120"/>
        <w:rPr>
          <w:rFonts w:asciiTheme="minorHAnsi" w:hAnsiTheme="minorHAnsi"/>
          <w:bCs/>
        </w:rPr>
      </w:pPr>
      <w:r w:rsidRPr="00795225">
        <w:rPr>
          <w:rFonts w:asciiTheme="minorHAnsi" w:hAnsiTheme="minorHAnsi"/>
          <w:bCs/>
        </w:rPr>
        <w:t xml:space="preserve">The PBAC acknowledged the consumer comments received for this item, noting that they described a range of benefits for adjuvant nivolumab including improved survival and quality of life. </w:t>
      </w:r>
    </w:p>
    <w:p w:rsidR="00EC5A97" w:rsidRPr="00795225" w:rsidRDefault="00BA5DBD" w:rsidP="00EC5A97">
      <w:pPr>
        <w:numPr>
          <w:ilvl w:val="1"/>
          <w:numId w:val="1"/>
        </w:numPr>
        <w:spacing w:after="120"/>
        <w:rPr>
          <w:rFonts w:asciiTheme="minorHAnsi" w:hAnsiTheme="minorHAnsi"/>
          <w:bCs/>
        </w:rPr>
      </w:pPr>
      <w:r w:rsidRPr="00795225">
        <w:rPr>
          <w:rFonts w:asciiTheme="minorHAnsi" w:hAnsiTheme="minorHAnsi"/>
          <w:bCs/>
        </w:rPr>
        <w:t xml:space="preserve">In terms of the clinical place, the PBAC noted that the submission proposed that nivolumab would supplement routine care in completely resected Stage III and Stage IV melanoma patients, and that patients treated with nivolumab in the adjuvant setting would continue to be eligible to receive programmed cell death (PD-1) inhibitors </w:t>
      </w:r>
      <w:r w:rsidR="00412211" w:rsidRPr="00795225">
        <w:rPr>
          <w:rFonts w:asciiTheme="minorHAnsi" w:hAnsiTheme="minorHAnsi"/>
          <w:bCs/>
        </w:rPr>
        <w:t xml:space="preserve">or BRAF/MEK inhibitors </w:t>
      </w:r>
      <w:r w:rsidRPr="00795225">
        <w:rPr>
          <w:rFonts w:asciiTheme="minorHAnsi" w:hAnsiTheme="minorHAnsi"/>
          <w:bCs/>
        </w:rPr>
        <w:t xml:space="preserve">in the </w:t>
      </w:r>
      <w:proofErr w:type="spellStart"/>
      <w:r w:rsidRPr="00795225">
        <w:rPr>
          <w:rFonts w:asciiTheme="minorHAnsi" w:hAnsiTheme="minorHAnsi"/>
          <w:bCs/>
        </w:rPr>
        <w:t>unresectable</w:t>
      </w:r>
      <w:proofErr w:type="spellEnd"/>
      <w:r w:rsidRPr="00795225">
        <w:rPr>
          <w:rFonts w:asciiTheme="minorHAnsi" w:hAnsiTheme="minorHAnsi"/>
          <w:bCs/>
        </w:rPr>
        <w:t xml:space="preserve"> or metastatic setting if they completed the 12 month adjuvant course without disease progression. The PBAC </w:t>
      </w:r>
      <w:r w:rsidRPr="00795225">
        <w:rPr>
          <w:rFonts w:asciiTheme="minorHAnsi" w:hAnsiTheme="minorHAnsi"/>
          <w:bCs/>
        </w:rPr>
        <w:lastRenderedPageBreak/>
        <w:t xml:space="preserve">noted that limited clinical evidence was presented to support retreatment. However, the PBAC considered that it would be clinically inappropriate to prevent retreatment if a patient had responded well to adjuvant therapy. </w:t>
      </w:r>
    </w:p>
    <w:p w:rsidR="00DA37A3" w:rsidRPr="00795225" w:rsidRDefault="00570B64" w:rsidP="00EC5A97">
      <w:pPr>
        <w:numPr>
          <w:ilvl w:val="1"/>
          <w:numId w:val="1"/>
        </w:numPr>
        <w:spacing w:after="120"/>
        <w:rPr>
          <w:rFonts w:asciiTheme="minorHAnsi" w:hAnsiTheme="minorHAnsi"/>
          <w:bCs/>
        </w:rPr>
      </w:pPr>
      <w:r w:rsidRPr="00795225">
        <w:rPr>
          <w:rFonts w:asciiTheme="minorHAnsi" w:hAnsiTheme="minorHAnsi"/>
          <w:bCs/>
        </w:rPr>
        <w:t xml:space="preserve">The PBAC noted that limited data were presented for patients with Stage IIIA disease in the CA238 trial and that patients with Stage IIIA disease have a relatively low risk of recurrence and a five year melanoma-specific survival rate of 93%. </w:t>
      </w:r>
      <w:r w:rsidR="00DA37A3" w:rsidRPr="00795225">
        <w:rPr>
          <w:rFonts w:asciiTheme="minorHAnsi" w:hAnsiTheme="minorHAnsi"/>
          <w:bCs/>
        </w:rPr>
        <w:t xml:space="preserve">The PBAC </w:t>
      </w:r>
      <w:r w:rsidRPr="00795225">
        <w:rPr>
          <w:rFonts w:asciiTheme="minorHAnsi" w:hAnsiTheme="minorHAnsi"/>
          <w:bCs/>
        </w:rPr>
        <w:t xml:space="preserve">therefore </w:t>
      </w:r>
      <w:r w:rsidR="00E51CB9">
        <w:rPr>
          <w:rFonts w:asciiTheme="minorHAnsi" w:hAnsiTheme="minorHAnsi"/>
          <w:bCs/>
        </w:rPr>
        <w:t>foreshadowed</w:t>
      </w:r>
      <w:r w:rsidR="00DA37A3" w:rsidRPr="00795225">
        <w:rPr>
          <w:rFonts w:asciiTheme="minorHAnsi" w:hAnsiTheme="minorHAnsi"/>
          <w:bCs/>
        </w:rPr>
        <w:t xml:space="preserve"> that </w:t>
      </w:r>
      <w:r w:rsidR="00E51CB9">
        <w:rPr>
          <w:rFonts w:asciiTheme="minorHAnsi" w:hAnsiTheme="minorHAnsi"/>
          <w:bCs/>
        </w:rPr>
        <w:t xml:space="preserve">PBS-subsidised </w:t>
      </w:r>
      <w:r w:rsidR="00DA37A3" w:rsidRPr="00795225">
        <w:rPr>
          <w:rFonts w:asciiTheme="minorHAnsi" w:hAnsiTheme="minorHAnsi"/>
          <w:bCs/>
        </w:rPr>
        <w:t xml:space="preserve">treatment in the adjuvant setting should be restricted to patients with </w:t>
      </w:r>
      <w:r w:rsidR="00D70DD5">
        <w:rPr>
          <w:rFonts w:asciiTheme="minorHAnsi" w:hAnsiTheme="minorHAnsi"/>
          <w:bCs/>
        </w:rPr>
        <w:t xml:space="preserve">completely resected </w:t>
      </w:r>
      <w:r w:rsidR="00DA37A3" w:rsidRPr="00795225">
        <w:rPr>
          <w:rFonts w:asciiTheme="minorHAnsi" w:hAnsiTheme="minorHAnsi"/>
          <w:bCs/>
        </w:rPr>
        <w:t>Stage IIIB, IIIC, IIID and Stage IV disease (staged using the 8</w:t>
      </w:r>
      <w:r w:rsidR="00DA37A3" w:rsidRPr="00795225">
        <w:rPr>
          <w:rFonts w:asciiTheme="minorHAnsi" w:hAnsiTheme="minorHAnsi"/>
          <w:bCs/>
          <w:vertAlign w:val="superscript"/>
        </w:rPr>
        <w:t>th</w:t>
      </w:r>
      <w:r w:rsidR="00DA37A3" w:rsidRPr="00795225">
        <w:rPr>
          <w:rFonts w:asciiTheme="minorHAnsi" w:hAnsiTheme="minorHAnsi"/>
          <w:bCs/>
        </w:rPr>
        <w:t xml:space="preserve"> edition of the AJCC melanoma staging system)</w:t>
      </w:r>
      <w:r w:rsidRPr="00795225">
        <w:rPr>
          <w:rFonts w:asciiTheme="minorHAnsi" w:hAnsiTheme="minorHAnsi"/>
          <w:bCs/>
        </w:rPr>
        <w:t xml:space="preserve">. </w:t>
      </w:r>
    </w:p>
    <w:p w:rsidR="00DA37A3" w:rsidRPr="00795225" w:rsidRDefault="00DA37A3" w:rsidP="00DA37A3">
      <w:pPr>
        <w:pStyle w:val="ListParagraph"/>
        <w:numPr>
          <w:ilvl w:val="1"/>
          <w:numId w:val="1"/>
        </w:numPr>
        <w:snapToGrid w:val="0"/>
        <w:spacing w:after="120"/>
        <w:rPr>
          <w:snapToGrid/>
        </w:rPr>
      </w:pPr>
      <w:r w:rsidRPr="00795225">
        <w:t>The PBAC considered patients classified as having Stage IIIA disease at the time of excision of the primary tumour, and hence not eligible for adjuvant treatment, should be eligible for adjuvant treatment if and when they meet the criteria for Stages IIIB, IIIC or IIID disease and undergo a salvage nodal resection</w:t>
      </w:r>
      <w:r w:rsidR="003C49F5">
        <w:t>.</w:t>
      </w:r>
    </w:p>
    <w:p w:rsidR="00DA37A3" w:rsidRPr="00795225" w:rsidRDefault="00DA37A3" w:rsidP="00DA37A3">
      <w:pPr>
        <w:pStyle w:val="ListParagraph"/>
        <w:numPr>
          <w:ilvl w:val="1"/>
          <w:numId w:val="1"/>
        </w:numPr>
        <w:snapToGrid w:val="0"/>
        <w:spacing w:after="120"/>
        <w:rPr>
          <w:rFonts w:asciiTheme="minorHAnsi" w:hAnsiTheme="minorHAnsi"/>
          <w:bCs/>
        </w:rPr>
      </w:pPr>
      <w:r w:rsidRPr="00795225">
        <w:rPr>
          <w:rFonts w:asciiTheme="minorHAnsi" w:hAnsiTheme="minorHAnsi"/>
          <w:bCs/>
        </w:rPr>
        <w:t xml:space="preserve">Noting that complete lymph node dissection (CLND) at the time of excision of the primary tumour was no longer standard of care for all patients with a positive sentinel lymph node, the PBAC considered that "completely resected disease" would, in practice, include all patients with a wide excision of the primary tumour </w:t>
      </w:r>
      <w:r w:rsidR="00A17CAF">
        <w:rPr>
          <w:rFonts w:asciiTheme="minorHAnsi" w:hAnsiTheme="minorHAnsi"/>
          <w:bCs/>
        </w:rPr>
        <w:t>and either C</w:t>
      </w:r>
      <w:r w:rsidRPr="00795225">
        <w:rPr>
          <w:rFonts w:asciiTheme="minorHAnsi" w:hAnsiTheme="minorHAnsi"/>
          <w:bCs/>
        </w:rPr>
        <w:t xml:space="preserve">LND </w:t>
      </w:r>
      <w:r w:rsidR="00A17CAF">
        <w:rPr>
          <w:rFonts w:asciiTheme="minorHAnsi" w:hAnsiTheme="minorHAnsi"/>
          <w:bCs/>
        </w:rPr>
        <w:t xml:space="preserve">or sentinel </w:t>
      </w:r>
      <w:r w:rsidR="00327D81">
        <w:rPr>
          <w:rFonts w:asciiTheme="minorHAnsi" w:hAnsiTheme="minorHAnsi"/>
          <w:bCs/>
        </w:rPr>
        <w:t xml:space="preserve">lymph </w:t>
      </w:r>
      <w:r w:rsidR="00A17CAF">
        <w:rPr>
          <w:rFonts w:asciiTheme="minorHAnsi" w:hAnsiTheme="minorHAnsi"/>
          <w:bCs/>
        </w:rPr>
        <w:t>node biopsy (or both)</w:t>
      </w:r>
      <w:r w:rsidRPr="00795225">
        <w:rPr>
          <w:rFonts w:asciiTheme="minorHAnsi" w:hAnsiTheme="minorHAnsi"/>
          <w:bCs/>
        </w:rPr>
        <w:t xml:space="preserve">. Allowing treatment in patients without CLND thus </w:t>
      </w:r>
      <w:r w:rsidR="00570B64" w:rsidRPr="00795225">
        <w:rPr>
          <w:rFonts w:asciiTheme="minorHAnsi" w:hAnsiTheme="minorHAnsi"/>
          <w:bCs/>
        </w:rPr>
        <w:t xml:space="preserve">potentially </w:t>
      </w:r>
      <w:r w:rsidRPr="00795225">
        <w:rPr>
          <w:rFonts w:asciiTheme="minorHAnsi" w:hAnsiTheme="minorHAnsi"/>
          <w:bCs/>
        </w:rPr>
        <w:t xml:space="preserve">impacts on the applicability of the </w:t>
      </w:r>
      <w:r w:rsidR="003858AF" w:rsidRPr="00795225">
        <w:rPr>
          <w:rFonts w:asciiTheme="minorHAnsi" w:hAnsiTheme="minorHAnsi"/>
          <w:bCs/>
        </w:rPr>
        <w:t>CA238</w:t>
      </w:r>
      <w:r w:rsidRPr="00795225">
        <w:rPr>
          <w:rFonts w:asciiTheme="minorHAnsi" w:hAnsiTheme="minorHAnsi"/>
          <w:bCs/>
        </w:rPr>
        <w:t xml:space="preserve"> trial results to the PBS population. However, it is currently unknown what proportion of patients will forgo a CLND in clinical practice</w:t>
      </w:r>
      <w:r w:rsidR="00E51CB9">
        <w:rPr>
          <w:rFonts w:asciiTheme="minorHAnsi" w:hAnsiTheme="minorHAnsi"/>
          <w:bCs/>
        </w:rPr>
        <w:t>,</w:t>
      </w:r>
      <w:r w:rsidRPr="00795225">
        <w:rPr>
          <w:rFonts w:asciiTheme="minorHAnsi" w:hAnsiTheme="minorHAnsi"/>
          <w:bCs/>
        </w:rPr>
        <w:t xml:space="preserve"> as although in the MSLT-II trial an improvement in melanoma-specific survival was not demonstrated with immediate CLND, immediate CLND did increase the rate of regional disease control and provided prognostic information in terms of disease in non-sentinel </w:t>
      </w:r>
      <w:r w:rsidR="00327D81">
        <w:rPr>
          <w:rFonts w:asciiTheme="minorHAnsi" w:hAnsiTheme="minorHAnsi"/>
          <w:bCs/>
        </w:rPr>
        <w:t xml:space="preserve">lymph </w:t>
      </w:r>
      <w:r w:rsidRPr="00795225">
        <w:rPr>
          <w:rFonts w:asciiTheme="minorHAnsi" w:hAnsiTheme="minorHAnsi"/>
          <w:bCs/>
        </w:rPr>
        <w:t xml:space="preserve">nodes. The PBAC further noted </w:t>
      </w:r>
      <w:r w:rsidR="00E51CB9">
        <w:rPr>
          <w:rFonts w:asciiTheme="minorHAnsi" w:hAnsiTheme="minorHAnsi"/>
          <w:bCs/>
        </w:rPr>
        <w:t xml:space="preserve">the value of CLND is currently being debated in the clinical literature, and that immediate CLND is standard of care for patients presenting with clinically positive lymph nodes, and therefore </w:t>
      </w:r>
      <w:r w:rsidRPr="00795225">
        <w:rPr>
          <w:rFonts w:asciiTheme="minorHAnsi" w:hAnsiTheme="minorHAnsi"/>
          <w:bCs/>
        </w:rPr>
        <w:t xml:space="preserve">more likely </w:t>
      </w:r>
      <w:r w:rsidR="006C283A">
        <w:rPr>
          <w:rFonts w:asciiTheme="minorHAnsi" w:hAnsiTheme="minorHAnsi"/>
          <w:bCs/>
        </w:rPr>
        <w:t xml:space="preserve">to be undertaken </w:t>
      </w:r>
      <w:r w:rsidRPr="00795225">
        <w:rPr>
          <w:rFonts w:asciiTheme="minorHAnsi" w:hAnsiTheme="minorHAnsi"/>
          <w:bCs/>
        </w:rPr>
        <w:t>in patients with Stage IIIB</w:t>
      </w:r>
      <w:r w:rsidR="00570B64" w:rsidRPr="00795225">
        <w:rPr>
          <w:rFonts w:asciiTheme="minorHAnsi" w:hAnsiTheme="minorHAnsi"/>
          <w:bCs/>
        </w:rPr>
        <w:t xml:space="preserve">, IIIC or </w:t>
      </w:r>
      <w:r w:rsidRPr="00795225">
        <w:rPr>
          <w:rFonts w:asciiTheme="minorHAnsi" w:hAnsiTheme="minorHAnsi"/>
          <w:bCs/>
        </w:rPr>
        <w:t>IIID</w:t>
      </w:r>
      <w:r w:rsidR="009E71B9" w:rsidRPr="00795225">
        <w:rPr>
          <w:rFonts w:asciiTheme="minorHAnsi" w:hAnsiTheme="minorHAnsi"/>
          <w:bCs/>
        </w:rPr>
        <w:t xml:space="preserve"> or Stage IV</w:t>
      </w:r>
      <w:r w:rsidRPr="00795225">
        <w:rPr>
          <w:rFonts w:asciiTheme="minorHAnsi" w:hAnsiTheme="minorHAnsi"/>
          <w:bCs/>
        </w:rPr>
        <w:t xml:space="preserve"> disease. </w:t>
      </w:r>
    </w:p>
    <w:p w:rsidR="00613AA9" w:rsidRPr="00795225" w:rsidRDefault="00225D74" w:rsidP="009E71B9">
      <w:pPr>
        <w:numPr>
          <w:ilvl w:val="1"/>
          <w:numId w:val="1"/>
        </w:numPr>
        <w:spacing w:after="120"/>
        <w:rPr>
          <w:rFonts w:asciiTheme="minorHAnsi" w:hAnsiTheme="minorHAnsi"/>
          <w:bCs/>
        </w:rPr>
      </w:pPr>
      <w:r w:rsidRPr="00795225">
        <w:rPr>
          <w:rFonts w:asciiTheme="minorHAnsi" w:hAnsiTheme="minorHAnsi"/>
          <w:bCs/>
        </w:rPr>
        <w:t xml:space="preserve">The PBAC noted that resubmission again presented an indirect comparison between nivolumab and placebo, with </w:t>
      </w:r>
      <w:proofErr w:type="spellStart"/>
      <w:r w:rsidRPr="00795225">
        <w:rPr>
          <w:rFonts w:asciiTheme="minorHAnsi" w:hAnsiTheme="minorHAnsi"/>
          <w:bCs/>
        </w:rPr>
        <w:t>ipilimumab</w:t>
      </w:r>
      <w:proofErr w:type="spellEnd"/>
      <w:r w:rsidRPr="00795225">
        <w:rPr>
          <w:rFonts w:asciiTheme="minorHAnsi" w:hAnsiTheme="minorHAnsi"/>
          <w:bCs/>
        </w:rPr>
        <w:t xml:space="preserve"> as the common comparator, and used the same clinical trials (CA238: nivolumab versus </w:t>
      </w:r>
      <w:proofErr w:type="spellStart"/>
      <w:r w:rsidRPr="00795225">
        <w:rPr>
          <w:rFonts w:asciiTheme="minorHAnsi" w:hAnsiTheme="minorHAnsi"/>
          <w:bCs/>
        </w:rPr>
        <w:t>ipilimumab</w:t>
      </w:r>
      <w:proofErr w:type="spellEnd"/>
      <w:r w:rsidRPr="00795225">
        <w:rPr>
          <w:rFonts w:asciiTheme="minorHAnsi" w:hAnsiTheme="minorHAnsi"/>
          <w:bCs/>
        </w:rPr>
        <w:t xml:space="preserve">; and CA029: </w:t>
      </w:r>
      <w:proofErr w:type="spellStart"/>
      <w:r w:rsidRPr="00795225">
        <w:rPr>
          <w:rFonts w:asciiTheme="minorHAnsi" w:hAnsiTheme="minorHAnsi"/>
          <w:bCs/>
        </w:rPr>
        <w:t>ipilimumab</w:t>
      </w:r>
      <w:proofErr w:type="spellEnd"/>
      <w:r w:rsidRPr="00795225">
        <w:rPr>
          <w:rFonts w:asciiTheme="minorHAnsi" w:hAnsiTheme="minorHAnsi"/>
          <w:bCs/>
        </w:rPr>
        <w:t xml:space="preserve"> versus placebo). </w:t>
      </w:r>
      <w:r w:rsidR="009E71B9" w:rsidRPr="00795225">
        <w:rPr>
          <w:rFonts w:asciiTheme="minorHAnsi" w:hAnsiTheme="minorHAnsi"/>
          <w:bCs/>
        </w:rPr>
        <w:t>A</w:t>
      </w:r>
      <w:r w:rsidR="00613AA9" w:rsidRPr="00795225">
        <w:rPr>
          <w:rFonts w:asciiTheme="minorHAnsi" w:hAnsiTheme="minorHAnsi"/>
          <w:bCs/>
        </w:rPr>
        <w:t xml:space="preserve">lthough the resubmission claimed that the previous concerns regarding the transitivity and applicability issues between the CA238 and CA029 trials were unlikely to impact the indirect comparison, the PBAC agreed with ESC in considering that a number of issues remained, including the differing durations of </w:t>
      </w:r>
      <w:proofErr w:type="spellStart"/>
      <w:r w:rsidR="00613AA9" w:rsidRPr="00795225">
        <w:rPr>
          <w:rFonts w:asciiTheme="minorHAnsi" w:hAnsiTheme="minorHAnsi"/>
          <w:bCs/>
        </w:rPr>
        <w:t>ipilimumab</w:t>
      </w:r>
      <w:proofErr w:type="spellEnd"/>
      <w:r w:rsidR="00613AA9" w:rsidRPr="00795225">
        <w:rPr>
          <w:rFonts w:asciiTheme="minorHAnsi" w:hAnsiTheme="minorHAnsi"/>
          <w:bCs/>
        </w:rPr>
        <w:t xml:space="preserve"> treatment and the differing treatment periods.</w:t>
      </w:r>
    </w:p>
    <w:p w:rsidR="00225D74" w:rsidRPr="00795225" w:rsidRDefault="00225D74" w:rsidP="00EC5A97">
      <w:pPr>
        <w:numPr>
          <w:ilvl w:val="1"/>
          <w:numId w:val="1"/>
        </w:numPr>
        <w:spacing w:after="120"/>
        <w:rPr>
          <w:rFonts w:asciiTheme="minorHAnsi" w:hAnsiTheme="minorHAnsi"/>
          <w:bCs/>
        </w:rPr>
      </w:pPr>
      <w:r w:rsidRPr="00795225">
        <w:rPr>
          <w:rFonts w:asciiTheme="minorHAnsi" w:hAnsiTheme="minorHAnsi"/>
          <w:bCs/>
        </w:rPr>
        <w:t xml:space="preserve">The resubmission presented updated </w:t>
      </w:r>
      <w:r w:rsidR="00C42735" w:rsidRPr="00795225">
        <w:rPr>
          <w:rFonts w:asciiTheme="minorHAnsi" w:hAnsiTheme="minorHAnsi"/>
          <w:bCs/>
        </w:rPr>
        <w:t>regression free survival (</w:t>
      </w:r>
      <w:r w:rsidRPr="00795225">
        <w:rPr>
          <w:rFonts w:asciiTheme="minorHAnsi" w:hAnsiTheme="minorHAnsi"/>
          <w:bCs/>
        </w:rPr>
        <w:t>RFS</w:t>
      </w:r>
      <w:r w:rsidR="00C42735" w:rsidRPr="00795225">
        <w:rPr>
          <w:rFonts w:asciiTheme="minorHAnsi" w:hAnsiTheme="minorHAnsi"/>
          <w:bCs/>
        </w:rPr>
        <w:t>)</w:t>
      </w:r>
      <w:r w:rsidRPr="00795225">
        <w:rPr>
          <w:rFonts w:asciiTheme="minorHAnsi" w:hAnsiTheme="minorHAnsi"/>
          <w:bCs/>
        </w:rPr>
        <w:t xml:space="preserve"> data for CA238. This provided an additional six months data, and resulted in a minimum 24 month follow up. The PBAC noted that the </w:t>
      </w:r>
      <w:r w:rsidR="00C42735" w:rsidRPr="00795225">
        <w:rPr>
          <w:rFonts w:asciiTheme="minorHAnsi" w:hAnsiTheme="minorHAnsi"/>
          <w:bCs/>
        </w:rPr>
        <w:t xml:space="preserve">indirect </w:t>
      </w:r>
      <w:r w:rsidRPr="00795225">
        <w:rPr>
          <w:rFonts w:asciiTheme="minorHAnsi" w:hAnsiTheme="minorHAnsi"/>
          <w:bCs/>
        </w:rPr>
        <w:t xml:space="preserve">hazard ratio for the primary outcome, RFS, remained unchanged </w:t>
      </w:r>
      <w:r w:rsidR="00C42735" w:rsidRPr="00795225">
        <w:rPr>
          <w:rFonts w:asciiTheme="minorHAnsi" w:hAnsiTheme="minorHAnsi"/>
          <w:bCs/>
        </w:rPr>
        <w:t>to</w:t>
      </w:r>
      <w:r w:rsidRPr="00795225">
        <w:rPr>
          <w:rFonts w:asciiTheme="minorHAnsi" w:hAnsiTheme="minorHAnsi"/>
          <w:bCs/>
        </w:rPr>
        <w:t xml:space="preserve"> that presented in the July 2018 submission (HR = 0.50; 95% CI: 0.38, 0.65). </w:t>
      </w:r>
      <w:r w:rsidR="00C42735" w:rsidRPr="00795225">
        <w:rPr>
          <w:rFonts w:asciiTheme="minorHAnsi" w:hAnsiTheme="minorHAnsi"/>
          <w:bCs/>
        </w:rPr>
        <w:t xml:space="preserve">The PBAC noted that the pre-PBAC response presented very limited </w:t>
      </w:r>
      <w:r w:rsidR="00C42735" w:rsidRPr="00795225">
        <w:rPr>
          <w:rFonts w:asciiTheme="minorHAnsi" w:hAnsiTheme="minorHAnsi"/>
          <w:bCs/>
        </w:rPr>
        <w:lastRenderedPageBreak/>
        <w:t xml:space="preserve">and immature overall survival (OS) data from CA238, which indicated similar OS between nivolumab </w:t>
      </w:r>
      <w:r w:rsidR="00570B64" w:rsidRPr="00795225">
        <w:rPr>
          <w:rFonts w:asciiTheme="minorHAnsi" w:hAnsiTheme="minorHAnsi"/>
          <w:bCs/>
        </w:rPr>
        <w:t>(</w:t>
      </w:r>
      <w:r w:rsidR="002B3E82">
        <w:rPr>
          <w:rFonts w:asciiTheme="minorHAnsi" w:hAnsiTheme="minorHAnsi"/>
          <w:bCs/>
          <w:noProof/>
          <w:color w:val="000000"/>
          <w:highlight w:val="black"/>
        </w:rPr>
        <w:t>'''''</w:t>
      </w:r>
      <w:r w:rsidR="00570B64" w:rsidRPr="00795225">
        <w:rPr>
          <w:rFonts w:asciiTheme="minorHAnsi" w:hAnsiTheme="minorHAnsi"/>
          <w:bCs/>
        </w:rPr>
        <w:t xml:space="preserve"> deaths) </w:t>
      </w:r>
      <w:r w:rsidR="00C42735" w:rsidRPr="00795225">
        <w:rPr>
          <w:rFonts w:asciiTheme="minorHAnsi" w:hAnsiTheme="minorHAnsi"/>
          <w:bCs/>
        </w:rPr>
        <w:t xml:space="preserve">and </w:t>
      </w:r>
      <w:proofErr w:type="spellStart"/>
      <w:r w:rsidR="00C42735" w:rsidRPr="00795225">
        <w:rPr>
          <w:rFonts w:asciiTheme="minorHAnsi" w:hAnsiTheme="minorHAnsi"/>
          <w:bCs/>
        </w:rPr>
        <w:t>ipilimumab</w:t>
      </w:r>
      <w:proofErr w:type="spellEnd"/>
      <w:r w:rsidR="001A07BC" w:rsidRPr="00795225">
        <w:rPr>
          <w:rFonts w:asciiTheme="minorHAnsi" w:hAnsiTheme="minorHAnsi"/>
          <w:bCs/>
        </w:rPr>
        <w:t xml:space="preserve"> </w:t>
      </w:r>
      <w:r w:rsidR="00570B64" w:rsidRPr="00795225">
        <w:rPr>
          <w:rFonts w:asciiTheme="minorHAnsi" w:hAnsiTheme="minorHAnsi"/>
          <w:bCs/>
        </w:rPr>
        <w:t>(</w:t>
      </w:r>
      <w:r w:rsidR="002B3E82">
        <w:rPr>
          <w:rFonts w:asciiTheme="minorHAnsi" w:hAnsiTheme="minorHAnsi"/>
          <w:bCs/>
          <w:noProof/>
          <w:color w:val="000000"/>
          <w:highlight w:val="black"/>
        </w:rPr>
        <w:t>'''''</w:t>
      </w:r>
      <w:r w:rsidR="00570B64" w:rsidRPr="005D105F">
        <w:rPr>
          <w:rFonts w:asciiTheme="minorHAnsi" w:hAnsiTheme="minorHAnsi"/>
          <w:bCs/>
        </w:rPr>
        <w:t xml:space="preserve"> </w:t>
      </w:r>
      <w:r w:rsidR="005D105F" w:rsidRPr="005D105F">
        <w:rPr>
          <w:rFonts w:asciiTheme="minorHAnsi" w:hAnsiTheme="minorHAnsi"/>
          <w:bCs/>
        </w:rPr>
        <w:t>deaths</w:t>
      </w:r>
      <w:r w:rsidR="00570B64" w:rsidRPr="005D105F">
        <w:rPr>
          <w:rFonts w:asciiTheme="minorHAnsi" w:hAnsiTheme="minorHAnsi"/>
          <w:bCs/>
        </w:rPr>
        <w:t xml:space="preserve">) </w:t>
      </w:r>
      <w:r w:rsidR="009E71B9" w:rsidRPr="005D105F">
        <w:rPr>
          <w:rFonts w:asciiTheme="minorHAnsi" w:hAnsiTheme="minorHAnsi"/>
          <w:bCs/>
        </w:rPr>
        <w:t>with</w:t>
      </w:r>
      <w:r w:rsidR="009E71B9" w:rsidRPr="00795225">
        <w:rPr>
          <w:rFonts w:asciiTheme="minorHAnsi" w:hAnsiTheme="minorHAnsi"/>
          <w:bCs/>
        </w:rPr>
        <w:t xml:space="preserve"> </w:t>
      </w:r>
      <w:r w:rsidR="001A07BC" w:rsidRPr="00795225">
        <w:rPr>
          <w:rFonts w:asciiTheme="minorHAnsi" w:hAnsiTheme="minorHAnsi"/>
          <w:bCs/>
        </w:rPr>
        <w:t>24 months</w:t>
      </w:r>
      <w:r w:rsidR="009E71B9" w:rsidRPr="00795225">
        <w:rPr>
          <w:rFonts w:asciiTheme="minorHAnsi" w:hAnsiTheme="minorHAnsi"/>
          <w:bCs/>
        </w:rPr>
        <w:t xml:space="preserve"> follow-up</w:t>
      </w:r>
      <w:r w:rsidR="00C42735" w:rsidRPr="00795225">
        <w:rPr>
          <w:rFonts w:asciiTheme="minorHAnsi" w:hAnsiTheme="minorHAnsi"/>
          <w:bCs/>
        </w:rPr>
        <w:t>.</w:t>
      </w:r>
    </w:p>
    <w:p w:rsidR="00C42735" w:rsidRPr="00795225" w:rsidRDefault="00C42735" w:rsidP="00EC5A97">
      <w:pPr>
        <w:numPr>
          <w:ilvl w:val="1"/>
          <w:numId w:val="1"/>
        </w:numPr>
        <w:spacing w:after="120"/>
        <w:rPr>
          <w:rFonts w:asciiTheme="minorHAnsi" w:hAnsiTheme="minorHAnsi"/>
          <w:bCs/>
        </w:rPr>
      </w:pPr>
      <w:r w:rsidRPr="00795225">
        <w:rPr>
          <w:rFonts w:asciiTheme="minorHAnsi" w:hAnsiTheme="minorHAnsi"/>
          <w:bCs/>
        </w:rPr>
        <w:t xml:space="preserve">The </w:t>
      </w:r>
      <w:r w:rsidRPr="00795225">
        <w:rPr>
          <w:rFonts w:asciiTheme="minorHAnsi" w:hAnsiTheme="minorHAnsi"/>
          <w:szCs w:val="20"/>
        </w:rPr>
        <w:t xml:space="preserve">PBAC considered that the claim that nivolumab was superior to placebo in terms of comparative </w:t>
      </w:r>
      <w:r w:rsidR="006C283A">
        <w:rPr>
          <w:rFonts w:asciiTheme="minorHAnsi" w:hAnsiTheme="minorHAnsi"/>
          <w:szCs w:val="20"/>
        </w:rPr>
        <w:t xml:space="preserve">incremental </w:t>
      </w:r>
      <w:r w:rsidRPr="00795225">
        <w:rPr>
          <w:rFonts w:asciiTheme="minorHAnsi" w:hAnsiTheme="minorHAnsi"/>
          <w:szCs w:val="20"/>
        </w:rPr>
        <w:t>effectiveness was reasonable in patients with Stage IIIB, IIIC and IIID and Stage IV completely resected melanoma; however, still considered that, due to the immaturity of the data</w:t>
      </w:r>
      <w:r w:rsidR="00570B64" w:rsidRPr="00795225">
        <w:rPr>
          <w:rFonts w:asciiTheme="minorHAnsi" w:hAnsiTheme="minorHAnsi"/>
          <w:szCs w:val="20"/>
        </w:rPr>
        <w:t xml:space="preserve"> and the use of an indirect comparison</w:t>
      </w:r>
      <w:r w:rsidRPr="00795225">
        <w:rPr>
          <w:rFonts w:asciiTheme="minorHAnsi" w:hAnsiTheme="minorHAnsi"/>
          <w:szCs w:val="20"/>
        </w:rPr>
        <w:t>, the magnitude of the treatment effect was highly uncertain.</w:t>
      </w:r>
      <w:r w:rsidR="00FF0D7C" w:rsidRPr="00795225">
        <w:rPr>
          <w:rFonts w:asciiTheme="minorHAnsi" w:hAnsiTheme="minorHAnsi"/>
          <w:szCs w:val="20"/>
        </w:rPr>
        <w:t xml:space="preserve"> The PBAC </w:t>
      </w:r>
      <w:r w:rsidR="001A07BC" w:rsidRPr="00795225">
        <w:rPr>
          <w:rFonts w:asciiTheme="minorHAnsi" w:hAnsiTheme="minorHAnsi"/>
          <w:szCs w:val="20"/>
        </w:rPr>
        <w:t>noted</w:t>
      </w:r>
      <w:r w:rsidR="00FF0D7C" w:rsidRPr="00795225">
        <w:rPr>
          <w:rFonts w:asciiTheme="minorHAnsi" w:hAnsiTheme="minorHAnsi"/>
          <w:szCs w:val="20"/>
        </w:rPr>
        <w:t xml:space="preserve"> </w:t>
      </w:r>
      <w:r w:rsidR="00570B64" w:rsidRPr="00795225">
        <w:rPr>
          <w:rFonts w:asciiTheme="minorHAnsi" w:hAnsiTheme="minorHAnsi"/>
          <w:szCs w:val="20"/>
        </w:rPr>
        <w:t xml:space="preserve">there was insufficient data to </w:t>
      </w:r>
      <w:r w:rsidR="00FF0D7C" w:rsidRPr="00795225">
        <w:rPr>
          <w:rFonts w:asciiTheme="minorHAnsi" w:hAnsiTheme="minorHAnsi"/>
          <w:szCs w:val="20"/>
        </w:rPr>
        <w:t>assess the benefits and risks or cost-effectiveness of treatment in patients with Stage IIIA disease.</w:t>
      </w:r>
    </w:p>
    <w:p w:rsidR="00C42735" w:rsidRPr="00795225" w:rsidRDefault="00C42735" w:rsidP="00EC5A97">
      <w:pPr>
        <w:numPr>
          <w:ilvl w:val="1"/>
          <w:numId w:val="1"/>
        </w:numPr>
        <w:spacing w:after="120"/>
        <w:rPr>
          <w:rFonts w:asciiTheme="minorHAnsi" w:hAnsiTheme="minorHAnsi"/>
          <w:bCs/>
        </w:rPr>
      </w:pPr>
      <w:r w:rsidRPr="00795225">
        <w:rPr>
          <w:rFonts w:asciiTheme="minorHAnsi" w:hAnsiTheme="minorHAnsi"/>
          <w:szCs w:val="20"/>
        </w:rPr>
        <w:t>The PBAC again considered that the claim that nivolumab was inferior to placebo in terms of safety was reasonable.</w:t>
      </w:r>
    </w:p>
    <w:p w:rsidR="00C42735" w:rsidRPr="00795225" w:rsidRDefault="00C42735" w:rsidP="00EC5A97">
      <w:pPr>
        <w:numPr>
          <w:ilvl w:val="1"/>
          <w:numId w:val="1"/>
        </w:numPr>
        <w:spacing w:after="120"/>
        <w:rPr>
          <w:rFonts w:asciiTheme="minorHAnsi" w:hAnsiTheme="minorHAnsi"/>
          <w:bCs/>
        </w:rPr>
      </w:pPr>
      <w:r w:rsidRPr="00795225">
        <w:rPr>
          <w:rFonts w:asciiTheme="minorHAnsi" w:hAnsiTheme="minorHAnsi"/>
          <w:szCs w:val="20"/>
        </w:rPr>
        <w:t>The PBAC noted that the resubmission addressed a number of issues with the economic model that were identified in July 2018</w:t>
      </w:r>
      <w:r w:rsidR="00065C90" w:rsidRPr="00795225">
        <w:rPr>
          <w:rFonts w:asciiTheme="minorHAnsi" w:hAnsiTheme="minorHAnsi"/>
          <w:szCs w:val="20"/>
        </w:rPr>
        <w:t xml:space="preserve">, including no longer applying a surrogate relationship between RFS and OS and splitting the disease recurrence health state into </w:t>
      </w:r>
      <w:proofErr w:type="spellStart"/>
      <w:r w:rsidR="00065C90" w:rsidRPr="00795225">
        <w:rPr>
          <w:rFonts w:asciiTheme="minorHAnsi" w:hAnsiTheme="minorHAnsi"/>
          <w:szCs w:val="20"/>
        </w:rPr>
        <w:t>locoregional</w:t>
      </w:r>
      <w:proofErr w:type="spellEnd"/>
      <w:r w:rsidR="00065C90" w:rsidRPr="00795225">
        <w:rPr>
          <w:rFonts w:asciiTheme="minorHAnsi" w:hAnsiTheme="minorHAnsi"/>
          <w:szCs w:val="20"/>
        </w:rPr>
        <w:t xml:space="preserve"> and distant metastatic recurrence.</w:t>
      </w:r>
      <w:r w:rsidRPr="00795225">
        <w:rPr>
          <w:rFonts w:asciiTheme="minorHAnsi" w:hAnsiTheme="minorHAnsi"/>
          <w:szCs w:val="20"/>
        </w:rPr>
        <w:t xml:space="preserve"> The PBAC also noted that a revised base case was presented in the pre-PBAC response </w:t>
      </w:r>
      <w:r w:rsidR="0070329B" w:rsidRPr="00795225">
        <w:rPr>
          <w:rFonts w:asciiTheme="minorHAnsi" w:hAnsiTheme="minorHAnsi"/>
          <w:szCs w:val="20"/>
        </w:rPr>
        <w:t>which partially addressed</w:t>
      </w:r>
      <w:r w:rsidRPr="00795225">
        <w:rPr>
          <w:rFonts w:asciiTheme="minorHAnsi" w:hAnsiTheme="minorHAnsi"/>
          <w:szCs w:val="20"/>
        </w:rPr>
        <w:t xml:space="preserve"> three issues identified by ESC </w:t>
      </w:r>
      <w:r w:rsidR="0070329B" w:rsidRPr="00795225">
        <w:rPr>
          <w:rFonts w:asciiTheme="minorHAnsi" w:hAnsiTheme="minorHAnsi"/>
          <w:szCs w:val="20"/>
        </w:rPr>
        <w:t xml:space="preserve">(convergence, utility values and the adjusted OS HR). </w:t>
      </w:r>
      <w:r w:rsidRPr="00795225">
        <w:rPr>
          <w:rFonts w:asciiTheme="minorHAnsi" w:hAnsiTheme="minorHAnsi"/>
          <w:szCs w:val="20"/>
        </w:rPr>
        <w:t xml:space="preserve">The PBAC considered that the resultant ICER, </w:t>
      </w:r>
      <w:r w:rsidR="009B5D61">
        <w:rPr>
          <w:rFonts w:asciiTheme="minorHAnsi" w:hAnsiTheme="minorHAnsi"/>
          <w:szCs w:val="20"/>
        </w:rPr>
        <w:t>$45,000/QALY - $75,000/QALY</w:t>
      </w:r>
      <w:r w:rsidRPr="00795225">
        <w:rPr>
          <w:rFonts w:asciiTheme="minorHAnsi" w:hAnsiTheme="minorHAnsi"/>
          <w:szCs w:val="20"/>
        </w:rPr>
        <w:t>, was high and uncertain</w:t>
      </w:r>
      <w:r w:rsidR="00723876" w:rsidRPr="00795225">
        <w:rPr>
          <w:rFonts w:asciiTheme="minorHAnsi" w:hAnsiTheme="minorHAnsi"/>
          <w:szCs w:val="20"/>
        </w:rPr>
        <w:t>.</w:t>
      </w:r>
      <w:r w:rsidR="0070329B" w:rsidRPr="00795225">
        <w:rPr>
          <w:rFonts w:asciiTheme="minorHAnsi" w:hAnsiTheme="minorHAnsi"/>
          <w:szCs w:val="20"/>
        </w:rPr>
        <w:t xml:space="preserve"> The PBAC:</w:t>
      </w:r>
    </w:p>
    <w:p w:rsidR="0070329B" w:rsidRPr="00795225" w:rsidRDefault="00CC0DE7" w:rsidP="00CC0DE7">
      <w:pPr>
        <w:numPr>
          <w:ilvl w:val="1"/>
          <w:numId w:val="30"/>
        </w:numPr>
        <w:spacing w:after="120"/>
        <w:ind w:left="1077" w:hanging="357"/>
        <w:rPr>
          <w:rFonts w:asciiTheme="minorHAnsi" w:hAnsiTheme="minorHAnsi"/>
          <w:bCs/>
        </w:rPr>
      </w:pPr>
      <w:r w:rsidRPr="00795225">
        <w:rPr>
          <w:rFonts w:asciiTheme="minorHAnsi" w:hAnsiTheme="minorHAnsi"/>
          <w:szCs w:val="20"/>
        </w:rPr>
        <w:t>considered that, a</w:t>
      </w:r>
      <w:r w:rsidR="0070329B" w:rsidRPr="00795225">
        <w:rPr>
          <w:rFonts w:asciiTheme="minorHAnsi" w:hAnsiTheme="minorHAnsi"/>
          <w:szCs w:val="20"/>
        </w:rPr>
        <w:t xml:space="preserve">lthough the revised base case model </w:t>
      </w:r>
      <w:r w:rsidR="008E7267" w:rsidRPr="00795225">
        <w:rPr>
          <w:rFonts w:asciiTheme="minorHAnsi" w:hAnsiTheme="minorHAnsi"/>
          <w:szCs w:val="20"/>
        </w:rPr>
        <w:t xml:space="preserve">in the pre-PBAC response </w:t>
      </w:r>
      <w:r w:rsidR="0070329B" w:rsidRPr="00795225">
        <w:rPr>
          <w:rFonts w:asciiTheme="minorHAnsi" w:hAnsiTheme="minorHAnsi"/>
          <w:szCs w:val="20"/>
        </w:rPr>
        <w:t xml:space="preserve">converged the RFS, DMFS and OS curves from year 5 to year 30, </w:t>
      </w:r>
      <w:r w:rsidR="008E7267" w:rsidRPr="00795225">
        <w:rPr>
          <w:rFonts w:asciiTheme="minorHAnsi" w:hAnsiTheme="minorHAnsi"/>
          <w:szCs w:val="20"/>
        </w:rPr>
        <w:t>t</w:t>
      </w:r>
      <w:r w:rsidR="0070329B" w:rsidRPr="00795225">
        <w:rPr>
          <w:rFonts w:asciiTheme="minorHAnsi" w:hAnsiTheme="minorHAnsi"/>
          <w:szCs w:val="20"/>
        </w:rPr>
        <w:t xml:space="preserve">he </w:t>
      </w:r>
      <w:r w:rsidR="00263C68" w:rsidRPr="00795225">
        <w:rPr>
          <w:rFonts w:asciiTheme="minorHAnsi" w:hAnsiTheme="minorHAnsi"/>
          <w:szCs w:val="20"/>
        </w:rPr>
        <w:t>period for convergence</w:t>
      </w:r>
      <w:r w:rsidR="0070329B" w:rsidRPr="00795225">
        <w:rPr>
          <w:rFonts w:asciiTheme="minorHAnsi" w:hAnsiTheme="minorHAnsi"/>
          <w:szCs w:val="20"/>
        </w:rPr>
        <w:t xml:space="preserve"> was too long</w:t>
      </w:r>
      <w:r w:rsidR="00065C90" w:rsidRPr="00795225">
        <w:rPr>
          <w:rFonts w:asciiTheme="minorHAnsi" w:hAnsiTheme="minorHAnsi"/>
          <w:szCs w:val="20"/>
        </w:rPr>
        <w:t>. The PBAC considered that</w:t>
      </w:r>
      <w:r w:rsidR="001A07BC" w:rsidRPr="00795225">
        <w:rPr>
          <w:rFonts w:asciiTheme="minorHAnsi" w:hAnsiTheme="minorHAnsi"/>
          <w:szCs w:val="20"/>
        </w:rPr>
        <w:t>,</w:t>
      </w:r>
      <w:r w:rsidR="00065C90" w:rsidRPr="00795225">
        <w:rPr>
          <w:rFonts w:asciiTheme="minorHAnsi" w:hAnsiTheme="minorHAnsi"/>
          <w:szCs w:val="20"/>
        </w:rPr>
        <w:t xml:space="preserve"> as there was a lack of data to determine </w:t>
      </w:r>
      <w:r w:rsidR="008E7267" w:rsidRPr="00795225">
        <w:rPr>
          <w:rFonts w:asciiTheme="minorHAnsi" w:hAnsiTheme="minorHAnsi"/>
          <w:szCs w:val="20"/>
        </w:rPr>
        <w:t>whether nivolumab delayed or prevented recurrence</w:t>
      </w:r>
      <w:r w:rsidR="00263C68" w:rsidRPr="00795225">
        <w:rPr>
          <w:rFonts w:asciiTheme="minorHAnsi" w:hAnsiTheme="minorHAnsi"/>
          <w:szCs w:val="20"/>
        </w:rPr>
        <w:t xml:space="preserve"> as well as the overall impact on OS</w:t>
      </w:r>
      <w:r w:rsidR="008E7267" w:rsidRPr="00795225">
        <w:rPr>
          <w:rFonts w:asciiTheme="minorHAnsi" w:hAnsiTheme="minorHAnsi"/>
          <w:szCs w:val="20"/>
        </w:rPr>
        <w:t>, the model should be conservative</w:t>
      </w:r>
      <w:r w:rsidR="0070329B" w:rsidRPr="00795225">
        <w:rPr>
          <w:rFonts w:asciiTheme="minorHAnsi" w:hAnsiTheme="minorHAnsi"/>
          <w:szCs w:val="20"/>
        </w:rPr>
        <w:t xml:space="preserve"> and that conv</w:t>
      </w:r>
      <w:r w:rsidRPr="00795225">
        <w:rPr>
          <w:rFonts w:asciiTheme="minorHAnsi" w:hAnsiTheme="minorHAnsi"/>
          <w:szCs w:val="20"/>
        </w:rPr>
        <w:t>ergence should occur at 15 years;</w:t>
      </w:r>
    </w:p>
    <w:p w:rsidR="00CC0DE7" w:rsidRPr="00795225" w:rsidRDefault="00CC0DE7" w:rsidP="00CC0DE7">
      <w:pPr>
        <w:numPr>
          <w:ilvl w:val="1"/>
          <w:numId w:val="30"/>
        </w:numPr>
        <w:spacing w:after="120"/>
        <w:ind w:left="1077" w:hanging="357"/>
        <w:rPr>
          <w:rFonts w:asciiTheme="minorHAnsi" w:hAnsiTheme="minorHAnsi"/>
          <w:bCs/>
        </w:rPr>
      </w:pPr>
      <w:r w:rsidRPr="00795225">
        <w:rPr>
          <w:rFonts w:asciiTheme="minorHAnsi" w:hAnsiTheme="minorHAnsi"/>
          <w:szCs w:val="20"/>
        </w:rPr>
        <w:t>noted t</w:t>
      </w:r>
      <w:r w:rsidR="0070329B" w:rsidRPr="00795225">
        <w:rPr>
          <w:rFonts w:asciiTheme="minorHAnsi" w:hAnsiTheme="minorHAnsi"/>
          <w:szCs w:val="20"/>
        </w:rPr>
        <w:t>hat the OS curve in the observation arm</w:t>
      </w:r>
      <w:r w:rsidR="009B6A0F" w:rsidRPr="00795225">
        <w:rPr>
          <w:rFonts w:asciiTheme="minorHAnsi" w:hAnsiTheme="minorHAnsi"/>
          <w:szCs w:val="20"/>
        </w:rPr>
        <w:t>, which</w:t>
      </w:r>
      <w:r w:rsidR="0070329B" w:rsidRPr="00795225">
        <w:rPr>
          <w:rFonts w:asciiTheme="minorHAnsi" w:hAnsiTheme="minorHAnsi"/>
          <w:szCs w:val="20"/>
        </w:rPr>
        <w:t xml:space="preserve"> was a key driver of the economic model</w:t>
      </w:r>
      <w:r w:rsidRPr="00795225">
        <w:rPr>
          <w:rFonts w:asciiTheme="minorHAnsi" w:hAnsiTheme="minorHAnsi"/>
          <w:szCs w:val="20"/>
        </w:rPr>
        <w:t>:</w:t>
      </w:r>
    </w:p>
    <w:p w:rsidR="00CC0DE7" w:rsidRPr="00795225" w:rsidRDefault="00CC0DE7" w:rsidP="00CC0DE7">
      <w:pPr>
        <w:numPr>
          <w:ilvl w:val="1"/>
          <w:numId w:val="32"/>
        </w:numPr>
        <w:spacing w:after="120"/>
        <w:ind w:left="1434" w:hanging="357"/>
        <w:rPr>
          <w:rFonts w:asciiTheme="minorHAnsi" w:hAnsiTheme="minorHAnsi"/>
          <w:bCs/>
        </w:rPr>
      </w:pPr>
      <w:r w:rsidRPr="00795225">
        <w:rPr>
          <w:rFonts w:asciiTheme="minorHAnsi" w:hAnsiTheme="minorHAnsi"/>
          <w:szCs w:val="20"/>
        </w:rPr>
        <w:t xml:space="preserve">was informed by Australian data from </w:t>
      </w:r>
      <w:proofErr w:type="spellStart"/>
      <w:r w:rsidRPr="00795225">
        <w:rPr>
          <w:rFonts w:asciiTheme="minorHAnsi" w:hAnsiTheme="minorHAnsi"/>
          <w:szCs w:val="20"/>
        </w:rPr>
        <w:t>Haydu</w:t>
      </w:r>
      <w:proofErr w:type="spellEnd"/>
      <w:r w:rsidR="00791062" w:rsidRPr="00795225">
        <w:rPr>
          <w:rFonts w:asciiTheme="minorHAnsi" w:hAnsiTheme="minorHAnsi"/>
          <w:szCs w:val="20"/>
        </w:rPr>
        <w:t xml:space="preserve"> </w:t>
      </w:r>
      <w:r w:rsidR="00412211" w:rsidRPr="00795225">
        <w:rPr>
          <w:rFonts w:asciiTheme="minorHAnsi" w:hAnsiTheme="minorHAnsi"/>
          <w:szCs w:val="20"/>
        </w:rPr>
        <w:t>(</w:t>
      </w:r>
      <w:r w:rsidRPr="00795225">
        <w:rPr>
          <w:rFonts w:asciiTheme="minorHAnsi" w:hAnsiTheme="minorHAnsi"/>
          <w:szCs w:val="20"/>
        </w:rPr>
        <w:t>2017</w:t>
      </w:r>
      <w:r w:rsidR="00412211" w:rsidRPr="00795225">
        <w:rPr>
          <w:rFonts w:asciiTheme="minorHAnsi" w:hAnsiTheme="minorHAnsi"/>
          <w:szCs w:val="20"/>
        </w:rPr>
        <w:t>)</w:t>
      </w:r>
      <w:r w:rsidRPr="00795225">
        <w:rPr>
          <w:rFonts w:asciiTheme="minorHAnsi" w:hAnsiTheme="minorHAnsi"/>
          <w:szCs w:val="20"/>
        </w:rPr>
        <w:t xml:space="preserve">. Although the PBAC previously considered that the OS curve, which was based on CA029 had a number of applicability issues, the PBAC considered that the use of this non-trial population introduced a number of additional applicability uncertainties including a different patient population to that identified by the proposed PBS restriction (Stage III patients only with resected and </w:t>
      </w:r>
      <w:proofErr w:type="spellStart"/>
      <w:r w:rsidRPr="00795225">
        <w:rPr>
          <w:rFonts w:asciiTheme="minorHAnsi" w:hAnsiTheme="minorHAnsi"/>
          <w:szCs w:val="20"/>
        </w:rPr>
        <w:t>unresectable</w:t>
      </w:r>
      <w:proofErr w:type="spellEnd"/>
      <w:r w:rsidRPr="00795225">
        <w:rPr>
          <w:rFonts w:asciiTheme="minorHAnsi" w:hAnsiTheme="minorHAnsi"/>
          <w:szCs w:val="20"/>
        </w:rPr>
        <w:t xml:space="preserve"> disease)</w:t>
      </w:r>
      <w:r w:rsidR="00791062" w:rsidRPr="00795225">
        <w:rPr>
          <w:rFonts w:asciiTheme="minorHAnsi" w:hAnsiTheme="minorHAnsi"/>
          <w:szCs w:val="20"/>
        </w:rPr>
        <w:t xml:space="preserve"> and, as it included patients diagnosed between 1970 and 2013, a population that most likely did not reflect current SOC</w:t>
      </w:r>
      <w:r w:rsidRPr="00795225">
        <w:rPr>
          <w:rFonts w:asciiTheme="minorHAnsi" w:hAnsiTheme="minorHAnsi"/>
          <w:szCs w:val="20"/>
        </w:rPr>
        <w:t xml:space="preserve">; </w:t>
      </w:r>
    </w:p>
    <w:p w:rsidR="0070329B" w:rsidRPr="00795225" w:rsidRDefault="001A07BC" w:rsidP="00CC0DE7">
      <w:pPr>
        <w:numPr>
          <w:ilvl w:val="1"/>
          <w:numId w:val="32"/>
        </w:numPr>
        <w:spacing w:after="120"/>
        <w:ind w:left="1434" w:hanging="357"/>
        <w:rPr>
          <w:rFonts w:asciiTheme="minorHAnsi" w:hAnsiTheme="minorHAnsi"/>
          <w:bCs/>
        </w:rPr>
      </w:pPr>
      <w:r w:rsidRPr="00795225">
        <w:rPr>
          <w:rFonts w:asciiTheme="minorHAnsi" w:hAnsiTheme="minorHAnsi"/>
          <w:szCs w:val="20"/>
        </w:rPr>
        <w:t xml:space="preserve">was </w:t>
      </w:r>
      <w:r w:rsidR="001968CE" w:rsidRPr="00795225">
        <w:rPr>
          <w:rFonts w:asciiTheme="minorHAnsi" w:hAnsiTheme="minorHAnsi"/>
          <w:szCs w:val="20"/>
        </w:rPr>
        <w:t xml:space="preserve">considered </w:t>
      </w:r>
      <w:r w:rsidRPr="00795225">
        <w:rPr>
          <w:rFonts w:asciiTheme="minorHAnsi" w:hAnsiTheme="minorHAnsi"/>
          <w:szCs w:val="20"/>
        </w:rPr>
        <w:t>pessimistic</w:t>
      </w:r>
      <w:r w:rsidR="001968CE" w:rsidRPr="00795225">
        <w:rPr>
          <w:rFonts w:asciiTheme="minorHAnsi" w:hAnsiTheme="minorHAnsi"/>
          <w:szCs w:val="20"/>
        </w:rPr>
        <w:t xml:space="preserve"> by the ESC</w:t>
      </w:r>
      <w:r w:rsidRPr="00795225">
        <w:rPr>
          <w:rFonts w:asciiTheme="minorHAnsi" w:hAnsiTheme="minorHAnsi"/>
          <w:szCs w:val="20"/>
        </w:rPr>
        <w:t xml:space="preserve">, particularly when the </w:t>
      </w:r>
      <w:r w:rsidR="00412211" w:rsidRPr="00795225">
        <w:rPr>
          <w:rFonts w:asciiTheme="minorHAnsi" w:hAnsiTheme="minorHAnsi"/>
          <w:szCs w:val="20"/>
        </w:rPr>
        <w:t xml:space="preserve">three </w:t>
      </w:r>
      <w:r w:rsidRPr="00795225">
        <w:rPr>
          <w:rFonts w:asciiTheme="minorHAnsi" w:hAnsiTheme="minorHAnsi"/>
          <w:szCs w:val="20"/>
        </w:rPr>
        <w:t xml:space="preserve">year OS (67%) was compared to the observation arm of the COMBI-AD </w:t>
      </w:r>
      <w:proofErr w:type="spellStart"/>
      <w:r w:rsidRPr="00795225">
        <w:rPr>
          <w:rFonts w:asciiTheme="minorHAnsi" w:hAnsiTheme="minorHAnsi"/>
          <w:szCs w:val="20"/>
        </w:rPr>
        <w:t>dabrafenib</w:t>
      </w:r>
      <w:proofErr w:type="spellEnd"/>
      <w:r w:rsidRPr="00795225">
        <w:rPr>
          <w:rFonts w:asciiTheme="minorHAnsi" w:hAnsiTheme="minorHAnsi"/>
          <w:szCs w:val="20"/>
        </w:rPr>
        <w:t xml:space="preserve"> plus trametinib study, Long </w:t>
      </w:r>
      <w:r w:rsidR="00412211" w:rsidRPr="00795225">
        <w:rPr>
          <w:rFonts w:asciiTheme="minorHAnsi" w:hAnsiTheme="minorHAnsi"/>
          <w:szCs w:val="20"/>
        </w:rPr>
        <w:t>(</w:t>
      </w:r>
      <w:r w:rsidRPr="00795225">
        <w:rPr>
          <w:rFonts w:asciiTheme="minorHAnsi" w:hAnsiTheme="minorHAnsi"/>
          <w:szCs w:val="20"/>
        </w:rPr>
        <w:t>2017</w:t>
      </w:r>
      <w:r w:rsidR="00412211" w:rsidRPr="00795225">
        <w:rPr>
          <w:rFonts w:asciiTheme="minorHAnsi" w:hAnsiTheme="minorHAnsi"/>
          <w:szCs w:val="20"/>
        </w:rPr>
        <w:t>)</w:t>
      </w:r>
      <w:r w:rsidRPr="00795225">
        <w:rPr>
          <w:rFonts w:asciiTheme="minorHAnsi" w:hAnsiTheme="minorHAnsi"/>
          <w:szCs w:val="20"/>
        </w:rPr>
        <w:t xml:space="preserve"> (77%). The PBAC noted </w:t>
      </w:r>
      <w:r w:rsidR="004E5877" w:rsidRPr="00795225">
        <w:rPr>
          <w:rFonts w:asciiTheme="minorHAnsi" w:hAnsiTheme="minorHAnsi"/>
          <w:szCs w:val="20"/>
        </w:rPr>
        <w:t xml:space="preserve">that in </w:t>
      </w:r>
      <w:r w:rsidRPr="00795225">
        <w:rPr>
          <w:rFonts w:asciiTheme="minorHAnsi" w:hAnsiTheme="minorHAnsi"/>
          <w:szCs w:val="20"/>
        </w:rPr>
        <w:t>the</w:t>
      </w:r>
      <w:r w:rsidR="004E5877" w:rsidRPr="00795225">
        <w:rPr>
          <w:rFonts w:asciiTheme="minorHAnsi" w:hAnsiTheme="minorHAnsi"/>
          <w:szCs w:val="20"/>
        </w:rPr>
        <w:t xml:space="preserve"> base case model</w:t>
      </w:r>
      <w:r w:rsidR="00263C68" w:rsidRPr="00795225">
        <w:rPr>
          <w:rFonts w:asciiTheme="minorHAnsi" w:hAnsiTheme="minorHAnsi"/>
          <w:szCs w:val="20"/>
        </w:rPr>
        <w:t xml:space="preserve"> presented in the resubmission</w:t>
      </w:r>
      <w:r w:rsidR="00412211" w:rsidRPr="00795225">
        <w:rPr>
          <w:rFonts w:asciiTheme="minorHAnsi" w:hAnsiTheme="minorHAnsi"/>
          <w:szCs w:val="20"/>
        </w:rPr>
        <w:t>,</w:t>
      </w:r>
      <w:r w:rsidR="004E5877" w:rsidRPr="00795225">
        <w:rPr>
          <w:rFonts w:asciiTheme="minorHAnsi" w:hAnsiTheme="minorHAnsi"/>
          <w:szCs w:val="20"/>
        </w:rPr>
        <w:t xml:space="preserve"> the OS HR was adjusted by a factor of </w:t>
      </w:r>
      <w:r w:rsidR="004E5877" w:rsidRPr="00795225">
        <w:rPr>
          <w:rFonts w:asciiTheme="minorHAnsi" w:hAnsiTheme="minorHAnsi"/>
          <w:szCs w:val="20"/>
        </w:rPr>
        <w:lastRenderedPageBreak/>
        <w:t xml:space="preserve">0.91 (which resulted in an additional 1.47 life years) to account for improved survival due to current </w:t>
      </w:r>
      <w:proofErr w:type="spellStart"/>
      <w:r w:rsidR="00EB49A2" w:rsidRPr="00795225">
        <w:rPr>
          <w:rFonts w:asciiTheme="minorHAnsi" w:hAnsiTheme="minorHAnsi"/>
          <w:szCs w:val="20"/>
        </w:rPr>
        <w:t>unresectable</w:t>
      </w:r>
      <w:proofErr w:type="spellEnd"/>
      <w:r w:rsidR="00EB49A2" w:rsidRPr="00795225">
        <w:rPr>
          <w:rFonts w:asciiTheme="minorHAnsi" w:hAnsiTheme="minorHAnsi"/>
          <w:szCs w:val="20"/>
        </w:rPr>
        <w:t xml:space="preserve"> or </w:t>
      </w:r>
      <w:r w:rsidR="004E5877" w:rsidRPr="00795225">
        <w:rPr>
          <w:rFonts w:asciiTheme="minorHAnsi" w:hAnsiTheme="minorHAnsi"/>
          <w:szCs w:val="20"/>
        </w:rPr>
        <w:t xml:space="preserve">metastatic treatments. In response to </w:t>
      </w:r>
      <w:r w:rsidR="00263C68" w:rsidRPr="00795225">
        <w:rPr>
          <w:rFonts w:asciiTheme="minorHAnsi" w:hAnsiTheme="minorHAnsi"/>
          <w:szCs w:val="20"/>
        </w:rPr>
        <w:t>concerns noted by</w:t>
      </w:r>
      <w:r w:rsidR="004E5877" w:rsidRPr="00795225">
        <w:rPr>
          <w:rFonts w:asciiTheme="minorHAnsi" w:hAnsiTheme="minorHAnsi"/>
          <w:szCs w:val="20"/>
        </w:rPr>
        <w:t xml:space="preserve"> ESC, the adjustment factor was altered to 0.89 (which resulted in an additional 1.80 life years) in the </w:t>
      </w:r>
      <w:r w:rsidRPr="00795225">
        <w:rPr>
          <w:rFonts w:asciiTheme="minorHAnsi" w:hAnsiTheme="minorHAnsi"/>
          <w:szCs w:val="20"/>
        </w:rPr>
        <w:t>pre-PBAC response</w:t>
      </w:r>
      <w:r w:rsidR="004E5877" w:rsidRPr="00795225">
        <w:rPr>
          <w:rFonts w:asciiTheme="minorHAnsi" w:hAnsiTheme="minorHAnsi"/>
          <w:szCs w:val="20"/>
        </w:rPr>
        <w:t xml:space="preserve">. The PBAC considered that the observation OS curve remained </w:t>
      </w:r>
      <w:r w:rsidR="001968CE" w:rsidRPr="00795225">
        <w:rPr>
          <w:rFonts w:asciiTheme="minorHAnsi" w:hAnsiTheme="minorHAnsi"/>
          <w:szCs w:val="20"/>
        </w:rPr>
        <w:t>underestimated.</w:t>
      </w:r>
      <w:r w:rsidR="00EC0F07" w:rsidRPr="00795225">
        <w:rPr>
          <w:rFonts w:asciiTheme="minorHAnsi" w:hAnsiTheme="minorHAnsi"/>
          <w:szCs w:val="20"/>
        </w:rPr>
        <w:t xml:space="preserve"> </w:t>
      </w:r>
    </w:p>
    <w:p w:rsidR="001968CE" w:rsidRPr="00795225" w:rsidRDefault="001968CE" w:rsidP="00EC5A97">
      <w:pPr>
        <w:numPr>
          <w:ilvl w:val="1"/>
          <w:numId w:val="1"/>
        </w:numPr>
        <w:spacing w:after="120"/>
        <w:rPr>
          <w:rFonts w:asciiTheme="minorHAnsi" w:hAnsiTheme="minorHAnsi"/>
          <w:bCs/>
        </w:rPr>
      </w:pPr>
      <w:r w:rsidRPr="00795225">
        <w:rPr>
          <w:rFonts w:asciiTheme="minorHAnsi" w:hAnsiTheme="minorHAnsi"/>
          <w:bCs/>
        </w:rPr>
        <w:t>The PBAC</w:t>
      </w:r>
      <w:r w:rsidR="00613AA9" w:rsidRPr="00795225">
        <w:rPr>
          <w:rFonts w:asciiTheme="minorHAnsi" w:hAnsiTheme="minorHAnsi"/>
          <w:bCs/>
        </w:rPr>
        <w:t>, noting that it had previously accepted more conservative ICERs for adjuvant treatment of early breast cancer,</w:t>
      </w:r>
      <w:r w:rsidRPr="00795225">
        <w:rPr>
          <w:rFonts w:asciiTheme="minorHAnsi" w:hAnsiTheme="minorHAnsi"/>
          <w:bCs/>
        </w:rPr>
        <w:t xml:space="preserve"> considered that </w:t>
      </w:r>
      <w:r w:rsidR="00613AA9" w:rsidRPr="00795225">
        <w:rPr>
          <w:rFonts w:asciiTheme="minorHAnsi" w:hAnsiTheme="minorHAnsi"/>
          <w:bCs/>
        </w:rPr>
        <w:t xml:space="preserve">a reasonable ICER for adjuvant melanoma therapy would be </w:t>
      </w:r>
      <w:r w:rsidR="006C283A">
        <w:rPr>
          <w:rFonts w:asciiTheme="minorHAnsi" w:hAnsiTheme="minorHAnsi"/>
          <w:bCs/>
        </w:rPr>
        <w:t xml:space="preserve">less than </w:t>
      </w:r>
      <w:r w:rsidR="00065527">
        <w:rPr>
          <w:rFonts w:asciiTheme="minorHAnsi" w:hAnsiTheme="minorHAnsi"/>
          <w:bCs/>
        </w:rPr>
        <w:t>$15,000/QALY - $45,000/</w:t>
      </w:r>
      <w:r w:rsidR="00613AA9" w:rsidRPr="00795225">
        <w:rPr>
          <w:rFonts w:asciiTheme="minorHAnsi" w:hAnsiTheme="minorHAnsi"/>
          <w:bCs/>
        </w:rPr>
        <w:t>QALY.</w:t>
      </w:r>
    </w:p>
    <w:p w:rsidR="006966BE" w:rsidRPr="00795225" w:rsidRDefault="00B717C7" w:rsidP="00EC5A97">
      <w:pPr>
        <w:numPr>
          <w:ilvl w:val="1"/>
          <w:numId w:val="1"/>
        </w:numPr>
        <w:spacing w:after="120"/>
        <w:rPr>
          <w:rFonts w:asciiTheme="minorHAnsi" w:hAnsiTheme="minorHAnsi"/>
          <w:bCs/>
        </w:rPr>
      </w:pPr>
      <w:r w:rsidRPr="00795225">
        <w:rPr>
          <w:rFonts w:asciiTheme="minorHAnsi" w:hAnsiTheme="minorHAnsi"/>
          <w:bCs/>
        </w:rPr>
        <w:t xml:space="preserve">The PBAC </w:t>
      </w:r>
      <w:r w:rsidR="00D270A8" w:rsidRPr="00795225">
        <w:rPr>
          <w:rFonts w:asciiTheme="minorHAnsi" w:hAnsiTheme="minorHAnsi"/>
          <w:bCs/>
        </w:rPr>
        <w:t>noted that the financial implications remained high, at approximately $110 million per year over the first six years of listing. The PBAC noted that a price reduction, in combination with the exclusion of Stage IIIA patients and adjustments to the grandfathered patients in the pre-PBAC response resulted in lo</w:t>
      </w:r>
      <w:r w:rsidR="001968CE" w:rsidRPr="00795225">
        <w:rPr>
          <w:rFonts w:asciiTheme="minorHAnsi" w:hAnsiTheme="minorHAnsi"/>
          <w:bCs/>
        </w:rPr>
        <w:t>wer estimated costs per year tha</w:t>
      </w:r>
      <w:r w:rsidR="00D270A8" w:rsidRPr="00795225">
        <w:rPr>
          <w:rFonts w:asciiTheme="minorHAnsi" w:hAnsiTheme="minorHAnsi"/>
          <w:bCs/>
        </w:rPr>
        <w:t xml:space="preserve">n proposed in July 2018. </w:t>
      </w:r>
      <w:r w:rsidR="00C36FDF" w:rsidRPr="00795225">
        <w:rPr>
          <w:rFonts w:asciiTheme="minorHAnsi" w:hAnsiTheme="minorHAnsi"/>
          <w:bCs/>
        </w:rPr>
        <w:t>The PBAC still considered that the estimated financial implications were uncertain, particularly with regards to the cost-offsets, which were not well justified</w:t>
      </w:r>
      <w:r w:rsidR="00D30A8F" w:rsidRPr="00795225">
        <w:rPr>
          <w:rFonts w:asciiTheme="minorHAnsi" w:hAnsiTheme="minorHAnsi"/>
          <w:bCs/>
        </w:rPr>
        <w:t xml:space="preserve">, and the proportion of patients </w:t>
      </w:r>
      <w:r w:rsidR="00D30A8F" w:rsidRPr="00795225">
        <w:t xml:space="preserve">initially diagnosed with Stage I or II disease that experience a disease recurrence with </w:t>
      </w:r>
      <w:proofErr w:type="spellStart"/>
      <w:r w:rsidR="00D30A8F" w:rsidRPr="00795225">
        <w:t>resectable</w:t>
      </w:r>
      <w:proofErr w:type="spellEnd"/>
      <w:r w:rsidR="00D30A8F" w:rsidRPr="00795225">
        <w:t xml:space="preserve"> Stage III or Stage IV disease</w:t>
      </w:r>
      <w:r w:rsidR="00C36FDF" w:rsidRPr="00795225">
        <w:rPr>
          <w:rFonts w:asciiTheme="minorHAnsi" w:hAnsiTheme="minorHAnsi"/>
          <w:bCs/>
        </w:rPr>
        <w:t xml:space="preserve">. </w:t>
      </w:r>
    </w:p>
    <w:p w:rsidR="00723876" w:rsidRPr="00795225" w:rsidRDefault="00723876" w:rsidP="00EC5A97">
      <w:pPr>
        <w:numPr>
          <w:ilvl w:val="1"/>
          <w:numId w:val="1"/>
        </w:numPr>
        <w:spacing w:after="120"/>
        <w:rPr>
          <w:rFonts w:asciiTheme="minorHAnsi" w:hAnsiTheme="minorHAnsi"/>
          <w:bCs/>
        </w:rPr>
      </w:pPr>
      <w:r w:rsidRPr="00795225">
        <w:rPr>
          <w:rFonts w:asciiTheme="minorHAnsi" w:hAnsiTheme="minorHAnsi"/>
          <w:szCs w:val="20"/>
        </w:rPr>
        <w:t xml:space="preserve">The PBAC considered that any proposed Risk Sharing Arrangement </w:t>
      </w:r>
      <w:r w:rsidR="00412211" w:rsidRPr="00795225">
        <w:rPr>
          <w:rFonts w:asciiTheme="minorHAnsi" w:hAnsiTheme="minorHAnsi"/>
          <w:szCs w:val="20"/>
        </w:rPr>
        <w:t xml:space="preserve">(RSA) </w:t>
      </w:r>
      <w:r w:rsidRPr="00795225">
        <w:rPr>
          <w:rFonts w:asciiTheme="minorHAnsi" w:hAnsiTheme="minorHAnsi"/>
          <w:szCs w:val="20"/>
        </w:rPr>
        <w:t xml:space="preserve">must consider the implications </w:t>
      </w:r>
      <w:r w:rsidR="00412211" w:rsidRPr="00795225">
        <w:rPr>
          <w:rFonts w:asciiTheme="minorHAnsi" w:hAnsiTheme="minorHAnsi"/>
          <w:szCs w:val="20"/>
        </w:rPr>
        <w:t>on</w:t>
      </w:r>
      <w:r w:rsidRPr="00795225">
        <w:rPr>
          <w:rFonts w:asciiTheme="minorHAnsi" w:hAnsiTheme="minorHAnsi"/>
          <w:szCs w:val="20"/>
        </w:rPr>
        <w:t xml:space="preserve"> the current RSA for the use of PD-1 inhibitors in the </w:t>
      </w:r>
      <w:proofErr w:type="spellStart"/>
      <w:r w:rsidRPr="00795225">
        <w:rPr>
          <w:rFonts w:asciiTheme="minorHAnsi" w:hAnsiTheme="minorHAnsi"/>
          <w:szCs w:val="20"/>
        </w:rPr>
        <w:t>unresectable</w:t>
      </w:r>
      <w:proofErr w:type="spellEnd"/>
      <w:r w:rsidR="00BA5DBD" w:rsidRPr="00795225">
        <w:rPr>
          <w:rFonts w:asciiTheme="minorHAnsi" w:hAnsiTheme="minorHAnsi"/>
          <w:szCs w:val="20"/>
        </w:rPr>
        <w:t xml:space="preserve"> or metastatic</w:t>
      </w:r>
      <w:r w:rsidRPr="00795225">
        <w:rPr>
          <w:rFonts w:asciiTheme="minorHAnsi" w:hAnsiTheme="minorHAnsi"/>
          <w:szCs w:val="20"/>
        </w:rPr>
        <w:t xml:space="preserve"> setting. The PBAC considered that a hard cap that encompassed adjuvant and </w:t>
      </w:r>
      <w:proofErr w:type="spellStart"/>
      <w:r w:rsidRPr="00795225">
        <w:rPr>
          <w:rFonts w:asciiTheme="minorHAnsi" w:hAnsiTheme="minorHAnsi"/>
          <w:szCs w:val="20"/>
        </w:rPr>
        <w:t>unresectable</w:t>
      </w:r>
      <w:proofErr w:type="spellEnd"/>
      <w:r w:rsidRPr="00795225">
        <w:rPr>
          <w:rFonts w:asciiTheme="minorHAnsi" w:hAnsiTheme="minorHAnsi"/>
          <w:szCs w:val="20"/>
        </w:rPr>
        <w:t xml:space="preserve"> use of BRAF/MEK, PD-1 and PDL-1 inhibitors would be appropriate.</w:t>
      </w:r>
      <w:bookmarkStart w:id="33" w:name="_GoBack"/>
      <w:bookmarkEnd w:id="33"/>
    </w:p>
    <w:p w:rsidR="00B767A3" w:rsidRPr="00795225" w:rsidRDefault="007A24CF" w:rsidP="00EC5A97">
      <w:pPr>
        <w:numPr>
          <w:ilvl w:val="1"/>
          <w:numId w:val="1"/>
        </w:numPr>
        <w:spacing w:after="120"/>
        <w:rPr>
          <w:rFonts w:asciiTheme="minorHAnsi" w:hAnsiTheme="minorHAnsi"/>
          <w:bCs/>
        </w:rPr>
      </w:pPr>
      <w:r w:rsidRPr="00795225">
        <w:rPr>
          <w:rFonts w:asciiTheme="minorHAnsi" w:hAnsiTheme="minorHAnsi"/>
          <w:bCs/>
        </w:rPr>
        <w:t>The PBAC considered that any future resubmission should be a major submission to allow for evaluation of cost-effectiveness and financial impact.</w:t>
      </w:r>
      <w:r w:rsidR="00E17047" w:rsidRPr="00795225">
        <w:rPr>
          <w:rFonts w:asciiTheme="minorHAnsi" w:hAnsiTheme="minorHAnsi"/>
          <w:bCs/>
        </w:rPr>
        <w:t xml:space="preserve"> In addition, any additional OS data from CA238 should be presented.</w:t>
      </w:r>
    </w:p>
    <w:p w:rsidR="007A24CF" w:rsidRPr="00795225" w:rsidRDefault="007A24CF" w:rsidP="00EC5A97">
      <w:pPr>
        <w:numPr>
          <w:ilvl w:val="1"/>
          <w:numId w:val="1"/>
        </w:numPr>
        <w:spacing w:after="120"/>
        <w:rPr>
          <w:rFonts w:asciiTheme="minorHAnsi" w:hAnsiTheme="minorHAnsi"/>
          <w:bCs/>
        </w:rPr>
      </w:pPr>
      <w:r w:rsidRPr="00795225">
        <w:rPr>
          <w:rFonts w:asciiTheme="minorHAnsi" w:hAnsiTheme="minorHAnsi"/>
          <w:bCs/>
        </w:rPr>
        <w:t>The PBAC noted that this submission is eligible for an Independent Review.</w:t>
      </w:r>
    </w:p>
    <w:p w:rsidR="00EC5A97" w:rsidRPr="00795225" w:rsidRDefault="00EC5A97" w:rsidP="00EC5A97">
      <w:pPr>
        <w:spacing w:before="240"/>
        <w:rPr>
          <w:rFonts w:asciiTheme="minorHAnsi" w:hAnsiTheme="minorHAnsi"/>
          <w:b/>
          <w:bCs/>
        </w:rPr>
      </w:pPr>
      <w:r w:rsidRPr="00795225">
        <w:rPr>
          <w:rFonts w:asciiTheme="minorHAnsi" w:hAnsiTheme="minorHAnsi"/>
          <w:b/>
          <w:bCs/>
        </w:rPr>
        <w:t>Outcome:</w:t>
      </w:r>
    </w:p>
    <w:p w:rsidR="00597B14" w:rsidRDefault="00EC5A97" w:rsidP="005176F5">
      <w:pPr>
        <w:rPr>
          <w:rFonts w:asciiTheme="minorHAnsi" w:hAnsiTheme="minorHAnsi"/>
          <w:bCs/>
        </w:rPr>
      </w:pPr>
      <w:r w:rsidRPr="00795225">
        <w:rPr>
          <w:rFonts w:asciiTheme="minorHAnsi" w:hAnsiTheme="minorHAnsi"/>
          <w:bCs/>
        </w:rPr>
        <w:t xml:space="preserve">Rejected </w:t>
      </w:r>
    </w:p>
    <w:p w:rsidR="00597B14" w:rsidRPr="000E7C11" w:rsidRDefault="00597B14" w:rsidP="000E7C11">
      <w:pPr>
        <w:pStyle w:val="PBACHeading1"/>
        <w:keepNext/>
        <w:keepLines/>
        <w:spacing w:before="100" w:beforeAutospacing="1" w:after="120"/>
      </w:pPr>
      <w:r w:rsidRPr="00597B14">
        <w:t>Context</w:t>
      </w:r>
      <w:r w:rsidRPr="000E7C11">
        <w:t xml:space="preserve"> for Decision</w:t>
      </w:r>
    </w:p>
    <w:p w:rsidR="00597B14" w:rsidRPr="000E7C11" w:rsidRDefault="00597B14" w:rsidP="000E7C11">
      <w:pPr>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0E7C11">
        <w:rPr>
          <w:rFonts w:asciiTheme="minorHAnsi" w:hAnsiTheme="minorHAnsi"/>
        </w:rPr>
        <w:t>nt review of the PBAC decision.</w:t>
      </w:r>
    </w:p>
    <w:p w:rsidR="00597B14" w:rsidRPr="000E7C11" w:rsidRDefault="00597B14" w:rsidP="000E7C11">
      <w:pPr>
        <w:pStyle w:val="PBACHeading1"/>
        <w:keepNext/>
        <w:keepLines/>
        <w:spacing w:before="100" w:beforeAutospacing="1" w:after="120"/>
      </w:pPr>
      <w:r w:rsidRPr="00597B14">
        <w:t>Sponsor’s</w:t>
      </w:r>
      <w:r w:rsidRPr="000E7C11">
        <w:t xml:space="preserve"> Comment</w:t>
      </w:r>
    </w:p>
    <w:p w:rsidR="00597B14" w:rsidRPr="007E6CED" w:rsidRDefault="00597B14" w:rsidP="007E6CED">
      <w:pPr>
        <w:spacing w:after="120"/>
        <w:ind w:left="709"/>
        <w:rPr>
          <w:rFonts w:asciiTheme="minorHAnsi" w:hAnsiTheme="minorHAnsi"/>
          <w:bCs/>
        </w:rPr>
      </w:pPr>
      <w:r w:rsidRPr="00C07617">
        <w:rPr>
          <w:rFonts w:asciiTheme="minorHAnsi" w:hAnsiTheme="minorHAnsi"/>
          <w:bCs/>
        </w:rPr>
        <w:t>The sponsor had no comment.</w:t>
      </w:r>
    </w:p>
    <w:sectPr w:rsidR="00597B14" w:rsidRPr="007E6CED" w:rsidSect="008D37D5">
      <w:headerReference w:type="even" r:id="rId18"/>
      <w:headerReference w:type="default" r:id="rId19"/>
      <w:footerReference w:type="even" r:id="rId20"/>
      <w:footerReference w:type="default" r:id="rId21"/>
      <w:headerReference w:type="first" r:id="rId22"/>
      <w:footerReference w:type="first" r:id="rId23"/>
      <w:footnotePr>
        <w:numFmt w:val="chicago"/>
      </w:footnotePr>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674F6" w16cid:durableId="201CE55E"/>
  <w16cid:commentId w16cid:paraId="59592CDB" w16cid:durableId="201D7F8E"/>
  <w16cid:commentId w16cid:paraId="5E3D2A16" w16cid:durableId="201CE344"/>
  <w16cid:commentId w16cid:paraId="0AAF8F00" w16cid:durableId="201CEDC9"/>
  <w16cid:commentId w16cid:paraId="60CE4253" w16cid:durableId="201CE345"/>
  <w16cid:commentId w16cid:paraId="0112306E" w16cid:durableId="201D85EC"/>
  <w16cid:commentId w16cid:paraId="6F1AD10F" w16cid:durableId="201CE346"/>
  <w16cid:commentId w16cid:paraId="57433D9B" w16cid:durableId="201CFDB9"/>
  <w16cid:commentId w16cid:paraId="3A19E550" w16cid:durableId="201D86C1"/>
  <w16cid:commentId w16cid:paraId="502D67D6" w16cid:durableId="201CE347"/>
  <w16cid:commentId w16cid:paraId="2B401B83" w16cid:durableId="201CE348"/>
  <w16cid:commentId w16cid:paraId="5AA914D8" w16cid:durableId="201CE349"/>
  <w16cid:commentId w16cid:paraId="2884B923" w16cid:durableId="201D87C8"/>
  <w16cid:commentId w16cid:paraId="229FA68A" w16cid:durableId="201CE34A"/>
  <w16cid:commentId w16cid:paraId="008C551B" w16cid:durableId="201CFEBE"/>
  <w16cid:commentId w16cid:paraId="2115148B" w16cid:durableId="201D87F6"/>
  <w16cid:commentId w16cid:paraId="0D0EC8B5" w16cid:durableId="201D8830"/>
  <w16cid:commentId w16cid:paraId="28D38D76" w16cid:durableId="201D89CE"/>
  <w16cid:commentId w16cid:paraId="053E73F8" w16cid:durableId="201D890A"/>
  <w16cid:commentId w16cid:paraId="2507890B" w16cid:durableId="201CE34B"/>
  <w16cid:commentId w16cid:paraId="448F2656" w16cid:durableId="201D4B20"/>
  <w16cid:commentId w16cid:paraId="54448739" w16cid:durableId="201CE34C"/>
  <w16cid:commentId w16cid:paraId="5256BBC9" w16cid:durableId="201D4E58"/>
  <w16cid:commentId w16cid:paraId="6654E90C" w16cid:durableId="201D8A02"/>
  <w16cid:commentId w16cid:paraId="6C9CFB72" w16cid:durableId="201CE34D"/>
  <w16cid:commentId w16cid:paraId="4E24656D" w16cid:durableId="201CE3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54" w:rsidRDefault="00713754" w:rsidP="00124A51">
      <w:r>
        <w:separator/>
      </w:r>
    </w:p>
    <w:p w:rsidR="00713754" w:rsidRDefault="00713754"/>
  </w:endnote>
  <w:endnote w:type="continuationSeparator" w:id="0">
    <w:p w:rsidR="00713754" w:rsidRDefault="00713754" w:rsidP="00124A51">
      <w:r>
        <w:continuationSeparator/>
      </w:r>
    </w:p>
    <w:p w:rsidR="00713754" w:rsidRDefault="00713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54" w:rsidRDefault="00713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294298"/>
      <w:docPartObj>
        <w:docPartGallery w:val="Page Numbers (Bottom of Page)"/>
        <w:docPartUnique/>
      </w:docPartObj>
    </w:sdtPr>
    <w:sdtEndPr>
      <w:rPr>
        <w:noProof/>
      </w:rPr>
    </w:sdtEndPr>
    <w:sdtContent>
      <w:p w:rsidR="00713754" w:rsidRDefault="00713754">
        <w:pPr>
          <w:pStyle w:val="Footer"/>
          <w:jc w:val="center"/>
        </w:pPr>
        <w:r>
          <w:fldChar w:fldCharType="begin"/>
        </w:r>
        <w:r>
          <w:instrText xml:space="preserve"> PAGE   \* MERGEFORMAT </w:instrText>
        </w:r>
        <w:r>
          <w:fldChar w:fldCharType="separate"/>
        </w:r>
        <w:r w:rsidR="000665DD">
          <w:rPr>
            <w:noProof/>
          </w:rPr>
          <w:t>41</w:t>
        </w:r>
        <w:r>
          <w:rPr>
            <w:noProof/>
          </w:rPr>
          <w:fldChar w:fldCharType="end"/>
        </w:r>
      </w:p>
    </w:sdtContent>
  </w:sdt>
  <w:p w:rsidR="00713754" w:rsidRDefault="00713754" w:rsidP="00E72F3F">
    <w:pPr>
      <w:contextualSpacing/>
      <w:jc w:val="center"/>
      <w:rPr>
        <w:rFonts w:eastAsia="Calibri"/>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54" w:rsidRDefault="0071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54" w:rsidRDefault="00713754" w:rsidP="00124A51">
      <w:r>
        <w:separator/>
      </w:r>
    </w:p>
  </w:footnote>
  <w:footnote w:type="continuationSeparator" w:id="0">
    <w:p w:rsidR="00713754" w:rsidRDefault="00713754" w:rsidP="00124A51">
      <w:r>
        <w:continuationSeparator/>
      </w:r>
    </w:p>
    <w:p w:rsidR="00713754" w:rsidRDefault="00713754"/>
  </w:footnote>
  <w:footnote w:id="1">
    <w:p w:rsidR="00713754" w:rsidRDefault="00713754">
      <w:pPr>
        <w:pStyle w:val="FootnoteText"/>
      </w:pPr>
      <w:r>
        <w:rPr>
          <w:rStyle w:val="FootnoteReference"/>
        </w:rPr>
        <w:footnoteRef/>
      </w:r>
      <w:r>
        <w:t xml:space="preserve"> </w:t>
      </w:r>
      <w:proofErr w:type="spellStart"/>
      <w:r>
        <w:t>Faires</w:t>
      </w:r>
      <w:proofErr w:type="spellEnd"/>
      <w:r>
        <w:t xml:space="preserve"> MB, Thompson JF, Cochran AJ, et al. Complete dissection or observation for sentinel-node metastasis in melanoma. N </w:t>
      </w:r>
      <w:proofErr w:type="spellStart"/>
      <w:r>
        <w:t>Engl</w:t>
      </w:r>
      <w:proofErr w:type="spellEnd"/>
      <w:r>
        <w:t xml:space="preserve"> J Med. 2017; 376: 2211-2222.</w:t>
      </w:r>
    </w:p>
  </w:footnote>
  <w:footnote w:id="2">
    <w:p w:rsidR="00713754" w:rsidRDefault="00713754">
      <w:pPr>
        <w:pStyle w:val="FootnoteText"/>
      </w:pPr>
      <w:r>
        <w:rPr>
          <w:rStyle w:val="FootnoteReference"/>
        </w:rPr>
        <w:footnoteRef/>
      </w:r>
      <w:r>
        <w:t xml:space="preserve"> </w:t>
      </w:r>
      <w:proofErr w:type="spellStart"/>
      <w:r>
        <w:t>Madu</w:t>
      </w:r>
      <w:proofErr w:type="spellEnd"/>
      <w:r>
        <w:t xml:space="preserve"> MF, Franke V, Bruin MM, et al. Immediate completion lymph node dissection in stage IIIA melanoma does not provide significant additional staging information beyond EORTC SN tumour biopsy criteria. </w:t>
      </w:r>
      <w:proofErr w:type="spellStart"/>
      <w:r>
        <w:t>Eur</w:t>
      </w:r>
      <w:proofErr w:type="spellEnd"/>
      <w:r>
        <w:t xml:space="preserve"> J Cancer. 2017; 87: 215-215.</w:t>
      </w:r>
    </w:p>
  </w:footnote>
  <w:footnote w:id="3">
    <w:p w:rsidR="00713754" w:rsidRPr="00F67397" w:rsidRDefault="00713754" w:rsidP="00410F2D">
      <w:pPr>
        <w:pStyle w:val="FootnoteText"/>
      </w:pPr>
      <w:r>
        <w:rPr>
          <w:rStyle w:val="FootnoteReference"/>
        </w:rPr>
        <w:footnoteRef/>
      </w:r>
      <w:r>
        <w:t xml:space="preserve"> Australian Institute of Health and Welfare. Skin cancer in Australia. 2017; Available from </w:t>
      </w:r>
      <w:r w:rsidRPr="00F67397">
        <w:rPr>
          <w:rFonts w:asciiTheme="minorHAnsi" w:hAnsiTheme="minorHAnsi" w:cstheme="minorHAnsi"/>
          <w:snapToGrid/>
          <w:szCs w:val="18"/>
          <w:lang w:eastAsia="en-AU"/>
        </w:rPr>
        <w:t>https://www.aihw.gov.au/reports/cancer/skin-cancer-in-australia/summary.</w:t>
      </w:r>
    </w:p>
  </w:footnote>
  <w:footnote w:id="4">
    <w:p w:rsidR="00713754" w:rsidRDefault="00713754" w:rsidP="00410F2D">
      <w:pPr>
        <w:pStyle w:val="FootnoteText"/>
      </w:pPr>
      <w:r>
        <w:rPr>
          <w:rStyle w:val="FootnoteReference"/>
        </w:rPr>
        <w:footnoteRef/>
      </w:r>
      <w:r>
        <w:t xml:space="preserve"> </w:t>
      </w:r>
      <w:proofErr w:type="spellStart"/>
      <w:r>
        <w:t>Gershenwald</w:t>
      </w:r>
      <w:proofErr w:type="spellEnd"/>
      <w:r>
        <w:t xml:space="preserve"> et al. Melanoma staging: Evidence-based changes in the American Joint Committee on Cancer eighth edition cancer staging manual</w:t>
      </w:r>
      <w:r w:rsidRPr="00EE3DA8">
        <w:rPr>
          <w:i/>
        </w:rPr>
        <w:t>. CA: A Cancer Journal for Clinicians</w:t>
      </w:r>
      <w:r>
        <w:t xml:space="preserve">. 2017; 67(6):472-92. </w:t>
      </w:r>
    </w:p>
  </w:footnote>
  <w:footnote w:id="5">
    <w:p w:rsidR="00713754" w:rsidRPr="00955173" w:rsidRDefault="00713754" w:rsidP="00955173">
      <w:pPr>
        <w:rPr>
          <w:sz w:val="20"/>
          <w:szCs w:val="20"/>
        </w:rPr>
      </w:pPr>
      <w:r w:rsidRPr="00955173">
        <w:rPr>
          <w:rStyle w:val="FootnoteReference"/>
          <w:sz w:val="20"/>
          <w:szCs w:val="20"/>
        </w:rPr>
        <w:footnoteRef/>
      </w:r>
      <w:r w:rsidRPr="00955173">
        <w:rPr>
          <w:rFonts w:asciiTheme="minorHAnsi" w:hAnsiTheme="minorHAnsi"/>
          <w:bCs/>
          <w:sz w:val="20"/>
          <w:szCs w:val="20"/>
        </w:rPr>
        <w:t xml:space="preserve"> </w:t>
      </w:r>
      <w:proofErr w:type="spellStart"/>
      <w:r w:rsidRPr="00955173">
        <w:rPr>
          <w:sz w:val="20"/>
          <w:szCs w:val="20"/>
        </w:rPr>
        <w:t>Cherny</w:t>
      </w:r>
      <w:proofErr w:type="spellEnd"/>
      <w:r w:rsidRPr="00955173">
        <w:rPr>
          <w:sz w:val="20"/>
          <w:szCs w:val="20"/>
        </w:rPr>
        <w:t xml:space="preserve"> NI, Dafni U, </w:t>
      </w:r>
      <w:proofErr w:type="spellStart"/>
      <w:r w:rsidRPr="00955173">
        <w:rPr>
          <w:sz w:val="20"/>
          <w:szCs w:val="20"/>
        </w:rPr>
        <w:t>Bogaerts</w:t>
      </w:r>
      <w:proofErr w:type="spellEnd"/>
      <w:r w:rsidRPr="00955173">
        <w:rPr>
          <w:sz w:val="20"/>
          <w:szCs w:val="20"/>
        </w:rPr>
        <w:t xml:space="preserve"> J, et al: ESMO-Magnitude of Clinical Benefit Scale version 1.1. Annals of Oncology 28:2340-2366, 2017</w:t>
      </w:r>
    </w:p>
  </w:footnote>
  <w:footnote w:id="6">
    <w:p w:rsidR="00713754" w:rsidRDefault="00713754">
      <w:pPr>
        <w:pStyle w:val="FootnoteText"/>
      </w:pPr>
      <w:r>
        <w:rPr>
          <w:rStyle w:val="FootnoteReference"/>
        </w:rPr>
        <w:footnoteRef/>
      </w:r>
      <w:r>
        <w:t xml:space="preserve"> </w:t>
      </w:r>
      <w:proofErr w:type="spellStart"/>
      <w:r w:rsidRPr="000E65EB">
        <w:t>Gershenwald</w:t>
      </w:r>
      <w:proofErr w:type="spellEnd"/>
      <w:r w:rsidRPr="000E65EB">
        <w:t xml:space="preserve"> JE, </w:t>
      </w:r>
      <w:proofErr w:type="spellStart"/>
      <w:r w:rsidRPr="000E65EB">
        <w:t>Scolyer</w:t>
      </w:r>
      <w:proofErr w:type="spellEnd"/>
      <w:r w:rsidRPr="000E65EB">
        <w:t xml:space="preserve"> RA, et al. Melanoma staging: Evidence-based changes in the American Joint Committee on Cancer eighth edition cancer staging manual. </w:t>
      </w:r>
      <w:r w:rsidRPr="000E65EB">
        <w:rPr>
          <w:i/>
        </w:rPr>
        <w:t>CA: A Cancer Journal for Clinicians</w:t>
      </w:r>
      <w:r w:rsidRPr="000E65EB">
        <w:t>. 2017; 67(6):472-92.</w:t>
      </w:r>
    </w:p>
  </w:footnote>
  <w:footnote w:id="7">
    <w:p w:rsidR="00713754" w:rsidRDefault="00713754">
      <w:pPr>
        <w:pStyle w:val="FootnoteText"/>
      </w:pPr>
      <w:r>
        <w:rPr>
          <w:rStyle w:val="FootnoteReference"/>
        </w:rPr>
        <w:footnoteRef/>
      </w:r>
      <w:r>
        <w:t xml:space="preserve"> Long et al. </w:t>
      </w:r>
      <w:r w:rsidRPr="00F32F17">
        <w:t xml:space="preserve">Adjuvant </w:t>
      </w:r>
      <w:proofErr w:type="spellStart"/>
      <w:r w:rsidRPr="00F32F17">
        <w:t>Dabrafenib</w:t>
      </w:r>
      <w:proofErr w:type="spellEnd"/>
      <w:r w:rsidRPr="00F32F17">
        <w:t xml:space="preserve"> plus Trametinib in Stage III BRAF-Mutated Melanoma.</w:t>
      </w:r>
      <w:r>
        <w:t xml:space="preserve"> </w:t>
      </w:r>
      <w:r>
        <w:rPr>
          <w:i/>
        </w:rPr>
        <w:t xml:space="preserve">NEJM. </w:t>
      </w:r>
      <w:r>
        <w:t>2017; 377(19):1813-1823.</w:t>
      </w:r>
    </w:p>
  </w:footnote>
  <w:footnote w:id="8">
    <w:p w:rsidR="00713754" w:rsidRPr="007833FB" w:rsidRDefault="00713754" w:rsidP="00EF12D9">
      <w:pPr>
        <w:pStyle w:val="FootnoteText"/>
      </w:pPr>
      <w:r>
        <w:rPr>
          <w:rStyle w:val="FootnoteReference"/>
        </w:rPr>
        <w:footnoteRef/>
      </w:r>
      <w:r>
        <w:t xml:space="preserve"> </w:t>
      </w:r>
      <w:r w:rsidRPr="00057847">
        <w:t xml:space="preserve">Adler NR, Wolfe R, Kelly JW, Haydon A, McArthur GA, McLean CA, et al. Tumour mutation status and sites of </w:t>
      </w:r>
      <w:r w:rsidRPr="007833FB">
        <w:t xml:space="preserve">metastasis in patients with cutaneous melanoma. </w:t>
      </w:r>
      <w:r w:rsidRPr="007833FB">
        <w:rPr>
          <w:i/>
        </w:rPr>
        <w:t>Br J Cancer</w:t>
      </w:r>
      <w:r w:rsidRPr="007833FB">
        <w:t>. 2017</w:t>
      </w:r>
      <w:proofErr w:type="gramStart"/>
      <w:r w:rsidRPr="007833FB">
        <w:t>;117</w:t>
      </w:r>
      <w:proofErr w:type="gramEnd"/>
      <w:r w:rsidRPr="007833FB">
        <w:t>(7):1026-35.</w:t>
      </w:r>
    </w:p>
    <w:p w:rsidR="00713754" w:rsidRPr="007833FB" w:rsidRDefault="00713754" w:rsidP="00EF12D9">
      <w:pPr>
        <w:pStyle w:val="FootnoteText"/>
      </w:pPr>
      <w:r w:rsidRPr="007833FB">
        <w:t xml:space="preserve">Turner RM, Bell KJ, Morton RL, </w:t>
      </w:r>
      <w:proofErr w:type="spellStart"/>
      <w:r w:rsidRPr="007833FB">
        <w:t>Hayen</w:t>
      </w:r>
      <w:proofErr w:type="spellEnd"/>
      <w:r w:rsidRPr="007833FB">
        <w:t xml:space="preserve"> A, </w:t>
      </w:r>
      <w:proofErr w:type="spellStart"/>
      <w:r w:rsidRPr="007833FB">
        <w:t>Francken</w:t>
      </w:r>
      <w:proofErr w:type="spellEnd"/>
      <w:r w:rsidRPr="007833FB">
        <w:t xml:space="preserve"> AB, Howard K, et al. </w:t>
      </w:r>
      <w:proofErr w:type="gramStart"/>
      <w:r w:rsidRPr="007833FB">
        <w:t>Optimizing</w:t>
      </w:r>
      <w:proofErr w:type="gramEnd"/>
      <w:r w:rsidRPr="007833FB">
        <w:t xml:space="preserve"> the frequency of follow-up visits for patients treated for localized primary cutaneous melanoma. </w:t>
      </w:r>
      <w:r w:rsidRPr="007833FB">
        <w:rPr>
          <w:i/>
        </w:rPr>
        <w:t xml:space="preserve">J </w:t>
      </w:r>
      <w:proofErr w:type="spellStart"/>
      <w:r w:rsidRPr="007833FB">
        <w:rPr>
          <w:i/>
        </w:rPr>
        <w:t>Clin</w:t>
      </w:r>
      <w:proofErr w:type="spellEnd"/>
      <w:r w:rsidRPr="007833FB">
        <w:rPr>
          <w:i/>
        </w:rPr>
        <w:t xml:space="preserve"> </w:t>
      </w:r>
      <w:proofErr w:type="spellStart"/>
      <w:r w:rsidRPr="007833FB">
        <w:rPr>
          <w:i/>
        </w:rPr>
        <w:t>Oncol</w:t>
      </w:r>
      <w:proofErr w:type="spellEnd"/>
      <w:r w:rsidRPr="007833FB">
        <w:t>. 2011</w:t>
      </w:r>
      <w:proofErr w:type="gramStart"/>
      <w:r w:rsidRPr="007833FB">
        <w:t>;29</w:t>
      </w:r>
      <w:proofErr w:type="gramEnd"/>
      <w:r w:rsidRPr="007833FB">
        <w:t>(35):4641-6.</w:t>
      </w:r>
    </w:p>
  </w:footnote>
  <w:footnote w:id="9">
    <w:p w:rsidR="00713754" w:rsidRPr="007833FB" w:rsidRDefault="00713754" w:rsidP="00EF12D9">
      <w:pPr>
        <w:pStyle w:val="FootnoteText"/>
      </w:pPr>
      <w:r w:rsidRPr="007833FB">
        <w:rPr>
          <w:rStyle w:val="FootnoteReference"/>
        </w:rPr>
        <w:footnoteRef/>
      </w:r>
      <w:r w:rsidRPr="007833FB">
        <w:t xml:space="preserve"> Australian Cancer Incidence and Mortality (ACIM) book: melanoma of the skin (AIHW 2017). Available from: </w:t>
      </w:r>
      <w:r w:rsidRPr="0089272D">
        <w:t>https://www.aihw.gov.au/reports/cancer/acim-books/contents/acim-books</w:t>
      </w:r>
    </w:p>
    <w:p w:rsidR="00713754" w:rsidRPr="007833FB" w:rsidRDefault="00713754" w:rsidP="00EF12D9">
      <w:pPr>
        <w:pStyle w:val="FootnoteText"/>
      </w:pPr>
      <w:r w:rsidRPr="007833FB">
        <w:t>National Cancer Control</w:t>
      </w:r>
      <w:r w:rsidRPr="00057847">
        <w:t xml:space="preserve"> Indicators (NCCI) website</w:t>
      </w:r>
      <w:r>
        <w:t xml:space="preserve">: </w:t>
      </w:r>
      <w:r w:rsidRPr="0089272D">
        <w:t>https://ncci.canceraustralia.gov.au/diagnosis/distribution-cancer-stage/distribution-cancer-stage</w:t>
      </w:r>
    </w:p>
  </w:footnote>
  <w:footnote w:id="10">
    <w:p w:rsidR="00713754" w:rsidRDefault="00713754" w:rsidP="00EF12D9">
      <w:pPr>
        <w:pStyle w:val="FootnoteText"/>
      </w:pPr>
      <w:r w:rsidRPr="007833FB">
        <w:rPr>
          <w:rStyle w:val="FootnoteReference"/>
        </w:rPr>
        <w:footnoteRef/>
      </w:r>
      <w:r w:rsidRPr="007833FB">
        <w:t xml:space="preserve"> Turner RM, Bell KJ, Morton RL, </w:t>
      </w:r>
      <w:proofErr w:type="spellStart"/>
      <w:r w:rsidRPr="007833FB">
        <w:t>Hayen</w:t>
      </w:r>
      <w:proofErr w:type="spellEnd"/>
      <w:r w:rsidRPr="007833FB">
        <w:t xml:space="preserve"> A, </w:t>
      </w:r>
      <w:proofErr w:type="spellStart"/>
      <w:r w:rsidRPr="007833FB">
        <w:t>Francken</w:t>
      </w:r>
      <w:proofErr w:type="spellEnd"/>
      <w:r w:rsidRPr="007833FB">
        <w:t xml:space="preserve"> AB, Howard K, et al. </w:t>
      </w:r>
      <w:proofErr w:type="gramStart"/>
      <w:r w:rsidRPr="007833FB">
        <w:t>Optimizing</w:t>
      </w:r>
      <w:proofErr w:type="gramEnd"/>
      <w:r w:rsidRPr="007833FB">
        <w:t xml:space="preserve"> the frequency of follow-up visits for patients treated for localized primary cutaneous melanoma. </w:t>
      </w:r>
      <w:r w:rsidRPr="007833FB">
        <w:rPr>
          <w:i/>
        </w:rPr>
        <w:t xml:space="preserve">J </w:t>
      </w:r>
      <w:proofErr w:type="spellStart"/>
      <w:r w:rsidRPr="007833FB">
        <w:rPr>
          <w:i/>
        </w:rPr>
        <w:t>Clin</w:t>
      </w:r>
      <w:proofErr w:type="spellEnd"/>
      <w:r w:rsidRPr="007833FB">
        <w:rPr>
          <w:i/>
        </w:rPr>
        <w:t xml:space="preserve"> </w:t>
      </w:r>
      <w:proofErr w:type="spellStart"/>
      <w:r w:rsidRPr="007833FB">
        <w:rPr>
          <w:i/>
        </w:rPr>
        <w:t>Oncol</w:t>
      </w:r>
      <w:proofErr w:type="spellEnd"/>
      <w:r w:rsidRPr="007833FB">
        <w:t>. 2011</w:t>
      </w:r>
      <w:proofErr w:type="gramStart"/>
      <w:r w:rsidRPr="007833FB">
        <w:t>;29</w:t>
      </w:r>
      <w:proofErr w:type="gramEnd"/>
      <w:r w:rsidRPr="007833FB">
        <w:t>(35):4641-6.</w:t>
      </w:r>
    </w:p>
  </w:footnote>
  <w:footnote w:id="11">
    <w:p w:rsidR="00713754" w:rsidRDefault="00713754" w:rsidP="00EF12D9">
      <w:pPr>
        <w:pStyle w:val="FootnoteText"/>
      </w:pPr>
      <w:r>
        <w:rPr>
          <w:rStyle w:val="FootnoteReference"/>
        </w:rPr>
        <w:footnoteRef/>
      </w:r>
      <w:r>
        <w:t xml:space="preserve"> 6.4% = </w:t>
      </w:r>
      <w:r w:rsidRPr="00AD1844">
        <w:t>58% x 11%, where 58% is the proportion of Stage IV patients that could receive adjuvant treatment and 11% is DMFS prevented due to the use of adjuvant nivolumab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54" w:rsidRDefault="00713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54" w:rsidRPr="00262257" w:rsidRDefault="00713754" w:rsidP="00262257">
    <w:pPr>
      <w:jc w:val="center"/>
      <w:rPr>
        <w:i/>
      </w:rPr>
    </w:pPr>
    <w:r>
      <w:rPr>
        <w:i/>
      </w:rPr>
      <w:t>Public Summary Document</w:t>
    </w:r>
    <w:r w:rsidRPr="00262257">
      <w:rPr>
        <w:i/>
      </w:rPr>
      <w:t xml:space="preserve"> – March 2019 PBAC Meeting</w:t>
    </w:r>
  </w:p>
  <w:p w:rsidR="00713754" w:rsidRPr="00262257" w:rsidRDefault="00713754" w:rsidP="00262257">
    <w:pP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54" w:rsidRDefault="00713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AC0811"/>
    <w:multiLevelType w:val="hybridMultilevel"/>
    <w:tmpl w:val="8EC473F4"/>
    <w:lvl w:ilvl="0" w:tplc="538693EC">
      <w:start w:val="1"/>
      <w:numFmt w:val="decimal"/>
      <w:lvlText w:val="%1."/>
      <w:lvlJc w:val="left"/>
      <w:pPr>
        <w:tabs>
          <w:tab w:val="num" w:pos="720"/>
        </w:tabs>
        <w:ind w:left="720" w:hanging="360"/>
      </w:pPr>
      <w:rPr>
        <w:rFonts w:hint="default"/>
        <w:b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E1C85"/>
    <w:multiLevelType w:val="hybridMultilevel"/>
    <w:tmpl w:val="A20294EC"/>
    <w:lvl w:ilvl="0" w:tplc="C324F4FC">
      <w:start w:val="1"/>
      <w:numFmt w:val="bullet"/>
      <w:lvlText w:val=""/>
      <w:lvlJc w:val="left"/>
      <w:pPr>
        <w:ind w:left="720" w:hanging="360"/>
      </w:pPr>
      <w:rPr>
        <w:rFonts w:ascii="Symbol" w:hAnsi="Symbol" w:hint="default"/>
      </w:rPr>
    </w:lvl>
    <w:lvl w:ilvl="1" w:tplc="2E06E678">
      <w:start w:val="1"/>
      <w:numFmt w:val="bullet"/>
      <w:lvlText w:val="o"/>
      <w:lvlJc w:val="left"/>
      <w:pPr>
        <w:ind w:left="1361" w:hanging="281"/>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47FC9"/>
    <w:multiLevelType w:val="hybridMultilevel"/>
    <w:tmpl w:val="475034F0"/>
    <w:lvl w:ilvl="0" w:tplc="0C090003">
      <w:start w:val="1"/>
      <w:numFmt w:val="bullet"/>
      <w:lvlText w:val="o"/>
      <w:lvlJc w:val="left"/>
      <w:pPr>
        <w:ind w:left="720" w:hanging="360"/>
      </w:pPr>
      <w:rPr>
        <w:rFonts w:ascii="Courier New" w:hAnsi="Courier New" w:cs="Courier New" w:hint="default"/>
      </w:rPr>
    </w:lvl>
    <w:lvl w:ilvl="1" w:tplc="2E06E678">
      <w:start w:val="1"/>
      <w:numFmt w:val="bullet"/>
      <w:lvlText w:val="o"/>
      <w:lvlJc w:val="left"/>
      <w:pPr>
        <w:ind w:left="1361" w:hanging="281"/>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2C190A"/>
    <w:multiLevelType w:val="hybridMultilevel"/>
    <w:tmpl w:val="8186538A"/>
    <w:lvl w:ilvl="0" w:tplc="0C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964C1"/>
    <w:multiLevelType w:val="multilevel"/>
    <w:tmpl w:val="0C70AB0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D35AC6"/>
    <w:multiLevelType w:val="hybridMultilevel"/>
    <w:tmpl w:val="6262A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095303"/>
    <w:multiLevelType w:val="hybridMultilevel"/>
    <w:tmpl w:val="B6A21B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D92ED6"/>
    <w:multiLevelType w:val="hybridMultilevel"/>
    <w:tmpl w:val="0B4A8D3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D4761F"/>
    <w:multiLevelType w:val="hybridMultilevel"/>
    <w:tmpl w:val="C442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C0F54"/>
    <w:multiLevelType w:val="hybridMultilevel"/>
    <w:tmpl w:val="862A88F0"/>
    <w:lvl w:ilvl="0" w:tplc="42E01100">
      <w:start w:val="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C34E2"/>
    <w:multiLevelType w:val="hybridMultilevel"/>
    <w:tmpl w:val="380EC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841CF8"/>
    <w:multiLevelType w:val="multilevel"/>
    <w:tmpl w:val="189EA32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A50391"/>
    <w:multiLevelType w:val="hybridMultilevel"/>
    <w:tmpl w:val="6700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E226EE"/>
    <w:multiLevelType w:val="hybridMultilevel"/>
    <w:tmpl w:val="7A50B8A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8" w15:restartNumberingAfterBreak="0">
    <w:nsid w:val="43125264"/>
    <w:multiLevelType w:val="multilevel"/>
    <w:tmpl w:val="1A42C3A4"/>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0A0561"/>
    <w:multiLevelType w:val="multilevel"/>
    <w:tmpl w:val="0C70AB0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F0597"/>
    <w:multiLevelType w:val="hybridMultilevel"/>
    <w:tmpl w:val="4FC00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7972D6"/>
    <w:multiLevelType w:val="multilevel"/>
    <w:tmpl w:val="0C70AB0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384165"/>
    <w:multiLevelType w:val="hybridMultilevel"/>
    <w:tmpl w:val="03BE0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FC7327B"/>
    <w:multiLevelType w:val="hybridMultilevel"/>
    <w:tmpl w:val="C25E3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213DB"/>
    <w:multiLevelType w:val="hybridMultilevel"/>
    <w:tmpl w:val="F782C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7F2F85"/>
    <w:multiLevelType w:val="hybridMultilevel"/>
    <w:tmpl w:val="6598F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171FE"/>
    <w:multiLevelType w:val="hybridMultilevel"/>
    <w:tmpl w:val="DB8C20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1" w15:restartNumberingAfterBreak="0">
    <w:nsid w:val="6AD12657"/>
    <w:multiLevelType w:val="hybridMultilevel"/>
    <w:tmpl w:val="1D0836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E7A13D2"/>
    <w:multiLevelType w:val="hybridMultilevel"/>
    <w:tmpl w:val="37F8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4D033C"/>
    <w:multiLevelType w:val="multilevel"/>
    <w:tmpl w:val="283AC72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DD5323"/>
    <w:multiLevelType w:val="hybridMultilevel"/>
    <w:tmpl w:val="2AFA24DA"/>
    <w:lvl w:ilvl="0" w:tplc="4CE8CDB8">
      <w:start w:val="1"/>
      <w:numFmt w:val="bullet"/>
      <w:pStyle w:val="Bullets"/>
      <w:lvlText w:val=""/>
      <w:lvlJc w:val="left"/>
      <w:pPr>
        <w:ind w:left="720" w:hanging="360"/>
      </w:pPr>
      <w:rPr>
        <w:rFonts w:ascii="Symbol" w:hAnsi="Symbol" w:hint="default"/>
      </w:rPr>
    </w:lvl>
    <w:lvl w:ilvl="1" w:tplc="0C090003">
      <w:start w:val="1"/>
      <w:numFmt w:val="bullet"/>
      <w:pStyle w:val="Bullets-2ndlvl"/>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2A3A94"/>
    <w:multiLevelType w:val="hybridMultilevel"/>
    <w:tmpl w:val="1FD0F10A"/>
    <w:lvl w:ilvl="0" w:tplc="0C090001">
      <w:start w:val="1"/>
      <w:numFmt w:val="bullet"/>
      <w:lvlText w:val=""/>
      <w:lvlJc w:val="left"/>
      <w:pPr>
        <w:ind w:left="378" w:hanging="360"/>
      </w:pPr>
      <w:rPr>
        <w:rFonts w:ascii="Symbol" w:hAnsi="Symbol" w:hint="default"/>
      </w:rPr>
    </w:lvl>
    <w:lvl w:ilvl="1" w:tplc="0C090003" w:tentative="1">
      <w:start w:val="1"/>
      <w:numFmt w:val="bullet"/>
      <w:lvlText w:val="o"/>
      <w:lvlJc w:val="left"/>
      <w:pPr>
        <w:ind w:left="1098" w:hanging="360"/>
      </w:pPr>
      <w:rPr>
        <w:rFonts w:ascii="Courier New" w:hAnsi="Courier New" w:cs="Courier New" w:hint="default"/>
      </w:rPr>
    </w:lvl>
    <w:lvl w:ilvl="2" w:tplc="0C090005" w:tentative="1">
      <w:start w:val="1"/>
      <w:numFmt w:val="bullet"/>
      <w:lvlText w:val=""/>
      <w:lvlJc w:val="left"/>
      <w:pPr>
        <w:ind w:left="1818" w:hanging="360"/>
      </w:pPr>
      <w:rPr>
        <w:rFonts w:ascii="Wingdings" w:hAnsi="Wingdings" w:hint="default"/>
      </w:rPr>
    </w:lvl>
    <w:lvl w:ilvl="3" w:tplc="0C090001" w:tentative="1">
      <w:start w:val="1"/>
      <w:numFmt w:val="bullet"/>
      <w:lvlText w:val=""/>
      <w:lvlJc w:val="left"/>
      <w:pPr>
        <w:ind w:left="2538" w:hanging="360"/>
      </w:pPr>
      <w:rPr>
        <w:rFonts w:ascii="Symbol" w:hAnsi="Symbol" w:hint="default"/>
      </w:rPr>
    </w:lvl>
    <w:lvl w:ilvl="4" w:tplc="0C090003" w:tentative="1">
      <w:start w:val="1"/>
      <w:numFmt w:val="bullet"/>
      <w:lvlText w:val="o"/>
      <w:lvlJc w:val="left"/>
      <w:pPr>
        <w:ind w:left="3258" w:hanging="360"/>
      </w:pPr>
      <w:rPr>
        <w:rFonts w:ascii="Courier New" w:hAnsi="Courier New" w:cs="Courier New" w:hint="default"/>
      </w:rPr>
    </w:lvl>
    <w:lvl w:ilvl="5" w:tplc="0C090005" w:tentative="1">
      <w:start w:val="1"/>
      <w:numFmt w:val="bullet"/>
      <w:lvlText w:val=""/>
      <w:lvlJc w:val="left"/>
      <w:pPr>
        <w:ind w:left="3978" w:hanging="360"/>
      </w:pPr>
      <w:rPr>
        <w:rFonts w:ascii="Wingdings" w:hAnsi="Wingdings" w:hint="default"/>
      </w:rPr>
    </w:lvl>
    <w:lvl w:ilvl="6" w:tplc="0C090001" w:tentative="1">
      <w:start w:val="1"/>
      <w:numFmt w:val="bullet"/>
      <w:lvlText w:val=""/>
      <w:lvlJc w:val="left"/>
      <w:pPr>
        <w:ind w:left="4698" w:hanging="360"/>
      </w:pPr>
      <w:rPr>
        <w:rFonts w:ascii="Symbol" w:hAnsi="Symbol" w:hint="default"/>
      </w:rPr>
    </w:lvl>
    <w:lvl w:ilvl="7" w:tplc="0C090003" w:tentative="1">
      <w:start w:val="1"/>
      <w:numFmt w:val="bullet"/>
      <w:lvlText w:val="o"/>
      <w:lvlJc w:val="left"/>
      <w:pPr>
        <w:ind w:left="5418" w:hanging="360"/>
      </w:pPr>
      <w:rPr>
        <w:rFonts w:ascii="Courier New" w:hAnsi="Courier New" w:cs="Courier New" w:hint="default"/>
      </w:rPr>
    </w:lvl>
    <w:lvl w:ilvl="8" w:tplc="0C090005" w:tentative="1">
      <w:start w:val="1"/>
      <w:numFmt w:val="bullet"/>
      <w:lvlText w:val=""/>
      <w:lvlJc w:val="left"/>
      <w:pPr>
        <w:ind w:left="6138" w:hanging="360"/>
      </w:pPr>
      <w:rPr>
        <w:rFonts w:ascii="Wingdings" w:hAnsi="Wingdings" w:hint="default"/>
      </w:rPr>
    </w:lvl>
  </w:abstractNum>
  <w:num w:numId="1">
    <w:abstractNumId w:val="33"/>
  </w:num>
  <w:num w:numId="2">
    <w:abstractNumId w:val="20"/>
  </w:num>
  <w:num w:numId="3">
    <w:abstractNumId w:val="2"/>
  </w:num>
  <w:num w:numId="4">
    <w:abstractNumId w:val="34"/>
  </w:num>
  <w:num w:numId="5">
    <w:abstractNumId w:val="9"/>
  </w:num>
  <w:num w:numId="6">
    <w:abstractNumId w:val="23"/>
  </w:num>
  <w:num w:numId="7">
    <w:abstractNumId w:val="16"/>
  </w:num>
  <w:num w:numId="8">
    <w:abstractNumId w:val="2"/>
  </w:num>
  <w:num w:numId="9">
    <w:abstractNumId w:val="35"/>
  </w:num>
  <w:num w:numId="10">
    <w:abstractNumId w:val="1"/>
  </w:num>
  <w:num w:numId="11">
    <w:abstractNumId w:val="6"/>
  </w:num>
  <w:num w:numId="12">
    <w:abstractNumId w:val="4"/>
  </w:num>
  <w:num w:numId="13">
    <w:abstractNumId w:val="10"/>
  </w:num>
  <w:num w:numId="14">
    <w:abstractNumId w:val="31"/>
  </w:num>
  <w:num w:numId="15">
    <w:abstractNumId w:val="29"/>
  </w:num>
  <w:num w:numId="16">
    <w:abstractNumId w:val="13"/>
  </w:num>
  <w:num w:numId="17">
    <w:abstractNumId w:val="15"/>
  </w:num>
  <w:num w:numId="18">
    <w:abstractNumId w:val="12"/>
  </w:num>
  <w:num w:numId="19">
    <w:abstractNumId w:val="27"/>
  </w:num>
  <w:num w:numId="20">
    <w:abstractNumId w:val="28"/>
  </w:num>
  <w:num w:numId="21">
    <w:abstractNumId w:val="21"/>
  </w:num>
  <w:num w:numId="22">
    <w:abstractNumId w:val="24"/>
  </w:num>
  <w:num w:numId="23">
    <w:abstractNumId w:val="25"/>
  </w:num>
  <w:num w:numId="24">
    <w:abstractNumId w:val="5"/>
  </w:num>
  <w:num w:numId="25">
    <w:abstractNumId w:val="0"/>
  </w:num>
  <w:num w:numId="26">
    <w:abstractNumId w:val="11"/>
  </w:num>
  <w:num w:numId="27">
    <w:abstractNumId w:val="8"/>
  </w:num>
  <w:num w:numId="28">
    <w:abstractNumId w:val="14"/>
  </w:num>
  <w:num w:numId="29">
    <w:abstractNumId w:val="7"/>
  </w:num>
  <w:num w:numId="30">
    <w:abstractNumId w:val="19"/>
  </w:num>
  <w:num w:numId="31">
    <w:abstractNumId w:val="22"/>
  </w:num>
  <w:num w:numId="32">
    <w:abstractNumId w:val="18"/>
  </w:num>
  <w:num w:numId="33">
    <w:abstractNumId w:val="17"/>
  </w:num>
  <w:num w:numId="34">
    <w:abstractNumId w:val="32"/>
  </w:num>
  <w:num w:numId="35">
    <w:abstractNumId w:val="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6"/>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te0psahzaw9uedrptx2wtkept0pwt0dazt&quot;&gt;Melanoma&lt;record-ids&gt;&lt;item&gt;1&lt;/item&gt;&lt;item&gt;2&lt;/item&gt;&lt;item&gt;3&lt;/item&gt;&lt;item&gt;8&lt;/item&gt;&lt;item&gt;12&lt;/item&gt;&lt;item&gt;40&lt;/item&gt;&lt;item&gt;42&lt;/item&gt;&lt;item&gt;57&lt;/item&gt;&lt;item&gt;153&lt;/item&gt;&lt;item&gt;155&lt;/item&gt;&lt;item&gt;156&lt;/item&gt;&lt;item&gt;157&lt;/item&gt;&lt;item&gt;158&lt;/item&gt;&lt;item&gt;159&lt;/item&gt;&lt;item&gt;160&lt;/item&gt;&lt;item&gt;163&lt;/item&gt;&lt;item&gt;164&lt;/item&gt;&lt;item&gt;165&lt;/item&gt;&lt;item&gt;166&lt;/item&gt;&lt;item&gt;167&lt;/item&gt;&lt;item&gt;169&lt;/item&gt;&lt;item&gt;170&lt;/item&gt;&lt;item&gt;172&lt;/item&gt;&lt;item&gt;173&lt;/item&gt;&lt;/record-ids&gt;&lt;/item&gt;&lt;/Libraries&gt;"/>
  </w:docVars>
  <w:rsids>
    <w:rsidRoot w:val="00E65E79"/>
    <w:rsid w:val="00000790"/>
    <w:rsid w:val="0000110B"/>
    <w:rsid w:val="00001192"/>
    <w:rsid w:val="000012AF"/>
    <w:rsid w:val="00001668"/>
    <w:rsid w:val="00001E89"/>
    <w:rsid w:val="00002440"/>
    <w:rsid w:val="00002BE8"/>
    <w:rsid w:val="00003499"/>
    <w:rsid w:val="000039B7"/>
    <w:rsid w:val="00003EAA"/>
    <w:rsid w:val="000048D5"/>
    <w:rsid w:val="00004D33"/>
    <w:rsid w:val="00006A4D"/>
    <w:rsid w:val="000100EF"/>
    <w:rsid w:val="00010BEE"/>
    <w:rsid w:val="00010E5C"/>
    <w:rsid w:val="0001122E"/>
    <w:rsid w:val="0001149B"/>
    <w:rsid w:val="00012AC7"/>
    <w:rsid w:val="00013247"/>
    <w:rsid w:val="00013680"/>
    <w:rsid w:val="00013C16"/>
    <w:rsid w:val="000141DE"/>
    <w:rsid w:val="00014BC1"/>
    <w:rsid w:val="00015886"/>
    <w:rsid w:val="00015E01"/>
    <w:rsid w:val="000162EF"/>
    <w:rsid w:val="000167B7"/>
    <w:rsid w:val="00016B9E"/>
    <w:rsid w:val="00021032"/>
    <w:rsid w:val="0002225F"/>
    <w:rsid w:val="0002275B"/>
    <w:rsid w:val="000227FC"/>
    <w:rsid w:val="0002286E"/>
    <w:rsid w:val="00022B48"/>
    <w:rsid w:val="00023763"/>
    <w:rsid w:val="0002471D"/>
    <w:rsid w:val="00024FBB"/>
    <w:rsid w:val="00026491"/>
    <w:rsid w:val="00027604"/>
    <w:rsid w:val="000302A6"/>
    <w:rsid w:val="000305C1"/>
    <w:rsid w:val="0003067B"/>
    <w:rsid w:val="000310C1"/>
    <w:rsid w:val="000321BC"/>
    <w:rsid w:val="000322D2"/>
    <w:rsid w:val="00033863"/>
    <w:rsid w:val="00035DC0"/>
    <w:rsid w:val="00036829"/>
    <w:rsid w:val="00036F60"/>
    <w:rsid w:val="000374C2"/>
    <w:rsid w:val="00037517"/>
    <w:rsid w:val="0003758C"/>
    <w:rsid w:val="00040895"/>
    <w:rsid w:val="00040B35"/>
    <w:rsid w:val="00040B80"/>
    <w:rsid w:val="00041152"/>
    <w:rsid w:val="00042504"/>
    <w:rsid w:val="0004307A"/>
    <w:rsid w:val="00043848"/>
    <w:rsid w:val="00043C37"/>
    <w:rsid w:val="00044308"/>
    <w:rsid w:val="00044A07"/>
    <w:rsid w:val="00044CA2"/>
    <w:rsid w:val="00044D8E"/>
    <w:rsid w:val="00045017"/>
    <w:rsid w:val="00045A2B"/>
    <w:rsid w:val="00045F25"/>
    <w:rsid w:val="000462F0"/>
    <w:rsid w:val="0004698F"/>
    <w:rsid w:val="0004703A"/>
    <w:rsid w:val="00051439"/>
    <w:rsid w:val="0005153D"/>
    <w:rsid w:val="00051F59"/>
    <w:rsid w:val="00053722"/>
    <w:rsid w:val="000539D0"/>
    <w:rsid w:val="00053D60"/>
    <w:rsid w:val="000542D6"/>
    <w:rsid w:val="0005450F"/>
    <w:rsid w:val="00054621"/>
    <w:rsid w:val="000546D7"/>
    <w:rsid w:val="00054AB9"/>
    <w:rsid w:val="00056338"/>
    <w:rsid w:val="0005753C"/>
    <w:rsid w:val="000613C4"/>
    <w:rsid w:val="0006257C"/>
    <w:rsid w:val="00062A8A"/>
    <w:rsid w:val="00063F3E"/>
    <w:rsid w:val="000642A5"/>
    <w:rsid w:val="00064CCF"/>
    <w:rsid w:val="000654E5"/>
    <w:rsid w:val="00065527"/>
    <w:rsid w:val="0006582D"/>
    <w:rsid w:val="00065C90"/>
    <w:rsid w:val="00066360"/>
    <w:rsid w:val="000665DD"/>
    <w:rsid w:val="00066F82"/>
    <w:rsid w:val="00067D14"/>
    <w:rsid w:val="00071248"/>
    <w:rsid w:val="000720B9"/>
    <w:rsid w:val="00072BD5"/>
    <w:rsid w:val="000737F7"/>
    <w:rsid w:val="00073EA2"/>
    <w:rsid w:val="00074FAD"/>
    <w:rsid w:val="00075272"/>
    <w:rsid w:val="00075CB5"/>
    <w:rsid w:val="0007672F"/>
    <w:rsid w:val="00076855"/>
    <w:rsid w:val="00076A26"/>
    <w:rsid w:val="00077368"/>
    <w:rsid w:val="000774F0"/>
    <w:rsid w:val="00080732"/>
    <w:rsid w:val="00080909"/>
    <w:rsid w:val="000812CA"/>
    <w:rsid w:val="0008167B"/>
    <w:rsid w:val="00081D09"/>
    <w:rsid w:val="00081D12"/>
    <w:rsid w:val="0008258D"/>
    <w:rsid w:val="00083E99"/>
    <w:rsid w:val="0008404B"/>
    <w:rsid w:val="000856C5"/>
    <w:rsid w:val="0008620E"/>
    <w:rsid w:val="00086F8A"/>
    <w:rsid w:val="000877E9"/>
    <w:rsid w:val="00090488"/>
    <w:rsid w:val="00090C7E"/>
    <w:rsid w:val="00090CDE"/>
    <w:rsid w:val="00091064"/>
    <w:rsid w:val="0009252E"/>
    <w:rsid w:val="00092600"/>
    <w:rsid w:val="0009262B"/>
    <w:rsid w:val="00093310"/>
    <w:rsid w:val="0009445C"/>
    <w:rsid w:val="00094E52"/>
    <w:rsid w:val="00095950"/>
    <w:rsid w:val="00095FE5"/>
    <w:rsid w:val="0009614B"/>
    <w:rsid w:val="00096284"/>
    <w:rsid w:val="00096C54"/>
    <w:rsid w:val="00096FAC"/>
    <w:rsid w:val="0009749F"/>
    <w:rsid w:val="00097584"/>
    <w:rsid w:val="000A0582"/>
    <w:rsid w:val="000A15BB"/>
    <w:rsid w:val="000A1EA5"/>
    <w:rsid w:val="000A2273"/>
    <w:rsid w:val="000A25B4"/>
    <w:rsid w:val="000A2803"/>
    <w:rsid w:val="000A39CE"/>
    <w:rsid w:val="000A3B0F"/>
    <w:rsid w:val="000A6826"/>
    <w:rsid w:val="000A7D08"/>
    <w:rsid w:val="000B04DF"/>
    <w:rsid w:val="000B05E6"/>
    <w:rsid w:val="000B0670"/>
    <w:rsid w:val="000B0E75"/>
    <w:rsid w:val="000B13B5"/>
    <w:rsid w:val="000B1EB3"/>
    <w:rsid w:val="000B26E7"/>
    <w:rsid w:val="000B63F0"/>
    <w:rsid w:val="000B6CAC"/>
    <w:rsid w:val="000B6DC6"/>
    <w:rsid w:val="000B7192"/>
    <w:rsid w:val="000B73A6"/>
    <w:rsid w:val="000B7612"/>
    <w:rsid w:val="000B7DD1"/>
    <w:rsid w:val="000C0A90"/>
    <w:rsid w:val="000C142C"/>
    <w:rsid w:val="000C16C8"/>
    <w:rsid w:val="000C1BC9"/>
    <w:rsid w:val="000C2454"/>
    <w:rsid w:val="000C3B3E"/>
    <w:rsid w:val="000C3DF9"/>
    <w:rsid w:val="000C43DF"/>
    <w:rsid w:val="000C467A"/>
    <w:rsid w:val="000C54C7"/>
    <w:rsid w:val="000C554A"/>
    <w:rsid w:val="000C5EDC"/>
    <w:rsid w:val="000C5FC6"/>
    <w:rsid w:val="000C6713"/>
    <w:rsid w:val="000D0A63"/>
    <w:rsid w:val="000D10C1"/>
    <w:rsid w:val="000D11F7"/>
    <w:rsid w:val="000D1BFC"/>
    <w:rsid w:val="000D1FDD"/>
    <w:rsid w:val="000D281A"/>
    <w:rsid w:val="000D2E82"/>
    <w:rsid w:val="000D326A"/>
    <w:rsid w:val="000D3A88"/>
    <w:rsid w:val="000D46B3"/>
    <w:rsid w:val="000D51FB"/>
    <w:rsid w:val="000D61D3"/>
    <w:rsid w:val="000D78DD"/>
    <w:rsid w:val="000E05F6"/>
    <w:rsid w:val="000E0B3C"/>
    <w:rsid w:val="000E10FF"/>
    <w:rsid w:val="000E115A"/>
    <w:rsid w:val="000E135D"/>
    <w:rsid w:val="000E13D4"/>
    <w:rsid w:val="000E2BF5"/>
    <w:rsid w:val="000E3040"/>
    <w:rsid w:val="000E3333"/>
    <w:rsid w:val="000E39F5"/>
    <w:rsid w:val="000E4BB9"/>
    <w:rsid w:val="000E4D95"/>
    <w:rsid w:val="000E517B"/>
    <w:rsid w:val="000E667F"/>
    <w:rsid w:val="000E743B"/>
    <w:rsid w:val="000E7C11"/>
    <w:rsid w:val="000F00BA"/>
    <w:rsid w:val="000F08FC"/>
    <w:rsid w:val="000F19EA"/>
    <w:rsid w:val="000F316A"/>
    <w:rsid w:val="000F31A5"/>
    <w:rsid w:val="000F3C74"/>
    <w:rsid w:val="000F47F5"/>
    <w:rsid w:val="000F4BB8"/>
    <w:rsid w:val="000F6BCF"/>
    <w:rsid w:val="000F7127"/>
    <w:rsid w:val="000F795A"/>
    <w:rsid w:val="000F797B"/>
    <w:rsid w:val="000F7DE1"/>
    <w:rsid w:val="00100F8A"/>
    <w:rsid w:val="00101AF2"/>
    <w:rsid w:val="00102C5A"/>
    <w:rsid w:val="00102DEC"/>
    <w:rsid w:val="0010300D"/>
    <w:rsid w:val="00104D43"/>
    <w:rsid w:val="00105AE2"/>
    <w:rsid w:val="00105E98"/>
    <w:rsid w:val="00106B80"/>
    <w:rsid w:val="001070A7"/>
    <w:rsid w:val="00107168"/>
    <w:rsid w:val="00107A25"/>
    <w:rsid w:val="0011032E"/>
    <w:rsid w:val="00110B64"/>
    <w:rsid w:val="00111976"/>
    <w:rsid w:val="001128A8"/>
    <w:rsid w:val="0011348B"/>
    <w:rsid w:val="001140CB"/>
    <w:rsid w:val="00114AD2"/>
    <w:rsid w:val="001155E4"/>
    <w:rsid w:val="00115982"/>
    <w:rsid w:val="001161DF"/>
    <w:rsid w:val="00116C53"/>
    <w:rsid w:val="001174FF"/>
    <w:rsid w:val="0011772D"/>
    <w:rsid w:val="00117F74"/>
    <w:rsid w:val="0012006B"/>
    <w:rsid w:val="001203FB"/>
    <w:rsid w:val="00120513"/>
    <w:rsid w:val="00121799"/>
    <w:rsid w:val="001218CF"/>
    <w:rsid w:val="00121F95"/>
    <w:rsid w:val="001222FC"/>
    <w:rsid w:val="0012254A"/>
    <w:rsid w:val="0012443C"/>
    <w:rsid w:val="00124A51"/>
    <w:rsid w:val="00125DE3"/>
    <w:rsid w:val="00126621"/>
    <w:rsid w:val="00127B60"/>
    <w:rsid w:val="001301E9"/>
    <w:rsid w:val="001314A4"/>
    <w:rsid w:val="00131CD8"/>
    <w:rsid w:val="00131D82"/>
    <w:rsid w:val="001337D5"/>
    <w:rsid w:val="00133D36"/>
    <w:rsid w:val="00133D62"/>
    <w:rsid w:val="0013477C"/>
    <w:rsid w:val="00135AAE"/>
    <w:rsid w:val="00135CEA"/>
    <w:rsid w:val="00137645"/>
    <w:rsid w:val="00140126"/>
    <w:rsid w:val="0014015A"/>
    <w:rsid w:val="00140E99"/>
    <w:rsid w:val="001412CF"/>
    <w:rsid w:val="001421FF"/>
    <w:rsid w:val="00142408"/>
    <w:rsid w:val="00142E3C"/>
    <w:rsid w:val="00143412"/>
    <w:rsid w:val="001435A8"/>
    <w:rsid w:val="00145540"/>
    <w:rsid w:val="001456B0"/>
    <w:rsid w:val="00146401"/>
    <w:rsid w:val="00151332"/>
    <w:rsid w:val="00151620"/>
    <w:rsid w:val="001522DE"/>
    <w:rsid w:val="0015303F"/>
    <w:rsid w:val="00154A5F"/>
    <w:rsid w:val="001556C8"/>
    <w:rsid w:val="0015589B"/>
    <w:rsid w:val="001567CA"/>
    <w:rsid w:val="00156E63"/>
    <w:rsid w:val="001570F3"/>
    <w:rsid w:val="00157130"/>
    <w:rsid w:val="001576B1"/>
    <w:rsid w:val="0015778C"/>
    <w:rsid w:val="00160A4C"/>
    <w:rsid w:val="0016117F"/>
    <w:rsid w:val="001613B0"/>
    <w:rsid w:val="00162913"/>
    <w:rsid w:val="00162CA1"/>
    <w:rsid w:val="001634FF"/>
    <w:rsid w:val="00163EFF"/>
    <w:rsid w:val="00164A74"/>
    <w:rsid w:val="00164CF7"/>
    <w:rsid w:val="00165CF2"/>
    <w:rsid w:val="001661FB"/>
    <w:rsid w:val="00166D4C"/>
    <w:rsid w:val="00167192"/>
    <w:rsid w:val="001671BF"/>
    <w:rsid w:val="00167B2B"/>
    <w:rsid w:val="00167CD5"/>
    <w:rsid w:val="00170623"/>
    <w:rsid w:val="00170A85"/>
    <w:rsid w:val="00173565"/>
    <w:rsid w:val="00173B07"/>
    <w:rsid w:val="00174528"/>
    <w:rsid w:val="00174E62"/>
    <w:rsid w:val="00175A16"/>
    <w:rsid w:val="00176694"/>
    <w:rsid w:val="00176A34"/>
    <w:rsid w:val="001770A0"/>
    <w:rsid w:val="00177E5B"/>
    <w:rsid w:val="00180EE4"/>
    <w:rsid w:val="001811B0"/>
    <w:rsid w:val="00181ACA"/>
    <w:rsid w:val="00181D9C"/>
    <w:rsid w:val="0018204C"/>
    <w:rsid w:val="00182170"/>
    <w:rsid w:val="00182681"/>
    <w:rsid w:val="00182F2B"/>
    <w:rsid w:val="00182F3D"/>
    <w:rsid w:val="00183A3B"/>
    <w:rsid w:val="001842D1"/>
    <w:rsid w:val="001856DB"/>
    <w:rsid w:val="0018752F"/>
    <w:rsid w:val="00187676"/>
    <w:rsid w:val="00187AC8"/>
    <w:rsid w:val="00187FA3"/>
    <w:rsid w:val="00190C60"/>
    <w:rsid w:val="00192A52"/>
    <w:rsid w:val="00192A8F"/>
    <w:rsid w:val="00192B67"/>
    <w:rsid w:val="00193713"/>
    <w:rsid w:val="00193890"/>
    <w:rsid w:val="001947C1"/>
    <w:rsid w:val="00194838"/>
    <w:rsid w:val="00195222"/>
    <w:rsid w:val="0019561A"/>
    <w:rsid w:val="0019595D"/>
    <w:rsid w:val="00195BFE"/>
    <w:rsid w:val="001960B7"/>
    <w:rsid w:val="0019621D"/>
    <w:rsid w:val="0019649C"/>
    <w:rsid w:val="001968CE"/>
    <w:rsid w:val="00196ADF"/>
    <w:rsid w:val="001972CE"/>
    <w:rsid w:val="001975D8"/>
    <w:rsid w:val="00197F6F"/>
    <w:rsid w:val="001A06C1"/>
    <w:rsid w:val="001A07BC"/>
    <w:rsid w:val="001A0A83"/>
    <w:rsid w:val="001A1DD7"/>
    <w:rsid w:val="001A37D8"/>
    <w:rsid w:val="001A3D51"/>
    <w:rsid w:val="001A43FA"/>
    <w:rsid w:val="001A59FB"/>
    <w:rsid w:val="001A6354"/>
    <w:rsid w:val="001A682D"/>
    <w:rsid w:val="001A6909"/>
    <w:rsid w:val="001A7AE8"/>
    <w:rsid w:val="001B0808"/>
    <w:rsid w:val="001B204E"/>
    <w:rsid w:val="001B2FDD"/>
    <w:rsid w:val="001B3443"/>
    <w:rsid w:val="001B371B"/>
    <w:rsid w:val="001B3732"/>
    <w:rsid w:val="001B4806"/>
    <w:rsid w:val="001B4B3F"/>
    <w:rsid w:val="001B4D20"/>
    <w:rsid w:val="001B6240"/>
    <w:rsid w:val="001B7844"/>
    <w:rsid w:val="001B7892"/>
    <w:rsid w:val="001C076B"/>
    <w:rsid w:val="001C1517"/>
    <w:rsid w:val="001C19A6"/>
    <w:rsid w:val="001C2036"/>
    <w:rsid w:val="001C29C7"/>
    <w:rsid w:val="001C2A9B"/>
    <w:rsid w:val="001C3421"/>
    <w:rsid w:val="001C4286"/>
    <w:rsid w:val="001C4299"/>
    <w:rsid w:val="001C5132"/>
    <w:rsid w:val="001C52FF"/>
    <w:rsid w:val="001C5F94"/>
    <w:rsid w:val="001C6607"/>
    <w:rsid w:val="001C6E66"/>
    <w:rsid w:val="001C7883"/>
    <w:rsid w:val="001D133E"/>
    <w:rsid w:val="001D2DD8"/>
    <w:rsid w:val="001D4301"/>
    <w:rsid w:val="001D481F"/>
    <w:rsid w:val="001D597E"/>
    <w:rsid w:val="001D65B3"/>
    <w:rsid w:val="001D749C"/>
    <w:rsid w:val="001D7C1D"/>
    <w:rsid w:val="001E117A"/>
    <w:rsid w:val="001E12CD"/>
    <w:rsid w:val="001E1955"/>
    <w:rsid w:val="001E1C7C"/>
    <w:rsid w:val="001E238E"/>
    <w:rsid w:val="001E241C"/>
    <w:rsid w:val="001E2483"/>
    <w:rsid w:val="001E2B1E"/>
    <w:rsid w:val="001E2B94"/>
    <w:rsid w:val="001E2C50"/>
    <w:rsid w:val="001E30D4"/>
    <w:rsid w:val="001E4B28"/>
    <w:rsid w:val="001E52EB"/>
    <w:rsid w:val="001E581F"/>
    <w:rsid w:val="001E61D2"/>
    <w:rsid w:val="001E740C"/>
    <w:rsid w:val="001F0292"/>
    <w:rsid w:val="001F1235"/>
    <w:rsid w:val="001F1BA0"/>
    <w:rsid w:val="001F1CB3"/>
    <w:rsid w:val="001F248E"/>
    <w:rsid w:val="001F25E2"/>
    <w:rsid w:val="001F3348"/>
    <w:rsid w:val="001F38B5"/>
    <w:rsid w:val="001F408D"/>
    <w:rsid w:val="001F57D3"/>
    <w:rsid w:val="001F6258"/>
    <w:rsid w:val="001F6A56"/>
    <w:rsid w:val="001F7123"/>
    <w:rsid w:val="001F7361"/>
    <w:rsid w:val="001F739F"/>
    <w:rsid w:val="00201114"/>
    <w:rsid w:val="002011B0"/>
    <w:rsid w:val="0020132E"/>
    <w:rsid w:val="002023DB"/>
    <w:rsid w:val="00202700"/>
    <w:rsid w:val="00202842"/>
    <w:rsid w:val="00202D2C"/>
    <w:rsid w:val="00202FB0"/>
    <w:rsid w:val="00203181"/>
    <w:rsid w:val="00203783"/>
    <w:rsid w:val="0020385F"/>
    <w:rsid w:val="002042A5"/>
    <w:rsid w:val="00205FC0"/>
    <w:rsid w:val="00207021"/>
    <w:rsid w:val="0020732F"/>
    <w:rsid w:val="00207D00"/>
    <w:rsid w:val="002100AF"/>
    <w:rsid w:val="00210152"/>
    <w:rsid w:val="002105C1"/>
    <w:rsid w:val="00210B01"/>
    <w:rsid w:val="002115EE"/>
    <w:rsid w:val="00211FC8"/>
    <w:rsid w:val="002125F7"/>
    <w:rsid w:val="00212726"/>
    <w:rsid w:val="002129C9"/>
    <w:rsid w:val="00212B48"/>
    <w:rsid w:val="0021480F"/>
    <w:rsid w:val="00214F77"/>
    <w:rsid w:val="00216046"/>
    <w:rsid w:val="00216B48"/>
    <w:rsid w:val="00217FB4"/>
    <w:rsid w:val="00220B5C"/>
    <w:rsid w:val="00221271"/>
    <w:rsid w:val="00221289"/>
    <w:rsid w:val="00221667"/>
    <w:rsid w:val="00222E5B"/>
    <w:rsid w:val="002233AC"/>
    <w:rsid w:val="00223B49"/>
    <w:rsid w:val="00223D21"/>
    <w:rsid w:val="00224DD4"/>
    <w:rsid w:val="00225D74"/>
    <w:rsid w:val="00227C00"/>
    <w:rsid w:val="0023068E"/>
    <w:rsid w:val="002309CC"/>
    <w:rsid w:val="002315F3"/>
    <w:rsid w:val="00231880"/>
    <w:rsid w:val="0023209F"/>
    <w:rsid w:val="00232391"/>
    <w:rsid w:val="002333E2"/>
    <w:rsid w:val="002342B3"/>
    <w:rsid w:val="00234E5B"/>
    <w:rsid w:val="00235CE5"/>
    <w:rsid w:val="002361D5"/>
    <w:rsid w:val="0023629D"/>
    <w:rsid w:val="0023664E"/>
    <w:rsid w:val="0023674B"/>
    <w:rsid w:val="00236786"/>
    <w:rsid w:val="00236C63"/>
    <w:rsid w:val="00237255"/>
    <w:rsid w:val="0024130B"/>
    <w:rsid w:val="002424AF"/>
    <w:rsid w:val="00243046"/>
    <w:rsid w:val="002431A0"/>
    <w:rsid w:val="002434A2"/>
    <w:rsid w:val="0024398E"/>
    <w:rsid w:val="002439DC"/>
    <w:rsid w:val="00244D92"/>
    <w:rsid w:val="00244DC8"/>
    <w:rsid w:val="002458BA"/>
    <w:rsid w:val="00246061"/>
    <w:rsid w:val="0024636C"/>
    <w:rsid w:val="00246DE4"/>
    <w:rsid w:val="002473FA"/>
    <w:rsid w:val="00247925"/>
    <w:rsid w:val="002503AD"/>
    <w:rsid w:val="00250F87"/>
    <w:rsid w:val="00251A2A"/>
    <w:rsid w:val="0025202A"/>
    <w:rsid w:val="00252DC6"/>
    <w:rsid w:val="0025368D"/>
    <w:rsid w:val="00254DCF"/>
    <w:rsid w:val="00254F18"/>
    <w:rsid w:val="0025534B"/>
    <w:rsid w:val="00255BB7"/>
    <w:rsid w:val="00257541"/>
    <w:rsid w:val="00257DCF"/>
    <w:rsid w:val="002606B5"/>
    <w:rsid w:val="0026096F"/>
    <w:rsid w:val="002616D1"/>
    <w:rsid w:val="00262257"/>
    <w:rsid w:val="002626DF"/>
    <w:rsid w:val="002628F1"/>
    <w:rsid w:val="00262A1A"/>
    <w:rsid w:val="00262A87"/>
    <w:rsid w:val="002630D8"/>
    <w:rsid w:val="00263AB1"/>
    <w:rsid w:val="00263C68"/>
    <w:rsid w:val="00263E66"/>
    <w:rsid w:val="00264310"/>
    <w:rsid w:val="00264D26"/>
    <w:rsid w:val="00266997"/>
    <w:rsid w:val="00266B96"/>
    <w:rsid w:val="00267120"/>
    <w:rsid w:val="00267642"/>
    <w:rsid w:val="00267AEA"/>
    <w:rsid w:val="00267B02"/>
    <w:rsid w:val="00267BA2"/>
    <w:rsid w:val="002700E6"/>
    <w:rsid w:val="00270220"/>
    <w:rsid w:val="002704E2"/>
    <w:rsid w:val="00270DD3"/>
    <w:rsid w:val="0027101A"/>
    <w:rsid w:val="0027294B"/>
    <w:rsid w:val="00275C5A"/>
    <w:rsid w:val="00275FED"/>
    <w:rsid w:val="0027652A"/>
    <w:rsid w:val="002765E0"/>
    <w:rsid w:val="00277132"/>
    <w:rsid w:val="00277BB7"/>
    <w:rsid w:val="00281014"/>
    <w:rsid w:val="00281B30"/>
    <w:rsid w:val="00281FA9"/>
    <w:rsid w:val="00282BE0"/>
    <w:rsid w:val="00282D82"/>
    <w:rsid w:val="0028331D"/>
    <w:rsid w:val="002835C0"/>
    <w:rsid w:val="00283A4B"/>
    <w:rsid w:val="00283D62"/>
    <w:rsid w:val="00284A00"/>
    <w:rsid w:val="00284D66"/>
    <w:rsid w:val="0028521E"/>
    <w:rsid w:val="0028780F"/>
    <w:rsid w:val="00287B5F"/>
    <w:rsid w:val="00290875"/>
    <w:rsid w:val="00291B70"/>
    <w:rsid w:val="002930EF"/>
    <w:rsid w:val="00293186"/>
    <w:rsid w:val="002932DC"/>
    <w:rsid w:val="00293AB2"/>
    <w:rsid w:val="00294AF2"/>
    <w:rsid w:val="00295897"/>
    <w:rsid w:val="002959E7"/>
    <w:rsid w:val="002966AD"/>
    <w:rsid w:val="00297690"/>
    <w:rsid w:val="002A0B24"/>
    <w:rsid w:val="002A14AB"/>
    <w:rsid w:val="002A2577"/>
    <w:rsid w:val="002A2803"/>
    <w:rsid w:val="002A2F50"/>
    <w:rsid w:val="002A3959"/>
    <w:rsid w:val="002A3CDB"/>
    <w:rsid w:val="002A4452"/>
    <w:rsid w:val="002A44A8"/>
    <w:rsid w:val="002A47BF"/>
    <w:rsid w:val="002A6100"/>
    <w:rsid w:val="002A6223"/>
    <w:rsid w:val="002B02DD"/>
    <w:rsid w:val="002B09A4"/>
    <w:rsid w:val="002B13C0"/>
    <w:rsid w:val="002B1C1F"/>
    <w:rsid w:val="002B32AD"/>
    <w:rsid w:val="002B3E82"/>
    <w:rsid w:val="002B432F"/>
    <w:rsid w:val="002B4DEA"/>
    <w:rsid w:val="002B546C"/>
    <w:rsid w:val="002B5639"/>
    <w:rsid w:val="002B5E66"/>
    <w:rsid w:val="002B62B3"/>
    <w:rsid w:val="002B6754"/>
    <w:rsid w:val="002B6A1C"/>
    <w:rsid w:val="002B6CCE"/>
    <w:rsid w:val="002B755D"/>
    <w:rsid w:val="002B76FE"/>
    <w:rsid w:val="002B7B1A"/>
    <w:rsid w:val="002C0742"/>
    <w:rsid w:val="002C2510"/>
    <w:rsid w:val="002C2775"/>
    <w:rsid w:val="002C27C1"/>
    <w:rsid w:val="002C2BB3"/>
    <w:rsid w:val="002C4841"/>
    <w:rsid w:val="002C4A5A"/>
    <w:rsid w:val="002C5057"/>
    <w:rsid w:val="002C5099"/>
    <w:rsid w:val="002C52B7"/>
    <w:rsid w:val="002C5889"/>
    <w:rsid w:val="002C6DA2"/>
    <w:rsid w:val="002C71CE"/>
    <w:rsid w:val="002D02CC"/>
    <w:rsid w:val="002D1F01"/>
    <w:rsid w:val="002D3102"/>
    <w:rsid w:val="002D39F0"/>
    <w:rsid w:val="002D51E0"/>
    <w:rsid w:val="002D577C"/>
    <w:rsid w:val="002D5B0D"/>
    <w:rsid w:val="002D669B"/>
    <w:rsid w:val="002D75FA"/>
    <w:rsid w:val="002D79C8"/>
    <w:rsid w:val="002D7F5B"/>
    <w:rsid w:val="002E0297"/>
    <w:rsid w:val="002E036A"/>
    <w:rsid w:val="002E0681"/>
    <w:rsid w:val="002E15B9"/>
    <w:rsid w:val="002E2158"/>
    <w:rsid w:val="002E218C"/>
    <w:rsid w:val="002E3011"/>
    <w:rsid w:val="002E391A"/>
    <w:rsid w:val="002E3A4C"/>
    <w:rsid w:val="002E41A6"/>
    <w:rsid w:val="002E5751"/>
    <w:rsid w:val="002E5FAF"/>
    <w:rsid w:val="002E661B"/>
    <w:rsid w:val="002E7174"/>
    <w:rsid w:val="002E7722"/>
    <w:rsid w:val="002E782D"/>
    <w:rsid w:val="002F07BA"/>
    <w:rsid w:val="002F0DA9"/>
    <w:rsid w:val="002F1370"/>
    <w:rsid w:val="002F1D53"/>
    <w:rsid w:val="002F2005"/>
    <w:rsid w:val="002F28E6"/>
    <w:rsid w:val="002F418E"/>
    <w:rsid w:val="002F63F2"/>
    <w:rsid w:val="002F643C"/>
    <w:rsid w:val="002F71C0"/>
    <w:rsid w:val="0030076D"/>
    <w:rsid w:val="00300A98"/>
    <w:rsid w:val="00300EB5"/>
    <w:rsid w:val="00301017"/>
    <w:rsid w:val="0030155F"/>
    <w:rsid w:val="00301A46"/>
    <w:rsid w:val="00301AF4"/>
    <w:rsid w:val="00302477"/>
    <w:rsid w:val="003026F9"/>
    <w:rsid w:val="00302AD0"/>
    <w:rsid w:val="00303133"/>
    <w:rsid w:val="00303C95"/>
    <w:rsid w:val="003045EE"/>
    <w:rsid w:val="003048C3"/>
    <w:rsid w:val="003057E2"/>
    <w:rsid w:val="0030587B"/>
    <w:rsid w:val="00305E8E"/>
    <w:rsid w:val="00306575"/>
    <w:rsid w:val="00306D98"/>
    <w:rsid w:val="00306F6F"/>
    <w:rsid w:val="0030786C"/>
    <w:rsid w:val="0031031A"/>
    <w:rsid w:val="00310506"/>
    <w:rsid w:val="00310981"/>
    <w:rsid w:val="00311513"/>
    <w:rsid w:val="00314F71"/>
    <w:rsid w:val="00315498"/>
    <w:rsid w:val="00315B17"/>
    <w:rsid w:val="00317627"/>
    <w:rsid w:val="00317FC7"/>
    <w:rsid w:val="0032010E"/>
    <w:rsid w:val="003201C4"/>
    <w:rsid w:val="00320D1D"/>
    <w:rsid w:val="00321419"/>
    <w:rsid w:val="00322107"/>
    <w:rsid w:val="00322846"/>
    <w:rsid w:val="00322C06"/>
    <w:rsid w:val="00322D0B"/>
    <w:rsid w:val="00322D88"/>
    <w:rsid w:val="003241E5"/>
    <w:rsid w:val="00324B0B"/>
    <w:rsid w:val="003261CB"/>
    <w:rsid w:val="00326DA7"/>
    <w:rsid w:val="003270E4"/>
    <w:rsid w:val="0032711E"/>
    <w:rsid w:val="00327961"/>
    <w:rsid w:val="00327D81"/>
    <w:rsid w:val="003300BC"/>
    <w:rsid w:val="003302D0"/>
    <w:rsid w:val="0033032C"/>
    <w:rsid w:val="0033044A"/>
    <w:rsid w:val="00330F5C"/>
    <w:rsid w:val="0033211C"/>
    <w:rsid w:val="003333B0"/>
    <w:rsid w:val="00333E08"/>
    <w:rsid w:val="00334B98"/>
    <w:rsid w:val="003354FD"/>
    <w:rsid w:val="00335A58"/>
    <w:rsid w:val="00335AA4"/>
    <w:rsid w:val="003366C9"/>
    <w:rsid w:val="00336FC6"/>
    <w:rsid w:val="003371B0"/>
    <w:rsid w:val="00337E5E"/>
    <w:rsid w:val="00340DF1"/>
    <w:rsid w:val="00341299"/>
    <w:rsid w:val="00342651"/>
    <w:rsid w:val="00343FB6"/>
    <w:rsid w:val="0034412A"/>
    <w:rsid w:val="00345235"/>
    <w:rsid w:val="00345A32"/>
    <w:rsid w:val="00346595"/>
    <w:rsid w:val="0034699A"/>
    <w:rsid w:val="003472E5"/>
    <w:rsid w:val="00347C0B"/>
    <w:rsid w:val="003503E5"/>
    <w:rsid w:val="003517F9"/>
    <w:rsid w:val="00351A30"/>
    <w:rsid w:val="00353E44"/>
    <w:rsid w:val="0035473A"/>
    <w:rsid w:val="0035493A"/>
    <w:rsid w:val="0035620E"/>
    <w:rsid w:val="0035707E"/>
    <w:rsid w:val="0035773F"/>
    <w:rsid w:val="00357BA4"/>
    <w:rsid w:val="00360271"/>
    <w:rsid w:val="00360A1C"/>
    <w:rsid w:val="00361C57"/>
    <w:rsid w:val="003624C4"/>
    <w:rsid w:val="003626DC"/>
    <w:rsid w:val="00363738"/>
    <w:rsid w:val="00364271"/>
    <w:rsid w:val="00365455"/>
    <w:rsid w:val="003654AC"/>
    <w:rsid w:val="00367E68"/>
    <w:rsid w:val="003703D6"/>
    <w:rsid w:val="003707C3"/>
    <w:rsid w:val="003710CF"/>
    <w:rsid w:val="00371101"/>
    <w:rsid w:val="00372785"/>
    <w:rsid w:val="00373098"/>
    <w:rsid w:val="00373457"/>
    <w:rsid w:val="0037358A"/>
    <w:rsid w:val="00373765"/>
    <w:rsid w:val="00373DB8"/>
    <w:rsid w:val="003750F6"/>
    <w:rsid w:val="003751AD"/>
    <w:rsid w:val="003760FC"/>
    <w:rsid w:val="0038047B"/>
    <w:rsid w:val="00380F1C"/>
    <w:rsid w:val="00381F17"/>
    <w:rsid w:val="00382439"/>
    <w:rsid w:val="00382530"/>
    <w:rsid w:val="0038349C"/>
    <w:rsid w:val="0038365C"/>
    <w:rsid w:val="0038369B"/>
    <w:rsid w:val="003838E7"/>
    <w:rsid w:val="003839B0"/>
    <w:rsid w:val="00383B78"/>
    <w:rsid w:val="0038559D"/>
    <w:rsid w:val="003858AF"/>
    <w:rsid w:val="00385A07"/>
    <w:rsid w:val="00385A9D"/>
    <w:rsid w:val="0038636B"/>
    <w:rsid w:val="00386404"/>
    <w:rsid w:val="00386CE7"/>
    <w:rsid w:val="00387045"/>
    <w:rsid w:val="003900C8"/>
    <w:rsid w:val="0039010C"/>
    <w:rsid w:val="00390178"/>
    <w:rsid w:val="0039028B"/>
    <w:rsid w:val="003902B1"/>
    <w:rsid w:val="00390B22"/>
    <w:rsid w:val="00391B38"/>
    <w:rsid w:val="00391E46"/>
    <w:rsid w:val="0039247C"/>
    <w:rsid w:val="003939BF"/>
    <w:rsid w:val="00393DCC"/>
    <w:rsid w:val="0039459E"/>
    <w:rsid w:val="00394B72"/>
    <w:rsid w:val="0039664A"/>
    <w:rsid w:val="00396896"/>
    <w:rsid w:val="00396FD0"/>
    <w:rsid w:val="0039753F"/>
    <w:rsid w:val="003976A0"/>
    <w:rsid w:val="00397972"/>
    <w:rsid w:val="00397A2A"/>
    <w:rsid w:val="003A0406"/>
    <w:rsid w:val="003A14E7"/>
    <w:rsid w:val="003A16EB"/>
    <w:rsid w:val="003A1A7A"/>
    <w:rsid w:val="003A2392"/>
    <w:rsid w:val="003A2831"/>
    <w:rsid w:val="003A2D04"/>
    <w:rsid w:val="003A3ED1"/>
    <w:rsid w:val="003A4D80"/>
    <w:rsid w:val="003A62D4"/>
    <w:rsid w:val="003A64A6"/>
    <w:rsid w:val="003A7B2B"/>
    <w:rsid w:val="003B008D"/>
    <w:rsid w:val="003B0843"/>
    <w:rsid w:val="003B0A61"/>
    <w:rsid w:val="003B1391"/>
    <w:rsid w:val="003B3B19"/>
    <w:rsid w:val="003B3C23"/>
    <w:rsid w:val="003B43AD"/>
    <w:rsid w:val="003B49BE"/>
    <w:rsid w:val="003B4F26"/>
    <w:rsid w:val="003B55B5"/>
    <w:rsid w:val="003B5B61"/>
    <w:rsid w:val="003B6430"/>
    <w:rsid w:val="003B6E85"/>
    <w:rsid w:val="003C15A2"/>
    <w:rsid w:val="003C1654"/>
    <w:rsid w:val="003C19C2"/>
    <w:rsid w:val="003C1A0C"/>
    <w:rsid w:val="003C2937"/>
    <w:rsid w:val="003C34D7"/>
    <w:rsid w:val="003C3A81"/>
    <w:rsid w:val="003C3B17"/>
    <w:rsid w:val="003C49F5"/>
    <w:rsid w:val="003C5664"/>
    <w:rsid w:val="003C5BD2"/>
    <w:rsid w:val="003C7961"/>
    <w:rsid w:val="003C7D19"/>
    <w:rsid w:val="003D0D27"/>
    <w:rsid w:val="003D1828"/>
    <w:rsid w:val="003D1DE4"/>
    <w:rsid w:val="003D2422"/>
    <w:rsid w:val="003D30C4"/>
    <w:rsid w:val="003D37D8"/>
    <w:rsid w:val="003D39A1"/>
    <w:rsid w:val="003D3FBF"/>
    <w:rsid w:val="003D431D"/>
    <w:rsid w:val="003D4A30"/>
    <w:rsid w:val="003D5934"/>
    <w:rsid w:val="003D609B"/>
    <w:rsid w:val="003D6203"/>
    <w:rsid w:val="003D72EE"/>
    <w:rsid w:val="003D79BB"/>
    <w:rsid w:val="003D7C98"/>
    <w:rsid w:val="003E0543"/>
    <w:rsid w:val="003E08C4"/>
    <w:rsid w:val="003E0A09"/>
    <w:rsid w:val="003E0D2C"/>
    <w:rsid w:val="003E1D88"/>
    <w:rsid w:val="003E1DD4"/>
    <w:rsid w:val="003E3EE8"/>
    <w:rsid w:val="003E3EF9"/>
    <w:rsid w:val="003E4810"/>
    <w:rsid w:val="003E50AB"/>
    <w:rsid w:val="003E5660"/>
    <w:rsid w:val="003F05E9"/>
    <w:rsid w:val="003F17CF"/>
    <w:rsid w:val="003F200F"/>
    <w:rsid w:val="003F3BD3"/>
    <w:rsid w:val="003F4156"/>
    <w:rsid w:val="003F44FF"/>
    <w:rsid w:val="003F5FA4"/>
    <w:rsid w:val="003F62F6"/>
    <w:rsid w:val="003F6D56"/>
    <w:rsid w:val="003F7D01"/>
    <w:rsid w:val="004008BF"/>
    <w:rsid w:val="00400AC2"/>
    <w:rsid w:val="00400B29"/>
    <w:rsid w:val="00401A42"/>
    <w:rsid w:val="00401A89"/>
    <w:rsid w:val="00402E66"/>
    <w:rsid w:val="004039F3"/>
    <w:rsid w:val="004047EE"/>
    <w:rsid w:val="0040504B"/>
    <w:rsid w:val="0040591F"/>
    <w:rsid w:val="00406F52"/>
    <w:rsid w:val="00407279"/>
    <w:rsid w:val="00410268"/>
    <w:rsid w:val="004102AF"/>
    <w:rsid w:val="004106F8"/>
    <w:rsid w:val="00410708"/>
    <w:rsid w:val="00410EC7"/>
    <w:rsid w:val="00410F2D"/>
    <w:rsid w:val="00411761"/>
    <w:rsid w:val="00411989"/>
    <w:rsid w:val="00411B39"/>
    <w:rsid w:val="00411C9E"/>
    <w:rsid w:val="00411E02"/>
    <w:rsid w:val="00412125"/>
    <w:rsid w:val="00412211"/>
    <w:rsid w:val="00412382"/>
    <w:rsid w:val="004124FE"/>
    <w:rsid w:val="00412D4C"/>
    <w:rsid w:val="00413105"/>
    <w:rsid w:val="00413A1E"/>
    <w:rsid w:val="00414476"/>
    <w:rsid w:val="00414C2E"/>
    <w:rsid w:val="00414F3F"/>
    <w:rsid w:val="004151CF"/>
    <w:rsid w:val="004159FB"/>
    <w:rsid w:val="004160E6"/>
    <w:rsid w:val="00416163"/>
    <w:rsid w:val="00416364"/>
    <w:rsid w:val="0041694A"/>
    <w:rsid w:val="00416E00"/>
    <w:rsid w:val="0041787E"/>
    <w:rsid w:val="00420393"/>
    <w:rsid w:val="00420AA6"/>
    <w:rsid w:val="00420B9F"/>
    <w:rsid w:val="00421CEE"/>
    <w:rsid w:val="00422260"/>
    <w:rsid w:val="00422815"/>
    <w:rsid w:val="0042413F"/>
    <w:rsid w:val="00424B47"/>
    <w:rsid w:val="00424B85"/>
    <w:rsid w:val="00426AF7"/>
    <w:rsid w:val="00427BA2"/>
    <w:rsid w:val="004319F8"/>
    <w:rsid w:val="00431C45"/>
    <w:rsid w:val="00431D2C"/>
    <w:rsid w:val="00431DB9"/>
    <w:rsid w:val="00431E55"/>
    <w:rsid w:val="0043213F"/>
    <w:rsid w:val="004321F6"/>
    <w:rsid w:val="00433044"/>
    <w:rsid w:val="00433851"/>
    <w:rsid w:val="00434427"/>
    <w:rsid w:val="00434D53"/>
    <w:rsid w:val="004352B6"/>
    <w:rsid w:val="00437185"/>
    <w:rsid w:val="004375B9"/>
    <w:rsid w:val="004376FB"/>
    <w:rsid w:val="00440299"/>
    <w:rsid w:val="00440BF7"/>
    <w:rsid w:val="00441FE9"/>
    <w:rsid w:val="0044201E"/>
    <w:rsid w:val="004424EB"/>
    <w:rsid w:val="004426BD"/>
    <w:rsid w:val="004428D0"/>
    <w:rsid w:val="00442E7E"/>
    <w:rsid w:val="004443A7"/>
    <w:rsid w:val="0044442C"/>
    <w:rsid w:val="0044514D"/>
    <w:rsid w:val="00445941"/>
    <w:rsid w:val="00445B06"/>
    <w:rsid w:val="004464EB"/>
    <w:rsid w:val="0044734F"/>
    <w:rsid w:val="00447D26"/>
    <w:rsid w:val="004503FB"/>
    <w:rsid w:val="0045092C"/>
    <w:rsid w:val="0045433D"/>
    <w:rsid w:val="00454D62"/>
    <w:rsid w:val="00455431"/>
    <w:rsid w:val="00455821"/>
    <w:rsid w:val="00455D45"/>
    <w:rsid w:val="00455F7D"/>
    <w:rsid w:val="00456158"/>
    <w:rsid w:val="00456772"/>
    <w:rsid w:val="00457308"/>
    <w:rsid w:val="00460683"/>
    <w:rsid w:val="00460ABC"/>
    <w:rsid w:val="004624B2"/>
    <w:rsid w:val="004626B5"/>
    <w:rsid w:val="00462D4C"/>
    <w:rsid w:val="00463279"/>
    <w:rsid w:val="004640F4"/>
    <w:rsid w:val="00464345"/>
    <w:rsid w:val="00464595"/>
    <w:rsid w:val="0046574C"/>
    <w:rsid w:val="004660CC"/>
    <w:rsid w:val="00470D10"/>
    <w:rsid w:val="00470E46"/>
    <w:rsid w:val="00472A79"/>
    <w:rsid w:val="00473393"/>
    <w:rsid w:val="00473754"/>
    <w:rsid w:val="00473F19"/>
    <w:rsid w:val="00474481"/>
    <w:rsid w:val="00474A72"/>
    <w:rsid w:val="004755CB"/>
    <w:rsid w:val="0047579C"/>
    <w:rsid w:val="00475C95"/>
    <w:rsid w:val="00475E22"/>
    <w:rsid w:val="0047674A"/>
    <w:rsid w:val="004779C3"/>
    <w:rsid w:val="00477A61"/>
    <w:rsid w:val="00480502"/>
    <w:rsid w:val="0048088E"/>
    <w:rsid w:val="00481512"/>
    <w:rsid w:val="004817E2"/>
    <w:rsid w:val="00482720"/>
    <w:rsid w:val="004827A7"/>
    <w:rsid w:val="004835E7"/>
    <w:rsid w:val="0048505D"/>
    <w:rsid w:val="00485427"/>
    <w:rsid w:val="004856C4"/>
    <w:rsid w:val="00485928"/>
    <w:rsid w:val="00485A8E"/>
    <w:rsid w:val="00486773"/>
    <w:rsid w:val="004867E2"/>
    <w:rsid w:val="00490CE2"/>
    <w:rsid w:val="0049131A"/>
    <w:rsid w:val="004918C9"/>
    <w:rsid w:val="00491B3A"/>
    <w:rsid w:val="00492351"/>
    <w:rsid w:val="0049277D"/>
    <w:rsid w:val="00492BF5"/>
    <w:rsid w:val="00492CFD"/>
    <w:rsid w:val="00494961"/>
    <w:rsid w:val="00494DD5"/>
    <w:rsid w:val="004955FD"/>
    <w:rsid w:val="004962D2"/>
    <w:rsid w:val="004968EF"/>
    <w:rsid w:val="00497ACA"/>
    <w:rsid w:val="004A0876"/>
    <w:rsid w:val="004A0C65"/>
    <w:rsid w:val="004A0DA1"/>
    <w:rsid w:val="004A1B7C"/>
    <w:rsid w:val="004A31C4"/>
    <w:rsid w:val="004A4B12"/>
    <w:rsid w:val="004A52E9"/>
    <w:rsid w:val="004A5413"/>
    <w:rsid w:val="004A616A"/>
    <w:rsid w:val="004A6597"/>
    <w:rsid w:val="004A70C9"/>
    <w:rsid w:val="004A7848"/>
    <w:rsid w:val="004A7AA5"/>
    <w:rsid w:val="004B1019"/>
    <w:rsid w:val="004B11BD"/>
    <w:rsid w:val="004B1756"/>
    <w:rsid w:val="004B1CB4"/>
    <w:rsid w:val="004B2F18"/>
    <w:rsid w:val="004B321C"/>
    <w:rsid w:val="004B3932"/>
    <w:rsid w:val="004B3DDB"/>
    <w:rsid w:val="004B443F"/>
    <w:rsid w:val="004B44FD"/>
    <w:rsid w:val="004B4A32"/>
    <w:rsid w:val="004B5CFC"/>
    <w:rsid w:val="004B5E29"/>
    <w:rsid w:val="004B774D"/>
    <w:rsid w:val="004B77A5"/>
    <w:rsid w:val="004B7C73"/>
    <w:rsid w:val="004B7F5F"/>
    <w:rsid w:val="004C10AB"/>
    <w:rsid w:val="004C11CD"/>
    <w:rsid w:val="004C14E6"/>
    <w:rsid w:val="004C2EF2"/>
    <w:rsid w:val="004C39BE"/>
    <w:rsid w:val="004C3E72"/>
    <w:rsid w:val="004C4AED"/>
    <w:rsid w:val="004D021B"/>
    <w:rsid w:val="004D083B"/>
    <w:rsid w:val="004D08EE"/>
    <w:rsid w:val="004D1B84"/>
    <w:rsid w:val="004D1D36"/>
    <w:rsid w:val="004D27E8"/>
    <w:rsid w:val="004D2C2D"/>
    <w:rsid w:val="004D3BD0"/>
    <w:rsid w:val="004D3DB5"/>
    <w:rsid w:val="004D3E13"/>
    <w:rsid w:val="004D47CF"/>
    <w:rsid w:val="004D4A38"/>
    <w:rsid w:val="004D5783"/>
    <w:rsid w:val="004D5AA0"/>
    <w:rsid w:val="004D5E52"/>
    <w:rsid w:val="004D642A"/>
    <w:rsid w:val="004D719D"/>
    <w:rsid w:val="004D7227"/>
    <w:rsid w:val="004D737C"/>
    <w:rsid w:val="004D75A0"/>
    <w:rsid w:val="004E056F"/>
    <w:rsid w:val="004E0E7F"/>
    <w:rsid w:val="004E0EB8"/>
    <w:rsid w:val="004E19F9"/>
    <w:rsid w:val="004E2466"/>
    <w:rsid w:val="004E2741"/>
    <w:rsid w:val="004E29C1"/>
    <w:rsid w:val="004E2A7A"/>
    <w:rsid w:val="004E2ADC"/>
    <w:rsid w:val="004E3AB2"/>
    <w:rsid w:val="004E3D56"/>
    <w:rsid w:val="004E43B2"/>
    <w:rsid w:val="004E4B8C"/>
    <w:rsid w:val="004E572C"/>
    <w:rsid w:val="004E5877"/>
    <w:rsid w:val="004E6791"/>
    <w:rsid w:val="004E6EA0"/>
    <w:rsid w:val="004E79D0"/>
    <w:rsid w:val="004F0083"/>
    <w:rsid w:val="004F0FE3"/>
    <w:rsid w:val="004F13D4"/>
    <w:rsid w:val="004F1D02"/>
    <w:rsid w:val="004F1F64"/>
    <w:rsid w:val="004F2224"/>
    <w:rsid w:val="004F2679"/>
    <w:rsid w:val="004F2F21"/>
    <w:rsid w:val="004F3A1F"/>
    <w:rsid w:val="004F3B58"/>
    <w:rsid w:val="004F3CBF"/>
    <w:rsid w:val="004F44B4"/>
    <w:rsid w:val="004F4552"/>
    <w:rsid w:val="004F48EF"/>
    <w:rsid w:val="004F4D2C"/>
    <w:rsid w:val="004F56B3"/>
    <w:rsid w:val="004F5A39"/>
    <w:rsid w:val="004F5DA4"/>
    <w:rsid w:val="004F6427"/>
    <w:rsid w:val="004F68AF"/>
    <w:rsid w:val="004F6913"/>
    <w:rsid w:val="004F7865"/>
    <w:rsid w:val="004F7946"/>
    <w:rsid w:val="00500493"/>
    <w:rsid w:val="00500785"/>
    <w:rsid w:val="0050219B"/>
    <w:rsid w:val="00503F17"/>
    <w:rsid w:val="00504AC1"/>
    <w:rsid w:val="00504ACC"/>
    <w:rsid w:val="00505EA7"/>
    <w:rsid w:val="00506928"/>
    <w:rsid w:val="00506E50"/>
    <w:rsid w:val="00510B0A"/>
    <w:rsid w:val="005115E4"/>
    <w:rsid w:val="00511BA9"/>
    <w:rsid w:val="00511BC3"/>
    <w:rsid w:val="00514CCA"/>
    <w:rsid w:val="005152B5"/>
    <w:rsid w:val="00515BCD"/>
    <w:rsid w:val="00515EE1"/>
    <w:rsid w:val="00516078"/>
    <w:rsid w:val="00516714"/>
    <w:rsid w:val="00516EFB"/>
    <w:rsid w:val="005176F5"/>
    <w:rsid w:val="00521319"/>
    <w:rsid w:val="00521AD4"/>
    <w:rsid w:val="00521BAF"/>
    <w:rsid w:val="00521C1D"/>
    <w:rsid w:val="00521D83"/>
    <w:rsid w:val="00521F60"/>
    <w:rsid w:val="00522267"/>
    <w:rsid w:val="005227ED"/>
    <w:rsid w:val="00522BC8"/>
    <w:rsid w:val="005238FE"/>
    <w:rsid w:val="00523C28"/>
    <w:rsid w:val="00523CB5"/>
    <w:rsid w:val="00525352"/>
    <w:rsid w:val="00525BE2"/>
    <w:rsid w:val="00525EE8"/>
    <w:rsid w:val="005260BE"/>
    <w:rsid w:val="005267E3"/>
    <w:rsid w:val="00526E17"/>
    <w:rsid w:val="00527300"/>
    <w:rsid w:val="00531202"/>
    <w:rsid w:val="0053138A"/>
    <w:rsid w:val="00531475"/>
    <w:rsid w:val="00531B8C"/>
    <w:rsid w:val="00531EFF"/>
    <w:rsid w:val="00532F5A"/>
    <w:rsid w:val="005359ED"/>
    <w:rsid w:val="00536F42"/>
    <w:rsid w:val="00536FED"/>
    <w:rsid w:val="00537182"/>
    <w:rsid w:val="005378EA"/>
    <w:rsid w:val="00537DCE"/>
    <w:rsid w:val="00540196"/>
    <w:rsid w:val="005401D1"/>
    <w:rsid w:val="00542126"/>
    <w:rsid w:val="00542743"/>
    <w:rsid w:val="00542C2D"/>
    <w:rsid w:val="00543126"/>
    <w:rsid w:val="00544303"/>
    <w:rsid w:val="005451C5"/>
    <w:rsid w:val="00545816"/>
    <w:rsid w:val="005458D9"/>
    <w:rsid w:val="00545D06"/>
    <w:rsid w:val="00547865"/>
    <w:rsid w:val="00547A9C"/>
    <w:rsid w:val="00547D5F"/>
    <w:rsid w:val="00550A13"/>
    <w:rsid w:val="00550C06"/>
    <w:rsid w:val="0055155F"/>
    <w:rsid w:val="00551985"/>
    <w:rsid w:val="0055271B"/>
    <w:rsid w:val="00552BD3"/>
    <w:rsid w:val="00552E0D"/>
    <w:rsid w:val="0055422E"/>
    <w:rsid w:val="00555109"/>
    <w:rsid w:val="00557D62"/>
    <w:rsid w:val="005636D6"/>
    <w:rsid w:val="00563923"/>
    <w:rsid w:val="005642EF"/>
    <w:rsid w:val="005652B1"/>
    <w:rsid w:val="0056572E"/>
    <w:rsid w:val="005661B2"/>
    <w:rsid w:val="005668B2"/>
    <w:rsid w:val="0056696F"/>
    <w:rsid w:val="00567D27"/>
    <w:rsid w:val="00567FCB"/>
    <w:rsid w:val="00570231"/>
    <w:rsid w:val="005709E8"/>
    <w:rsid w:val="00570B64"/>
    <w:rsid w:val="00570F73"/>
    <w:rsid w:val="00571DE8"/>
    <w:rsid w:val="00572269"/>
    <w:rsid w:val="0057244A"/>
    <w:rsid w:val="00573BA0"/>
    <w:rsid w:val="00575D8D"/>
    <w:rsid w:val="0057658E"/>
    <w:rsid w:val="00576972"/>
    <w:rsid w:val="00576A86"/>
    <w:rsid w:val="0057735C"/>
    <w:rsid w:val="0057787C"/>
    <w:rsid w:val="00577B8F"/>
    <w:rsid w:val="0058071D"/>
    <w:rsid w:val="00580B96"/>
    <w:rsid w:val="00580CC4"/>
    <w:rsid w:val="00580D94"/>
    <w:rsid w:val="00582232"/>
    <w:rsid w:val="00582B10"/>
    <w:rsid w:val="005835EA"/>
    <w:rsid w:val="00583699"/>
    <w:rsid w:val="0058456C"/>
    <w:rsid w:val="00585039"/>
    <w:rsid w:val="0058509A"/>
    <w:rsid w:val="00585CDD"/>
    <w:rsid w:val="00586A72"/>
    <w:rsid w:val="00586B38"/>
    <w:rsid w:val="00586E39"/>
    <w:rsid w:val="00587058"/>
    <w:rsid w:val="00590140"/>
    <w:rsid w:val="005906D4"/>
    <w:rsid w:val="00590AAF"/>
    <w:rsid w:val="00591052"/>
    <w:rsid w:val="00591957"/>
    <w:rsid w:val="00592362"/>
    <w:rsid w:val="00592397"/>
    <w:rsid w:val="00592BC7"/>
    <w:rsid w:val="0059409C"/>
    <w:rsid w:val="00594510"/>
    <w:rsid w:val="00594E84"/>
    <w:rsid w:val="0059538A"/>
    <w:rsid w:val="00595FE6"/>
    <w:rsid w:val="00596820"/>
    <w:rsid w:val="00596C10"/>
    <w:rsid w:val="00597869"/>
    <w:rsid w:val="00597B14"/>
    <w:rsid w:val="00597BF9"/>
    <w:rsid w:val="005A1CC6"/>
    <w:rsid w:val="005A1E40"/>
    <w:rsid w:val="005A20CB"/>
    <w:rsid w:val="005A231F"/>
    <w:rsid w:val="005A2B1D"/>
    <w:rsid w:val="005A373D"/>
    <w:rsid w:val="005A4049"/>
    <w:rsid w:val="005A4686"/>
    <w:rsid w:val="005A4DB5"/>
    <w:rsid w:val="005A5EB5"/>
    <w:rsid w:val="005A681E"/>
    <w:rsid w:val="005A6D2A"/>
    <w:rsid w:val="005B0884"/>
    <w:rsid w:val="005B285A"/>
    <w:rsid w:val="005B29A4"/>
    <w:rsid w:val="005B2D86"/>
    <w:rsid w:val="005B30A1"/>
    <w:rsid w:val="005B37B4"/>
    <w:rsid w:val="005B37C4"/>
    <w:rsid w:val="005B3866"/>
    <w:rsid w:val="005B5857"/>
    <w:rsid w:val="005B74C9"/>
    <w:rsid w:val="005C12F6"/>
    <w:rsid w:val="005C1B83"/>
    <w:rsid w:val="005C1FD5"/>
    <w:rsid w:val="005C2D55"/>
    <w:rsid w:val="005C2F5B"/>
    <w:rsid w:val="005C31C0"/>
    <w:rsid w:val="005C346B"/>
    <w:rsid w:val="005C3C5A"/>
    <w:rsid w:val="005C545D"/>
    <w:rsid w:val="005C5500"/>
    <w:rsid w:val="005C5EC8"/>
    <w:rsid w:val="005C5F6B"/>
    <w:rsid w:val="005C79B6"/>
    <w:rsid w:val="005D044D"/>
    <w:rsid w:val="005D0ABD"/>
    <w:rsid w:val="005D0F94"/>
    <w:rsid w:val="005D105F"/>
    <w:rsid w:val="005D18AD"/>
    <w:rsid w:val="005D1BC5"/>
    <w:rsid w:val="005D26B4"/>
    <w:rsid w:val="005D4BD3"/>
    <w:rsid w:val="005D4FBD"/>
    <w:rsid w:val="005D5D8A"/>
    <w:rsid w:val="005D60EF"/>
    <w:rsid w:val="005D6985"/>
    <w:rsid w:val="005D7463"/>
    <w:rsid w:val="005E255A"/>
    <w:rsid w:val="005E2926"/>
    <w:rsid w:val="005E4236"/>
    <w:rsid w:val="005E47BD"/>
    <w:rsid w:val="005E5ABF"/>
    <w:rsid w:val="005E5D40"/>
    <w:rsid w:val="005E61E3"/>
    <w:rsid w:val="005E6CBC"/>
    <w:rsid w:val="005E71FE"/>
    <w:rsid w:val="005E73C0"/>
    <w:rsid w:val="005E795D"/>
    <w:rsid w:val="005F035E"/>
    <w:rsid w:val="005F2706"/>
    <w:rsid w:val="005F3184"/>
    <w:rsid w:val="005F33CA"/>
    <w:rsid w:val="005F371A"/>
    <w:rsid w:val="005F5858"/>
    <w:rsid w:val="005F6119"/>
    <w:rsid w:val="005F6672"/>
    <w:rsid w:val="005F6A8F"/>
    <w:rsid w:val="005F6D57"/>
    <w:rsid w:val="005F70CD"/>
    <w:rsid w:val="005F79B3"/>
    <w:rsid w:val="0060193C"/>
    <w:rsid w:val="006020C9"/>
    <w:rsid w:val="00602803"/>
    <w:rsid w:val="00602DF4"/>
    <w:rsid w:val="00603BAB"/>
    <w:rsid w:val="00603DB9"/>
    <w:rsid w:val="006045F1"/>
    <w:rsid w:val="0060557E"/>
    <w:rsid w:val="00605A75"/>
    <w:rsid w:val="00607669"/>
    <w:rsid w:val="00607AFD"/>
    <w:rsid w:val="00607BCC"/>
    <w:rsid w:val="00611904"/>
    <w:rsid w:val="006124F6"/>
    <w:rsid w:val="006125E3"/>
    <w:rsid w:val="00612F97"/>
    <w:rsid w:val="0061345D"/>
    <w:rsid w:val="00613AA9"/>
    <w:rsid w:val="00614035"/>
    <w:rsid w:val="006144A6"/>
    <w:rsid w:val="0061450F"/>
    <w:rsid w:val="00616245"/>
    <w:rsid w:val="00616802"/>
    <w:rsid w:val="00616BF6"/>
    <w:rsid w:val="00617005"/>
    <w:rsid w:val="006176F5"/>
    <w:rsid w:val="00617B34"/>
    <w:rsid w:val="00617E12"/>
    <w:rsid w:val="00617ED7"/>
    <w:rsid w:val="006201D6"/>
    <w:rsid w:val="00621477"/>
    <w:rsid w:val="006222FB"/>
    <w:rsid w:val="006227FD"/>
    <w:rsid w:val="00623201"/>
    <w:rsid w:val="00623326"/>
    <w:rsid w:val="006247CE"/>
    <w:rsid w:val="00624AD1"/>
    <w:rsid w:val="006251FE"/>
    <w:rsid w:val="00625A76"/>
    <w:rsid w:val="0062602F"/>
    <w:rsid w:val="0062791E"/>
    <w:rsid w:val="00627AD9"/>
    <w:rsid w:val="00630E17"/>
    <w:rsid w:val="0063158F"/>
    <w:rsid w:val="00631D6B"/>
    <w:rsid w:val="006330A1"/>
    <w:rsid w:val="006339D9"/>
    <w:rsid w:val="00633D0D"/>
    <w:rsid w:val="00634477"/>
    <w:rsid w:val="0063479F"/>
    <w:rsid w:val="0063508E"/>
    <w:rsid w:val="006353F0"/>
    <w:rsid w:val="00635816"/>
    <w:rsid w:val="006358CC"/>
    <w:rsid w:val="00636114"/>
    <w:rsid w:val="006364A1"/>
    <w:rsid w:val="00636F93"/>
    <w:rsid w:val="00637603"/>
    <w:rsid w:val="00637BFD"/>
    <w:rsid w:val="00640648"/>
    <w:rsid w:val="0064094A"/>
    <w:rsid w:val="00640F1E"/>
    <w:rsid w:val="00641A87"/>
    <w:rsid w:val="00641C4E"/>
    <w:rsid w:val="00646B35"/>
    <w:rsid w:val="00646C9C"/>
    <w:rsid w:val="006471CC"/>
    <w:rsid w:val="006479A0"/>
    <w:rsid w:val="0065079F"/>
    <w:rsid w:val="00651B9D"/>
    <w:rsid w:val="006520A8"/>
    <w:rsid w:val="0065349F"/>
    <w:rsid w:val="0065379F"/>
    <w:rsid w:val="006540EF"/>
    <w:rsid w:val="006558DD"/>
    <w:rsid w:val="00655C62"/>
    <w:rsid w:val="00655CF8"/>
    <w:rsid w:val="0065648A"/>
    <w:rsid w:val="00656490"/>
    <w:rsid w:val="00656568"/>
    <w:rsid w:val="00656601"/>
    <w:rsid w:val="0065696A"/>
    <w:rsid w:val="006577E1"/>
    <w:rsid w:val="00660C79"/>
    <w:rsid w:val="00661C6B"/>
    <w:rsid w:val="0066267D"/>
    <w:rsid w:val="00663E86"/>
    <w:rsid w:val="00664619"/>
    <w:rsid w:val="006649BC"/>
    <w:rsid w:val="00665904"/>
    <w:rsid w:val="00666D37"/>
    <w:rsid w:val="006676BA"/>
    <w:rsid w:val="006704C9"/>
    <w:rsid w:val="00670560"/>
    <w:rsid w:val="006706A0"/>
    <w:rsid w:val="00670C43"/>
    <w:rsid w:val="006719CC"/>
    <w:rsid w:val="00671AAC"/>
    <w:rsid w:val="006724CE"/>
    <w:rsid w:val="00672B5E"/>
    <w:rsid w:val="00672BE3"/>
    <w:rsid w:val="00673248"/>
    <w:rsid w:val="00673270"/>
    <w:rsid w:val="006733C5"/>
    <w:rsid w:val="00673516"/>
    <w:rsid w:val="00673625"/>
    <w:rsid w:val="00674E42"/>
    <w:rsid w:val="006771AC"/>
    <w:rsid w:val="006771C8"/>
    <w:rsid w:val="00680230"/>
    <w:rsid w:val="00682112"/>
    <w:rsid w:val="00682383"/>
    <w:rsid w:val="00682F6C"/>
    <w:rsid w:val="00686197"/>
    <w:rsid w:val="006866B3"/>
    <w:rsid w:val="00686957"/>
    <w:rsid w:val="00686CD7"/>
    <w:rsid w:val="0068720B"/>
    <w:rsid w:val="006872BA"/>
    <w:rsid w:val="00687F2C"/>
    <w:rsid w:val="00690F47"/>
    <w:rsid w:val="00690FC9"/>
    <w:rsid w:val="00690FE1"/>
    <w:rsid w:val="00691648"/>
    <w:rsid w:val="006917D7"/>
    <w:rsid w:val="0069233C"/>
    <w:rsid w:val="00692BE8"/>
    <w:rsid w:val="00692E13"/>
    <w:rsid w:val="006933A6"/>
    <w:rsid w:val="0069359C"/>
    <w:rsid w:val="00694F44"/>
    <w:rsid w:val="00695571"/>
    <w:rsid w:val="00695FD2"/>
    <w:rsid w:val="006966BE"/>
    <w:rsid w:val="00696858"/>
    <w:rsid w:val="006A15B0"/>
    <w:rsid w:val="006A28BB"/>
    <w:rsid w:val="006A2B04"/>
    <w:rsid w:val="006A2CED"/>
    <w:rsid w:val="006A35B5"/>
    <w:rsid w:val="006A4832"/>
    <w:rsid w:val="006A559A"/>
    <w:rsid w:val="006A5A3C"/>
    <w:rsid w:val="006A5B44"/>
    <w:rsid w:val="006A696B"/>
    <w:rsid w:val="006A78B5"/>
    <w:rsid w:val="006A7A2B"/>
    <w:rsid w:val="006A7CCE"/>
    <w:rsid w:val="006A7E5F"/>
    <w:rsid w:val="006B011B"/>
    <w:rsid w:val="006B0F59"/>
    <w:rsid w:val="006B1539"/>
    <w:rsid w:val="006B1DF8"/>
    <w:rsid w:val="006B248F"/>
    <w:rsid w:val="006B261B"/>
    <w:rsid w:val="006B2C90"/>
    <w:rsid w:val="006B3815"/>
    <w:rsid w:val="006B42E3"/>
    <w:rsid w:val="006B44B8"/>
    <w:rsid w:val="006B51F4"/>
    <w:rsid w:val="006B563A"/>
    <w:rsid w:val="006B5E47"/>
    <w:rsid w:val="006B60E9"/>
    <w:rsid w:val="006B63AA"/>
    <w:rsid w:val="006B664E"/>
    <w:rsid w:val="006B6DD0"/>
    <w:rsid w:val="006B6EEB"/>
    <w:rsid w:val="006B6F97"/>
    <w:rsid w:val="006B74A7"/>
    <w:rsid w:val="006C04C6"/>
    <w:rsid w:val="006C0D8E"/>
    <w:rsid w:val="006C0DF9"/>
    <w:rsid w:val="006C283A"/>
    <w:rsid w:val="006C299E"/>
    <w:rsid w:val="006C2A8E"/>
    <w:rsid w:val="006C343D"/>
    <w:rsid w:val="006C38CE"/>
    <w:rsid w:val="006C3FC8"/>
    <w:rsid w:val="006C4914"/>
    <w:rsid w:val="006C4B8B"/>
    <w:rsid w:val="006C4F37"/>
    <w:rsid w:val="006C676F"/>
    <w:rsid w:val="006C72B0"/>
    <w:rsid w:val="006D020C"/>
    <w:rsid w:val="006D076F"/>
    <w:rsid w:val="006D0906"/>
    <w:rsid w:val="006D0910"/>
    <w:rsid w:val="006D16C4"/>
    <w:rsid w:val="006D1912"/>
    <w:rsid w:val="006D1C1D"/>
    <w:rsid w:val="006D3934"/>
    <w:rsid w:val="006D3C7D"/>
    <w:rsid w:val="006D47BA"/>
    <w:rsid w:val="006D5D5F"/>
    <w:rsid w:val="006D740D"/>
    <w:rsid w:val="006D75F7"/>
    <w:rsid w:val="006E0479"/>
    <w:rsid w:val="006E0FC3"/>
    <w:rsid w:val="006E1D89"/>
    <w:rsid w:val="006E213B"/>
    <w:rsid w:val="006E3A4E"/>
    <w:rsid w:val="006E6147"/>
    <w:rsid w:val="006E68A0"/>
    <w:rsid w:val="006E7A43"/>
    <w:rsid w:val="006E7DD7"/>
    <w:rsid w:val="006F07C6"/>
    <w:rsid w:val="006F1DF0"/>
    <w:rsid w:val="006F306C"/>
    <w:rsid w:val="006F4DFF"/>
    <w:rsid w:val="006F5298"/>
    <w:rsid w:val="006F5768"/>
    <w:rsid w:val="006F5BFA"/>
    <w:rsid w:val="006F63A5"/>
    <w:rsid w:val="006F70DA"/>
    <w:rsid w:val="007005C8"/>
    <w:rsid w:val="0070142B"/>
    <w:rsid w:val="007025E1"/>
    <w:rsid w:val="0070276E"/>
    <w:rsid w:val="00702A9D"/>
    <w:rsid w:val="00702F8F"/>
    <w:rsid w:val="0070329B"/>
    <w:rsid w:val="007043DB"/>
    <w:rsid w:val="00706048"/>
    <w:rsid w:val="0070699D"/>
    <w:rsid w:val="007071EC"/>
    <w:rsid w:val="0071069D"/>
    <w:rsid w:val="00710AD2"/>
    <w:rsid w:val="007117EA"/>
    <w:rsid w:val="00711A36"/>
    <w:rsid w:val="00711B80"/>
    <w:rsid w:val="00711D51"/>
    <w:rsid w:val="00711D8A"/>
    <w:rsid w:val="0071334E"/>
    <w:rsid w:val="0071346A"/>
    <w:rsid w:val="00713754"/>
    <w:rsid w:val="00713764"/>
    <w:rsid w:val="00713DD0"/>
    <w:rsid w:val="007143AC"/>
    <w:rsid w:val="00714B74"/>
    <w:rsid w:val="0071529C"/>
    <w:rsid w:val="007156BC"/>
    <w:rsid w:val="0071726A"/>
    <w:rsid w:val="007172AD"/>
    <w:rsid w:val="007205F3"/>
    <w:rsid w:val="007214F4"/>
    <w:rsid w:val="0072263D"/>
    <w:rsid w:val="00722B1B"/>
    <w:rsid w:val="00723876"/>
    <w:rsid w:val="007239F1"/>
    <w:rsid w:val="0072416F"/>
    <w:rsid w:val="0072435C"/>
    <w:rsid w:val="0072474C"/>
    <w:rsid w:val="00724E51"/>
    <w:rsid w:val="00725A08"/>
    <w:rsid w:val="00725A80"/>
    <w:rsid w:val="007262D0"/>
    <w:rsid w:val="00727C94"/>
    <w:rsid w:val="007300E1"/>
    <w:rsid w:val="00730EBE"/>
    <w:rsid w:val="00731186"/>
    <w:rsid w:val="00731747"/>
    <w:rsid w:val="00731EAE"/>
    <w:rsid w:val="00731F8F"/>
    <w:rsid w:val="00733C93"/>
    <w:rsid w:val="0073410E"/>
    <w:rsid w:val="00734D24"/>
    <w:rsid w:val="00735033"/>
    <w:rsid w:val="00735328"/>
    <w:rsid w:val="00735647"/>
    <w:rsid w:val="0073685B"/>
    <w:rsid w:val="0073737C"/>
    <w:rsid w:val="00737680"/>
    <w:rsid w:val="00737914"/>
    <w:rsid w:val="00746150"/>
    <w:rsid w:val="00746B63"/>
    <w:rsid w:val="007506FF"/>
    <w:rsid w:val="007512E0"/>
    <w:rsid w:val="0075146F"/>
    <w:rsid w:val="00751B83"/>
    <w:rsid w:val="00752142"/>
    <w:rsid w:val="007523F9"/>
    <w:rsid w:val="00752718"/>
    <w:rsid w:val="007529F0"/>
    <w:rsid w:val="007531BA"/>
    <w:rsid w:val="00753254"/>
    <w:rsid w:val="0075407D"/>
    <w:rsid w:val="00756969"/>
    <w:rsid w:val="00756F99"/>
    <w:rsid w:val="007573E8"/>
    <w:rsid w:val="0076014C"/>
    <w:rsid w:val="00760C4E"/>
    <w:rsid w:val="007612FB"/>
    <w:rsid w:val="00761F41"/>
    <w:rsid w:val="00761F9C"/>
    <w:rsid w:val="007632F0"/>
    <w:rsid w:val="00763C9A"/>
    <w:rsid w:val="00763CBC"/>
    <w:rsid w:val="007655C3"/>
    <w:rsid w:val="007656A4"/>
    <w:rsid w:val="00765B1A"/>
    <w:rsid w:val="007678DE"/>
    <w:rsid w:val="007703AD"/>
    <w:rsid w:val="00771E3F"/>
    <w:rsid w:val="00772B35"/>
    <w:rsid w:val="0077304B"/>
    <w:rsid w:val="00776676"/>
    <w:rsid w:val="00776726"/>
    <w:rsid w:val="00776D7F"/>
    <w:rsid w:val="007777A7"/>
    <w:rsid w:val="007807FE"/>
    <w:rsid w:val="007815A1"/>
    <w:rsid w:val="00781728"/>
    <w:rsid w:val="007818EC"/>
    <w:rsid w:val="00781AEB"/>
    <w:rsid w:val="00781DBC"/>
    <w:rsid w:val="0078239F"/>
    <w:rsid w:val="0078267C"/>
    <w:rsid w:val="0078273E"/>
    <w:rsid w:val="00782D1E"/>
    <w:rsid w:val="007833FB"/>
    <w:rsid w:val="00783F51"/>
    <w:rsid w:val="007843F2"/>
    <w:rsid w:val="00785467"/>
    <w:rsid w:val="00785687"/>
    <w:rsid w:val="0078704E"/>
    <w:rsid w:val="007870E2"/>
    <w:rsid w:val="00791062"/>
    <w:rsid w:val="00793A7A"/>
    <w:rsid w:val="00793CC8"/>
    <w:rsid w:val="007941EB"/>
    <w:rsid w:val="007942D4"/>
    <w:rsid w:val="00794BD0"/>
    <w:rsid w:val="00794D9A"/>
    <w:rsid w:val="00795225"/>
    <w:rsid w:val="00795C23"/>
    <w:rsid w:val="007969DD"/>
    <w:rsid w:val="0079717D"/>
    <w:rsid w:val="007971DF"/>
    <w:rsid w:val="0079796B"/>
    <w:rsid w:val="007A0A12"/>
    <w:rsid w:val="007A132D"/>
    <w:rsid w:val="007A180A"/>
    <w:rsid w:val="007A1B81"/>
    <w:rsid w:val="007A2164"/>
    <w:rsid w:val="007A21F2"/>
    <w:rsid w:val="007A24CF"/>
    <w:rsid w:val="007A351E"/>
    <w:rsid w:val="007A3A44"/>
    <w:rsid w:val="007A4076"/>
    <w:rsid w:val="007A42C2"/>
    <w:rsid w:val="007A5748"/>
    <w:rsid w:val="007A5DC1"/>
    <w:rsid w:val="007A6BA7"/>
    <w:rsid w:val="007B05DD"/>
    <w:rsid w:val="007B05F6"/>
    <w:rsid w:val="007B09B0"/>
    <w:rsid w:val="007B0D68"/>
    <w:rsid w:val="007B0FF6"/>
    <w:rsid w:val="007B1011"/>
    <w:rsid w:val="007B1C3C"/>
    <w:rsid w:val="007B22AB"/>
    <w:rsid w:val="007B251D"/>
    <w:rsid w:val="007B33EB"/>
    <w:rsid w:val="007B37E7"/>
    <w:rsid w:val="007B4F58"/>
    <w:rsid w:val="007B528D"/>
    <w:rsid w:val="007B77D1"/>
    <w:rsid w:val="007C0F67"/>
    <w:rsid w:val="007C148F"/>
    <w:rsid w:val="007C15FB"/>
    <w:rsid w:val="007C1CD9"/>
    <w:rsid w:val="007C24D5"/>
    <w:rsid w:val="007C361D"/>
    <w:rsid w:val="007C41C3"/>
    <w:rsid w:val="007C463A"/>
    <w:rsid w:val="007C47A2"/>
    <w:rsid w:val="007C4B84"/>
    <w:rsid w:val="007C53DB"/>
    <w:rsid w:val="007C5EC7"/>
    <w:rsid w:val="007C6316"/>
    <w:rsid w:val="007C6557"/>
    <w:rsid w:val="007C70BB"/>
    <w:rsid w:val="007C7E24"/>
    <w:rsid w:val="007C7F64"/>
    <w:rsid w:val="007D004F"/>
    <w:rsid w:val="007D012E"/>
    <w:rsid w:val="007D0B38"/>
    <w:rsid w:val="007D1332"/>
    <w:rsid w:val="007D23C0"/>
    <w:rsid w:val="007D273A"/>
    <w:rsid w:val="007D467D"/>
    <w:rsid w:val="007D4C55"/>
    <w:rsid w:val="007D4D24"/>
    <w:rsid w:val="007D5440"/>
    <w:rsid w:val="007D54B8"/>
    <w:rsid w:val="007D5BD5"/>
    <w:rsid w:val="007D6116"/>
    <w:rsid w:val="007D6119"/>
    <w:rsid w:val="007D716C"/>
    <w:rsid w:val="007E1CF5"/>
    <w:rsid w:val="007E2827"/>
    <w:rsid w:val="007E2DCC"/>
    <w:rsid w:val="007E3671"/>
    <w:rsid w:val="007E3877"/>
    <w:rsid w:val="007E4445"/>
    <w:rsid w:val="007E462F"/>
    <w:rsid w:val="007E5E84"/>
    <w:rsid w:val="007E6CED"/>
    <w:rsid w:val="007E70E4"/>
    <w:rsid w:val="007E7872"/>
    <w:rsid w:val="007F0A4F"/>
    <w:rsid w:val="007F1017"/>
    <w:rsid w:val="007F17E5"/>
    <w:rsid w:val="007F2D92"/>
    <w:rsid w:val="007F332F"/>
    <w:rsid w:val="007F39A6"/>
    <w:rsid w:val="007F42F9"/>
    <w:rsid w:val="007F4A0F"/>
    <w:rsid w:val="007F4A3F"/>
    <w:rsid w:val="007F4A61"/>
    <w:rsid w:val="007F50B4"/>
    <w:rsid w:val="007F5DE1"/>
    <w:rsid w:val="007F61C2"/>
    <w:rsid w:val="007F6B6E"/>
    <w:rsid w:val="007F78A3"/>
    <w:rsid w:val="008001F9"/>
    <w:rsid w:val="00800993"/>
    <w:rsid w:val="00800C10"/>
    <w:rsid w:val="00800CFF"/>
    <w:rsid w:val="00802F6B"/>
    <w:rsid w:val="00804596"/>
    <w:rsid w:val="00805142"/>
    <w:rsid w:val="00806146"/>
    <w:rsid w:val="00806B37"/>
    <w:rsid w:val="00806D71"/>
    <w:rsid w:val="00807A8B"/>
    <w:rsid w:val="008104A8"/>
    <w:rsid w:val="00810887"/>
    <w:rsid w:val="00810B90"/>
    <w:rsid w:val="00811383"/>
    <w:rsid w:val="00812149"/>
    <w:rsid w:val="00812CAC"/>
    <w:rsid w:val="008166EF"/>
    <w:rsid w:val="00816F6B"/>
    <w:rsid w:val="0081774A"/>
    <w:rsid w:val="00817DAA"/>
    <w:rsid w:val="00820527"/>
    <w:rsid w:val="00820825"/>
    <w:rsid w:val="00821062"/>
    <w:rsid w:val="00822007"/>
    <w:rsid w:val="00822BD9"/>
    <w:rsid w:val="00825751"/>
    <w:rsid w:val="00825FCB"/>
    <w:rsid w:val="0082601F"/>
    <w:rsid w:val="00826277"/>
    <w:rsid w:val="008263E8"/>
    <w:rsid w:val="008264EB"/>
    <w:rsid w:val="00827945"/>
    <w:rsid w:val="00830B66"/>
    <w:rsid w:val="00831CD8"/>
    <w:rsid w:val="008323CD"/>
    <w:rsid w:val="00833356"/>
    <w:rsid w:val="008338DB"/>
    <w:rsid w:val="00833B05"/>
    <w:rsid w:val="00833F3F"/>
    <w:rsid w:val="008350CC"/>
    <w:rsid w:val="008362B4"/>
    <w:rsid w:val="00836353"/>
    <w:rsid w:val="0083660C"/>
    <w:rsid w:val="008367D8"/>
    <w:rsid w:val="00836E26"/>
    <w:rsid w:val="00837F01"/>
    <w:rsid w:val="008409F1"/>
    <w:rsid w:val="00840CA2"/>
    <w:rsid w:val="0084120F"/>
    <w:rsid w:val="0084294D"/>
    <w:rsid w:val="0084374F"/>
    <w:rsid w:val="00843D89"/>
    <w:rsid w:val="008461ED"/>
    <w:rsid w:val="00847DF5"/>
    <w:rsid w:val="00850879"/>
    <w:rsid w:val="0085309D"/>
    <w:rsid w:val="008534D8"/>
    <w:rsid w:val="0085589B"/>
    <w:rsid w:val="00856897"/>
    <w:rsid w:val="00856E9A"/>
    <w:rsid w:val="00857002"/>
    <w:rsid w:val="0086075D"/>
    <w:rsid w:val="008607FE"/>
    <w:rsid w:val="0086080D"/>
    <w:rsid w:val="00860BB8"/>
    <w:rsid w:val="008610AF"/>
    <w:rsid w:val="00861AB8"/>
    <w:rsid w:val="00861CAD"/>
    <w:rsid w:val="00861DFF"/>
    <w:rsid w:val="00862502"/>
    <w:rsid w:val="00862530"/>
    <w:rsid w:val="008627BC"/>
    <w:rsid w:val="008632D0"/>
    <w:rsid w:val="00863589"/>
    <w:rsid w:val="008637BD"/>
    <w:rsid w:val="00863A17"/>
    <w:rsid w:val="00863F0C"/>
    <w:rsid w:val="008648AA"/>
    <w:rsid w:val="008653DC"/>
    <w:rsid w:val="008660D4"/>
    <w:rsid w:val="008667C4"/>
    <w:rsid w:val="00867169"/>
    <w:rsid w:val="00867C0E"/>
    <w:rsid w:val="00867C73"/>
    <w:rsid w:val="008703E0"/>
    <w:rsid w:val="00870E15"/>
    <w:rsid w:val="00871FA9"/>
    <w:rsid w:val="008728E9"/>
    <w:rsid w:val="008730BC"/>
    <w:rsid w:val="00873A14"/>
    <w:rsid w:val="008742D0"/>
    <w:rsid w:val="00874368"/>
    <w:rsid w:val="0087498E"/>
    <w:rsid w:val="00875C6F"/>
    <w:rsid w:val="008764A9"/>
    <w:rsid w:val="00877847"/>
    <w:rsid w:val="00877D2E"/>
    <w:rsid w:val="008800A8"/>
    <w:rsid w:val="0088075F"/>
    <w:rsid w:val="008821E1"/>
    <w:rsid w:val="0088279D"/>
    <w:rsid w:val="00882874"/>
    <w:rsid w:val="00883628"/>
    <w:rsid w:val="00883787"/>
    <w:rsid w:val="00883FEA"/>
    <w:rsid w:val="00884842"/>
    <w:rsid w:val="0088582C"/>
    <w:rsid w:val="00885D7A"/>
    <w:rsid w:val="00886644"/>
    <w:rsid w:val="00886CD2"/>
    <w:rsid w:val="00887B84"/>
    <w:rsid w:val="008901ED"/>
    <w:rsid w:val="00890AAF"/>
    <w:rsid w:val="008914E3"/>
    <w:rsid w:val="0089272D"/>
    <w:rsid w:val="00892A36"/>
    <w:rsid w:val="00893239"/>
    <w:rsid w:val="00894489"/>
    <w:rsid w:val="008944C3"/>
    <w:rsid w:val="00894C2E"/>
    <w:rsid w:val="00896094"/>
    <w:rsid w:val="008963A5"/>
    <w:rsid w:val="00896FE1"/>
    <w:rsid w:val="0089786E"/>
    <w:rsid w:val="008A049C"/>
    <w:rsid w:val="008A05A7"/>
    <w:rsid w:val="008A1FCD"/>
    <w:rsid w:val="008A2693"/>
    <w:rsid w:val="008A2898"/>
    <w:rsid w:val="008A2994"/>
    <w:rsid w:val="008A2DBB"/>
    <w:rsid w:val="008A30CC"/>
    <w:rsid w:val="008A3363"/>
    <w:rsid w:val="008A3371"/>
    <w:rsid w:val="008A3C3E"/>
    <w:rsid w:val="008A4B45"/>
    <w:rsid w:val="008A63D2"/>
    <w:rsid w:val="008A65E5"/>
    <w:rsid w:val="008A69B1"/>
    <w:rsid w:val="008A7235"/>
    <w:rsid w:val="008A79DE"/>
    <w:rsid w:val="008B0C52"/>
    <w:rsid w:val="008B13C6"/>
    <w:rsid w:val="008B1757"/>
    <w:rsid w:val="008B22F6"/>
    <w:rsid w:val="008B24AE"/>
    <w:rsid w:val="008B25A7"/>
    <w:rsid w:val="008B3086"/>
    <w:rsid w:val="008B453C"/>
    <w:rsid w:val="008B51B5"/>
    <w:rsid w:val="008B53E7"/>
    <w:rsid w:val="008B53F7"/>
    <w:rsid w:val="008B7BB7"/>
    <w:rsid w:val="008B7C07"/>
    <w:rsid w:val="008B7D7E"/>
    <w:rsid w:val="008C0422"/>
    <w:rsid w:val="008C1BAD"/>
    <w:rsid w:val="008C274F"/>
    <w:rsid w:val="008C2FFD"/>
    <w:rsid w:val="008C363F"/>
    <w:rsid w:val="008C3B22"/>
    <w:rsid w:val="008C5208"/>
    <w:rsid w:val="008C584E"/>
    <w:rsid w:val="008C58C7"/>
    <w:rsid w:val="008C7ECB"/>
    <w:rsid w:val="008D0C00"/>
    <w:rsid w:val="008D1BDC"/>
    <w:rsid w:val="008D2562"/>
    <w:rsid w:val="008D34ED"/>
    <w:rsid w:val="008D37D5"/>
    <w:rsid w:val="008D4755"/>
    <w:rsid w:val="008D4C3D"/>
    <w:rsid w:val="008D52EF"/>
    <w:rsid w:val="008D53C9"/>
    <w:rsid w:val="008D56E4"/>
    <w:rsid w:val="008D62A3"/>
    <w:rsid w:val="008D681F"/>
    <w:rsid w:val="008D6E3F"/>
    <w:rsid w:val="008D7392"/>
    <w:rsid w:val="008D745D"/>
    <w:rsid w:val="008E0D3C"/>
    <w:rsid w:val="008E1B9E"/>
    <w:rsid w:val="008E55AB"/>
    <w:rsid w:val="008E57BA"/>
    <w:rsid w:val="008E5D2B"/>
    <w:rsid w:val="008E6089"/>
    <w:rsid w:val="008E7267"/>
    <w:rsid w:val="008E75B5"/>
    <w:rsid w:val="008F120A"/>
    <w:rsid w:val="008F27E0"/>
    <w:rsid w:val="008F32EF"/>
    <w:rsid w:val="008F395A"/>
    <w:rsid w:val="008F3BB9"/>
    <w:rsid w:val="008F44F9"/>
    <w:rsid w:val="008F4623"/>
    <w:rsid w:val="008F48EB"/>
    <w:rsid w:val="008F4C17"/>
    <w:rsid w:val="008F4F0B"/>
    <w:rsid w:val="008F55F4"/>
    <w:rsid w:val="008F5E8B"/>
    <w:rsid w:val="008F6733"/>
    <w:rsid w:val="008F71E0"/>
    <w:rsid w:val="008F75EC"/>
    <w:rsid w:val="008F77F3"/>
    <w:rsid w:val="00900EB0"/>
    <w:rsid w:val="0090232D"/>
    <w:rsid w:val="0090257F"/>
    <w:rsid w:val="009028B0"/>
    <w:rsid w:val="0090321C"/>
    <w:rsid w:val="00903DE1"/>
    <w:rsid w:val="00904298"/>
    <w:rsid w:val="009042DC"/>
    <w:rsid w:val="009046C4"/>
    <w:rsid w:val="009050E3"/>
    <w:rsid w:val="009056B0"/>
    <w:rsid w:val="009062A5"/>
    <w:rsid w:val="00906BF0"/>
    <w:rsid w:val="00910697"/>
    <w:rsid w:val="009108EE"/>
    <w:rsid w:val="00911272"/>
    <w:rsid w:val="00911666"/>
    <w:rsid w:val="00911762"/>
    <w:rsid w:val="00911E33"/>
    <w:rsid w:val="0091241D"/>
    <w:rsid w:val="009135D6"/>
    <w:rsid w:val="009136E5"/>
    <w:rsid w:val="00913988"/>
    <w:rsid w:val="00914C77"/>
    <w:rsid w:val="00916E4E"/>
    <w:rsid w:val="0091748D"/>
    <w:rsid w:val="00917776"/>
    <w:rsid w:val="00917BFF"/>
    <w:rsid w:val="00917D02"/>
    <w:rsid w:val="00917E3F"/>
    <w:rsid w:val="00920B33"/>
    <w:rsid w:val="00920E04"/>
    <w:rsid w:val="0092118D"/>
    <w:rsid w:val="0092184E"/>
    <w:rsid w:val="009220E4"/>
    <w:rsid w:val="0092224A"/>
    <w:rsid w:val="00922F50"/>
    <w:rsid w:val="0092369B"/>
    <w:rsid w:val="00923C3F"/>
    <w:rsid w:val="00924347"/>
    <w:rsid w:val="0092611C"/>
    <w:rsid w:val="00927590"/>
    <w:rsid w:val="00927869"/>
    <w:rsid w:val="00927A5C"/>
    <w:rsid w:val="009302AE"/>
    <w:rsid w:val="0093117E"/>
    <w:rsid w:val="00933B9D"/>
    <w:rsid w:val="009344E3"/>
    <w:rsid w:val="00934C6C"/>
    <w:rsid w:val="00934EEB"/>
    <w:rsid w:val="00935231"/>
    <w:rsid w:val="0093569C"/>
    <w:rsid w:val="009356F3"/>
    <w:rsid w:val="009357EB"/>
    <w:rsid w:val="00936A41"/>
    <w:rsid w:val="009401E2"/>
    <w:rsid w:val="0094034E"/>
    <w:rsid w:val="00940DDE"/>
    <w:rsid w:val="00940FC1"/>
    <w:rsid w:val="009433B9"/>
    <w:rsid w:val="009510A2"/>
    <w:rsid w:val="009523A3"/>
    <w:rsid w:val="00952937"/>
    <w:rsid w:val="00952B89"/>
    <w:rsid w:val="00952BC1"/>
    <w:rsid w:val="00952D63"/>
    <w:rsid w:val="00953081"/>
    <w:rsid w:val="00953257"/>
    <w:rsid w:val="009535F4"/>
    <w:rsid w:val="009543B3"/>
    <w:rsid w:val="009543D4"/>
    <w:rsid w:val="00954535"/>
    <w:rsid w:val="00955173"/>
    <w:rsid w:val="00955F31"/>
    <w:rsid w:val="00956076"/>
    <w:rsid w:val="00957D1D"/>
    <w:rsid w:val="00961B07"/>
    <w:rsid w:val="00962CB9"/>
    <w:rsid w:val="00962F9A"/>
    <w:rsid w:val="009637EC"/>
    <w:rsid w:val="0096417D"/>
    <w:rsid w:val="00964312"/>
    <w:rsid w:val="0096546A"/>
    <w:rsid w:val="0096547F"/>
    <w:rsid w:val="00965721"/>
    <w:rsid w:val="00965AD5"/>
    <w:rsid w:val="00965B8A"/>
    <w:rsid w:val="00966916"/>
    <w:rsid w:val="00966B48"/>
    <w:rsid w:val="00966B75"/>
    <w:rsid w:val="00967AF5"/>
    <w:rsid w:val="00967FDC"/>
    <w:rsid w:val="00970891"/>
    <w:rsid w:val="0097113B"/>
    <w:rsid w:val="009717AC"/>
    <w:rsid w:val="0097195E"/>
    <w:rsid w:val="00971F4C"/>
    <w:rsid w:val="009720AA"/>
    <w:rsid w:val="0097221E"/>
    <w:rsid w:val="00972825"/>
    <w:rsid w:val="0097438C"/>
    <w:rsid w:val="00974FE8"/>
    <w:rsid w:val="00975F45"/>
    <w:rsid w:val="009760E9"/>
    <w:rsid w:val="009762FA"/>
    <w:rsid w:val="00977599"/>
    <w:rsid w:val="0097774D"/>
    <w:rsid w:val="0097793B"/>
    <w:rsid w:val="00977D41"/>
    <w:rsid w:val="0098216A"/>
    <w:rsid w:val="00982220"/>
    <w:rsid w:val="00982526"/>
    <w:rsid w:val="00982CCA"/>
    <w:rsid w:val="00983E57"/>
    <w:rsid w:val="00984073"/>
    <w:rsid w:val="0098518C"/>
    <w:rsid w:val="0098675D"/>
    <w:rsid w:val="009871F2"/>
    <w:rsid w:val="009871FD"/>
    <w:rsid w:val="00995549"/>
    <w:rsid w:val="00996B1A"/>
    <w:rsid w:val="00996FEC"/>
    <w:rsid w:val="009A0033"/>
    <w:rsid w:val="009A1B07"/>
    <w:rsid w:val="009A1BA7"/>
    <w:rsid w:val="009A4339"/>
    <w:rsid w:val="009A4DE3"/>
    <w:rsid w:val="009A5AFC"/>
    <w:rsid w:val="009A7020"/>
    <w:rsid w:val="009A72E7"/>
    <w:rsid w:val="009A77FC"/>
    <w:rsid w:val="009A7F10"/>
    <w:rsid w:val="009B139A"/>
    <w:rsid w:val="009B13CF"/>
    <w:rsid w:val="009B2058"/>
    <w:rsid w:val="009B3E26"/>
    <w:rsid w:val="009B4DFA"/>
    <w:rsid w:val="009B555A"/>
    <w:rsid w:val="009B5D61"/>
    <w:rsid w:val="009B6A0F"/>
    <w:rsid w:val="009B7540"/>
    <w:rsid w:val="009B78D1"/>
    <w:rsid w:val="009C0E43"/>
    <w:rsid w:val="009C1182"/>
    <w:rsid w:val="009C182D"/>
    <w:rsid w:val="009C2122"/>
    <w:rsid w:val="009C3BCD"/>
    <w:rsid w:val="009C3D85"/>
    <w:rsid w:val="009C4C32"/>
    <w:rsid w:val="009C592F"/>
    <w:rsid w:val="009C6647"/>
    <w:rsid w:val="009C6922"/>
    <w:rsid w:val="009C6CEA"/>
    <w:rsid w:val="009C7B85"/>
    <w:rsid w:val="009D04FE"/>
    <w:rsid w:val="009D05CB"/>
    <w:rsid w:val="009D264B"/>
    <w:rsid w:val="009D5B91"/>
    <w:rsid w:val="009D758D"/>
    <w:rsid w:val="009D792E"/>
    <w:rsid w:val="009E0DFE"/>
    <w:rsid w:val="009E1226"/>
    <w:rsid w:val="009E1351"/>
    <w:rsid w:val="009E20AE"/>
    <w:rsid w:val="009E2E39"/>
    <w:rsid w:val="009E380F"/>
    <w:rsid w:val="009E3B42"/>
    <w:rsid w:val="009E3D76"/>
    <w:rsid w:val="009E4C07"/>
    <w:rsid w:val="009E57B4"/>
    <w:rsid w:val="009E5EDF"/>
    <w:rsid w:val="009E71B9"/>
    <w:rsid w:val="009F0002"/>
    <w:rsid w:val="009F02FA"/>
    <w:rsid w:val="009F08B9"/>
    <w:rsid w:val="009F0BC1"/>
    <w:rsid w:val="009F0C36"/>
    <w:rsid w:val="009F0F0C"/>
    <w:rsid w:val="009F16BB"/>
    <w:rsid w:val="009F1E33"/>
    <w:rsid w:val="009F21A4"/>
    <w:rsid w:val="009F3C7B"/>
    <w:rsid w:val="009F4DFA"/>
    <w:rsid w:val="009F5EBB"/>
    <w:rsid w:val="009F5F30"/>
    <w:rsid w:val="009F73B6"/>
    <w:rsid w:val="009F7DEB"/>
    <w:rsid w:val="00A00B95"/>
    <w:rsid w:val="00A01184"/>
    <w:rsid w:val="00A018E1"/>
    <w:rsid w:val="00A0200E"/>
    <w:rsid w:val="00A02DB0"/>
    <w:rsid w:val="00A03A34"/>
    <w:rsid w:val="00A03D43"/>
    <w:rsid w:val="00A03E1F"/>
    <w:rsid w:val="00A04380"/>
    <w:rsid w:val="00A04C2B"/>
    <w:rsid w:val="00A0531E"/>
    <w:rsid w:val="00A1111B"/>
    <w:rsid w:val="00A11883"/>
    <w:rsid w:val="00A11CD0"/>
    <w:rsid w:val="00A11E6F"/>
    <w:rsid w:val="00A124DD"/>
    <w:rsid w:val="00A12B5E"/>
    <w:rsid w:val="00A12B98"/>
    <w:rsid w:val="00A131ED"/>
    <w:rsid w:val="00A13948"/>
    <w:rsid w:val="00A13D5E"/>
    <w:rsid w:val="00A1555B"/>
    <w:rsid w:val="00A155C5"/>
    <w:rsid w:val="00A16AD8"/>
    <w:rsid w:val="00A177A2"/>
    <w:rsid w:val="00A17938"/>
    <w:rsid w:val="00A17970"/>
    <w:rsid w:val="00A17A15"/>
    <w:rsid w:val="00A17CAF"/>
    <w:rsid w:val="00A17EE6"/>
    <w:rsid w:val="00A21CF3"/>
    <w:rsid w:val="00A22DCB"/>
    <w:rsid w:val="00A22F22"/>
    <w:rsid w:val="00A23041"/>
    <w:rsid w:val="00A23488"/>
    <w:rsid w:val="00A23DDB"/>
    <w:rsid w:val="00A240F8"/>
    <w:rsid w:val="00A24547"/>
    <w:rsid w:val="00A24A4F"/>
    <w:rsid w:val="00A25AC8"/>
    <w:rsid w:val="00A27AEC"/>
    <w:rsid w:val="00A303FA"/>
    <w:rsid w:val="00A30949"/>
    <w:rsid w:val="00A31457"/>
    <w:rsid w:val="00A31849"/>
    <w:rsid w:val="00A320DB"/>
    <w:rsid w:val="00A32583"/>
    <w:rsid w:val="00A35291"/>
    <w:rsid w:val="00A35D16"/>
    <w:rsid w:val="00A36129"/>
    <w:rsid w:val="00A36467"/>
    <w:rsid w:val="00A3685B"/>
    <w:rsid w:val="00A370EF"/>
    <w:rsid w:val="00A37BCD"/>
    <w:rsid w:val="00A37C55"/>
    <w:rsid w:val="00A37ECA"/>
    <w:rsid w:val="00A37ECF"/>
    <w:rsid w:val="00A40F03"/>
    <w:rsid w:val="00A4246B"/>
    <w:rsid w:val="00A42DD5"/>
    <w:rsid w:val="00A43C59"/>
    <w:rsid w:val="00A4411E"/>
    <w:rsid w:val="00A44D4B"/>
    <w:rsid w:val="00A45934"/>
    <w:rsid w:val="00A45B52"/>
    <w:rsid w:val="00A46B13"/>
    <w:rsid w:val="00A46C78"/>
    <w:rsid w:val="00A50621"/>
    <w:rsid w:val="00A50ECD"/>
    <w:rsid w:val="00A5171E"/>
    <w:rsid w:val="00A518F3"/>
    <w:rsid w:val="00A52729"/>
    <w:rsid w:val="00A52C7C"/>
    <w:rsid w:val="00A52C83"/>
    <w:rsid w:val="00A53546"/>
    <w:rsid w:val="00A53675"/>
    <w:rsid w:val="00A564D7"/>
    <w:rsid w:val="00A56B6A"/>
    <w:rsid w:val="00A578DC"/>
    <w:rsid w:val="00A6036D"/>
    <w:rsid w:val="00A6069E"/>
    <w:rsid w:val="00A643C3"/>
    <w:rsid w:val="00A65128"/>
    <w:rsid w:val="00A65FB7"/>
    <w:rsid w:val="00A6725B"/>
    <w:rsid w:val="00A679C1"/>
    <w:rsid w:val="00A70605"/>
    <w:rsid w:val="00A714B3"/>
    <w:rsid w:val="00A71DB1"/>
    <w:rsid w:val="00A7235C"/>
    <w:rsid w:val="00A73134"/>
    <w:rsid w:val="00A73946"/>
    <w:rsid w:val="00A74FC8"/>
    <w:rsid w:val="00A752C0"/>
    <w:rsid w:val="00A7565E"/>
    <w:rsid w:val="00A76FA8"/>
    <w:rsid w:val="00A777B2"/>
    <w:rsid w:val="00A80CC6"/>
    <w:rsid w:val="00A83B94"/>
    <w:rsid w:val="00A84356"/>
    <w:rsid w:val="00A84758"/>
    <w:rsid w:val="00A84B6F"/>
    <w:rsid w:val="00A84D23"/>
    <w:rsid w:val="00A85496"/>
    <w:rsid w:val="00A86C8F"/>
    <w:rsid w:val="00A86E8B"/>
    <w:rsid w:val="00A87164"/>
    <w:rsid w:val="00A879CC"/>
    <w:rsid w:val="00A9040E"/>
    <w:rsid w:val="00A90ECD"/>
    <w:rsid w:val="00A92C60"/>
    <w:rsid w:val="00A93072"/>
    <w:rsid w:val="00A93156"/>
    <w:rsid w:val="00A9372C"/>
    <w:rsid w:val="00A93953"/>
    <w:rsid w:val="00A94913"/>
    <w:rsid w:val="00A958E2"/>
    <w:rsid w:val="00A959D8"/>
    <w:rsid w:val="00AA05FB"/>
    <w:rsid w:val="00AA0710"/>
    <w:rsid w:val="00AA0A24"/>
    <w:rsid w:val="00AA0F21"/>
    <w:rsid w:val="00AA113D"/>
    <w:rsid w:val="00AA1FD1"/>
    <w:rsid w:val="00AA2419"/>
    <w:rsid w:val="00AA3BE2"/>
    <w:rsid w:val="00AA56E8"/>
    <w:rsid w:val="00AA5CDF"/>
    <w:rsid w:val="00AA6698"/>
    <w:rsid w:val="00AA6C7D"/>
    <w:rsid w:val="00AA7FD6"/>
    <w:rsid w:val="00AA7FF5"/>
    <w:rsid w:val="00AB042A"/>
    <w:rsid w:val="00AB274E"/>
    <w:rsid w:val="00AB2D34"/>
    <w:rsid w:val="00AB3430"/>
    <w:rsid w:val="00AB3ABB"/>
    <w:rsid w:val="00AB4248"/>
    <w:rsid w:val="00AB430C"/>
    <w:rsid w:val="00AB479A"/>
    <w:rsid w:val="00AB4AD1"/>
    <w:rsid w:val="00AB5575"/>
    <w:rsid w:val="00AB6508"/>
    <w:rsid w:val="00AB797A"/>
    <w:rsid w:val="00AB79E2"/>
    <w:rsid w:val="00AB7BC7"/>
    <w:rsid w:val="00AB7CFA"/>
    <w:rsid w:val="00AB7EBC"/>
    <w:rsid w:val="00AC0E40"/>
    <w:rsid w:val="00AC1F0E"/>
    <w:rsid w:val="00AC29BF"/>
    <w:rsid w:val="00AC2E11"/>
    <w:rsid w:val="00AC4B14"/>
    <w:rsid w:val="00AC5864"/>
    <w:rsid w:val="00AC59B6"/>
    <w:rsid w:val="00AC5B48"/>
    <w:rsid w:val="00AC5CC6"/>
    <w:rsid w:val="00AC6200"/>
    <w:rsid w:val="00AC6C95"/>
    <w:rsid w:val="00AC7884"/>
    <w:rsid w:val="00AD0C3F"/>
    <w:rsid w:val="00AD3FDF"/>
    <w:rsid w:val="00AD44B2"/>
    <w:rsid w:val="00AD46F1"/>
    <w:rsid w:val="00AD574E"/>
    <w:rsid w:val="00AD5F3C"/>
    <w:rsid w:val="00AD6502"/>
    <w:rsid w:val="00AD6E47"/>
    <w:rsid w:val="00AE1DC9"/>
    <w:rsid w:val="00AE1E18"/>
    <w:rsid w:val="00AE2065"/>
    <w:rsid w:val="00AE472E"/>
    <w:rsid w:val="00AE47CA"/>
    <w:rsid w:val="00AE532E"/>
    <w:rsid w:val="00AE551D"/>
    <w:rsid w:val="00AE6264"/>
    <w:rsid w:val="00AE79F2"/>
    <w:rsid w:val="00AE7E93"/>
    <w:rsid w:val="00AF09E2"/>
    <w:rsid w:val="00AF0FB4"/>
    <w:rsid w:val="00AF1315"/>
    <w:rsid w:val="00AF1406"/>
    <w:rsid w:val="00AF19BF"/>
    <w:rsid w:val="00AF22F4"/>
    <w:rsid w:val="00AF2398"/>
    <w:rsid w:val="00AF2DC3"/>
    <w:rsid w:val="00AF37BF"/>
    <w:rsid w:val="00AF3CCC"/>
    <w:rsid w:val="00AF46A9"/>
    <w:rsid w:val="00AF5073"/>
    <w:rsid w:val="00AF65C4"/>
    <w:rsid w:val="00AF7D3D"/>
    <w:rsid w:val="00B01D35"/>
    <w:rsid w:val="00B01F5A"/>
    <w:rsid w:val="00B033E5"/>
    <w:rsid w:val="00B03A63"/>
    <w:rsid w:val="00B03C5A"/>
    <w:rsid w:val="00B04408"/>
    <w:rsid w:val="00B04878"/>
    <w:rsid w:val="00B04B43"/>
    <w:rsid w:val="00B07F5D"/>
    <w:rsid w:val="00B10378"/>
    <w:rsid w:val="00B11B16"/>
    <w:rsid w:val="00B13306"/>
    <w:rsid w:val="00B1408D"/>
    <w:rsid w:val="00B14161"/>
    <w:rsid w:val="00B14AC1"/>
    <w:rsid w:val="00B152A3"/>
    <w:rsid w:val="00B15E7D"/>
    <w:rsid w:val="00B1626B"/>
    <w:rsid w:val="00B164BD"/>
    <w:rsid w:val="00B168B0"/>
    <w:rsid w:val="00B16F51"/>
    <w:rsid w:val="00B174EA"/>
    <w:rsid w:val="00B201A4"/>
    <w:rsid w:val="00B213A6"/>
    <w:rsid w:val="00B21F07"/>
    <w:rsid w:val="00B22BB3"/>
    <w:rsid w:val="00B24318"/>
    <w:rsid w:val="00B245D2"/>
    <w:rsid w:val="00B24DF6"/>
    <w:rsid w:val="00B25CF5"/>
    <w:rsid w:val="00B2655A"/>
    <w:rsid w:val="00B2791E"/>
    <w:rsid w:val="00B27FAC"/>
    <w:rsid w:val="00B305B7"/>
    <w:rsid w:val="00B31DE7"/>
    <w:rsid w:val="00B34B1E"/>
    <w:rsid w:val="00B34FE2"/>
    <w:rsid w:val="00B3503B"/>
    <w:rsid w:val="00B35576"/>
    <w:rsid w:val="00B357D8"/>
    <w:rsid w:val="00B36BBA"/>
    <w:rsid w:val="00B36C36"/>
    <w:rsid w:val="00B36CE1"/>
    <w:rsid w:val="00B375C8"/>
    <w:rsid w:val="00B37BFC"/>
    <w:rsid w:val="00B37C78"/>
    <w:rsid w:val="00B37D99"/>
    <w:rsid w:val="00B37F6A"/>
    <w:rsid w:val="00B40358"/>
    <w:rsid w:val="00B408CC"/>
    <w:rsid w:val="00B41614"/>
    <w:rsid w:val="00B42851"/>
    <w:rsid w:val="00B42C15"/>
    <w:rsid w:val="00B42F80"/>
    <w:rsid w:val="00B435CB"/>
    <w:rsid w:val="00B43DC9"/>
    <w:rsid w:val="00B45135"/>
    <w:rsid w:val="00B454C3"/>
    <w:rsid w:val="00B45D74"/>
    <w:rsid w:val="00B4608A"/>
    <w:rsid w:val="00B464D6"/>
    <w:rsid w:val="00B478B4"/>
    <w:rsid w:val="00B47C70"/>
    <w:rsid w:val="00B50205"/>
    <w:rsid w:val="00B5035C"/>
    <w:rsid w:val="00B50D79"/>
    <w:rsid w:val="00B50DB8"/>
    <w:rsid w:val="00B513BF"/>
    <w:rsid w:val="00B521C5"/>
    <w:rsid w:val="00B525EB"/>
    <w:rsid w:val="00B52660"/>
    <w:rsid w:val="00B52844"/>
    <w:rsid w:val="00B53654"/>
    <w:rsid w:val="00B538F9"/>
    <w:rsid w:val="00B53905"/>
    <w:rsid w:val="00B54B5B"/>
    <w:rsid w:val="00B55362"/>
    <w:rsid w:val="00B5562E"/>
    <w:rsid w:val="00B5591F"/>
    <w:rsid w:val="00B55A16"/>
    <w:rsid w:val="00B5681B"/>
    <w:rsid w:val="00B57000"/>
    <w:rsid w:val="00B5755A"/>
    <w:rsid w:val="00B57A71"/>
    <w:rsid w:val="00B60939"/>
    <w:rsid w:val="00B60AFD"/>
    <w:rsid w:val="00B6184F"/>
    <w:rsid w:val="00B62668"/>
    <w:rsid w:val="00B62715"/>
    <w:rsid w:val="00B635AA"/>
    <w:rsid w:val="00B63865"/>
    <w:rsid w:val="00B643B0"/>
    <w:rsid w:val="00B64FC4"/>
    <w:rsid w:val="00B6558F"/>
    <w:rsid w:val="00B70A9C"/>
    <w:rsid w:val="00B71062"/>
    <w:rsid w:val="00B717C7"/>
    <w:rsid w:val="00B72CFC"/>
    <w:rsid w:val="00B72E6C"/>
    <w:rsid w:val="00B73DDC"/>
    <w:rsid w:val="00B745B1"/>
    <w:rsid w:val="00B750CA"/>
    <w:rsid w:val="00B75569"/>
    <w:rsid w:val="00B767A3"/>
    <w:rsid w:val="00B76DF9"/>
    <w:rsid w:val="00B773DB"/>
    <w:rsid w:val="00B818A4"/>
    <w:rsid w:val="00B84117"/>
    <w:rsid w:val="00B85AA2"/>
    <w:rsid w:val="00B85CDE"/>
    <w:rsid w:val="00B863CF"/>
    <w:rsid w:val="00B8649C"/>
    <w:rsid w:val="00B87AFE"/>
    <w:rsid w:val="00B87E0A"/>
    <w:rsid w:val="00B87F0A"/>
    <w:rsid w:val="00B91692"/>
    <w:rsid w:val="00B91D27"/>
    <w:rsid w:val="00B91D99"/>
    <w:rsid w:val="00B92D0B"/>
    <w:rsid w:val="00B944B6"/>
    <w:rsid w:val="00B94945"/>
    <w:rsid w:val="00B9579D"/>
    <w:rsid w:val="00B96BEA"/>
    <w:rsid w:val="00B96D19"/>
    <w:rsid w:val="00B97785"/>
    <w:rsid w:val="00BA0B72"/>
    <w:rsid w:val="00BA10D2"/>
    <w:rsid w:val="00BA1C9A"/>
    <w:rsid w:val="00BA322D"/>
    <w:rsid w:val="00BA3CCE"/>
    <w:rsid w:val="00BA5186"/>
    <w:rsid w:val="00BA52CC"/>
    <w:rsid w:val="00BA5466"/>
    <w:rsid w:val="00BA5DBD"/>
    <w:rsid w:val="00BA7D9E"/>
    <w:rsid w:val="00BA7EAA"/>
    <w:rsid w:val="00BB0BDD"/>
    <w:rsid w:val="00BB181D"/>
    <w:rsid w:val="00BB2314"/>
    <w:rsid w:val="00BB23F5"/>
    <w:rsid w:val="00BB2A73"/>
    <w:rsid w:val="00BB2EC9"/>
    <w:rsid w:val="00BB2F18"/>
    <w:rsid w:val="00BB3EA5"/>
    <w:rsid w:val="00BB4592"/>
    <w:rsid w:val="00BB4ACC"/>
    <w:rsid w:val="00BB5484"/>
    <w:rsid w:val="00BB5E26"/>
    <w:rsid w:val="00BB6A36"/>
    <w:rsid w:val="00BB703E"/>
    <w:rsid w:val="00BB7405"/>
    <w:rsid w:val="00BC1850"/>
    <w:rsid w:val="00BC1903"/>
    <w:rsid w:val="00BC21DE"/>
    <w:rsid w:val="00BC23EB"/>
    <w:rsid w:val="00BC2776"/>
    <w:rsid w:val="00BC2A63"/>
    <w:rsid w:val="00BC2E2D"/>
    <w:rsid w:val="00BC328F"/>
    <w:rsid w:val="00BC3631"/>
    <w:rsid w:val="00BC3766"/>
    <w:rsid w:val="00BC42DC"/>
    <w:rsid w:val="00BC5AE8"/>
    <w:rsid w:val="00BC5DC5"/>
    <w:rsid w:val="00BC6A9F"/>
    <w:rsid w:val="00BC7185"/>
    <w:rsid w:val="00BD1B21"/>
    <w:rsid w:val="00BD2669"/>
    <w:rsid w:val="00BD26C4"/>
    <w:rsid w:val="00BD31D0"/>
    <w:rsid w:val="00BD39AE"/>
    <w:rsid w:val="00BD3E71"/>
    <w:rsid w:val="00BD68A3"/>
    <w:rsid w:val="00BD6938"/>
    <w:rsid w:val="00BD6A6E"/>
    <w:rsid w:val="00BD6CF3"/>
    <w:rsid w:val="00BD757A"/>
    <w:rsid w:val="00BE0E75"/>
    <w:rsid w:val="00BE1166"/>
    <w:rsid w:val="00BE2180"/>
    <w:rsid w:val="00BE21F2"/>
    <w:rsid w:val="00BE2CE1"/>
    <w:rsid w:val="00BE4275"/>
    <w:rsid w:val="00BE45EB"/>
    <w:rsid w:val="00BE496A"/>
    <w:rsid w:val="00BE5895"/>
    <w:rsid w:val="00BE5E86"/>
    <w:rsid w:val="00BE6612"/>
    <w:rsid w:val="00BE6B4F"/>
    <w:rsid w:val="00BF0D11"/>
    <w:rsid w:val="00BF0F95"/>
    <w:rsid w:val="00BF103F"/>
    <w:rsid w:val="00BF2433"/>
    <w:rsid w:val="00BF24D4"/>
    <w:rsid w:val="00BF2F69"/>
    <w:rsid w:val="00BF31E1"/>
    <w:rsid w:val="00BF3260"/>
    <w:rsid w:val="00BF36BA"/>
    <w:rsid w:val="00BF3733"/>
    <w:rsid w:val="00BF3D35"/>
    <w:rsid w:val="00BF3DB2"/>
    <w:rsid w:val="00BF3FC7"/>
    <w:rsid w:val="00BF4D34"/>
    <w:rsid w:val="00BF61C5"/>
    <w:rsid w:val="00BF61C9"/>
    <w:rsid w:val="00BF6342"/>
    <w:rsid w:val="00BF6C94"/>
    <w:rsid w:val="00BF7EE4"/>
    <w:rsid w:val="00C0017F"/>
    <w:rsid w:val="00C00424"/>
    <w:rsid w:val="00C00EE8"/>
    <w:rsid w:val="00C0275B"/>
    <w:rsid w:val="00C04C7A"/>
    <w:rsid w:val="00C05D6B"/>
    <w:rsid w:val="00C0609B"/>
    <w:rsid w:val="00C06609"/>
    <w:rsid w:val="00C0660E"/>
    <w:rsid w:val="00C06839"/>
    <w:rsid w:val="00C06BF3"/>
    <w:rsid w:val="00C06C1C"/>
    <w:rsid w:val="00C11589"/>
    <w:rsid w:val="00C119CE"/>
    <w:rsid w:val="00C12456"/>
    <w:rsid w:val="00C12532"/>
    <w:rsid w:val="00C125A7"/>
    <w:rsid w:val="00C12C14"/>
    <w:rsid w:val="00C132C8"/>
    <w:rsid w:val="00C134C1"/>
    <w:rsid w:val="00C141B8"/>
    <w:rsid w:val="00C14743"/>
    <w:rsid w:val="00C158C9"/>
    <w:rsid w:val="00C166C0"/>
    <w:rsid w:val="00C20048"/>
    <w:rsid w:val="00C200AA"/>
    <w:rsid w:val="00C20DC2"/>
    <w:rsid w:val="00C213BF"/>
    <w:rsid w:val="00C2141A"/>
    <w:rsid w:val="00C2154E"/>
    <w:rsid w:val="00C237ED"/>
    <w:rsid w:val="00C24632"/>
    <w:rsid w:val="00C251EE"/>
    <w:rsid w:val="00C25418"/>
    <w:rsid w:val="00C25D9C"/>
    <w:rsid w:val="00C25E39"/>
    <w:rsid w:val="00C25F82"/>
    <w:rsid w:val="00C26940"/>
    <w:rsid w:val="00C2778B"/>
    <w:rsid w:val="00C3123E"/>
    <w:rsid w:val="00C31649"/>
    <w:rsid w:val="00C3177A"/>
    <w:rsid w:val="00C325BB"/>
    <w:rsid w:val="00C32951"/>
    <w:rsid w:val="00C32EA5"/>
    <w:rsid w:val="00C3303D"/>
    <w:rsid w:val="00C33184"/>
    <w:rsid w:val="00C345D8"/>
    <w:rsid w:val="00C34909"/>
    <w:rsid w:val="00C35579"/>
    <w:rsid w:val="00C35B97"/>
    <w:rsid w:val="00C36136"/>
    <w:rsid w:val="00C3679B"/>
    <w:rsid w:val="00C36D9A"/>
    <w:rsid w:val="00C36FDF"/>
    <w:rsid w:val="00C3796D"/>
    <w:rsid w:val="00C3798D"/>
    <w:rsid w:val="00C40385"/>
    <w:rsid w:val="00C40DFB"/>
    <w:rsid w:val="00C40FB5"/>
    <w:rsid w:val="00C424E2"/>
    <w:rsid w:val="00C42735"/>
    <w:rsid w:val="00C42E08"/>
    <w:rsid w:val="00C43A77"/>
    <w:rsid w:val="00C44889"/>
    <w:rsid w:val="00C452AB"/>
    <w:rsid w:val="00C45349"/>
    <w:rsid w:val="00C45BC5"/>
    <w:rsid w:val="00C4667B"/>
    <w:rsid w:val="00C467B5"/>
    <w:rsid w:val="00C46D09"/>
    <w:rsid w:val="00C46D19"/>
    <w:rsid w:val="00C475AA"/>
    <w:rsid w:val="00C4792A"/>
    <w:rsid w:val="00C47F64"/>
    <w:rsid w:val="00C530D5"/>
    <w:rsid w:val="00C535BC"/>
    <w:rsid w:val="00C53789"/>
    <w:rsid w:val="00C5442F"/>
    <w:rsid w:val="00C5485C"/>
    <w:rsid w:val="00C55F81"/>
    <w:rsid w:val="00C576D3"/>
    <w:rsid w:val="00C578D9"/>
    <w:rsid w:val="00C60A4B"/>
    <w:rsid w:val="00C60B08"/>
    <w:rsid w:val="00C61AD7"/>
    <w:rsid w:val="00C63DE4"/>
    <w:rsid w:val="00C63E2D"/>
    <w:rsid w:val="00C6459D"/>
    <w:rsid w:val="00C65576"/>
    <w:rsid w:val="00C66165"/>
    <w:rsid w:val="00C66D6F"/>
    <w:rsid w:val="00C67417"/>
    <w:rsid w:val="00C67654"/>
    <w:rsid w:val="00C67F03"/>
    <w:rsid w:val="00C713DE"/>
    <w:rsid w:val="00C7151A"/>
    <w:rsid w:val="00C71911"/>
    <w:rsid w:val="00C71F60"/>
    <w:rsid w:val="00C72241"/>
    <w:rsid w:val="00C725FC"/>
    <w:rsid w:val="00C72676"/>
    <w:rsid w:val="00C7276D"/>
    <w:rsid w:val="00C72AB8"/>
    <w:rsid w:val="00C74EA7"/>
    <w:rsid w:val="00C750C8"/>
    <w:rsid w:val="00C7560F"/>
    <w:rsid w:val="00C75DEA"/>
    <w:rsid w:val="00C764CD"/>
    <w:rsid w:val="00C76CE7"/>
    <w:rsid w:val="00C8056C"/>
    <w:rsid w:val="00C80655"/>
    <w:rsid w:val="00C80A0E"/>
    <w:rsid w:val="00C80E60"/>
    <w:rsid w:val="00C81973"/>
    <w:rsid w:val="00C8213F"/>
    <w:rsid w:val="00C82540"/>
    <w:rsid w:val="00C82A05"/>
    <w:rsid w:val="00C82A27"/>
    <w:rsid w:val="00C82C6C"/>
    <w:rsid w:val="00C82D83"/>
    <w:rsid w:val="00C844C0"/>
    <w:rsid w:val="00C8459B"/>
    <w:rsid w:val="00C84B62"/>
    <w:rsid w:val="00C85928"/>
    <w:rsid w:val="00C85C37"/>
    <w:rsid w:val="00C86363"/>
    <w:rsid w:val="00C8797A"/>
    <w:rsid w:val="00C900B8"/>
    <w:rsid w:val="00C9042A"/>
    <w:rsid w:val="00C90C71"/>
    <w:rsid w:val="00C917D5"/>
    <w:rsid w:val="00C91AF0"/>
    <w:rsid w:val="00C931CF"/>
    <w:rsid w:val="00C938CF"/>
    <w:rsid w:val="00C954AA"/>
    <w:rsid w:val="00C9624D"/>
    <w:rsid w:val="00C969DA"/>
    <w:rsid w:val="00C96CE4"/>
    <w:rsid w:val="00CA08CC"/>
    <w:rsid w:val="00CA0F78"/>
    <w:rsid w:val="00CA24CA"/>
    <w:rsid w:val="00CA2706"/>
    <w:rsid w:val="00CA2C77"/>
    <w:rsid w:val="00CA3BEA"/>
    <w:rsid w:val="00CA444F"/>
    <w:rsid w:val="00CA4722"/>
    <w:rsid w:val="00CA494D"/>
    <w:rsid w:val="00CA5245"/>
    <w:rsid w:val="00CA5786"/>
    <w:rsid w:val="00CA7163"/>
    <w:rsid w:val="00CA71EF"/>
    <w:rsid w:val="00CA71F4"/>
    <w:rsid w:val="00CA74B1"/>
    <w:rsid w:val="00CA7825"/>
    <w:rsid w:val="00CA7A5D"/>
    <w:rsid w:val="00CA7B09"/>
    <w:rsid w:val="00CA7DF3"/>
    <w:rsid w:val="00CA7FAF"/>
    <w:rsid w:val="00CB0F10"/>
    <w:rsid w:val="00CB12E1"/>
    <w:rsid w:val="00CB1990"/>
    <w:rsid w:val="00CB2403"/>
    <w:rsid w:val="00CB2F2A"/>
    <w:rsid w:val="00CB3927"/>
    <w:rsid w:val="00CB52EA"/>
    <w:rsid w:val="00CB55B6"/>
    <w:rsid w:val="00CB5869"/>
    <w:rsid w:val="00CB5B1A"/>
    <w:rsid w:val="00CB625C"/>
    <w:rsid w:val="00CB6B22"/>
    <w:rsid w:val="00CB6F91"/>
    <w:rsid w:val="00CB75CE"/>
    <w:rsid w:val="00CB7C5A"/>
    <w:rsid w:val="00CB7F5F"/>
    <w:rsid w:val="00CC0608"/>
    <w:rsid w:val="00CC0B48"/>
    <w:rsid w:val="00CC0DE7"/>
    <w:rsid w:val="00CC1B39"/>
    <w:rsid w:val="00CC1D40"/>
    <w:rsid w:val="00CC2658"/>
    <w:rsid w:val="00CC2840"/>
    <w:rsid w:val="00CC38F3"/>
    <w:rsid w:val="00CC3B18"/>
    <w:rsid w:val="00CC5796"/>
    <w:rsid w:val="00CC5E27"/>
    <w:rsid w:val="00CC6EB0"/>
    <w:rsid w:val="00CC7515"/>
    <w:rsid w:val="00CD2E70"/>
    <w:rsid w:val="00CD3508"/>
    <w:rsid w:val="00CD46AA"/>
    <w:rsid w:val="00CD6ADC"/>
    <w:rsid w:val="00CD6FAA"/>
    <w:rsid w:val="00CD7793"/>
    <w:rsid w:val="00CE0494"/>
    <w:rsid w:val="00CE0B16"/>
    <w:rsid w:val="00CE0EC3"/>
    <w:rsid w:val="00CE13FF"/>
    <w:rsid w:val="00CE363F"/>
    <w:rsid w:val="00CE39D6"/>
    <w:rsid w:val="00CE45C3"/>
    <w:rsid w:val="00CE5ACA"/>
    <w:rsid w:val="00CE6274"/>
    <w:rsid w:val="00CE7149"/>
    <w:rsid w:val="00CE7F2A"/>
    <w:rsid w:val="00CF13D9"/>
    <w:rsid w:val="00CF18FA"/>
    <w:rsid w:val="00CF1E53"/>
    <w:rsid w:val="00CF2B8D"/>
    <w:rsid w:val="00CF2DED"/>
    <w:rsid w:val="00CF3D4F"/>
    <w:rsid w:val="00CF456B"/>
    <w:rsid w:val="00CF4B57"/>
    <w:rsid w:val="00CF509E"/>
    <w:rsid w:val="00CF5A22"/>
    <w:rsid w:val="00CF67A8"/>
    <w:rsid w:val="00CF69AD"/>
    <w:rsid w:val="00D006F7"/>
    <w:rsid w:val="00D01DB9"/>
    <w:rsid w:val="00D0254E"/>
    <w:rsid w:val="00D0262E"/>
    <w:rsid w:val="00D0306D"/>
    <w:rsid w:val="00D03578"/>
    <w:rsid w:val="00D06227"/>
    <w:rsid w:val="00D0632F"/>
    <w:rsid w:val="00D066E5"/>
    <w:rsid w:val="00D07960"/>
    <w:rsid w:val="00D1018F"/>
    <w:rsid w:val="00D105B3"/>
    <w:rsid w:val="00D10894"/>
    <w:rsid w:val="00D110BD"/>
    <w:rsid w:val="00D12891"/>
    <w:rsid w:val="00D12CAC"/>
    <w:rsid w:val="00D1313E"/>
    <w:rsid w:val="00D1364D"/>
    <w:rsid w:val="00D13675"/>
    <w:rsid w:val="00D141E1"/>
    <w:rsid w:val="00D14A06"/>
    <w:rsid w:val="00D14E9A"/>
    <w:rsid w:val="00D15B45"/>
    <w:rsid w:val="00D15E78"/>
    <w:rsid w:val="00D161B3"/>
    <w:rsid w:val="00D163CF"/>
    <w:rsid w:val="00D17D6C"/>
    <w:rsid w:val="00D2005E"/>
    <w:rsid w:val="00D202CA"/>
    <w:rsid w:val="00D234D5"/>
    <w:rsid w:val="00D24FB5"/>
    <w:rsid w:val="00D261F7"/>
    <w:rsid w:val="00D2681B"/>
    <w:rsid w:val="00D26963"/>
    <w:rsid w:val="00D26B34"/>
    <w:rsid w:val="00D270A8"/>
    <w:rsid w:val="00D2754D"/>
    <w:rsid w:val="00D27B27"/>
    <w:rsid w:val="00D30A8F"/>
    <w:rsid w:val="00D30CA1"/>
    <w:rsid w:val="00D320E2"/>
    <w:rsid w:val="00D3380B"/>
    <w:rsid w:val="00D33BE9"/>
    <w:rsid w:val="00D35394"/>
    <w:rsid w:val="00D357FF"/>
    <w:rsid w:val="00D35CD8"/>
    <w:rsid w:val="00D36796"/>
    <w:rsid w:val="00D376C2"/>
    <w:rsid w:val="00D40DAB"/>
    <w:rsid w:val="00D4191D"/>
    <w:rsid w:val="00D419CF"/>
    <w:rsid w:val="00D41DCD"/>
    <w:rsid w:val="00D424C7"/>
    <w:rsid w:val="00D43B2A"/>
    <w:rsid w:val="00D44A23"/>
    <w:rsid w:val="00D4619E"/>
    <w:rsid w:val="00D46C15"/>
    <w:rsid w:val="00D47575"/>
    <w:rsid w:val="00D47E28"/>
    <w:rsid w:val="00D5075B"/>
    <w:rsid w:val="00D511C2"/>
    <w:rsid w:val="00D526E5"/>
    <w:rsid w:val="00D538DD"/>
    <w:rsid w:val="00D55E20"/>
    <w:rsid w:val="00D561B1"/>
    <w:rsid w:val="00D561BC"/>
    <w:rsid w:val="00D60932"/>
    <w:rsid w:val="00D61A1D"/>
    <w:rsid w:val="00D63374"/>
    <w:rsid w:val="00D63F29"/>
    <w:rsid w:val="00D6487C"/>
    <w:rsid w:val="00D64E55"/>
    <w:rsid w:val="00D651DA"/>
    <w:rsid w:val="00D65308"/>
    <w:rsid w:val="00D65694"/>
    <w:rsid w:val="00D657B4"/>
    <w:rsid w:val="00D65DEC"/>
    <w:rsid w:val="00D67D0E"/>
    <w:rsid w:val="00D70DD5"/>
    <w:rsid w:val="00D70F16"/>
    <w:rsid w:val="00D7123C"/>
    <w:rsid w:val="00D71866"/>
    <w:rsid w:val="00D736AF"/>
    <w:rsid w:val="00D74775"/>
    <w:rsid w:val="00D74FD0"/>
    <w:rsid w:val="00D76A44"/>
    <w:rsid w:val="00D80855"/>
    <w:rsid w:val="00D80D77"/>
    <w:rsid w:val="00D8134F"/>
    <w:rsid w:val="00D815EF"/>
    <w:rsid w:val="00D81F2A"/>
    <w:rsid w:val="00D83982"/>
    <w:rsid w:val="00D83D1E"/>
    <w:rsid w:val="00D84A40"/>
    <w:rsid w:val="00D8577F"/>
    <w:rsid w:val="00D85FEB"/>
    <w:rsid w:val="00D864B9"/>
    <w:rsid w:val="00D869BF"/>
    <w:rsid w:val="00D86C71"/>
    <w:rsid w:val="00D87CF7"/>
    <w:rsid w:val="00D905CF"/>
    <w:rsid w:val="00D90F04"/>
    <w:rsid w:val="00D91800"/>
    <w:rsid w:val="00D918B1"/>
    <w:rsid w:val="00D91923"/>
    <w:rsid w:val="00D929DD"/>
    <w:rsid w:val="00D92CE1"/>
    <w:rsid w:val="00D93753"/>
    <w:rsid w:val="00D93D08"/>
    <w:rsid w:val="00D972E2"/>
    <w:rsid w:val="00DA0218"/>
    <w:rsid w:val="00DA0356"/>
    <w:rsid w:val="00DA0630"/>
    <w:rsid w:val="00DA0EDC"/>
    <w:rsid w:val="00DA1765"/>
    <w:rsid w:val="00DA18AD"/>
    <w:rsid w:val="00DA1A84"/>
    <w:rsid w:val="00DA2172"/>
    <w:rsid w:val="00DA22BD"/>
    <w:rsid w:val="00DA2507"/>
    <w:rsid w:val="00DA2601"/>
    <w:rsid w:val="00DA3167"/>
    <w:rsid w:val="00DA37A3"/>
    <w:rsid w:val="00DA45A3"/>
    <w:rsid w:val="00DA4DC3"/>
    <w:rsid w:val="00DA621E"/>
    <w:rsid w:val="00DA6D66"/>
    <w:rsid w:val="00DA77A5"/>
    <w:rsid w:val="00DA7F8A"/>
    <w:rsid w:val="00DB0C88"/>
    <w:rsid w:val="00DB0E78"/>
    <w:rsid w:val="00DB0F0D"/>
    <w:rsid w:val="00DB1466"/>
    <w:rsid w:val="00DB1E3C"/>
    <w:rsid w:val="00DB24D8"/>
    <w:rsid w:val="00DB2ECE"/>
    <w:rsid w:val="00DB305F"/>
    <w:rsid w:val="00DB312B"/>
    <w:rsid w:val="00DB3D13"/>
    <w:rsid w:val="00DB484F"/>
    <w:rsid w:val="00DB5ACC"/>
    <w:rsid w:val="00DB5AD0"/>
    <w:rsid w:val="00DB5D06"/>
    <w:rsid w:val="00DB6487"/>
    <w:rsid w:val="00DB65B4"/>
    <w:rsid w:val="00DB6C05"/>
    <w:rsid w:val="00DC04F6"/>
    <w:rsid w:val="00DC0C31"/>
    <w:rsid w:val="00DC10E8"/>
    <w:rsid w:val="00DC2B4D"/>
    <w:rsid w:val="00DC39CF"/>
    <w:rsid w:val="00DC3C57"/>
    <w:rsid w:val="00DC5501"/>
    <w:rsid w:val="00DC68F7"/>
    <w:rsid w:val="00DC6CB7"/>
    <w:rsid w:val="00DC7E5A"/>
    <w:rsid w:val="00DC7F00"/>
    <w:rsid w:val="00DD01B8"/>
    <w:rsid w:val="00DD0355"/>
    <w:rsid w:val="00DD273C"/>
    <w:rsid w:val="00DD3F28"/>
    <w:rsid w:val="00DD4537"/>
    <w:rsid w:val="00DD4E15"/>
    <w:rsid w:val="00DD5452"/>
    <w:rsid w:val="00DD5671"/>
    <w:rsid w:val="00DD71E0"/>
    <w:rsid w:val="00DD741F"/>
    <w:rsid w:val="00DD74E5"/>
    <w:rsid w:val="00DE0151"/>
    <w:rsid w:val="00DE0310"/>
    <w:rsid w:val="00DE0897"/>
    <w:rsid w:val="00DE1438"/>
    <w:rsid w:val="00DE1AB6"/>
    <w:rsid w:val="00DE2867"/>
    <w:rsid w:val="00DE2BF7"/>
    <w:rsid w:val="00DE3138"/>
    <w:rsid w:val="00DE367C"/>
    <w:rsid w:val="00DE37F8"/>
    <w:rsid w:val="00DE3BFA"/>
    <w:rsid w:val="00DE4FCB"/>
    <w:rsid w:val="00DE5F22"/>
    <w:rsid w:val="00DE7584"/>
    <w:rsid w:val="00DE77FF"/>
    <w:rsid w:val="00DE7832"/>
    <w:rsid w:val="00DE7BB8"/>
    <w:rsid w:val="00DE7C34"/>
    <w:rsid w:val="00DF036E"/>
    <w:rsid w:val="00DF0579"/>
    <w:rsid w:val="00DF0938"/>
    <w:rsid w:val="00DF18FC"/>
    <w:rsid w:val="00DF2F9F"/>
    <w:rsid w:val="00DF30B9"/>
    <w:rsid w:val="00DF43D3"/>
    <w:rsid w:val="00DF4879"/>
    <w:rsid w:val="00DF5A24"/>
    <w:rsid w:val="00DF5D2B"/>
    <w:rsid w:val="00DF5D60"/>
    <w:rsid w:val="00DF5DD2"/>
    <w:rsid w:val="00E003E3"/>
    <w:rsid w:val="00E00E45"/>
    <w:rsid w:val="00E00E8E"/>
    <w:rsid w:val="00E01374"/>
    <w:rsid w:val="00E0189D"/>
    <w:rsid w:val="00E0242F"/>
    <w:rsid w:val="00E03D17"/>
    <w:rsid w:val="00E03FF7"/>
    <w:rsid w:val="00E0429C"/>
    <w:rsid w:val="00E05630"/>
    <w:rsid w:val="00E05679"/>
    <w:rsid w:val="00E060DF"/>
    <w:rsid w:val="00E0614B"/>
    <w:rsid w:val="00E0660A"/>
    <w:rsid w:val="00E0698F"/>
    <w:rsid w:val="00E06DBB"/>
    <w:rsid w:val="00E07C0B"/>
    <w:rsid w:val="00E07D0D"/>
    <w:rsid w:val="00E10149"/>
    <w:rsid w:val="00E101DB"/>
    <w:rsid w:val="00E120F2"/>
    <w:rsid w:val="00E12A18"/>
    <w:rsid w:val="00E14C68"/>
    <w:rsid w:val="00E159C1"/>
    <w:rsid w:val="00E16372"/>
    <w:rsid w:val="00E16DFD"/>
    <w:rsid w:val="00E17047"/>
    <w:rsid w:val="00E171B6"/>
    <w:rsid w:val="00E1749C"/>
    <w:rsid w:val="00E175CB"/>
    <w:rsid w:val="00E20E4D"/>
    <w:rsid w:val="00E20ED6"/>
    <w:rsid w:val="00E21358"/>
    <w:rsid w:val="00E2249B"/>
    <w:rsid w:val="00E22A0D"/>
    <w:rsid w:val="00E2306A"/>
    <w:rsid w:val="00E2316C"/>
    <w:rsid w:val="00E251F6"/>
    <w:rsid w:val="00E253A9"/>
    <w:rsid w:val="00E25513"/>
    <w:rsid w:val="00E25824"/>
    <w:rsid w:val="00E26286"/>
    <w:rsid w:val="00E26AAA"/>
    <w:rsid w:val="00E26C31"/>
    <w:rsid w:val="00E26E35"/>
    <w:rsid w:val="00E2771E"/>
    <w:rsid w:val="00E301A5"/>
    <w:rsid w:val="00E3054D"/>
    <w:rsid w:val="00E307C2"/>
    <w:rsid w:val="00E31D86"/>
    <w:rsid w:val="00E31FFE"/>
    <w:rsid w:val="00E320BE"/>
    <w:rsid w:val="00E3244A"/>
    <w:rsid w:val="00E32471"/>
    <w:rsid w:val="00E34948"/>
    <w:rsid w:val="00E37408"/>
    <w:rsid w:val="00E37569"/>
    <w:rsid w:val="00E4160F"/>
    <w:rsid w:val="00E41E30"/>
    <w:rsid w:val="00E42361"/>
    <w:rsid w:val="00E42769"/>
    <w:rsid w:val="00E42D71"/>
    <w:rsid w:val="00E42DFC"/>
    <w:rsid w:val="00E4311D"/>
    <w:rsid w:val="00E433D0"/>
    <w:rsid w:val="00E43D70"/>
    <w:rsid w:val="00E441E3"/>
    <w:rsid w:val="00E450B8"/>
    <w:rsid w:val="00E466F3"/>
    <w:rsid w:val="00E47651"/>
    <w:rsid w:val="00E47B2C"/>
    <w:rsid w:val="00E50401"/>
    <w:rsid w:val="00E506BF"/>
    <w:rsid w:val="00E51560"/>
    <w:rsid w:val="00E51CB9"/>
    <w:rsid w:val="00E5251E"/>
    <w:rsid w:val="00E52B74"/>
    <w:rsid w:val="00E54347"/>
    <w:rsid w:val="00E553E9"/>
    <w:rsid w:val="00E55424"/>
    <w:rsid w:val="00E55BB5"/>
    <w:rsid w:val="00E568B8"/>
    <w:rsid w:val="00E57000"/>
    <w:rsid w:val="00E571C0"/>
    <w:rsid w:val="00E57F5F"/>
    <w:rsid w:val="00E57FBE"/>
    <w:rsid w:val="00E605E7"/>
    <w:rsid w:val="00E608F6"/>
    <w:rsid w:val="00E60CFD"/>
    <w:rsid w:val="00E61DFD"/>
    <w:rsid w:val="00E62B98"/>
    <w:rsid w:val="00E63C3E"/>
    <w:rsid w:val="00E65629"/>
    <w:rsid w:val="00E6593F"/>
    <w:rsid w:val="00E6594D"/>
    <w:rsid w:val="00E65971"/>
    <w:rsid w:val="00E65E79"/>
    <w:rsid w:val="00E6601F"/>
    <w:rsid w:val="00E66BA2"/>
    <w:rsid w:val="00E66BFA"/>
    <w:rsid w:val="00E66D3B"/>
    <w:rsid w:val="00E672A9"/>
    <w:rsid w:val="00E67416"/>
    <w:rsid w:val="00E714C9"/>
    <w:rsid w:val="00E718B6"/>
    <w:rsid w:val="00E720E9"/>
    <w:rsid w:val="00E723BA"/>
    <w:rsid w:val="00E72F3F"/>
    <w:rsid w:val="00E73355"/>
    <w:rsid w:val="00E73581"/>
    <w:rsid w:val="00E7581F"/>
    <w:rsid w:val="00E75F2B"/>
    <w:rsid w:val="00E76A9F"/>
    <w:rsid w:val="00E81965"/>
    <w:rsid w:val="00E833F7"/>
    <w:rsid w:val="00E83BDF"/>
    <w:rsid w:val="00E83F7F"/>
    <w:rsid w:val="00E845DF"/>
    <w:rsid w:val="00E848FE"/>
    <w:rsid w:val="00E86828"/>
    <w:rsid w:val="00E87A1D"/>
    <w:rsid w:val="00E87DD5"/>
    <w:rsid w:val="00E87E5C"/>
    <w:rsid w:val="00E912BA"/>
    <w:rsid w:val="00E926A5"/>
    <w:rsid w:val="00E927E3"/>
    <w:rsid w:val="00E92D5E"/>
    <w:rsid w:val="00E9545E"/>
    <w:rsid w:val="00E959BA"/>
    <w:rsid w:val="00E964CF"/>
    <w:rsid w:val="00E96D81"/>
    <w:rsid w:val="00E96F57"/>
    <w:rsid w:val="00E97BEE"/>
    <w:rsid w:val="00E97C2C"/>
    <w:rsid w:val="00EA10CF"/>
    <w:rsid w:val="00EA17C3"/>
    <w:rsid w:val="00EA1B56"/>
    <w:rsid w:val="00EA1ECC"/>
    <w:rsid w:val="00EA2821"/>
    <w:rsid w:val="00EA2828"/>
    <w:rsid w:val="00EA2CAA"/>
    <w:rsid w:val="00EA31D9"/>
    <w:rsid w:val="00EA3864"/>
    <w:rsid w:val="00EA4EF8"/>
    <w:rsid w:val="00EA64AB"/>
    <w:rsid w:val="00EA6CCC"/>
    <w:rsid w:val="00EA6E68"/>
    <w:rsid w:val="00EB0E56"/>
    <w:rsid w:val="00EB15B6"/>
    <w:rsid w:val="00EB193F"/>
    <w:rsid w:val="00EB1C39"/>
    <w:rsid w:val="00EB1CDB"/>
    <w:rsid w:val="00EB3D96"/>
    <w:rsid w:val="00EB4052"/>
    <w:rsid w:val="00EB4792"/>
    <w:rsid w:val="00EB4916"/>
    <w:rsid w:val="00EB49A2"/>
    <w:rsid w:val="00EB4D91"/>
    <w:rsid w:val="00EB4FCC"/>
    <w:rsid w:val="00EB64DA"/>
    <w:rsid w:val="00EB73AD"/>
    <w:rsid w:val="00EC00C9"/>
    <w:rsid w:val="00EC0117"/>
    <w:rsid w:val="00EC0868"/>
    <w:rsid w:val="00EC0CFF"/>
    <w:rsid w:val="00EC0F07"/>
    <w:rsid w:val="00EC2649"/>
    <w:rsid w:val="00EC4A8D"/>
    <w:rsid w:val="00EC5537"/>
    <w:rsid w:val="00EC59B6"/>
    <w:rsid w:val="00EC5A97"/>
    <w:rsid w:val="00EC5EF3"/>
    <w:rsid w:val="00EC7213"/>
    <w:rsid w:val="00EC76E4"/>
    <w:rsid w:val="00ED0C5F"/>
    <w:rsid w:val="00ED0E77"/>
    <w:rsid w:val="00ED10CB"/>
    <w:rsid w:val="00ED2843"/>
    <w:rsid w:val="00ED28EB"/>
    <w:rsid w:val="00ED3362"/>
    <w:rsid w:val="00ED3742"/>
    <w:rsid w:val="00ED3F20"/>
    <w:rsid w:val="00ED3FB7"/>
    <w:rsid w:val="00ED57EA"/>
    <w:rsid w:val="00ED5DF8"/>
    <w:rsid w:val="00ED6793"/>
    <w:rsid w:val="00EE07D3"/>
    <w:rsid w:val="00EE0C4C"/>
    <w:rsid w:val="00EE1A98"/>
    <w:rsid w:val="00EE22AF"/>
    <w:rsid w:val="00EE281A"/>
    <w:rsid w:val="00EE2A8C"/>
    <w:rsid w:val="00EE2CD7"/>
    <w:rsid w:val="00EE327E"/>
    <w:rsid w:val="00EE354F"/>
    <w:rsid w:val="00EE46C5"/>
    <w:rsid w:val="00EE5266"/>
    <w:rsid w:val="00EE5947"/>
    <w:rsid w:val="00EE5CD6"/>
    <w:rsid w:val="00EE5FBB"/>
    <w:rsid w:val="00EE641E"/>
    <w:rsid w:val="00EE67AD"/>
    <w:rsid w:val="00EE6F0F"/>
    <w:rsid w:val="00EE78CD"/>
    <w:rsid w:val="00EF0171"/>
    <w:rsid w:val="00EF12D9"/>
    <w:rsid w:val="00EF1B25"/>
    <w:rsid w:val="00EF2002"/>
    <w:rsid w:val="00EF3606"/>
    <w:rsid w:val="00EF3BC5"/>
    <w:rsid w:val="00EF4587"/>
    <w:rsid w:val="00EF4747"/>
    <w:rsid w:val="00EF4BF8"/>
    <w:rsid w:val="00EF4C2D"/>
    <w:rsid w:val="00EF4FC6"/>
    <w:rsid w:val="00EF6031"/>
    <w:rsid w:val="00EF6675"/>
    <w:rsid w:val="00EF69A5"/>
    <w:rsid w:val="00F0110A"/>
    <w:rsid w:val="00F02253"/>
    <w:rsid w:val="00F02346"/>
    <w:rsid w:val="00F02588"/>
    <w:rsid w:val="00F031F3"/>
    <w:rsid w:val="00F03862"/>
    <w:rsid w:val="00F03C2E"/>
    <w:rsid w:val="00F0474F"/>
    <w:rsid w:val="00F04A66"/>
    <w:rsid w:val="00F0516C"/>
    <w:rsid w:val="00F05B53"/>
    <w:rsid w:val="00F0635D"/>
    <w:rsid w:val="00F067A2"/>
    <w:rsid w:val="00F06DD4"/>
    <w:rsid w:val="00F1042B"/>
    <w:rsid w:val="00F11A19"/>
    <w:rsid w:val="00F1263A"/>
    <w:rsid w:val="00F13881"/>
    <w:rsid w:val="00F13AA6"/>
    <w:rsid w:val="00F1414F"/>
    <w:rsid w:val="00F15462"/>
    <w:rsid w:val="00F16682"/>
    <w:rsid w:val="00F16760"/>
    <w:rsid w:val="00F1703B"/>
    <w:rsid w:val="00F171A4"/>
    <w:rsid w:val="00F17904"/>
    <w:rsid w:val="00F17CCD"/>
    <w:rsid w:val="00F20FDA"/>
    <w:rsid w:val="00F217B4"/>
    <w:rsid w:val="00F21FF4"/>
    <w:rsid w:val="00F23CB7"/>
    <w:rsid w:val="00F23F23"/>
    <w:rsid w:val="00F24837"/>
    <w:rsid w:val="00F24FDE"/>
    <w:rsid w:val="00F25713"/>
    <w:rsid w:val="00F2575F"/>
    <w:rsid w:val="00F25798"/>
    <w:rsid w:val="00F266E4"/>
    <w:rsid w:val="00F27565"/>
    <w:rsid w:val="00F27A5E"/>
    <w:rsid w:val="00F30E3F"/>
    <w:rsid w:val="00F30F47"/>
    <w:rsid w:val="00F30F4C"/>
    <w:rsid w:val="00F310D4"/>
    <w:rsid w:val="00F31D5A"/>
    <w:rsid w:val="00F323E2"/>
    <w:rsid w:val="00F32F17"/>
    <w:rsid w:val="00F33DE9"/>
    <w:rsid w:val="00F3619A"/>
    <w:rsid w:val="00F371F8"/>
    <w:rsid w:val="00F37BDD"/>
    <w:rsid w:val="00F37ECF"/>
    <w:rsid w:val="00F40AAA"/>
    <w:rsid w:val="00F40BA7"/>
    <w:rsid w:val="00F422A0"/>
    <w:rsid w:val="00F42DC0"/>
    <w:rsid w:val="00F46CB6"/>
    <w:rsid w:val="00F46F07"/>
    <w:rsid w:val="00F46F2F"/>
    <w:rsid w:val="00F47DE8"/>
    <w:rsid w:val="00F50376"/>
    <w:rsid w:val="00F51A8A"/>
    <w:rsid w:val="00F542C1"/>
    <w:rsid w:val="00F5436F"/>
    <w:rsid w:val="00F55003"/>
    <w:rsid w:val="00F5505E"/>
    <w:rsid w:val="00F5548F"/>
    <w:rsid w:val="00F55E73"/>
    <w:rsid w:val="00F55EDA"/>
    <w:rsid w:val="00F56A38"/>
    <w:rsid w:val="00F57879"/>
    <w:rsid w:val="00F60092"/>
    <w:rsid w:val="00F6010B"/>
    <w:rsid w:val="00F605C5"/>
    <w:rsid w:val="00F61207"/>
    <w:rsid w:val="00F61DD3"/>
    <w:rsid w:val="00F6370F"/>
    <w:rsid w:val="00F6397D"/>
    <w:rsid w:val="00F640E2"/>
    <w:rsid w:val="00F649F2"/>
    <w:rsid w:val="00F6558C"/>
    <w:rsid w:val="00F6573F"/>
    <w:rsid w:val="00F65F4B"/>
    <w:rsid w:val="00F67397"/>
    <w:rsid w:val="00F70B5B"/>
    <w:rsid w:val="00F70C9D"/>
    <w:rsid w:val="00F7133F"/>
    <w:rsid w:val="00F725BB"/>
    <w:rsid w:val="00F73BBF"/>
    <w:rsid w:val="00F745FD"/>
    <w:rsid w:val="00F74679"/>
    <w:rsid w:val="00F74CD9"/>
    <w:rsid w:val="00F74DCC"/>
    <w:rsid w:val="00F758FF"/>
    <w:rsid w:val="00F75A73"/>
    <w:rsid w:val="00F75C27"/>
    <w:rsid w:val="00F769AD"/>
    <w:rsid w:val="00F76A9B"/>
    <w:rsid w:val="00F76C17"/>
    <w:rsid w:val="00F77099"/>
    <w:rsid w:val="00F77F8E"/>
    <w:rsid w:val="00F80903"/>
    <w:rsid w:val="00F80A7B"/>
    <w:rsid w:val="00F80E5D"/>
    <w:rsid w:val="00F82E24"/>
    <w:rsid w:val="00F82EAC"/>
    <w:rsid w:val="00F84DCF"/>
    <w:rsid w:val="00F851CE"/>
    <w:rsid w:val="00F856C9"/>
    <w:rsid w:val="00F87F94"/>
    <w:rsid w:val="00F90536"/>
    <w:rsid w:val="00F91219"/>
    <w:rsid w:val="00F9127C"/>
    <w:rsid w:val="00F91799"/>
    <w:rsid w:val="00F91DA3"/>
    <w:rsid w:val="00F924A5"/>
    <w:rsid w:val="00F933EB"/>
    <w:rsid w:val="00F94FA3"/>
    <w:rsid w:val="00F954DE"/>
    <w:rsid w:val="00F959D0"/>
    <w:rsid w:val="00F961A7"/>
    <w:rsid w:val="00F96A53"/>
    <w:rsid w:val="00F97A33"/>
    <w:rsid w:val="00F97A78"/>
    <w:rsid w:val="00F97E15"/>
    <w:rsid w:val="00FA086B"/>
    <w:rsid w:val="00FA0B20"/>
    <w:rsid w:val="00FA24E7"/>
    <w:rsid w:val="00FA589C"/>
    <w:rsid w:val="00FA5A72"/>
    <w:rsid w:val="00FA5CA9"/>
    <w:rsid w:val="00FA5D16"/>
    <w:rsid w:val="00FA699F"/>
    <w:rsid w:val="00FA79A8"/>
    <w:rsid w:val="00FA7BF2"/>
    <w:rsid w:val="00FA7DCA"/>
    <w:rsid w:val="00FB0B6D"/>
    <w:rsid w:val="00FB14D1"/>
    <w:rsid w:val="00FB1679"/>
    <w:rsid w:val="00FB16DF"/>
    <w:rsid w:val="00FB28F0"/>
    <w:rsid w:val="00FB2E56"/>
    <w:rsid w:val="00FB2FC5"/>
    <w:rsid w:val="00FB2FCB"/>
    <w:rsid w:val="00FB3592"/>
    <w:rsid w:val="00FB3C3B"/>
    <w:rsid w:val="00FB522F"/>
    <w:rsid w:val="00FB5E56"/>
    <w:rsid w:val="00FB696F"/>
    <w:rsid w:val="00FC1074"/>
    <w:rsid w:val="00FC12C1"/>
    <w:rsid w:val="00FC1732"/>
    <w:rsid w:val="00FC1884"/>
    <w:rsid w:val="00FC2988"/>
    <w:rsid w:val="00FC2D2C"/>
    <w:rsid w:val="00FC371D"/>
    <w:rsid w:val="00FC39A2"/>
    <w:rsid w:val="00FC3C4C"/>
    <w:rsid w:val="00FC42FC"/>
    <w:rsid w:val="00FC57BF"/>
    <w:rsid w:val="00FC5F0B"/>
    <w:rsid w:val="00FC63B0"/>
    <w:rsid w:val="00FC64C4"/>
    <w:rsid w:val="00FC69A2"/>
    <w:rsid w:val="00FC72B9"/>
    <w:rsid w:val="00FC7CAB"/>
    <w:rsid w:val="00FD022A"/>
    <w:rsid w:val="00FD141D"/>
    <w:rsid w:val="00FD2100"/>
    <w:rsid w:val="00FD238C"/>
    <w:rsid w:val="00FD4067"/>
    <w:rsid w:val="00FD436C"/>
    <w:rsid w:val="00FD446D"/>
    <w:rsid w:val="00FD5482"/>
    <w:rsid w:val="00FD61F9"/>
    <w:rsid w:val="00FD6394"/>
    <w:rsid w:val="00FD6417"/>
    <w:rsid w:val="00FD6AED"/>
    <w:rsid w:val="00FD6D8C"/>
    <w:rsid w:val="00FD6FF9"/>
    <w:rsid w:val="00FE0355"/>
    <w:rsid w:val="00FE06AB"/>
    <w:rsid w:val="00FE0CF4"/>
    <w:rsid w:val="00FE0D8A"/>
    <w:rsid w:val="00FE0E6C"/>
    <w:rsid w:val="00FE1320"/>
    <w:rsid w:val="00FE1C46"/>
    <w:rsid w:val="00FE276B"/>
    <w:rsid w:val="00FE3D2B"/>
    <w:rsid w:val="00FE4306"/>
    <w:rsid w:val="00FE4440"/>
    <w:rsid w:val="00FE46E4"/>
    <w:rsid w:val="00FE4914"/>
    <w:rsid w:val="00FE4FD9"/>
    <w:rsid w:val="00FE52A1"/>
    <w:rsid w:val="00FE70C3"/>
    <w:rsid w:val="00FE7826"/>
    <w:rsid w:val="00FF0D7C"/>
    <w:rsid w:val="00FF1022"/>
    <w:rsid w:val="00FF1490"/>
    <w:rsid w:val="00FF1DED"/>
    <w:rsid w:val="00FF2534"/>
    <w:rsid w:val="00FF2BBE"/>
    <w:rsid w:val="00FF31DC"/>
    <w:rsid w:val="00FF3303"/>
    <w:rsid w:val="00FF3DCF"/>
    <w:rsid w:val="00FF449A"/>
    <w:rsid w:val="00FF4858"/>
    <w:rsid w:val="00FF492C"/>
    <w:rsid w:val="00FF4A21"/>
    <w:rsid w:val="00FF5085"/>
    <w:rsid w:val="00FF5535"/>
    <w:rsid w:val="00FF58CB"/>
    <w:rsid w:val="00FF5A19"/>
    <w:rsid w:val="00FF5AA3"/>
    <w:rsid w:val="00FF5AD8"/>
    <w:rsid w:val="00FF6877"/>
    <w:rsid w:val="00FF6E10"/>
    <w:rsid w:val="00FF7822"/>
    <w:rsid w:val="00FF7C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73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8C274F"/>
    <w:pPr>
      <w:keepNext/>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8C274F"/>
    <w:rPr>
      <w:rFonts w:ascii="Arial Narrow" w:hAnsi="Arial Narrow" w:cs="Arial"/>
      <w:b/>
      <w:bCs/>
      <w:snapToGrid w:val="0"/>
      <w:szCs w:val="18"/>
      <w:lang w:eastAsia="en-US"/>
    </w:rPr>
  </w:style>
  <w:style w:type="paragraph" w:styleId="Title">
    <w:name w:val="Title"/>
    <w:basedOn w:val="Normal"/>
    <w:next w:val="Normal"/>
    <w:link w:val="TitleChar"/>
    <w:qFormat/>
    <w:rsid w:val="00413105"/>
    <w:pPr>
      <w:widowControl/>
    </w:pPr>
    <w:rPr>
      <w:b/>
      <w:sz w:val="36"/>
      <w:szCs w:val="36"/>
    </w:rPr>
  </w:style>
  <w:style w:type="character" w:customStyle="1" w:styleId="TitleChar">
    <w:name w:val="Title Char"/>
    <w:basedOn w:val="DefaultParagraphFont"/>
    <w:link w:val="Title"/>
    <w:rsid w:val="00413105"/>
    <w:rPr>
      <w:rFonts w:ascii="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053722"/>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ASDTable1">
    <w:name w:val="ASD Table1"/>
    <w:basedOn w:val="TableNormal"/>
    <w:next w:val="TableGrid"/>
    <w:uiPriority w:val="39"/>
    <w:rsid w:val="00672B5E"/>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FootnoteText">
    <w:name w:val="footnote text"/>
    <w:aliases w:val="Footnote Text Char1,Footnote Text Char Char,Footnote Text Char2,Footnote Text Char Char1"/>
    <w:basedOn w:val="Normal"/>
    <w:link w:val="FootnoteTextChar"/>
    <w:unhideWhenUsed/>
    <w:rsid w:val="001F57D3"/>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1F57D3"/>
    <w:rPr>
      <w:rFonts w:ascii="Calibri" w:hAnsi="Calibri" w:cs="Arial"/>
      <w:snapToGrid w:val="0"/>
      <w:lang w:eastAsia="en-US"/>
    </w:rPr>
  </w:style>
  <w:style w:type="character" w:styleId="FootnoteReference">
    <w:name w:val="footnote reference"/>
    <w:basedOn w:val="DefaultParagraphFont"/>
    <w:unhideWhenUsed/>
    <w:rsid w:val="001F57D3"/>
    <w:rPr>
      <w:vertAlign w:val="superscript"/>
    </w:rPr>
  </w:style>
  <w:style w:type="character" w:styleId="HTMLCite">
    <w:name w:val="HTML Cite"/>
    <w:basedOn w:val="DefaultParagraphFont"/>
    <w:uiPriority w:val="99"/>
    <w:semiHidden/>
    <w:unhideWhenUsed/>
    <w:rsid w:val="001F57D3"/>
    <w:rPr>
      <w:i/>
      <w:iCs/>
    </w:rPr>
  </w:style>
  <w:style w:type="paragraph" w:customStyle="1" w:styleId="TableText0">
    <w:name w:val="Table Text"/>
    <w:basedOn w:val="Normal"/>
    <w:link w:val="TableTextChar0"/>
    <w:uiPriority w:val="99"/>
    <w:qFormat/>
    <w:rsid w:val="000B63F0"/>
    <w:pPr>
      <w:spacing w:before="60" w:after="60"/>
      <w:jc w:val="left"/>
    </w:pPr>
    <w:rPr>
      <w:rFonts w:ascii="Arial Narrow" w:hAnsi="Arial Narrow" w:cs="Times New Roman"/>
      <w:snapToGrid/>
      <w:sz w:val="20"/>
      <w:lang w:eastAsia="en-AU"/>
    </w:rPr>
  </w:style>
  <w:style w:type="character" w:customStyle="1" w:styleId="TableTextChar0">
    <w:name w:val="Table Text Char"/>
    <w:link w:val="TableText0"/>
    <w:uiPriority w:val="99"/>
    <w:locked/>
    <w:rsid w:val="000B63F0"/>
    <w:rPr>
      <w:rFonts w:ascii="Arial Narrow" w:hAnsi="Arial Narrow"/>
      <w:szCs w:val="22"/>
    </w:rPr>
  </w:style>
  <w:style w:type="paragraph" w:customStyle="1" w:styleId="Tablefootnote">
    <w:name w:val="Table footnote"/>
    <w:basedOn w:val="Normal"/>
    <w:link w:val="TablefootnoteChar"/>
    <w:qFormat/>
    <w:rsid w:val="000B63F0"/>
    <w:pPr>
      <w:keepNext/>
      <w:keepLines/>
      <w:widowControl/>
      <w:spacing w:after="360"/>
      <w:contextualSpacing/>
      <w:jc w:val="left"/>
    </w:pPr>
    <w:rPr>
      <w:rFonts w:ascii="Arial Narrow" w:hAnsi="Arial Narrow" w:cs="Times New Roman"/>
      <w:snapToGrid/>
      <w:sz w:val="18"/>
    </w:rPr>
  </w:style>
  <w:style w:type="character" w:customStyle="1" w:styleId="TablefootnoteChar">
    <w:name w:val="Table footnote Char"/>
    <w:basedOn w:val="DefaultParagraphFont"/>
    <w:link w:val="Tablefootnote"/>
    <w:rsid w:val="000B63F0"/>
    <w:rPr>
      <w:rFonts w:ascii="Arial Narrow" w:hAnsi="Arial Narrow"/>
      <w:sz w:val="18"/>
      <w:szCs w:val="22"/>
      <w:lang w:eastAsia="en-US"/>
    </w:rPr>
  </w:style>
  <w:style w:type="character" w:customStyle="1" w:styleId="BodyText1Char">
    <w:name w:val="Body Text1 Char"/>
    <w:link w:val="BodyText1"/>
    <w:locked/>
    <w:rsid w:val="00F7133F"/>
    <w:rPr>
      <w:rFonts w:ascii="Arial" w:eastAsia="Calibri" w:hAnsi="Arial"/>
      <w:color w:val="000000" w:themeColor="text1"/>
      <w:lang w:val="en"/>
    </w:rPr>
  </w:style>
  <w:style w:type="paragraph" w:customStyle="1" w:styleId="BodyText1">
    <w:name w:val="Body Text1"/>
    <w:basedOn w:val="Normal"/>
    <w:link w:val="BodyText1Char"/>
    <w:autoRedefine/>
    <w:qFormat/>
    <w:rsid w:val="00F7133F"/>
    <w:pPr>
      <w:spacing w:before="240" w:after="240" w:line="360" w:lineRule="auto"/>
    </w:pPr>
    <w:rPr>
      <w:rFonts w:ascii="Arial" w:eastAsia="Calibri" w:hAnsi="Arial" w:cs="Times New Roman"/>
      <w:snapToGrid/>
      <w:color w:val="000000" w:themeColor="text1"/>
      <w:sz w:val="20"/>
      <w:szCs w:val="20"/>
      <w:lang w:val="en" w:eastAsia="en-AU"/>
    </w:rPr>
  </w:style>
  <w:style w:type="paragraph" w:customStyle="1" w:styleId="TableNote">
    <w:name w:val="Table Note"/>
    <w:basedOn w:val="Normal"/>
    <w:link w:val="TableNoteChar"/>
    <w:qFormat/>
    <w:rsid w:val="00FA5CA9"/>
    <w:pPr>
      <w:keepNext/>
      <w:keepLines/>
      <w:widowControl/>
      <w:spacing w:after="360"/>
      <w:contextualSpacing/>
      <w:jc w:val="left"/>
    </w:pPr>
    <w:rPr>
      <w:rFonts w:ascii="Arial" w:eastAsia="Calibri" w:hAnsi="Arial"/>
      <w:snapToGrid/>
      <w:sz w:val="16"/>
    </w:rPr>
  </w:style>
  <w:style w:type="character" w:customStyle="1" w:styleId="TableNoteChar">
    <w:name w:val="Table Note Char"/>
    <w:link w:val="TableNote"/>
    <w:rsid w:val="00FA5CA9"/>
    <w:rPr>
      <w:rFonts w:ascii="Arial" w:eastAsia="Calibri" w:hAnsi="Arial" w:cs="Arial"/>
      <w:sz w:val="16"/>
      <w:szCs w:val="22"/>
      <w:lang w:eastAsia="en-US"/>
    </w:rPr>
  </w:style>
  <w:style w:type="paragraph" w:customStyle="1" w:styleId="Heading50">
    <w:name w:val="Heading5"/>
    <w:basedOn w:val="Normal"/>
    <w:autoRedefine/>
    <w:uiPriority w:val="99"/>
    <w:qFormat/>
    <w:rsid w:val="007C24D5"/>
    <w:pPr>
      <w:spacing w:before="200" w:after="200"/>
      <w:jc w:val="left"/>
    </w:pPr>
    <w:rPr>
      <w:rFonts w:ascii="Arial" w:hAnsi="Arial" w:cs="Times New Roman"/>
      <w:b/>
      <w:i/>
      <w:snapToGrid/>
      <w:sz w:val="22"/>
      <w:szCs w:val="24"/>
    </w:rPr>
  </w:style>
  <w:style w:type="character" w:styleId="Emphasis">
    <w:name w:val="Emphasis"/>
    <w:basedOn w:val="DefaultParagraphFont"/>
    <w:uiPriority w:val="20"/>
    <w:qFormat/>
    <w:rsid w:val="00830B66"/>
    <w:rPr>
      <w:i/>
      <w:iCs/>
    </w:rPr>
  </w:style>
  <w:style w:type="character" w:customStyle="1" w:styleId="Heading4Char">
    <w:name w:val="Heading 4 Char"/>
    <w:basedOn w:val="DefaultParagraphFont"/>
    <w:link w:val="Heading4"/>
    <w:rsid w:val="005E2926"/>
    <w:rPr>
      <w:rFonts w:ascii="Calibri" w:hAnsi="Calibri" w:cs="Arial"/>
      <w:b/>
      <w:bCs/>
      <w:i/>
      <w:snapToGrid w:val="0"/>
      <w:sz w:val="26"/>
      <w:szCs w:val="28"/>
      <w:lang w:eastAsia="en-US"/>
    </w:rPr>
  </w:style>
  <w:style w:type="paragraph" w:customStyle="1" w:styleId="Heading40">
    <w:name w:val="Heading4"/>
    <w:basedOn w:val="Normal"/>
    <w:link w:val="Heading4Char0"/>
    <w:autoRedefine/>
    <w:qFormat/>
    <w:rsid w:val="008D681F"/>
    <w:pPr>
      <w:keepNext/>
      <w:tabs>
        <w:tab w:val="left" w:pos="1430"/>
      </w:tabs>
      <w:spacing w:before="200" w:after="200"/>
      <w:contextualSpacing/>
      <w:jc w:val="left"/>
    </w:pPr>
    <w:rPr>
      <w:rFonts w:ascii="Arial" w:hAnsi="Arial" w:cs="Times New Roman"/>
      <w:b/>
      <w:bCs/>
      <w:snapToGrid/>
      <w:color w:val="000000" w:themeColor="text1"/>
      <w:sz w:val="22"/>
      <w:szCs w:val="32"/>
      <w:lang w:eastAsia="en-GB"/>
    </w:rPr>
  </w:style>
  <w:style w:type="character" w:customStyle="1" w:styleId="Heading4Char0">
    <w:name w:val="Heading4 Char"/>
    <w:link w:val="Heading40"/>
    <w:locked/>
    <w:rsid w:val="008D681F"/>
    <w:rPr>
      <w:rFonts w:ascii="Arial" w:hAnsi="Arial"/>
      <w:b/>
      <w:bCs/>
      <w:color w:val="000000" w:themeColor="text1"/>
      <w:sz w:val="22"/>
      <w:szCs w:val="32"/>
      <w:lang w:eastAsia="en-GB"/>
    </w:rPr>
  </w:style>
  <w:style w:type="paragraph" w:customStyle="1" w:styleId="Bullets">
    <w:name w:val="Bullets"/>
    <w:basedOn w:val="Normal"/>
    <w:link w:val="BulletsChar"/>
    <w:qFormat/>
    <w:rsid w:val="008D681F"/>
    <w:pPr>
      <w:widowControl/>
      <w:numPr>
        <w:numId w:val="4"/>
      </w:numPr>
      <w:spacing w:before="80" w:after="80" w:line="320" w:lineRule="exact"/>
      <w:ind w:left="426" w:hanging="426"/>
      <w:jc w:val="left"/>
    </w:pPr>
    <w:rPr>
      <w:rFonts w:ascii="Arial" w:hAnsi="Arial" w:cs="Times New Roman"/>
      <w:bCs/>
      <w:snapToGrid/>
      <w:sz w:val="20"/>
      <w:szCs w:val="24"/>
      <w:lang w:eastAsia="en-AU"/>
    </w:rPr>
  </w:style>
  <w:style w:type="paragraph" w:customStyle="1" w:styleId="Bullets-2ndlvl">
    <w:name w:val="Bullets - 2nd lvl"/>
    <w:basedOn w:val="Bullets"/>
    <w:qFormat/>
    <w:rsid w:val="008D681F"/>
    <w:pPr>
      <w:numPr>
        <w:ilvl w:val="1"/>
      </w:numPr>
      <w:tabs>
        <w:tab w:val="num" w:pos="360"/>
        <w:tab w:val="left" w:pos="851"/>
      </w:tabs>
      <w:ind w:left="851"/>
    </w:pPr>
  </w:style>
  <w:style w:type="character" w:customStyle="1" w:styleId="BulletsChar">
    <w:name w:val="Bullets Char"/>
    <w:basedOn w:val="DefaultParagraphFont"/>
    <w:link w:val="Bullets"/>
    <w:rsid w:val="008D681F"/>
    <w:rPr>
      <w:rFonts w:ascii="Arial" w:hAnsi="Arial"/>
      <w:bCs/>
      <w:szCs w:val="24"/>
    </w:rPr>
  </w:style>
  <w:style w:type="paragraph" w:customStyle="1" w:styleId="Tablenotes">
    <w:name w:val="Table notes"/>
    <w:basedOn w:val="Normal"/>
    <w:link w:val="TablenotesCharChar"/>
    <w:qFormat/>
    <w:rsid w:val="00B96BEA"/>
    <w:pPr>
      <w:keepNext/>
      <w:keepLines/>
      <w:widowControl/>
      <w:spacing w:after="360"/>
      <w:contextualSpacing/>
      <w:jc w:val="left"/>
    </w:pPr>
    <w:rPr>
      <w:rFonts w:ascii="Arial Narrow" w:hAnsi="Arial Narrow" w:cs="Times New Roman"/>
      <w:snapToGrid/>
      <w:sz w:val="16"/>
    </w:rPr>
  </w:style>
  <w:style w:type="character" w:customStyle="1" w:styleId="TablenotesCharChar">
    <w:name w:val="Table notes Char Char"/>
    <w:link w:val="Tablenotes"/>
    <w:locked/>
    <w:rsid w:val="00B96BEA"/>
    <w:rPr>
      <w:rFonts w:ascii="Arial Narrow" w:hAnsi="Arial Narrow"/>
      <w:sz w:val="16"/>
      <w:szCs w:val="22"/>
      <w:lang w:eastAsia="en-US"/>
    </w:rPr>
  </w:style>
  <w:style w:type="table" w:customStyle="1" w:styleId="TableGridbeth1">
    <w:name w:val="Table Gridbeth1"/>
    <w:basedOn w:val="TableNormal"/>
    <w:next w:val="TableGrid"/>
    <w:uiPriority w:val="59"/>
    <w:rsid w:val="00B96BEA"/>
    <w:pPr>
      <w:spacing w:line="36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Normal"/>
    <w:rsid w:val="00B96BEA"/>
    <w:pPr>
      <w:keepNext/>
      <w:keepLines/>
      <w:widowControl/>
      <w:spacing w:before="40" w:after="80"/>
      <w:jc w:val="left"/>
    </w:pPr>
    <w:rPr>
      <w:rFonts w:ascii="Arial" w:hAnsi="Arial" w:cs="Times New Roman"/>
      <w:snapToGrid/>
      <w:sz w:val="18"/>
      <w:szCs w:val="24"/>
      <w:lang w:eastAsia="en-AU"/>
    </w:rPr>
  </w:style>
  <w:style w:type="paragraph" w:customStyle="1" w:styleId="Tableheading0">
    <w:name w:val="Table heading"/>
    <w:basedOn w:val="Normal"/>
    <w:link w:val="TableheadingChar"/>
    <w:qFormat/>
    <w:rsid w:val="00B96BEA"/>
    <w:pPr>
      <w:keepNext/>
      <w:keepLines/>
      <w:widowControl/>
      <w:spacing w:before="60" w:after="60"/>
      <w:jc w:val="left"/>
    </w:pPr>
    <w:rPr>
      <w:rFonts w:ascii="Arial Narrow" w:hAnsi="Arial Narrow" w:cs="Times New Roman"/>
      <w:b/>
      <w:snapToGrid/>
      <w:sz w:val="20"/>
      <w:szCs w:val="20"/>
    </w:rPr>
  </w:style>
  <w:style w:type="character" w:customStyle="1" w:styleId="TableheadingChar">
    <w:name w:val="Table heading Char"/>
    <w:link w:val="Tableheading0"/>
    <w:locked/>
    <w:rsid w:val="00B96BEA"/>
    <w:rPr>
      <w:rFonts w:ascii="Arial Narrow" w:hAnsi="Arial Narrow"/>
      <w:b/>
      <w:lang w:eastAsia="en-US"/>
    </w:rPr>
  </w:style>
  <w:style w:type="paragraph" w:customStyle="1" w:styleId="TableHead">
    <w:name w:val="Table Head"/>
    <w:basedOn w:val="Normal"/>
    <w:qFormat/>
    <w:rsid w:val="00B96BEA"/>
    <w:pPr>
      <w:keepNext/>
      <w:adjustRightInd w:val="0"/>
      <w:spacing w:before="60" w:after="60"/>
      <w:jc w:val="left"/>
      <w:textAlignment w:val="baseline"/>
    </w:pPr>
    <w:rPr>
      <w:rFonts w:ascii="Arial Narrow" w:eastAsia="SimSun" w:hAnsi="Arial Narrow" w:cs="Times New Roman"/>
      <w:b/>
      <w:snapToGrid/>
      <w:sz w:val="20"/>
      <w:szCs w:val="20"/>
      <w:lang w:eastAsia="en-AU"/>
    </w:rPr>
  </w:style>
  <w:style w:type="table" w:customStyle="1" w:styleId="TableGrid1">
    <w:name w:val="Table Grid1"/>
    <w:basedOn w:val="TableNormal"/>
    <w:next w:val="TableGrid"/>
    <w:uiPriority w:val="59"/>
    <w:rsid w:val="00B96B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39"/>
    <w:rsid w:val="001C342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2">
    <w:name w:val="ASD Table2"/>
    <w:basedOn w:val="TableNormal"/>
    <w:next w:val="TableGrid"/>
    <w:uiPriority w:val="39"/>
    <w:rsid w:val="009F7DEB"/>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ASDTable3">
    <w:name w:val="ASD Table3"/>
    <w:basedOn w:val="TableNormal"/>
    <w:next w:val="TableGrid"/>
    <w:uiPriority w:val="39"/>
    <w:rsid w:val="009F7DEB"/>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ASDTable4">
    <w:name w:val="ASD Table4"/>
    <w:basedOn w:val="TableNormal"/>
    <w:next w:val="TableGrid"/>
    <w:uiPriority w:val="39"/>
    <w:rsid w:val="009F7DEB"/>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ASDTable5">
    <w:name w:val="ASD Table5"/>
    <w:basedOn w:val="TableNormal"/>
    <w:next w:val="TableGrid"/>
    <w:uiPriority w:val="39"/>
    <w:rsid w:val="009F7DEB"/>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ASDTable6">
    <w:name w:val="ASD Table6"/>
    <w:basedOn w:val="TableNormal"/>
    <w:next w:val="TableGrid"/>
    <w:uiPriority w:val="39"/>
    <w:rsid w:val="00C61AD7"/>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ilfuvd">
    <w:name w:val="ilfuvd"/>
    <w:basedOn w:val="DefaultParagraphFont"/>
    <w:rsid w:val="00800993"/>
  </w:style>
  <w:style w:type="paragraph" w:customStyle="1" w:styleId="Default">
    <w:name w:val="Default"/>
    <w:rsid w:val="00800993"/>
    <w:pPr>
      <w:autoSpaceDE w:val="0"/>
      <w:autoSpaceDN w:val="0"/>
      <w:adjustRightInd w:val="0"/>
    </w:pPr>
    <w:rPr>
      <w:rFonts w:ascii="Verdana" w:hAnsi="Verdana" w:cs="Verdana"/>
      <w:color w:val="000000"/>
      <w:sz w:val="24"/>
      <w:szCs w:val="24"/>
    </w:rPr>
  </w:style>
  <w:style w:type="paragraph" w:customStyle="1" w:styleId="EndNoteBibliographyTitle">
    <w:name w:val="EndNote Bibliography Title"/>
    <w:basedOn w:val="Normal"/>
    <w:link w:val="EndNoteBibliographyTitleChar"/>
    <w:rsid w:val="000C0A90"/>
    <w:pPr>
      <w:jc w:val="center"/>
    </w:pPr>
    <w:rPr>
      <w:noProof/>
      <w:lang w:val="en-US"/>
    </w:rPr>
  </w:style>
  <w:style w:type="character" w:customStyle="1" w:styleId="EndNoteBibliographyTitleChar">
    <w:name w:val="EndNote Bibliography Title Char"/>
    <w:basedOn w:val="DefaultParagraphFont"/>
    <w:link w:val="EndNoteBibliographyTitle"/>
    <w:rsid w:val="000C0A90"/>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0C0A90"/>
    <w:rPr>
      <w:noProof/>
      <w:lang w:val="en-US"/>
    </w:rPr>
  </w:style>
  <w:style w:type="character" w:customStyle="1" w:styleId="EndNoteBibliographyChar">
    <w:name w:val="EndNote Bibliography Char"/>
    <w:basedOn w:val="DefaultParagraphFont"/>
    <w:link w:val="EndNoteBibliography"/>
    <w:rsid w:val="000C0A90"/>
    <w:rPr>
      <w:rFonts w:ascii="Calibri" w:hAnsi="Calibri" w:cs="Arial"/>
      <w:noProof/>
      <w:snapToGrid w:val="0"/>
      <w:sz w:val="24"/>
      <w:szCs w:val="22"/>
      <w:lang w:val="en-US" w:eastAsia="en-US"/>
    </w:rPr>
  </w:style>
  <w:style w:type="paragraph" w:styleId="ListBullet">
    <w:name w:val="List Bullet"/>
    <w:basedOn w:val="Normal"/>
    <w:autoRedefine/>
    <w:rsid w:val="00040B80"/>
    <w:pPr>
      <w:widowControl/>
      <w:jc w:val="left"/>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778">
      <w:bodyDiv w:val="1"/>
      <w:marLeft w:val="0"/>
      <w:marRight w:val="0"/>
      <w:marTop w:val="0"/>
      <w:marBottom w:val="0"/>
      <w:divBdr>
        <w:top w:val="none" w:sz="0" w:space="0" w:color="auto"/>
        <w:left w:val="none" w:sz="0" w:space="0" w:color="auto"/>
        <w:bottom w:val="none" w:sz="0" w:space="0" w:color="auto"/>
        <w:right w:val="none" w:sz="0" w:space="0" w:color="auto"/>
      </w:divBdr>
      <w:divsChild>
        <w:div w:id="1086919263">
          <w:marLeft w:val="1166"/>
          <w:marRight w:val="0"/>
          <w:marTop w:val="67"/>
          <w:marBottom w:val="0"/>
          <w:divBdr>
            <w:top w:val="none" w:sz="0" w:space="0" w:color="auto"/>
            <w:left w:val="none" w:sz="0" w:space="0" w:color="auto"/>
            <w:bottom w:val="none" w:sz="0" w:space="0" w:color="auto"/>
            <w:right w:val="none" w:sz="0" w:space="0" w:color="auto"/>
          </w:divBdr>
        </w:div>
        <w:div w:id="1345866057">
          <w:marLeft w:val="1166"/>
          <w:marRight w:val="0"/>
          <w:marTop w:val="67"/>
          <w:marBottom w:val="0"/>
          <w:divBdr>
            <w:top w:val="none" w:sz="0" w:space="0" w:color="auto"/>
            <w:left w:val="none" w:sz="0" w:space="0" w:color="auto"/>
            <w:bottom w:val="none" w:sz="0" w:space="0" w:color="auto"/>
            <w:right w:val="none" w:sz="0" w:space="0" w:color="auto"/>
          </w:divBdr>
        </w:div>
        <w:div w:id="1851292580">
          <w:marLeft w:val="1166"/>
          <w:marRight w:val="0"/>
          <w:marTop w:val="67"/>
          <w:marBottom w:val="0"/>
          <w:divBdr>
            <w:top w:val="none" w:sz="0" w:space="0" w:color="auto"/>
            <w:left w:val="none" w:sz="0" w:space="0" w:color="auto"/>
            <w:bottom w:val="none" w:sz="0" w:space="0" w:color="auto"/>
            <w:right w:val="none" w:sz="0" w:space="0" w:color="auto"/>
          </w:divBdr>
        </w:div>
      </w:divsChild>
    </w:div>
    <w:div w:id="87313468">
      <w:bodyDiv w:val="1"/>
      <w:marLeft w:val="0"/>
      <w:marRight w:val="0"/>
      <w:marTop w:val="0"/>
      <w:marBottom w:val="0"/>
      <w:divBdr>
        <w:top w:val="none" w:sz="0" w:space="0" w:color="auto"/>
        <w:left w:val="none" w:sz="0" w:space="0" w:color="auto"/>
        <w:bottom w:val="none" w:sz="0" w:space="0" w:color="auto"/>
        <w:right w:val="none" w:sz="0" w:space="0" w:color="auto"/>
      </w:divBdr>
    </w:div>
    <w:div w:id="98724271">
      <w:bodyDiv w:val="1"/>
      <w:marLeft w:val="0"/>
      <w:marRight w:val="0"/>
      <w:marTop w:val="0"/>
      <w:marBottom w:val="0"/>
      <w:divBdr>
        <w:top w:val="none" w:sz="0" w:space="0" w:color="auto"/>
        <w:left w:val="none" w:sz="0" w:space="0" w:color="auto"/>
        <w:bottom w:val="none" w:sz="0" w:space="0" w:color="auto"/>
        <w:right w:val="none" w:sz="0" w:space="0" w:color="auto"/>
      </w:divBdr>
    </w:div>
    <w:div w:id="162553456">
      <w:bodyDiv w:val="1"/>
      <w:marLeft w:val="0"/>
      <w:marRight w:val="0"/>
      <w:marTop w:val="0"/>
      <w:marBottom w:val="0"/>
      <w:divBdr>
        <w:top w:val="none" w:sz="0" w:space="0" w:color="auto"/>
        <w:left w:val="none" w:sz="0" w:space="0" w:color="auto"/>
        <w:bottom w:val="none" w:sz="0" w:space="0" w:color="auto"/>
        <w:right w:val="none" w:sz="0" w:space="0" w:color="auto"/>
      </w:divBdr>
    </w:div>
    <w:div w:id="314339019">
      <w:bodyDiv w:val="1"/>
      <w:marLeft w:val="0"/>
      <w:marRight w:val="0"/>
      <w:marTop w:val="0"/>
      <w:marBottom w:val="0"/>
      <w:divBdr>
        <w:top w:val="none" w:sz="0" w:space="0" w:color="auto"/>
        <w:left w:val="none" w:sz="0" w:space="0" w:color="auto"/>
        <w:bottom w:val="none" w:sz="0" w:space="0" w:color="auto"/>
        <w:right w:val="none" w:sz="0" w:space="0" w:color="auto"/>
      </w:divBdr>
      <w:divsChild>
        <w:div w:id="991979448">
          <w:marLeft w:val="1800"/>
          <w:marRight w:val="0"/>
          <w:marTop w:val="58"/>
          <w:marBottom w:val="0"/>
          <w:divBdr>
            <w:top w:val="none" w:sz="0" w:space="0" w:color="auto"/>
            <w:left w:val="none" w:sz="0" w:space="0" w:color="auto"/>
            <w:bottom w:val="none" w:sz="0" w:space="0" w:color="auto"/>
            <w:right w:val="none" w:sz="0" w:space="0" w:color="auto"/>
          </w:divBdr>
        </w:div>
      </w:divsChild>
    </w:div>
    <w:div w:id="376243766">
      <w:bodyDiv w:val="1"/>
      <w:marLeft w:val="0"/>
      <w:marRight w:val="0"/>
      <w:marTop w:val="0"/>
      <w:marBottom w:val="0"/>
      <w:divBdr>
        <w:top w:val="none" w:sz="0" w:space="0" w:color="auto"/>
        <w:left w:val="none" w:sz="0" w:space="0" w:color="auto"/>
        <w:bottom w:val="none" w:sz="0" w:space="0" w:color="auto"/>
        <w:right w:val="none" w:sz="0" w:space="0" w:color="auto"/>
      </w:divBdr>
    </w:div>
    <w:div w:id="408619567">
      <w:bodyDiv w:val="1"/>
      <w:marLeft w:val="0"/>
      <w:marRight w:val="0"/>
      <w:marTop w:val="0"/>
      <w:marBottom w:val="0"/>
      <w:divBdr>
        <w:top w:val="none" w:sz="0" w:space="0" w:color="auto"/>
        <w:left w:val="none" w:sz="0" w:space="0" w:color="auto"/>
        <w:bottom w:val="none" w:sz="0" w:space="0" w:color="auto"/>
        <w:right w:val="none" w:sz="0" w:space="0" w:color="auto"/>
      </w:divBdr>
    </w:div>
    <w:div w:id="453603352">
      <w:bodyDiv w:val="1"/>
      <w:marLeft w:val="0"/>
      <w:marRight w:val="0"/>
      <w:marTop w:val="0"/>
      <w:marBottom w:val="0"/>
      <w:divBdr>
        <w:top w:val="none" w:sz="0" w:space="0" w:color="auto"/>
        <w:left w:val="none" w:sz="0" w:space="0" w:color="auto"/>
        <w:bottom w:val="none" w:sz="0" w:space="0" w:color="auto"/>
        <w:right w:val="none" w:sz="0" w:space="0" w:color="auto"/>
      </w:divBdr>
    </w:div>
    <w:div w:id="463811974">
      <w:bodyDiv w:val="1"/>
      <w:marLeft w:val="0"/>
      <w:marRight w:val="0"/>
      <w:marTop w:val="0"/>
      <w:marBottom w:val="0"/>
      <w:divBdr>
        <w:top w:val="none" w:sz="0" w:space="0" w:color="auto"/>
        <w:left w:val="none" w:sz="0" w:space="0" w:color="auto"/>
        <w:bottom w:val="none" w:sz="0" w:space="0" w:color="auto"/>
        <w:right w:val="none" w:sz="0" w:space="0" w:color="auto"/>
      </w:divBdr>
    </w:div>
    <w:div w:id="468207843">
      <w:bodyDiv w:val="1"/>
      <w:marLeft w:val="0"/>
      <w:marRight w:val="0"/>
      <w:marTop w:val="0"/>
      <w:marBottom w:val="0"/>
      <w:divBdr>
        <w:top w:val="none" w:sz="0" w:space="0" w:color="auto"/>
        <w:left w:val="none" w:sz="0" w:space="0" w:color="auto"/>
        <w:bottom w:val="none" w:sz="0" w:space="0" w:color="auto"/>
        <w:right w:val="none" w:sz="0" w:space="0" w:color="auto"/>
      </w:divBdr>
      <w:divsChild>
        <w:div w:id="1874878410">
          <w:marLeft w:val="547"/>
          <w:marRight w:val="0"/>
          <w:marTop w:val="96"/>
          <w:marBottom w:val="0"/>
          <w:divBdr>
            <w:top w:val="none" w:sz="0" w:space="0" w:color="auto"/>
            <w:left w:val="none" w:sz="0" w:space="0" w:color="auto"/>
            <w:bottom w:val="none" w:sz="0" w:space="0" w:color="auto"/>
            <w:right w:val="none" w:sz="0" w:space="0" w:color="auto"/>
          </w:divBdr>
        </w:div>
        <w:div w:id="2135632279">
          <w:marLeft w:val="547"/>
          <w:marRight w:val="0"/>
          <w:marTop w:val="96"/>
          <w:marBottom w:val="0"/>
          <w:divBdr>
            <w:top w:val="none" w:sz="0" w:space="0" w:color="auto"/>
            <w:left w:val="none" w:sz="0" w:space="0" w:color="auto"/>
            <w:bottom w:val="none" w:sz="0" w:space="0" w:color="auto"/>
            <w:right w:val="none" w:sz="0" w:space="0" w:color="auto"/>
          </w:divBdr>
        </w:div>
      </w:divsChild>
    </w:div>
    <w:div w:id="477847242">
      <w:bodyDiv w:val="1"/>
      <w:marLeft w:val="0"/>
      <w:marRight w:val="0"/>
      <w:marTop w:val="0"/>
      <w:marBottom w:val="0"/>
      <w:divBdr>
        <w:top w:val="none" w:sz="0" w:space="0" w:color="auto"/>
        <w:left w:val="none" w:sz="0" w:space="0" w:color="auto"/>
        <w:bottom w:val="none" w:sz="0" w:space="0" w:color="auto"/>
        <w:right w:val="none" w:sz="0" w:space="0" w:color="auto"/>
      </w:divBdr>
    </w:div>
    <w:div w:id="482085092">
      <w:bodyDiv w:val="1"/>
      <w:marLeft w:val="0"/>
      <w:marRight w:val="0"/>
      <w:marTop w:val="0"/>
      <w:marBottom w:val="0"/>
      <w:divBdr>
        <w:top w:val="none" w:sz="0" w:space="0" w:color="auto"/>
        <w:left w:val="none" w:sz="0" w:space="0" w:color="auto"/>
        <w:bottom w:val="none" w:sz="0" w:space="0" w:color="auto"/>
        <w:right w:val="none" w:sz="0" w:space="0" w:color="auto"/>
      </w:divBdr>
    </w:div>
    <w:div w:id="510218699">
      <w:bodyDiv w:val="1"/>
      <w:marLeft w:val="0"/>
      <w:marRight w:val="0"/>
      <w:marTop w:val="0"/>
      <w:marBottom w:val="0"/>
      <w:divBdr>
        <w:top w:val="none" w:sz="0" w:space="0" w:color="auto"/>
        <w:left w:val="none" w:sz="0" w:space="0" w:color="auto"/>
        <w:bottom w:val="none" w:sz="0" w:space="0" w:color="auto"/>
        <w:right w:val="none" w:sz="0" w:space="0" w:color="auto"/>
      </w:divBdr>
    </w:div>
    <w:div w:id="544487733">
      <w:bodyDiv w:val="1"/>
      <w:marLeft w:val="0"/>
      <w:marRight w:val="0"/>
      <w:marTop w:val="0"/>
      <w:marBottom w:val="0"/>
      <w:divBdr>
        <w:top w:val="none" w:sz="0" w:space="0" w:color="auto"/>
        <w:left w:val="none" w:sz="0" w:space="0" w:color="auto"/>
        <w:bottom w:val="none" w:sz="0" w:space="0" w:color="auto"/>
        <w:right w:val="none" w:sz="0" w:space="0" w:color="auto"/>
      </w:divBdr>
      <w:divsChild>
        <w:div w:id="1263538012">
          <w:marLeft w:val="1800"/>
          <w:marRight w:val="0"/>
          <w:marTop w:val="58"/>
          <w:marBottom w:val="0"/>
          <w:divBdr>
            <w:top w:val="none" w:sz="0" w:space="0" w:color="auto"/>
            <w:left w:val="none" w:sz="0" w:space="0" w:color="auto"/>
            <w:bottom w:val="none" w:sz="0" w:space="0" w:color="auto"/>
            <w:right w:val="none" w:sz="0" w:space="0" w:color="auto"/>
          </w:divBdr>
        </w:div>
        <w:div w:id="2020546466">
          <w:marLeft w:val="1800"/>
          <w:marRight w:val="0"/>
          <w:marTop w:val="58"/>
          <w:marBottom w:val="0"/>
          <w:divBdr>
            <w:top w:val="none" w:sz="0" w:space="0" w:color="auto"/>
            <w:left w:val="none" w:sz="0" w:space="0" w:color="auto"/>
            <w:bottom w:val="none" w:sz="0" w:space="0" w:color="auto"/>
            <w:right w:val="none" w:sz="0" w:space="0" w:color="auto"/>
          </w:divBdr>
        </w:div>
      </w:divsChild>
    </w:div>
    <w:div w:id="590089309">
      <w:bodyDiv w:val="1"/>
      <w:marLeft w:val="0"/>
      <w:marRight w:val="0"/>
      <w:marTop w:val="0"/>
      <w:marBottom w:val="0"/>
      <w:divBdr>
        <w:top w:val="none" w:sz="0" w:space="0" w:color="auto"/>
        <w:left w:val="none" w:sz="0" w:space="0" w:color="auto"/>
        <w:bottom w:val="none" w:sz="0" w:space="0" w:color="auto"/>
        <w:right w:val="none" w:sz="0" w:space="0" w:color="auto"/>
      </w:divBdr>
    </w:div>
    <w:div w:id="591476421">
      <w:bodyDiv w:val="1"/>
      <w:marLeft w:val="0"/>
      <w:marRight w:val="0"/>
      <w:marTop w:val="0"/>
      <w:marBottom w:val="0"/>
      <w:divBdr>
        <w:top w:val="none" w:sz="0" w:space="0" w:color="auto"/>
        <w:left w:val="none" w:sz="0" w:space="0" w:color="auto"/>
        <w:bottom w:val="none" w:sz="0" w:space="0" w:color="auto"/>
        <w:right w:val="none" w:sz="0" w:space="0" w:color="auto"/>
      </w:divBdr>
    </w:div>
    <w:div w:id="679896544">
      <w:bodyDiv w:val="1"/>
      <w:marLeft w:val="0"/>
      <w:marRight w:val="0"/>
      <w:marTop w:val="0"/>
      <w:marBottom w:val="0"/>
      <w:divBdr>
        <w:top w:val="none" w:sz="0" w:space="0" w:color="auto"/>
        <w:left w:val="none" w:sz="0" w:space="0" w:color="auto"/>
        <w:bottom w:val="none" w:sz="0" w:space="0" w:color="auto"/>
        <w:right w:val="none" w:sz="0" w:space="0" w:color="auto"/>
      </w:divBdr>
    </w:div>
    <w:div w:id="802692052">
      <w:bodyDiv w:val="1"/>
      <w:marLeft w:val="0"/>
      <w:marRight w:val="0"/>
      <w:marTop w:val="0"/>
      <w:marBottom w:val="0"/>
      <w:divBdr>
        <w:top w:val="none" w:sz="0" w:space="0" w:color="auto"/>
        <w:left w:val="none" w:sz="0" w:space="0" w:color="auto"/>
        <w:bottom w:val="none" w:sz="0" w:space="0" w:color="auto"/>
        <w:right w:val="none" w:sz="0" w:space="0" w:color="auto"/>
      </w:divBdr>
    </w:div>
    <w:div w:id="804391638">
      <w:bodyDiv w:val="1"/>
      <w:marLeft w:val="0"/>
      <w:marRight w:val="0"/>
      <w:marTop w:val="0"/>
      <w:marBottom w:val="0"/>
      <w:divBdr>
        <w:top w:val="none" w:sz="0" w:space="0" w:color="auto"/>
        <w:left w:val="none" w:sz="0" w:space="0" w:color="auto"/>
        <w:bottom w:val="none" w:sz="0" w:space="0" w:color="auto"/>
        <w:right w:val="none" w:sz="0" w:space="0" w:color="auto"/>
      </w:divBdr>
    </w:div>
    <w:div w:id="890193772">
      <w:bodyDiv w:val="1"/>
      <w:marLeft w:val="0"/>
      <w:marRight w:val="0"/>
      <w:marTop w:val="0"/>
      <w:marBottom w:val="0"/>
      <w:divBdr>
        <w:top w:val="none" w:sz="0" w:space="0" w:color="auto"/>
        <w:left w:val="none" w:sz="0" w:space="0" w:color="auto"/>
        <w:bottom w:val="none" w:sz="0" w:space="0" w:color="auto"/>
        <w:right w:val="none" w:sz="0" w:space="0" w:color="auto"/>
      </w:divBdr>
    </w:div>
    <w:div w:id="1046374923">
      <w:bodyDiv w:val="1"/>
      <w:marLeft w:val="0"/>
      <w:marRight w:val="0"/>
      <w:marTop w:val="0"/>
      <w:marBottom w:val="0"/>
      <w:divBdr>
        <w:top w:val="none" w:sz="0" w:space="0" w:color="auto"/>
        <w:left w:val="none" w:sz="0" w:space="0" w:color="auto"/>
        <w:bottom w:val="none" w:sz="0" w:space="0" w:color="auto"/>
        <w:right w:val="none" w:sz="0" w:space="0" w:color="auto"/>
      </w:divBdr>
    </w:div>
    <w:div w:id="1223561180">
      <w:bodyDiv w:val="1"/>
      <w:marLeft w:val="0"/>
      <w:marRight w:val="0"/>
      <w:marTop w:val="0"/>
      <w:marBottom w:val="0"/>
      <w:divBdr>
        <w:top w:val="none" w:sz="0" w:space="0" w:color="auto"/>
        <w:left w:val="none" w:sz="0" w:space="0" w:color="auto"/>
        <w:bottom w:val="none" w:sz="0" w:space="0" w:color="auto"/>
        <w:right w:val="none" w:sz="0" w:space="0" w:color="auto"/>
      </w:divBdr>
    </w:div>
    <w:div w:id="1275819995">
      <w:bodyDiv w:val="1"/>
      <w:marLeft w:val="0"/>
      <w:marRight w:val="0"/>
      <w:marTop w:val="0"/>
      <w:marBottom w:val="0"/>
      <w:divBdr>
        <w:top w:val="none" w:sz="0" w:space="0" w:color="auto"/>
        <w:left w:val="none" w:sz="0" w:space="0" w:color="auto"/>
        <w:bottom w:val="none" w:sz="0" w:space="0" w:color="auto"/>
        <w:right w:val="none" w:sz="0" w:space="0" w:color="auto"/>
      </w:divBdr>
    </w:div>
    <w:div w:id="1280455374">
      <w:bodyDiv w:val="1"/>
      <w:marLeft w:val="0"/>
      <w:marRight w:val="0"/>
      <w:marTop w:val="0"/>
      <w:marBottom w:val="0"/>
      <w:divBdr>
        <w:top w:val="none" w:sz="0" w:space="0" w:color="auto"/>
        <w:left w:val="none" w:sz="0" w:space="0" w:color="auto"/>
        <w:bottom w:val="none" w:sz="0" w:space="0" w:color="auto"/>
        <w:right w:val="none" w:sz="0" w:space="0" w:color="auto"/>
      </w:divBdr>
    </w:div>
    <w:div w:id="1368524085">
      <w:bodyDiv w:val="1"/>
      <w:marLeft w:val="0"/>
      <w:marRight w:val="0"/>
      <w:marTop w:val="0"/>
      <w:marBottom w:val="0"/>
      <w:divBdr>
        <w:top w:val="none" w:sz="0" w:space="0" w:color="auto"/>
        <w:left w:val="none" w:sz="0" w:space="0" w:color="auto"/>
        <w:bottom w:val="none" w:sz="0" w:space="0" w:color="auto"/>
        <w:right w:val="none" w:sz="0" w:space="0" w:color="auto"/>
      </w:divBdr>
    </w:div>
    <w:div w:id="1476920564">
      <w:bodyDiv w:val="1"/>
      <w:marLeft w:val="0"/>
      <w:marRight w:val="0"/>
      <w:marTop w:val="0"/>
      <w:marBottom w:val="0"/>
      <w:divBdr>
        <w:top w:val="none" w:sz="0" w:space="0" w:color="auto"/>
        <w:left w:val="none" w:sz="0" w:space="0" w:color="auto"/>
        <w:bottom w:val="none" w:sz="0" w:space="0" w:color="auto"/>
        <w:right w:val="none" w:sz="0" w:space="0" w:color="auto"/>
      </w:divBdr>
    </w:div>
    <w:div w:id="1489860151">
      <w:bodyDiv w:val="1"/>
      <w:marLeft w:val="0"/>
      <w:marRight w:val="0"/>
      <w:marTop w:val="0"/>
      <w:marBottom w:val="0"/>
      <w:divBdr>
        <w:top w:val="none" w:sz="0" w:space="0" w:color="auto"/>
        <w:left w:val="none" w:sz="0" w:space="0" w:color="auto"/>
        <w:bottom w:val="none" w:sz="0" w:space="0" w:color="auto"/>
        <w:right w:val="none" w:sz="0" w:space="0" w:color="auto"/>
      </w:divBdr>
      <w:divsChild>
        <w:div w:id="1409382621">
          <w:marLeft w:val="547"/>
          <w:marRight w:val="0"/>
          <w:marTop w:val="86"/>
          <w:marBottom w:val="0"/>
          <w:divBdr>
            <w:top w:val="none" w:sz="0" w:space="0" w:color="auto"/>
            <w:left w:val="none" w:sz="0" w:space="0" w:color="auto"/>
            <w:bottom w:val="none" w:sz="0" w:space="0" w:color="auto"/>
            <w:right w:val="none" w:sz="0" w:space="0" w:color="auto"/>
          </w:divBdr>
        </w:div>
        <w:div w:id="218977683">
          <w:marLeft w:val="1166"/>
          <w:marRight w:val="0"/>
          <w:marTop w:val="67"/>
          <w:marBottom w:val="0"/>
          <w:divBdr>
            <w:top w:val="none" w:sz="0" w:space="0" w:color="auto"/>
            <w:left w:val="none" w:sz="0" w:space="0" w:color="auto"/>
            <w:bottom w:val="none" w:sz="0" w:space="0" w:color="auto"/>
            <w:right w:val="none" w:sz="0" w:space="0" w:color="auto"/>
          </w:divBdr>
        </w:div>
        <w:div w:id="1867332145">
          <w:marLeft w:val="1166"/>
          <w:marRight w:val="0"/>
          <w:marTop w:val="67"/>
          <w:marBottom w:val="0"/>
          <w:divBdr>
            <w:top w:val="none" w:sz="0" w:space="0" w:color="auto"/>
            <w:left w:val="none" w:sz="0" w:space="0" w:color="auto"/>
            <w:bottom w:val="none" w:sz="0" w:space="0" w:color="auto"/>
            <w:right w:val="none" w:sz="0" w:space="0" w:color="auto"/>
          </w:divBdr>
        </w:div>
        <w:div w:id="697582596">
          <w:marLeft w:val="1166"/>
          <w:marRight w:val="0"/>
          <w:marTop w:val="67"/>
          <w:marBottom w:val="0"/>
          <w:divBdr>
            <w:top w:val="none" w:sz="0" w:space="0" w:color="auto"/>
            <w:left w:val="none" w:sz="0" w:space="0" w:color="auto"/>
            <w:bottom w:val="none" w:sz="0" w:space="0" w:color="auto"/>
            <w:right w:val="none" w:sz="0" w:space="0" w:color="auto"/>
          </w:divBdr>
        </w:div>
      </w:divsChild>
    </w:div>
    <w:div w:id="1607233772">
      <w:bodyDiv w:val="1"/>
      <w:marLeft w:val="0"/>
      <w:marRight w:val="0"/>
      <w:marTop w:val="0"/>
      <w:marBottom w:val="0"/>
      <w:divBdr>
        <w:top w:val="none" w:sz="0" w:space="0" w:color="auto"/>
        <w:left w:val="none" w:sz="0" w:space="0" w:color="auto"/>
        <w:bottom w:val="none" w:sz="0" w:space="0" w:color="auto"/>
        <w:right w:val="none" w:sz="0" w:space="0" w:color="auto"/>
      </w:divBdr>
      <w:divsChild>
        <w:div w:id="1309479619">
          <w:marLeft w:val="547"/>
          <w:marRight w:val="0"/>
          <w:marTop w:val="86"/>
          <w:marBottom w:val="0"/>
          <w:divBdr>
            <w:top w:val="none" w:sz="0" w:space="0" w:color="auto"/>
            <w:left w:val="none" w:sz="0" w:space="0" w:color="auto"/>
            <w:bottom w:val="none" w:sz="0" w:space="0" w:color="auto"/>
            <w:right w:val="none" w:sz="0" w:space="0" w:color="auto"/>
          </w:divBdr>
        </w:div>
        <w:div w:id="41487125">
          <w:marLeft w:val="1166"/>
          <w:marRight w:val="0"/>
          <w:marTop w:val="67"/>
          <w:marBottom w:val="0"/>
          <w:divBdr>
            <w:top w:val="none" w:sz="0" w:space="0" w:color="auto"/>
            <w:left w:val="none" w:sz="0" w:space="0" w:color="auto"/>
            <w:bottom w:val="none" w:sz="0" w:space="0" w:color="auto"/>
            <w:right w:val="none" w:sz="0" w:space="0" w:color="auto"/>
          </w:divBdr>
        </w:div>
        <w:div w:id="1715425528">
          <w:marLeft w:val="1166"/>
          <w:marRight w:val="0"/>
          <w:marTop w:val="67"/>
          <w:marBottom w:val="0"/>
          <w:divBdr>
            <w:top w:val="none" w:sz="0" w:space="0" w:color="auto"/>
            <w:left w:val="none" w:sz="0" w:space="0" w:color="auto"/>
            <w:bottom w:val="none" w:sz="0" w:space="0" w:color="auto"/>
            <w:right w:val="none" w:sz="0" w:space="0" w:color="auto"/>
          </w:divBdr>
        </w:div>
        <w:div w:id="357858670">
          <w:marLeft w:val="1166"/>
          <w:marRight w:val="0"/>
          <w:marTop w:val="67"/>
          <w:marBottom w:val="0"/>
          <w:divBdr>
            <w:top w:val="none" w:sz="0" w:space="0" w:color="auto"/>
            <w:left w:val="none" w:sz="0" w:space="0" w:color="auto"/>
            <w:bottom w:val="none" w:sz="0" w:space="0" w:color="auto"/>
            <w:right w:val="none" w:sz="0" w:space="0" w:color="auto"/>
          </w:divBdr>
        </w:div>
        <w:div w:id="618999956">
          <w:marLeft w:val="1800"/>
          <w:marRight w:val="0"/>
          <w:marTop w:val="48"/>
          <w:marBottom w:val="0"/>
          <w:divBdr>
            <w:top w:val="none" w:sz="0" w:space="0" w:color="auto"/>
            <w:left w:val="none" w:sz="0" w:space="0" w:color="auto"/>
            <w:bottom w:val="none" w:sz="0" w:space="0" w:color="auto"/>
            <w:right w:val="none" w:sz="0" w:space="0" w:color="auto"/>
          </w:divBdr>
        </w:div>
        <w:div w:id="1688289827">
          <w:marLeft w:val="1800"/>
          <w:marRight w:val="0"/>
          <w:marTop w:val="48"/>
          <w:marBottom w:val="0"/>
          <w:divBdr>
            <w:top w:val="none" w:sz="0" w:space="0" w:color="auto"/>
            <w:left w:val="none" w:sz="0" w:space="0" w:color="auto"/>
            <w:bottom w:val="none" w:sz="0" w:space="0" w:color="auto"/>
            <w:right w:val="none" w:sz="0" w:space="0" w:color="auto"/>
          </w:divBdr>
        </w:div>
        <w:div w:id="419253932">
          <w:marLeft w:val="1166"/>
          <w:marRight w:val="0"/>
          <w:marTop w:val="67"/>
          <w:marBottom w:val="0"/>
          <w:divBdr>
            <w:top w:val="none" w:sz="0" w:space="0" w:color="auto"/>
            <w:left w:val="none" w:sz="0" w:space="0" w:color="auto"/>
            <w:bottom w:val="none" w:sz="0" w:space="0" w:color="auto"/>
            <w:right w:val="none" w:sz="0" w:space="0" w:color="auto"/>
          </w:divBdr>
        </w:div>
        <w:div w:id="1063915697">
          <w:marLeft w:val="1166"/>
          <w:marRight w:val="0"/>
          <w:marTop w:val="67"/>
          <w:marBottom w:val="0"/>
          <w:divBdr>
            <w:top w:val="none" w:sz="0" w:space="0" w:color="auto"/>
            <w:left w:val="none" w:sz="0" w:space="0" w:color="auto"/>
            <w:bottom w:val="none" w:sz="0" w:space="0" w:color="auto"/>
            <w:right w:val="none" w:sz="0" w:space="0" w:color="auto"/>
          </w:divBdr>
        </w:div>
      </w:divsChild>
    </w:div>
    <w:div w:id="1610433666">
      <w:bodyDiv w:val="1"/>
      <w:marLeft w:val="0"/>
      <w:marRight w:val="0"/>
      <w:marTop w:val="0"/>
      <w:marBottom w:val="0"/>
      <w:divBdr>
        <w:top w:val="none" w:sz="0" w:space="0" w:color="auto"/>
        <w:left w:val="none" w:sz="0" w:space="0" w:color="auto"/>
        <w:bottom w:val="none" w:sz="0" w:space="0" w:color="auto"/>
        <w:right w:val="none" w:sz="0" w:space="0" w:color="auto"/>
      </w:divBdr>
    </w:div>
    <w:div w:id="1657957781">
      <w:bodyDiv w:val="1"/>
      <w:marLeft w:val="0"/>
      <w:marRight w:val="0"/>
      <w:marTop w:val="0"/>
      <w:marBottom w:val="0"/>
      <w:divBdr>
        <w:top w:val="none" w:sz="0" w:space="0" w:color="auto"/>
        <w:left w:val="none" w:sz="0" w:space="0" w:color="auto"/>
        <w:bottom w:val="none" w:sz="0" w:space="0" w:color="auto"/>
        <w:right w:val="none" w:sz="0" w:space="0" w:color="auto"/>
      </w:divBdr>
    </w:div>
    <w:div w:id="1714110973">
      <w:bodyDiv w:val="1"/>
      <w:marLeft w:val="0"/>
      <w:marRight w:val="0"/>
      <w:marTop w:val="0"/>
      <w:marBottom w:val="0"/>
      <w:divBdr>
        <w:top w:val="none" w:sz="0" w:space="0" w:color="auto"/>
        <w:left w:val="none" w:sz="0" w:space="0" w:color="auto"/>
        <w:bottom w:val="none" w:sz="0" w:space="0" w:color="auto"/>
        <w:right w:val="none" w:sz="0" w:space="0" w:color="auto"/>
      </w:divBdr>
    </w:div>
    <w:div w:id="1730104644">
      <w:bodyDiv w:val="1"/>
      <w:marLeft w:val="0"/>
      <w:marRight w:val="0"/>
      <w:marTop w:val="0"/>
      <w:marBottom w:val="0"/>
      <w:divBdr>
        <w:top w:val="none" w:sz="0" w:space="0" w:color="auto"/>
        <w:left w:val="none" w:sz="0" w:space="0" w:color="auto"/>
        <w:bottom w:val="none" w:sz="0" w:space="0" w:color="auto"/>
        <w:right w:val="none" w:sz="0" w:space="0" w:color="auto"/>
      </w:divBdr>
    </w:div>
    <w:div w:id="1736851419">
      <w:bodyDiv w:val="1"/>
      <w:marLeft w:val="0"/>
      <w:marRight w:val="0"/>
      <w:marTop w:val="0"/>
      <w:marBottom w:val="0"/>
      <w:divBdr>
        <w:top w:val="none" w:sz="0" w:space="0" w:color="auto"/>
        <w:left w:val="none" w:sz="0" w:space="0" w:color="auto"/>
        <w:bottom w:val="none" w:sz="0" w:space="0" w:color="auto"/>
        <w:right w:val="none" w:sz="0" w:space="0" w:color="auto"/>
      </w:divBdr>
      <w:divsChild>
        <w:div w:id="28770866">
          <w:marLeft w:val="0"/>
          <w:marRight w:val="0"/>
          <w:marTop w:val="0"/>
          <w:marBottom w:val="0"/>
          <w:divBdr>
            <w:top w:val="none" w:sz="0" w:space="0" w:color="auto"/>
            <w:left w:val="none" w:sz="0" w:space="0" w:color="auto"/>
            <w:bottom w:val="none" w:sz="0" w:space="0" w:color="auto"/>
            <w:right w:val="none" w:sz="0" w:space="0" w:color="auto"/>
          </w:divBdr>
        </w:div>
        <w:div w:id="1183318394">
          <w:marLeft w:val="0"/>
          <w:marRight w:val="0"/>
          <w:marTop w:val="0"/>
          <w:marBottom w:val="0"/>
          <w:divBdr>
            <w:top w:val="none" w:sz="0" w:space="0" w:color="auto"/>
            <w:left w:val="none" w:sz="0" w:space="0" w:color="auto"/>
            <w:bottom w:val="none" w:sz="0" w:space="0" w:color="auto"/>
            <w:right w:val="none" w:sz="0" w:space="0" w:color="auto"/>
          </w:divBdr>
        </w:div>
        <w:div w:id="902252058">
          <w:marLeft w:val="0"/>
          <w:marRight w:val="0"/>
          <w:marTop w:val="0"/>
          <w:marBottom w:val="0"/>
          <w:divBdr>
            <w:top w:val="none" w:sz="0" w:space="0" w:color="auto"/>
            <w:left w:val="none" w:sz="0" w:space="0" w:color="auto"/>
            <w:bottom w:val="none" w:sz="0" w:space="0" w:color="auto"/>
            <w:right w:val="none" w:sz="0" w:space="0" w:color="auto"/>
          </w:divBdr>
        </w:div>
      </w:divsChild>
    </w:div>
    <w:div w:id="1768038097">
      <w:bodyDiv w:val="1"/>
      <w:marLeft w:val="0"/>
      <w:marRight w:val="0"/>
      <w:marTop w:val="0"/>
      <w:marBottom w:val="0"/>
      <w:divBdr>
        <w:top w:val="none" w:sz="0" w:space="0" w:color="auto"/>
        <w:left w:val="none" w:sz="0" w:space="0" w:color="auto"/>
        <w:bottom w:val="none" w:sz="0" w:space="0" w:color="auto"/>
        <w:right w:val="none" w:sz="0" w:space="0" w:color="auto"/>
      </w:divBdr>
    </w:div>
    <w:div w:id="1773237296">
      <w:bodyDiv w:val="1"/>
      <w:marLeft w:val="0"/>
      <w:marRight w:val="0"/>
      <w:marTop w:val="0"/>
      <w:marBottom w:val="0"/>
      <w:divBdr>
        <w:top w:val="none" w:sz="0" w:space="0" w:color="auto"/>
        <w:left w:val="none" w:sz="0" w:space="0" w:color="auto"/>
        <w:bottom w:val="none" w:sz="0" w:space="0" w:color="auto"/>
        <w:right w:val="none" w:sz="0" w:space="0" w:color="auto"/>
      </w:divBdr>
    </w:div>
    <w:div w:id="1793161545">
      <w:bodyDiv w:val="1"/>
      <w:marLeft w:val="0"/>
      <w:marRight w:val="0"/>
      <w:marTop w:val="0"/>
      <w:marBottom w:val="0"/>
      <w:divBdr>
        <w:top w:val="none" w:sz="0" w:space="0" w:color="auto"/>
        <w:left w:val="none" w:sz="0" w:space="0" w:color="auto"/>
        <w:bottom w:val="none" w:sz="0" w:space="0" w:color="auto"/>
        <w:right w:val="none" w:sz="0" w:space="0" w:color="auto"/>
      </w:divBdr>
    </w:div>
    <w:div w:id="1817061494">
      <w:bodyDiv w:val="1"/>
      <w:marLeft w:val="0"/>
      <w:marRight w:val="0"/>
      <w:marTop w:val="0"/>
      <w:marBottom w:val="0"/>
      <w:divBdr>
        <w:top w:val="none" w:sz="0" w:space="0" w:color="auto"/>
        <w:left w:val="none" w:sz="0" w:space="0" w:color="auto"/>
        <w:bottom w:val="none" w:sz="0" w:space="0" w:color="auto"/>
        <w:right w:val="none" w:sz="0" w:space="0" w:color="auto"/>
      </w:divBdr>
    </w:div>
    <w:div w:id="1819608266">
      <w:bodyDiv w:val="1"/>
      <w:marLeft w:val="0"/>
      <w:marRight w:val="0"/>
      <w:marTop w:val="0"/>
      <w:marBottom w:val="0"/>
      <w:divBdr>
        <w:top w:val="none" w:sz="0" w:space="0" w:color="auto"/>
        <w:left w:val="none" w:sz="0" w:space="0" w:color="auto"/>
        <w:bottom w:val="none" w:sz="0" w:space="0" w:color="auto"/>
        <w:right w:val="none" w:sz="0" w:space="0" w:color="auto"/>
      </w:divBdr>
    </w:div>
    <w:div w:id="1831631418">
      <w:bodyDiv w:val="1"/>
      <w:marLeft w:val="0"/>
      <w:marRight w:val="0"/>
      <w:marTop w:val="0"/>
      <w:marBottom w:val="0"/>
      <w:divBdr>
        <w:top w:val="none" w:sz="0" w:space="0" w:color="auto"/>
        <w:left w:val="none" w:sz="0" w:space="0" w:color="auto"/>
        <w:bottom w:val="none" w:sz="0" w:space="0" w:color="auto"/>
        <w:right w:val="none" w:sz="0" w:space="0" w:color="auto"/>
      </w:divBdr>
      <w:divsChild>
        <w:div w:id="1209878281">
          <w:marLeft w:val="547"/>
          <w:marRight w:val="0"/>
          <w:marTop w:val="86"/>
          <w:marBottom w:val="0"/>
          <w:divBdr>
            <w:top w:val="none" w:sz="0" w:space="0" w:color="auto"/>
            <w:left w:val="none" w:sz="0" w:space="0" w:color="auto"/>
            <w:bottom w:val="none" w:sz="0" w:space="0" w:color="auto"/>
            <w:right w:val="none" w:sz="0" w:space="0" w:color="auto"/>
          </w:divBdr>
        </w:div>
        <w:div w:id="1661932009">
          <w:marLeft w:val="1166"/>
          <w:marRight w:val="0"/>
          <w:marTop w:val="77"/>
          <w:marBottom w:val="0"/>
          <w:divBdr>
            <w:top w:val="none" w:sz="0" w:space="0" w:color="auto"/>
            <w:left w:val="none" w:sz="0" w:space="0" w:color="auto"/>
            <w:bottom w:val="none" w:sz="0" w:space="0" w:color="auto"/>
            <w:right w:val="none" w:sz="0" w:space="0" w:color="auto"/>
          </w:divBdr>
        </w:div>
        <w:div w:id="1089622557">
          <w:marLeft w:val="1166"/>
          <w:marRight w:val="0"/>
          <w:marTop w:val="77"/>
          <w:marBottom w:val="0"/>
          <w:divBdr>
            <w:top w:val="none" w:sz="0" w:space="0" w:color="auto"/>
            <w:left w:val="none" w:sz="0" w:space="0" w:color="auto"/>
            <w:bottom w:val="none" w:sz="0" w:space="0" w:color="auto"/>
            <w:right w:val="none" w:sz="0" w:space="0" w:color="auto"/>
          </w:divBdr>
        </w:div>
        <w:div w:id="1363703638">
          <w:marLeft w:val="547"/>
          <w:marRight w:val="0"/>
          <w:marTop w:val="86"/>
          <w:marBottom w:val="0"/>
          <w:divBdr>
            <w:top w:val="none" w:sz="0" w:space="0" w:color="auto"/>
            <w:left w:val="none" w:sz="0" w:space="0" w:color="auto"/>
            <w:bottom w:val="none" w:sz="0" w:space="0" w:color="auto"/>
            <w:right w:val="none" w:sz="0" w:space="0" w:color="auto"/>
          </w:divBdr>
        </w:div>
        <w:div w:id="533927338">
          <w:marLeft w:val="1166"/>
          <w:marRight w:val="0"/>
          <w:marTop w:val="67"/>
          <w:marBottom w:val="0"/>
          <w:divBdr>
            <w:top w:val="none" w:sz="0" w:space="0" w:color="auto"/>
            <w:left w:val="none" w:sz="0" w:space="0" w:color="auto"/>
            <w:bottom w:val="none" w:sz="0" w:space="0" w:color="auto"/>
            <w:right w:val="none" w:sz="0" w:space="0" w:color="auto"/>
          </w:divBdr>
        </w:div>
        <w:div w:id="1383485326">
          <w:marLeft w:val="1166"/>
          <w:marRight w:val="0"/>
          <w:marTop w:val="67"/>
          <w:marBottom w:val="0"/>
          <w:divBdr>
            <w:top w:val="none" w:sz="0" w:space="0" w:color="auto"/>
            <w:left w:val="none" w:sz="0" w:space="0" w:color="auto"/>
            <w:bottom w:val="none" w:sz="0" w:space="0" w:color="auto"/>
            <w:right w:val="none" w:sz="0" w:space="0" w:color="auto"/>
          </w:divBdr>
        </w:div>
        <w:div w:id="261185555">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5.png@01D4C9FA.E45E01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cid:image003.png@01D4C9FA.E45E0180"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6378-AEBC-4969-BB57-151EE4A0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16821</Words>
  <Characters>95645</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2019-06-24T02:48:00Z</dcterms:created>
  <dcterms:modified xsi:type="dcterms:W3CDTF">2019-07-01T05:09:00Z</dcterms:modified>
</cp:coreProperties>
</file>