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F33" w:rsidRPr="007F00BE" w:rsidRDefault="00A831A0" w:rsidP="007F00BE">
      <w:pPr>
        <w:pStyle w:val="Title"/>
        <w:widowControl/>
        <w:spacing w:before="120" w:after="160"/>
        <w:ind w:left="720" w:hanging="720"/>
        <w:contextualSpacing/>
        <w:jc w:val="left"/>
        <w:rPr>
          <w:rFonts w:asciiTheme="minorHAnsi" w:eastAsiaTheme="majorEastAsia" w:hAnsiTheme="minorHAnsi" w:cstheme="majorBidi"/>
          <w:bCs w:val="0"/>
          <w:snapToGrid/>
          <w:spacing w:val="5"/>
          <w:sz w:val="36"/>
          <w:szCs w:val="36"/>
          <w:lang w:eastAsia="en-AU"/>
        </w:rPr>
      </w:pPr>
      <w:bookmarkStart w:id="0" w:name="_Toc380746195"/>
      <w:bookmarkStart w:id="1" w:name="_Toc380746321"/>
      <w:bookmarkStart w:id="2" w:name="_Toc380746602"/>
      <w:r w:rsidRPr="007F00BE">
        <w:rPr>
          <w:rFonts w:asciiTheme="minorHAnsi" w:eastAsiaTheme="majorEastAsia" w:hAnsiTheme="minorHAnsi" w:cstheme="majorBidi"/>
          <w:bCs w:val="0"/>
          <w:snapToGrid/>
          <w:spacing w:val="5"/>
          <w:sz w:val="36"/>
          <w:szCs w:val="36"/>
          <w:lang w:eastAsia="en-AU"/>
        </w:rPr>
        <w:t>5.05</w:t>
      </w:r>
      <w:r w:rsidR="00575F33" w:rsidRPr="007F00BE">
        <w:rPr>
          <w:rFonts w:asciiTheme="minorHAnsi" w:eastAsiaTheme="majorEastAsia" w:hAnsiTheme="minorHAnsi" w:cstheme="majorBidi"/>
          <w:bCs w:val="0"/>
          <w:snapToGrid/>
          <w:spacing w:val="5"/>
          <w:sz w:val="36"/>
          <w:szCs w:val="36"/>
          <w:lang w:eastAsia="en-AU"/>
        </w:rPr>
        <w:tab/>
      </w:r>
      <w:r w:rsidR="00FD3FFA" w:rsidRPr="007F00BE">
        <w:rPr>
          <w:rFonts w:asciiTheme="minorHAnsi" w:eastAsiaTheme="majorEastAsia" w:hAnsiTheme="minorHAnsi" w:cstheme="majorBidi"/>
          <w:bCs w:val="0"/>
          <w:snapToGrid/>
          <w:spacing w:val="5"/>
          <w:sz w:val="36"/>
          <w:szCs w:val="36"/>
          <w:lang w:eastAsia="en-AU"/>
        </w:rPr>
        <w:t>NERATINIB</w:t>
      </w:r>
      <w:r w:rsidR="00575F33" w:rsidRPr="007F00BE">
        <w:rPr>
          <w:rFonts w:asciiTheme="minorHAnsi" w:eastAsiaTheme="majorEastAsia" w:hAnsiTheme="minorHAnsi" w:cstheme="majorBidi"/>
          <w:bCs w:val="0"/>
          <w:snapToGrid/>
          <w:spacing w:val="5"/>
          <w:sz w:val="36"/>
          <w:szCs w:val="36"/>
          <w:lang w:eastAsia="en-AU"/>
        </w:rPr>
        <w:t xml:space="preserve">, </w:t>
      </w:r>
      <w:r w:rsidR="000F112A" w:rsidRPr="007F00BE">
        <w:rPr>
          <w:rFonts w:asciiTheme="minorHAnsi" w:eastAsiaTheme="majorEastAsia" w:hAnsiTheme="minorHAnsi" w:cstheme="majorBidi"/>
          <w:bCs w:val="0"/>
          <w:snapToGrid/>
          <w:spacing w:val="5"/>
          <w:sz w:val="36"/>
          <w:szCs w:val="36"/>
          <w:lang w:eastAsia="en-AU"/>
        </w:rPr>
        <w:br/>
        <w:t xml:space="preserve">Tablet </w:t>
      </w:r>
      <w:r w:rsidR="00936F25" w:rsidRPr="007F00BE">
        <w:rPr>
          <w:rFonts w:asciiTheme="minorHAnsi" w:eastAsiaTheme="majorEastAsia" w:hAnsiTheme="minorHAnsi" w:cstheme="majorBidi"/>
          <w:bCs w:val="0"/>
          <w:snapToGrid/>
          <w:spacing w:val="5"/>
          <w:sz w:val="36"/>
          <w:szCs w:val="36"/>
          <w:lang w:eastAsia="en-AU"/>
        </w:rPr>
        <w:t>40</w:t>
      </w:r>
      <w:r w:rsidR="0051562B" w:rsidRPr="007F00BE">
        <w:rPr>
          <w:rFonts w:asciiTheme="minorHAnsi" w:eastAsiaTheme="majorEastAsia" w:hAnsiTheme="minorHAnsi" w:cstheme="majorBidi"/>
          <w:bCs w:val="0"/>
          <w:snapToGrid/>
          <w:spacing w:val="5"/>
          <w:sz w:val="36"/>
          <w:szCs w:val="36"/>
          <w:lang w:eastAsia="en-AU"/>
        </w:rPr>
        <w:t xml:space="preserve"> </w:t>
      </w:r>
      <w:r w:rsidR="00936F25" w:rsidRPr="007F00BE">
        <w:rPr>
          <w:rFonts w:asciiTheme="minorHAnsi" w:eastAsiaTheme="majorEastAsia" w:hAnsiTheme="minorHAnsi" w:cstheme="majorBidi"/>
          <w:bCs w:val="0"/>
          <w:snapToGrid/>
          <w:spacing w:val="5"/>
          <w:sz w:val="36"/>
          <w:szCs w:val="36"/>
          <w:lang w:eastAsia="en-AU"/>
        </w:rPr>
        <w:t>mg</w:t>
      </w:r>
      <w:r w:rsidR="00911509" w:rsidRPr="007F00BE">
        <w:rPr>
          <w:rFonts w:asciiTheme="minorHAnsi" w:eastAsiaTheme="majorEastAsia" w:hAnsiTheme="minorHAnsi" w:cstheme="majorBidi"/>
          <w:bCs w:val="0"/>
          <w:snapToGrid/>
          <w:spacing w:val="5"/>
          <w:sz w:val="36"/>
          <w:szCs w:val="36"/>
          <w:lang w:eastAsia="en-AU"/>
        </w:rPr>
        <w:t xml:space="preserve">, </w:t>
      </w:r>
      <w:r w:rsidR="000F112A" w:rsidRPr="007F00BE">
        <w:rPr>
          <w:rFonts w:asciiTheme="minorHAnsi" w:eastAsiaTheme="majorEastAsia" w:hAnsiTheme="minorHAnsi" w:cstheme="majorBidi"/>
          <w:bCs w:val="0"/>
          <w:snapToGrid/>
          <w:spacing w:val="5"/>
          <w:sz w:val="36"/>
          <w:szCs w:val="36"/>
          <w:lang w:eastAsia="en-AU"/>
        </w:rPr>
        <w:br/>
      </w:r>
      <w:proofErr w:type="spellStart"/>
      <w:r w:rsidR="00911509" w:rsidRPr="007F00BE">
        <w:rPr>
          <w:rFonts w:asciiTheme="minorHAnsi" w:eastAsiaTheme="majorEastAsia" w:hAnsiTheme="minorHAnsi" w:cstheme="majorBidi"/>
          <w:bCs w:val="0"/>
          <w:snapToGrid/>
          <w:spacing w:val="5"/>
          <w:sz w:val="36"/>
          <w:szCs w:val="36"/>
          <w:lang w:eastAsia="en-AU"/>
        </w:rPr>
        <w:t>Nerlynx</w:t>
      </w:r>
      <w:proofErr w:type="spellEnd"/>
      <w:r w:rsidR="00575F33" w:rsidRPr="007F00BE">
        <w:rPr>
          <w:rFonts w:asciiTheme="minorHAnsi" w:eastAsiaTheme="majorEastAsia" w:hAnsiTheme="minorHAnsi" w:cstheme="majorBidi"/>
          <w:bCs w:val="0"/>
          <w:snapToGrid/>
          <w:spacing w:val="5"/>
          <w:sz w:val="36"/>
          <w:szCs w:val="36"/>
          <w:lang w:eastAsia="en-AU"/>
        </w:rPr>
        <w:t>®</w:t>
      </w:r>
      <w:r w:rsidR="00911509" w:rsidRPr="007F00BE">
        <w:rPr>
          <w:rFonts w:asciiTheme="minorHAnsi" w:eastAsiaTheme="majorEastAsia" w:hAnsiTheme="minorHAnsi" w:cstheme="majorBidi"/>
          <w:bCs w:val="0"/>
          <w:snapToGrid/>
          <w:spacing w:val="5"/>
          <w:sz w:val="36"/>
          <w:szCs w:val="36"/>
          <w:lang w:eastAsia="en-AU"/>
        </w:rPr>
        <w:t>, Specialised Therapeutics PM Pty Ltd.</w:t>
      </w:r>
    </w:p>
    <w:p w:rsidR="00575F33" w:rsidRPr="00BE23C5" w:rsidRDefault="00575F33" w:rsidP="003C5711">
      <w:pPr>
        <w:pStyle w:val="PBACHeading1"/>
        <w:spacing w:before="120" w:after="120"/>
        <w:outlineLvl w:val="0"/>
      </w:pPr>
      <w:bookmarkStart w:id="3" w:name="_Toc535857343"/>
      <w:r w:rsidRPr="00BE23C5">
        <w:t>Purpose of Application</w:t>
      </w:r>
      <w:bookmarkEnd w:id="3"/>
    </w:p>
    <w:p w:rsidR="00575F33" w:rsidRPr="00BE23C5" w:rsidRDefault="00575F33" w:rsidP="003C5711">
      <w:pPr>
        <w:pStyle w:val="ListParagraph"/>
        <w:widowControl/>
        <w:numPr>
          <w:ilvl w:val="1"/>
          <w:numId w:val="2"/>
        </w:numPr>
        <w:spacing w:before="120" w:after="120"/>
      </w:pPr>
      <w:r w:rsidRPr="00BE23C5">
        <w:t xml:space="preserve">Authority </w:t>
      </w:r>
      <w:proofErr w:type="gramStart"/>
      <w:r w:rsidRPr="00BE23C5">
        <w:t>Required</w:t>
      </w:r>
      <w:proofErr w:type="gramEnd"/>
      <w:r w:rsidRPr="00BE23C5">
        <w:t xml:space="preserve"> listing for </w:t>
      </w:r>
      <w:proofErr w:type="spellStart"/>
      <w:r w:rsidRPr="00BE23C5">
        <w:t>neratinib</w:t>
      </w:r>
      <w:proofErr w:type="spellEnd"/>
      <w:r w:rsidRPr="00BE23C5">
        <w:t xml:space="preserve"> for treatment of adult patients with </w:t>
      </w:r>
      <w:r w:rsidR="004C52C6" w:rsidRPr="00BE23C5">
        <w:t>human epidermal growth factor receptor 2 (</w:t>
      </w:r>
      <w:r w:rsidRPr="00BE23C5">
        <w:t>HER2</w:t>
      </w:r>
      <w:r w:rsidR="004C52C6" w:rsidRPr="00BE23C5">
        <w:t>) positive</w:t>
      </w:r>
      <w:r w:rsidRPr="00BE23C5">
        <w:t xml:space="preserve">, </w:t>
      </w:r>
      <w:r w:rsidR="004C52C6" w:rsidRPr="00BE23C5">
        <w:t>hormone receptor positive (</w:t>
      </w:r>
      <w:r w:rsidRPr="00BE23C5">
        <w:t>HR</w:t>
      </w:r>
      <w:r w:rsidR="004D58F1" w:rsidRPr="00BE23C5">
        <w:t>+</w:t>
      </w:r>
      <w:r w:rsidR="004C52C6" w:rsidRPr="00BE23C5">
        <w:t>)</w:t>
      </w:r>
      <w:r w:rsidRPr="00BE23C5">
        <w:t xml:space="preserve">, </w:t>
      </w:r>
      <w:r w:rsidR="000E2688" w:rsidRPr="00BE23C5">
        <w:t>early breast cancer (</w:t>
      </w:r>
      <w:proofErr w:type="spellStart"/>
      <w:r w:rsidRPr="00BE23C5">
        <w:t>eBC</w:t>
      </w:r>
      <w:proofErr w:type="spellEnd"/>
      <w:r w:rsidR="000E2688" w:rsidRPr="00BE23C5">
        <w:t>)</w:t>
      </w:r>
      <w:r w:rsidRPr="00BE23C5">
        <w:t xml:space="preserve"> who have completed prior adjuvant </w:t>
      </w:r>
      <w:proofErr w:type="spellStart"/>
      <w:r w:rsidRPr="00BE23C5">
        <w:t>trastuzumab</w:t>
      </w:r>
      <w:proofErr w:type="spellEnd"/>
      <w:r w:rsidRPr="00BE23C5">
        <w:t xml:space="preserve"> based therapy within the past 12 months</w:t>
      </w:r>
      <w:r w:rsidR="00A04479" w:rsidRPr="00BE23C5">
        <w:t>.</w:t>
      </w:r>
      <w:r w:rsidRPr="00BE23C5">
        <w:t xml:space="preserve"> </w:t>
      </w:r>
    </w:p>
    <w:p w:rsidR="00575F33" w:rsidRPr="00BE23C5" w:rsidRDefault="00575F33" w:rsidP="003C5711">
      <w:pPr>
        <w:pStyle w:val="ListParagraph"/>
        <w:widowControl/>
        <w:numPr>
          <w:ilvl w:val="1"/>
          <w:numId w:val="2"/>
        </w:numPr>
        <w:spacing w:before="120" w:after="120"/>
      </w:pPr>
      <w:r w:rsidRPr="00BE23C5">
        <w:t xml:space="preserve">The basis of listing was cost-effectiveness of </w:t>
      </w:r>
      <w:proofErr w:type="spellStart"/>
      <w:r w:rsidR="00846C3F" w:rsidRPr="00BE23C5">
        <w:t>neratinib</w:t>
      </w:r>
      <w:proofErr w:type="spellEnd"/>
      <w:r w:rsidR="00846C3F" w:rsidRPr="00BE23C5">
        <w:t xml:space="preserve"> compared to placebo.</w:t>
      </w:r>
    </w:p>
    <w:p w:rsidR="00575F33" w:rsidRPr="00BE23C5" w:rsidRDefault="00575F33" w:rsidP="00575F33">
      <w:pPr>
        <w:keepNext/>
      </w:pPr>
      <w:r w:rsidRPr="00BE23C5">
        <w:rPr>
          <w:rStyle w:val="CommentReference"/>
        </w:rPr>
        <w:t>Table 1: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43"/>
        <w:gridCol w:w="7374"/>
      </w:tblGrid>
      <w:tr w:rsidR="00575F33" w:rsidRPr="00BE23C5" w:rsidTr="00033521">
        <w:trPr>
          <w:tblHeader/>
        </w:trPr>
        <w:tc>
          <w:tcPr>
            <w:tcW w:w="911" w:type="pct"/>
            <w:vAlign w:val="center"/>
          </w:tcPr>
          <w:p w:rsidR="00575F33" w:rsidRPr="00BE23C5" w:rsidRDefault="00575F33" w:rsidP="001D3A29">
            <w:pPr>
              <w:pStyle w:val="Tabletext"/>
              <w:rPr>
                <w:b/>
              </w:rPr>
            </w:pPr>
            <w:r w:rsidRPr="00BE23C5">
              <w:rPr>
                <w:b/>
              </w:rPr>
              <w:t>Component</w:t>
            </w:r>
          </w:p>
        </w:tc>
        <w:tc>
          <w:tcPr>
            <w:tcW w:w="4089" w:type="pct"/>
            <w:vAlign w:val="center"/>
          </w:tcPr>
          <w:p w:rsidR="00575F33" w:rsidRPr="00BE23C5" w:rsidRDefault="00575F33" w:rsidP="001D3A29">
            <w:pPr>
              <w:pStyle w:val="Tabletext"/>
              <w:jc w:val="center"/>
              <w:rPr>
                <w:b/>
              </w:rPr>
            </w:pPr>
            <w:r w:rsidRPr="00BE23C5">
              <w:rPr>
                <w:b/>
              </w:rPr>
              <w:t>Description</w:t>
            </w:r>
          </w:p>
        </w:tc>
      </w:tr>
      <w:tr w:rsidR="00575F33" w:rsidRPr="00BE23C5" w:rsidTr="00033521">
        <w:tc>
          <w:tcPr>
            <w:tcW w:w="911" w:type="pct"/>
            <w:vAlign w:val="center"/>
          </w:tcPr>
          <w:p w:rsidR="00575F33" w:rsidRPr="00BE23C5" w:rsidRDefault="00575F33" w:rsidP="001D3A29">
            <w:pPr>
              <w:pStyle w:val="Tabletext"/>
            </w:pPr>
            <w:r w:rsidRPr="00BE23C5">
              <w:t>Population</w:t>
            </w:r>
          </w:p>
        </w:tc>
        <w:tc>
          <w:tcPr>
            <w:tcW w:w="4089" w:type="pct"/>
            <w:vAlign w:val="center"/>
          </w:tcPr>
          <w:p w:rsidR="00575F33" w:rsidRPr="00BE23C5" w:rsidRDefault="00575F33" w:rsidP="001D3A29">
            <w:pPr>
              <w:pStyle w:val="Tabletext"/>
            </w:pPr>
            <w:r w:rsidRPr="00BE23C5">
              <w:t xml:space="preserve">Adult patients with HER2+, HR+, </w:t>
            </w:r>
            <w:proofErr w:type="spellStart"/>
            <w:r w:rsidRPr="00BE23C5">
              <w:t>eBC</w:t>
            </w:r>
            <w:proofErr w:type="spellEnd"/>
            <w:r w:rsidRPr="00BE23C5">
              <w:t xml:space="preserve"> who have completed prior adjuvant </w:t>
            </w:r>
            <w:proofErr w:type="spellStart"/>
            <w:r w:rsidRPr="00BE23C5">
              <w:t>trastuzumab</w:t>
            </w:r>
            <w:proofErr w:type="spellEnd"/>
            <w:r w:rsidRPr="00BE23C5">
              <w:t xml:space="preserve"> based therapy within the past 12 months</w:t>
            </w:r>
          </w:p>
        </w:tc>
      </w:tr>
      <w:tr w:rsidR="00575F33" w:rsidRPr="00BE23C5" w:rsidTr="00033521">
        <w:tc>
          <w:tcPr>
            <w:tcW w:w="911" w:type="pct"/>
            <w:vAlign w:val="center"/>
          </w:tcPr>
          <w:p w:rsidR="00575F33" w:rsidRPr="00BE23C5" w:rsidRDefault="00575F33" w:rsidP="001D3A29">
            <w:pPr>
              <w:pStyle w:val="Tabletext"/>
            </w:pPr>
            <w:r w:rsidRPr="00BE23C5">
              <w:t>Intervention</w:t>
            </w:r>
          </w:p>
        </w:tc>
        <w:tc>
          <w:tcPr>
            <w:tcW w:w="4089" w:type="pct"/>
            <w:vAlign w:val="center"/>
          </w:tcPr>
          <w:p w:rsidR="00575F33" w:rsidRPr="00BE23C5" w:rsidRDefault="00575F33" w:rsidP="001D3A29">
            <w:pPr>
              <w:pStyle w:val="Tabletext"/>
            </w:pPr>
            <w:proofErr w:type="spellStart"/>
            <w:r w:rsidRPr="00BE23C5">
              <w:t>Neratinib</w:t>
            </w:r>
            <w:proofErr w:type="spellEnd"/>
            <w:r w:rsidR="004C52C6" w:rsidRPr="00BE23C5">
              <w:t xml:space="preserve"> 240mg (6 x 40mg tablets) taken orally once daily, continuously for one year</w:t>
            </w:r>
          </w:p>
        </w:tc>
      </w:tr>
      <w:tr w:rsidR="00575F33" w:rsidRPr="00BE23C5" w:rsidTr="00033521">
        <w:tc>
          <w:tcPr>
            <w:tcW w:w="911" w:type="pct"/>
            <w:vAlign w:val="center"/>
          </w:tcPr>
          <w:p w:rsidR="00575F33" w:rsidRPr="00BE23C5" w:rsidRDefault="00575F33" w:rsidP="001D3A29">
            <w:pPr>
              <w:pStyle w:val="Tabletext"/>
            </w:pPr>
            <w:r w:rsidRPr="00BE23C5">
              <w:t>Comparator</w:t>
            </w:r>
          </w:p>
        </w:tc>
        <w:tc>
          <w:tcPr>
            <w:tcW w:w="4089" w:type="pct"/>
            <w:vAlign w:val="center"/>
          </w:tcPr>
          <w:p w:rsidR="00575F33" w:rsidRPr="00BE23C5" w:rsidRDefault="00575F33" w:rsidP="001D3A29">
            <w:pPr>
              <w:pStyle w:val="Tabletext"/>
            </w:pPr>
            <w:r w:rsidRPr="00BE23C5">
              <w:t>Usual care/placebo</w:t>
            </w:r>
          </w:p>
        </w:tc>
      </w:tr>
      <w:tr w:rsidR="00575F33" w:rsidRPr="00BE23C5" w:rsidTr="00033521">
        <w:tc>
          <w:tcPr>
            <w:tcW w:w="911" w:type="pct"/>
            <w:vAlign w:val="center"/>
          </w:tcPr>
          <w:p w:rsidR="00575F33" w:rsidRPr="00BE23C5" w:rsidRDefault="00575F33" w:rsidP="001D3A29">
            <w:pPr>
              <w:pStyle w:val="Tabletext"/>
            </w:pPr>
            <w:r w:rsidRPr="00BE23C5">
              <w:t>Outcomes</w:t>
            </w:r>
          </w:p>
        </w:tc>
        <w:tc>
          <w:tcPr>
            <w:tcW w:w="4089" w:type="pct"/>
            <w:vAlign w:val="center"/>
          </w:tcPr>
          <w:p w:rsidR="00575F33" w:rsidRPr="00BE23C5" w:rsidRDefault="00575F33" w:rsidP="001D3A29">
            <w:pPr>
              <w:pStyle w:val="Tabletext"/>
            </w:pPr>
            <w:r w:rsidRPr="00BE23C5">
              <w:t>Invasive disease-free survival (primary outcome), distant disease-free survival, time to distant recurrence, incidence of CNS recurrence, adverse events</w:t>
            </w:r>
          </w:p>
        </w:tc>
      </w:tr>
      <w:tr w:rsidR="00575F33" w:rsidRPr="00BE23C5" w:rsidTr="00033521">
        <w:tc>
          <w:tcPr>
            <w:tcW w:w="911" w:type="pct"/>
            <w:vAlign w:val="center"/>
          </w:tcPr>
          <w:p w:rsidR="00575F33" w:rsidRPr="00BE23C5" w:rsidRDefault="00575F33" w:rsidP="001D3A29">
            <w:pPr>
              <w:pStyle w:val="Tabletext"/>
            </w:pPr>
            <w:r w:rsidRPr="00BE23C5">
              <w:t>Clinical claim</w:t>
            </w:r>
          </w:p>
        </w:tc>
        <w:tc>
          <w:tcPr>
            <w:tcW w:w="4089" w:type="pct"/>
            <w:vAlign w:val="center"/>
          </w:tcPr>
          <w:p w:rsidR="00575F33" w:rsidRPr="00BE23C5" w:rsidRDefault="00B37C0C" w:rsidP="00B37C0C">
            <w:pPr>
              <w:pStyle w:val="Tabletext"/>
            </w:pPr>
            <w:proofErr w:type="spellStart"/>
            <w:r w:rsidRPr="00BE23C5">
              <w:t>N</w:t>
            </w:r>
            <w:r w:rsidR="00575F33" w:rsidRPr="00BE23C5">
              <w:t>eratinib</w:t>
            </w:r>
            <w:proofErr w:type="spellEnd"/>
            <w:r w:rsidR="00575F33" w:rsidRPr="00BE23C5">
              <w:t xml:space="preserve"> is more effective than placebo at improving invasive disease-free survival.</w:t>
            </w:r>
            <w:r w:rsidR="00D06DC4" w:rsidRPr="00BE23C5">
              <w:t xml:space="preserve"> </w:t>
            </w:r>
            <w:proofErr w:type="spellStart"/>
            <w:r w:rsidR="00D06DC4" w:rsidRPr="00BE23C5">
              <w:t>Neratinib</w:t>
            </w:r>
            <w:proofErr w:type="spellEnd"/>
            <w:r w:rsidR="00D06DC4" w:rsidRPr="00BE23C5">
              <w:t xml:space="preserve"> is inferior in terms of safety compared with placebo.</w:t>
            </w:r>
          </w:p>
        </w:tc>
      </w:tr>
    </w:tbl>
    <w:p w:rsidR="00575F33" w:rsidRPr="00BE23C5" w:rsidRDefault="00575F33" w:rsidP="00575F33">
      <w:pPr>
        <w:pStyle w:val="TableFooter"/>
      </w:pPr>
      <w:r w:rsidRPr="00BE23C5">
        <w:t xml:space="preserve">CNS: central nervous system, HER2+: human epidermal growth factor receptor 2 positive; HR+: hormone receptor positive; </w:t>
      </w:r>
      <w:proofErr w:type="spellStart"/>
      <w:r w:rsidRPr="00BE23C5">
        <w:t>eBC</w:t>
      </w:r>
      <w:proofErr w:type="spellEnd"/>
      <w:r w:rsidRPr="00BE23C5">
        <w:t>: early breast cancer</w:t>
      </w:r>
    </w:p>
    <w:p w:rsidR="00575F33" w:rsidRPr="00BE23C5" w:rsidRDefault="00575F33" w:rsidP="00575F33">
      <w:pPr>
        <w:pStyle w:val="TableFooter"/>
      </w:pPr>
      <w:r w:rsidRPr="00BE23C5">
        <w:t>Source: Table 2, p2 of the submission.</w:t>
      </w:r>
    </w:p>
    <w:p w:rsidR="00575F33" w:rsidRPr="00BE23C5" w:rsidRDefault="00575F33" w:rsidP="00ED7F82">
      <w:pPr>
        <w:pStyle w:val="PBACHeading1"/>
        <w:spacing w:before="120" w:after="120"/>
        <w:outlineLvl w:val="0"/>
      </w:pPr>
      <w:bookmarkStart w:id="4" w:name="_Toc535857344"/>
      <w:r w:rsidRPr="00BE23C5">
        <w:t>Requested listing</w:t>
      </w:r>
      <w:bookmarkEnd w:id="4"/>
    </w:p>
    <w:p w:rsidR="002E2BD7" w:rsidRPr="00BE23C5" w:rsidRDefault="003C3A84" w:rsidP="00ED7F82">
      <w:pPr>
        <w:pStyle w:val="PBACHeading1"/>
        <w:numPr>
          <w:ilvl w:val="0"/>
          <w:numId w:val="0"/>
        </w:numPr>
        <w:spacing w:before="120" w:after="120"/>
        <w:jc w:val="both"/>
        <w:rPr>
          <w:b w:val="0"/>
          <w:i/>
          <w:sz w:val="24"/>
        </w:rPr>
      </w:pPr>
      <w:r w:rsidRPr="00BE23C5">
        <w:rPr>
          <w:b w:val="0"/>
          <w:sz w:val="24"/>
        </w:rPr>
        <w:t>Suggestions and additions proposed by the Secretariat to the requested listing are added in italics and suggested deletions are crossed out with strikethrough.</w:t>
      </w:r>
    </w:p>
    <w:p w:rsidR="00575F33" w:rsidRPr="00BE23C5" w:rsidRDefault="00575F33" w:rsidP="00EF4127">
      <w:pPr>
        <w:pStyle w:val="TableHeader"/>
        <w:keepNext/>
        <w:rPr>
          <w:rFonts w:ascii="Arial Narrow" w:hAnsi="Arial Narrow"/>
        </w:rPr>
      </w:pPr>
    </w:p>
    <w:p w:rsidR="003C3A84" w:rsidRPr="00BE23C5" w:rsidRDefault="000F112A" w:rsidP="003C3A84">
      <w:pPr>
        <w:pStyle w:val="Tabletext"/>
        <w:rPr>
          <w:rStyle w:val="CommentReference"/>
          <w:b w:val="0"/>
          <w:szCs w:val="20"/>
        </w:rPr>
      </w:pPr>
      <w:r>
        <w:rPr>
          <w:rStyle w:val="CommentReference"/>
          <w:szCs w:val="20"/>
        </w:rPr>
        <w:br w:type="column"/>
      </w:r>
      <w:r w:rsidR="003C3A84" w:rsidRPr="00BE23C5">
        <w:rPr>
          <w:rStyle w:val="CommentReference"/>
          <w:szCs w:val="20"/>
        </w:rPr>
        <w:lastRenderedPageBreak/>
        <w:t>Initial treatment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18"/>
        <w:gridCol w:w="103"/>
        <w:gridCol w:w="1217"/>
        <w:gridCol w:w="1298"/>
        <w:gridCol w:w="926"/>
        <w:gridCol w:w="1641"/>
        <w:gridCol w:w="1724"/>
      </w:tblGrid>
      <w:tr w:rsidR="003C3A84" w:rsidRPr="00BE23C5" w:rsidTr="003C3A84">
        <w:tc>
          <w:tcPr>
            <w:tcW w:w="1173" w:type="pct"/>
          </w:tcPr>
          <w:p w:rsidR="003C3A84" w:rsidRPr="00BE23C5" w:rsidRDefault="003C3A84" w:rsidP="003C3A84">
            <w:pPr>
              <w:pStyle w:val="Tabletext"/>
              <w:rPr>
                <w:b/>
                <w:bCs/>
              </w:rPr>
            </w:pPr>
            <w:r w:rsidRPr="00BE23C5">
              <w:rPr>
                <w:b/>
              </w:rPr>
              <w:t>Name, restriction, manner of administration, form</w:t>
            </w:r>
          </w:p>
        </w:tc>
        <w:tc>
          <w:tcPr>
            <w:tcW w:w="731" w:type="pct"/>
            <w:gridSpan w:val="2"/>
          </w:tcPr>
          <w:p w:rsidR="003C3A84" w:rsidRPr="00BE23C5" w:rsidRDefault="003C3A84" w:rsidP="003C3A84">
            <w:pPr>
              <w:pStyle w:val="Tabletext"/>
              <w:jc w:val="center"/>
              <w:rPr>
                <w:b/>
                <w:bCs/>
              </w:rPr>
            </w:pPr>
            <w:r w:rsidRPr="00BE23C5">
              <w:rPr>
                <w:b/>
              </w:rPr>
              <w:t>Maximum quantity (packs)</w:t>
            </w:r>
          </w:p>
        </w:tc>
        <w:tc>
          <w:tcPr>
            <w:tcW w:w="719" w:type="pct"/>
          </w:tcPr>
          <w:p w:rsidR="003C3A84" w:rsidRPr="00BE23C5" w:rsidRDefault="003C3A84" w:rsidP="003C3A84">
            <w:pPr>
              <w:pStyle w:val="Tabletext"/>
              <w:jc w:val="center"/>
              <w:rPr>
                <w:b/>
                <w:bCs/>
              </w:rPr>
            </w:pPr>
            <w:r w:rsidRPr="00BE23C5">
              <w:rPr>
                <w:b/>
              </w:rPr>
              <w:t>Maximum quantity (units)</w:t>
            </w:r>
          </w:p>
        </w:tc>
        <w:tc>
          <w:tcPr>
            <w:tcW w:w="513" w:type="pct"/>
          </w:tcPr>
          <w:p w:rsidR="003C3A84" w:rsidRPr="00BE23C5" w:rsidRDefault="003C3A84" w:rsidP="003C3A84">
            <w:pPr>
              <w:pStyle w:val="Tabletext"/>
              <w:rPr>
                <w:b/>
                <w:bCs/>
              </w:rPr>
            </w:pPr>
            <w:r w:rsidRPr="00BE23C5">
              <w:rPr>
                <w:b/>
              </w:rPr>
              <w:t>No. of repeats</w:t>
            </w:r>
          </w:p>
        </w:tc>
        <w:tc>
          <w:tcPr>
            <w:tcW w:w="909" w:type="pct"/>
          </w:tcPr>
          <w:p w:rsidR="003C3A84" w:rsidRPr="00BE23C5" w:rsidRDefault="003C3A84" w:rsidP="003C3A84">
            <w:pPr>
              <w:pStyle w:val="Tabletext"/>
              <w:rPr>
                <w:b/>
                <w:bCs/>
              </w:rPr>
            </w:pPr>
            <w:r w:rsidRPr="00BE23C5">
              <w:rPr>
                <w:b/>
              </w:rPr>
              <w:t>Dispensed price for maximum quantity</w:t>
            </w:r>
          </w:p>
        </w:tc>
        <w:tc>
          <w:tcPr>
            <w:tcW w:w="955" w:type="pct"/>
          </w:tcPr>
          <w:p w:rsidR="003C3A84" w:rsidRPr="00BE23C5" w:rsidRDefault="003C3A84" w:rsidP="003C3A84">
            <w:pPr>
              <w:pStyle w:val="Tabletext"/>
              <w:rPr>
                <w:b/>
                <w:bCs/>
              </w:rPr>
            </w:pPr>
            <w:r w:rsidRPr="00BE23C5">
              <w:rPr>
                <w:b/>
              </w:rPr>
              <w:t>Proprietary name and manufacturer</w:t>
            </w:r>
          </w:p>
        </w:tc>
      </w:tr>
      <w:tr w:rsidR="003C3A84" w:rsidRPr="00BE23C5" w:rsidTr="003C3A84">
        <w:tc>
          <w:tcPr>
            <w:tcW w:w="1173" w:type="pct"/>
          </w:tcPr>
          <w:p w:rsidR="003C3A84" w:rsidRPr="00BE23C5" w:rsidRDefault="003C3A84" w:rsidP="003C3A84">
            <w:pPr>
              <w:pStyle w:val="Tabletext"/>
            </w:pPr>
            <w:proofErr w:type="spellStart"/>
            <w:r w:rsidRPr="00BE23C5">
              <w:rPr>
                <w:smallCaps/>
              </w:rPr>
              <w:t>Neratinib</w:t>
            </w:r>
            <w:proofErr w:type="spellEnd"/>
            <w:r w:rsidRPr="00BE23C5">
              <w:br/>
              <w:t>40 mg tablet</w:t>
            </w:r>
          </w:p>
          <w:p w:rsidR="003C3A84" w:rsidRPr="00BE23C5" w:rsidRDefault="003C3A84" w:rsidP="003C3A84">
            <w:pPr>
              <w:pStyle w:val="Tabletext"/>
              <w:rPr>
                <w:b/>
              </w:rPr>
            </w:pPr>
            <w:r w:rsidRPr="00BE23C5">
              <w:t>Initial therapy</w:t>
            </w:r>
          </w:p>
        </w:tc>
        <w:tc>
          <w:tcPr>
            <w:tcW w:w="731" w:type="pct"/>
            <w:gridSpan w:val="2"/>
          </w:tcPr>
          <w:p w:rsidR="003C3A84" w:rsidRPr="00BE23C5" w:rsidRDefault="003C3A84" w:rsidP="003C3A84">
            <w:pPr>
              <w:pStyle w:val="Tabletext"/>
              <w:jc w:val="center"/>
              <w:rPr>
                <w:b/>
              </w:rPr>
            </w:pPr>
            <w:r w:rsidRPr="00BE23C5">
              <w:t>1</w:t>
            </w:r>
          </w:p>
        </w:tc>
        <w:tc>
          <w:tcPr>
            <w:tcW w:w="719" w:type="pct"/>
          </w:tcPr>
          <w:p w:rsidR="003C3A84" w:rsidRPr="00BE23C5" w:rsidRDefault="003C3A84" w:rsidP="003C3A84">
            <w:pPr>
              <w:pStyle w:val="Tabletext"/>
              <w:jc w:val="center"/>
              <w:rPr>
                <w:b/>
              </w:rPr>
            </w:pPr>
            <w:r w:rsidRPr="00BE23C5">
              <w:t>180</w:t>
            </w:r>
          </w:p>
        </w:tc>
        <w:tc>
          <w:tcPr>
            <w:tcW w:w="513" w:type="pct"/>
          </w:tcPr>
          <w:p w:rsidR="003C3A84" w:rsidRPr="00BE23C5" w:rsidRDefault="003C3A84" w:rsidP="003C3A84">
            <w:pPr>
              <w:pStyle w:val="Tabletext"/>
              <w:jc w:val="center"/>
              <w:rPr>
                <w:b/>
              </w:rPr>
            </w:pPr>
            <w:r w:rsidRPr="00BE23C5">
              <w:t>1</w:t>
            </w:r>
          </w:p>
        </w:tc>
        <w:tc>
          <w:tcPr>
            <w:tcW w:w="909" w:type="pct"/>
          </w:tcPr>
          <w:p w:rsidR="003C3A84" w:rsidRPr="00BE23C5" w:rsidRDefault="003C3A84" w:rsidP="003C3A84">
            <w:pPr>
              <w:pStyle w:val="Tabletext"/>
              <w:rPr>
                <w:b/>
              </w:rPr>
            </w:pPr>
            <w:r w:rsidRPr="00BE23C5">
              <w:t>$</w:t>
            </w:r>
            <w:r w:rsidR="00FC3C5B">
              <w:rPr>
                <w:noProof/>
                <w:color w:val="000000"/>
                <w:highlight w:val="black"/>
              </w:rPr>
              <w:t>'''''''''''''''''</w:t>
            </w:r>
          </w:p>
        </w:tc>
        <w:tc>
          <w:tcPr>
            <w:tcW w:w="955" w:type="pct"/>
          </w:tcPr>
          <w:p w:rsidR="003C3A84" w:rsidRPr="00BE23C5" w:rsidRDefault="003C3A84" w:rsidP="003C3A84">
            <w:pPr>
              <w:pStyle w:val="Tabletext"/>
              <w:rPr>
                <w:b/>
              </w:rPr>
            </w:pPr>
            <w:proofErr w:type="spellStart"/>
            <w:r w:rsidRPr="00BE23C5">
              <w:t>Nerlynx</w:t>
            </w:r>
            <w:proofErr w:type="spellEnd"/>
            <w:r w:rsidRPr="00BE23C5">
              <w:t>, Specialised Therapeutics PM</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 xml:space="preserve">Category / </w:t>
            </w:r>
          </w:p>
          <w:p w:rsidR="003C3A84" w:rsidRPr="00BE23C5" w:rsidRDefault="003C3A84" w:rsidP="003C3A84">
            <w:pPr>
              <w:rPr>
                <w:rFonts w:ascii="Arial Narrow" w:hAnsi="Arial Narrow"/>
                <w:b/>
                <w:sz w:val="20"/>
                <w:szCs w:val="20"/>
              </w:rPr>
            </w:pPr>
            <w:r w:rsidRPr="00BE23C5">
              <w:rPr>
                <w:rFonts w:ascii="Arial Narrow" w:hAnsi="Arial Narrow"/>
                <w:b/>
                <w:sz w:val="20"/>
                <w:szCs w:val="20"/>
              </w:rPr>
              <w:t>Program</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spacing w:after="120"/>
              <w:rPr>
                <w:rFonts w:ascii="Arial Narrow" w:hAnsi="Arial Narrow"/>
                <w:sz w:val="20"/>
                <w:szCs w:val="20"/>
              </w:rPr>
            </w:pPr>
            <w:r w:rsidRPr="00BE23C5">
              <w:rPr>
                <w:rFonts w:ascii="Arial Narrow" w:eastAsia="Arial Narrow" w:hAnsi="Arial Narrow" w:cs="Arial Narrow"/>
                <w:sz w:val="20"/>
                <w:szCs w:val="20"/>
              </w:rPr>
              <w:t>GENERAL – General Schedule (Code GE)</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Prescriber type:</w:t>
            </w:r>
          </w:p>
          <w:p w:rsidR="003C3A84" w:rsidRPr="00BE23C5" w:rsidRDefault="003C3A84" w:rsidP="003C3A84">
            <w:pPr>
              <w:rPr>
                <w:rFonts w:ascii="Arial Narrow" w:hAnsi="Arial Narrow"/>
                <w:b/>
                <w:sz w:val="20"/>
                <w:szCs w:val="20"/>
              </w:rPr>
            </w:pP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r w:rsidRPr="00BE23C5">
              <w:rPr>
                <w:rFonts w:ascii="Arial Narrow" w:hAnsi="Arial Narrow"/>
                <w:sz w:val="20"/>
                <w:szCs w:val="20"/>
              </w:rPr>
              <w:fldChar w:fldCharType="begin">
                <w:ffData>
                  <w:name w:val="Check1"/>
                  <w:enabled/>
                  <w:calcOnExit w:val="0"/>
                  <w:checkBox>
                    <w:sizeAuto/>
                    <w:default w:val="0"/>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 xml:space="preserve">Dental  </w:t>
            </w:r>
            <w:r w:rsidRPr="00BE23C5">
              <w:rPr>
                <w:rFonts w:ascii="Arial Narrow" w:hAnsi="Arial Narrow"/>
                <w:sz w:val="20"/>
                <w:szCs w:val="20"/>
              </w:rPr>
              <w:fldChar w:fldCharType="begin">
                <w:ffData>
                  <w:name w:val=""/>
                  <w:enabled/>
                  <w:calcOnExit w:val="0"/>
                  <w:checkBox>
                    <w:sizeAuto/>
                    <w:default w:val="1"/>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 xml:space="preserve">Medical Practitioners  </w:t>
            </w:r>
            <w:r w:rsidRPr="00BE23C5">
              <w:rPr>
                <w:rFonts w:ascii="Arial Narrow" w:hAnsi="Arial Narrow"/>
                <w:sz w:val="20"/>
                <w:szCs w:val="20"/>
              </w:rPr>
              <w:fldChar w:fldCharType="begin">
                <w:ffData>
                  <w:name w:val="Check3"/>
                  <w:enabled/>
                  <w:calcOnExit w:val="0"/>
                  <w:checkBox>
                    <w:sizeAuto/>
                    <w:default w:val="0"/>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 xml:space="preserve">Nurse practitioners  </w:t>
            </w:r>
            <w:r w:rsidRPr="00BE23C5">
              <w:rPr>
                <w:rFonts w:ascii="Arial Narrow" w:hAnsi="Arial Narrow"/>
                <w:sz w:val="20"/>
                <w:szCs w:val="20"/>
              </w:rPr>
              <w:fldChar w:fldCharType="begin">
                <w:ffData>
                  <w:name w:val=""/>
                  <w:enabled/>
                  <w:calcOnExit w:val="0"/>
                  <w:checkBox>
                    <w:sizeAuto/>
                    <w:default w:val="0"/>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Optometrists</w:t>
            </w:r>
          </w:p>
          <w:p w:rsidR="003C3A84" w:rsidRPr="00BE23C5" w:rsidRDefault="003C3A84" w:rsidP="003C3A84">
            <w:pPr>
              <w:rPr>
                <w:rFonts w:ascii="Arial Narrow" w:hAnsi="Arial Narrow"/>
                <w:sz w:val="20"/>
                <w:szCs w:val="20"/>
              </w:rPr>
            </w:pPr>
            <w:r w:rsidRPr="00BE23C5">
              <w:rPr>
                <w:rFonts w:ascii="Arial Narrow" w:hAnsi="Arial Narrow"/>
                <w:sz w:val="20"/>
                <w:szCs w:val="20"/>
              </w:rPr>
              <w:fldChar w:fldCharType="begin">
                <w:ffData>
                  <w:name w:val="Check5"/>
                  <w:enabled/>
                  <w:calcOnExit w:val="0"/>
                  <w:checkBox>
                    <w:sizeAuto/>
                    <w:default w:val="0"/>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Midwives</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i/>
                <w:sz w:val="20"/>
                <w:szCs w:val="20"/>
              </w:rPr>
            </w:pPr>
            <w:r w:rsidRPr="00BE23C5">
              <w:rPr>
                <w:rFonts w:ascii="Arial Narrow" w:hAnsi="Arial Narrow"/>
                <w:b/>
                <w:i/>
                <w:sz w:val="20"/>
                <w:szCs w:val="20"/>
              </w:rPr>
              <w:t>Severity:</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i/>
                <w:sz w:val="20"/>
                <w:szCs w:val="20"/>
              </w:rPr>
            </w:pPr>
            <w:r w:rsidRPr="00BE23C5">
              <w:rPr>
                <w:rFonts w:ascii="Arial Narrow" w:hAnsi="Arial Narrow"/>
                <w:i/>
                <w:sz w:val="20"/>
                <w:szCs w:val="20"/>
              </w:rPr>
              <w:t>Early</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Condition:</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r w:rsidRPr="00BE23C5">
              <w:rPr>
                <w:rFonts w:ascii="Arial Narrow" w:hAnsi="Arial Narrow"/>
                <w:i/>
                <w:sz w:val="20"/>
                <w:szCs w:val="20"/>
              </w:rPr>
              <w:t>HER2 positive</w:t>
            </w:r>
            <w:r w:rsidRPr="00BE23C5">
              <w:rPr>
                <w:rFonts w:ascii="Arial Narrow" w:hAnsi="Arial Narrow"/>
                <w:sz w:val="20"/>
                <w:szCs w:val="20"/>
              </w:rPr>
              <w:t xml:space="preserve"> Breast cancer</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PBS Indication:</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r w:rsidRPr="00BE23C5">
              <w:rPr>
                <w:rFonts w:ascii="Arial Narrow" w:hAnsi="Arial Narrow"/>
                <w:sz w:val="20"/>
                <w:szCs w:val="20"/>
              </w:rPr>
              <w:t>Early HER2</w:t>
            </w:r>
            <w:r w:rsidRPr="00BE23C5">
              <w:rPr>
                <w:rFonts w:ascii="Arial Narrow" w:hAnsi="Arial Narrow"/>
                <w:strike/>
                <w:sz w:val="20"/>
                <w:szCs w:val="20"/>
              </w:rPr>
              <w:t>+</w:t>
            </w:r>
            <w:r w:rsidRPr="00BE23C5">
              <w:rPr>
                <w:rFonts w:ascii="Arial Narrow" w:hAnsi="Arial Narrow"/>
                <w:sz w:val="20"/>
                <w:szCs w:val="20"/>
              </w:rPr>
              <w:t xml:space="preserve"> </w:t>
            </w:r>
            <w:r w:rsidRPr="00BE23C5">
              <w:rPr>
                <w:rFonts w:ascii="Arial Narrow" w:hAnsi="Arial Narrow"/>
                <w:i/>
                <w:sz w:val="20"/>
                <w:szCs w:val="20"/>
              </w:rPr>
              <w:t>positive</w:t>
            </w:r>
            <w:r w:rsidRPr="00BE23C5">
              <w:rPr>
                <w:rFonts w:ascii="Arial Narrow" w:hAnsi="Arial Narrow"/>
                <w:sz w:val="20"/>
                <w:szCs w:val="20"/>
              </w:rPr>
              <w:t xml:space="preserve"> breast cancer</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i/>
                <w:sz w:val="20"/>
                <w:szCs w:val="20"/>
              </w:rPr>
            </w:pPr>
            <w:r w:rsidRPr="00BE23C5">
              <w:rPr>
                <w:rFonts w:ascii="Arial Narrow" w:hAnsi="Arial Narrow"/>
                <w:b/>
                <w:sz w:val="20"/>
                <w:szCs w:val="20"/>
              </w:rPr>
              <w:t>Treatment phase:</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r w:rsidRPr="00BE23C5">
              <w:rPr>
                <w:rFonts w:ascii="Arial Narrow" w:hAnsi="Arial Narrow"/>
                <w:sz w:val="20"/>
                <w:szCs w:val="20"/>
              </w:rPr>
              <w:t>Initial treatment</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i/>
                <w:sz w:val="20"/>
                <w:szCs w:val="20"/>
              </w:rPr>
            </w:pPr>
            <w:r w:rsidRPr="00BE23C5">
              <w:rPr>
                <w:rFonts w:ascii="Arial Narrow" w:hAnsi="Arial Narrow"/>
                <w:b/>
                <w:sz w:val="20"/>
                <w:szCs w:val="20"/>
              </w:rPr>
              <w:t>Restriction Level / Method:</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trike/>
                <w:sz w:val="20"/>
                <w:szCs w:val="20"/>
              </w:rPr>
            </w:pPr>
            <w:r w:rsidRPr="00BE23C5">
              <w:rPr>
                <w:rFonts w:ascii="Arial Narrow" w:hAnsi="Arial Narrow"/>
                <w:strike/>
                <w:sz w:val="20"/>
                <w:szCs w:val="20"/>
              </w:rPr>
              <w:fldChar w:fldCharType="begin">
                <w:ffData>
                  <w:name w:val=""/>
                  <w:enabled/>
                  <w:calcOnExit w:val="0"/>
                  <w:checkBox>
                    <w:sizeAuto/>
                    <w:default w:val="1"/>
                  </w:checkBox>
                </w:ffData>
              </w:fldChar>
            </w:r>
            <w:r w:rsidRPr="00BE23C5">
              <w:rPr>
                <w:rFonts w:ascii="Arial Narrow" w:hAnsi="Arial Narrow"/>
                <w:strike/>
                <w:sz w:val="20"/>
                <w:szCs w:val="20"/>
              </w:rPr>
              <w:instrText xml:space="preserve"> FORMCHECKBOX </w:instrText>
            </w:r>
            <w:r w:rsidR="00E031F5">
              <w:rPr>
                <w:rFonts w:ascii="Arial Narrow" w:hAnsi="Arial Narrow"/>
                <w:strike/>
                <w:sz w:val="20"/>
                <w:szCs w:val="20"/>
              </w:rPr>
            </w:r>
            <w:r w:rsidR="00E031F5">
              <w:rPr>
                <w:rFonts w:ascii="Arial Narrow" w:hAnsi="Arial Narrow"/>
                <w:strike/>
                <w:sz w:val="20"/>
                <w:szCs w:val="20"/>
              </w:rPr>
              <w:fldChar w:fldCharType="separate"/>
            </w:r>
            <w:r w:rsidRPr="00BE23C5">
              <w:rPr>
                <w:rFonts w:ascii="Arial Narrow" w:hAnsi="Arial Narrow"/>
                <w:strike/>
                <w:sz w:val="20"/>
                <w:szCs w:val="20"/>
              </w:rPr>
              <w:fldChar w:fldCharType="end"/>
            </w:r>
            <w:r w:rsidRPr="00BE23C5">
              <w:rPr>
                <w:rFonts w:ascii="Arial Narrow" w:hAnsi="Arial Narrow"/>
                <w:strike/>
                <w:sz w:val="20"/>
                <w:szCs w:val="20"/>
              </w:rPr>
              <w:t>Authority Required - In Writing</w:t>
            </w:r>
          </w:p>
          <w:p w:rsidR="003C3A84" w:rsidRPr="00BE23C5" w:rsidRDefault="003C3A84" w:rsidP="003C3A84">
            <w:pPr>
              <w:rPr>
                <w:rFonts w:ascii="Arial Narrow" w:hAnsi="Arial Narrow"/>
                <w:i/>
                <w:sz w:val="20"/>
                <w:szCs w:val="20"/>
              </w:rPr>
            </w:pPr>
            <w:r w:rsidRPr="00BE23C5">
              <w:rPr>
                <w:rFonts w:ascii="Arial Narrow" w:hAnsi="Arial Narrow"/>
                <w:i/>
                <w:sz w:val="20"/>
                <w:szCs w:val="20"/>
              </w:rPr>
              <w:fldChar w:fldCharType="begin">
                <w:ffData>
                  <w:name w:val=""/>
                  <w:enabled/>
                  <w:calcOnExit w:val="0"/>
                  <w:checkBox>
                    <w:sizeAuto/>
                    <w:default w:val="1"/>
                  </w:checkBox>
                </w:ffData>
              </w:fldChar>
            </w:r>
            <w:r w:rsidRPr="00BE23C5">
              <w:rPr>
                <w:rFonts w:ascii="Arial Narrow" w:hAnsi="Arial Narrow"/>
                <w:i/>
                <w:sz w:val="20"/>
                <w:szCs w:val="20"/>
              </w:rPr>
              <w:instrText xml:space="preserve"> FORMCHECKBOX </w:instrText>
            </w:r>
            <w:r w:rsidR="00E031F5">
              <w:rPr>
                <w:rFonts w:ascii="Arial Narrow" w:hAnsi="Arial Narrow"/>
                <w:i/>
                <w:sz w:val="20"/>
                <w:szCs w:val="20"/>
              </w:rPr>
            </w:r>
            <w:r w:rsidR="00E031F5">
              <w:rPr>
                <w:rFonts w:ascii="Arial Narrow" w:hAnsi="Arial Narrow"/>
                <w:i/>
                <w:sz w:val="20"/>
                <w:szCs w:val="20"/>
              </w:rPr>
              <w:fldChar w:fldCharType="separate"/>
            </w:r>
            <w:r w:rsidRPr="00BE23C5">
              <w:rPr>
                <w:rFonts w:ascii="Arial Narrow" w:hAnsi="Arial Narrow"/>
                <w:i/>
                <w:sz w:val="20"/>
                <w:szCs w:val="20"/>
              </w:rPr>
              <w:fldChar w:fldCharType="end"/>
            </w:r>
            <w:r w:rsidRPr="00BE23C5">
              <w:rPr>
                <w:rFonts w:ascii="Arial Narrow" w:hAnsi="Arial Narrow"/>
                <w:i/>
                <w:sz w:val="20"/>
                <w:szCs w:val="20"/>
              </w:rPr>
              <w:t>Authority Required - Telephone</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Clinical criteria:</w:t>
            </w:r>
          </w:p>
          <w:p w:rsidR="003C3A84" w:rsidRPr="00BE23C5" w:rsidRDefault="003C3A84" w:rsidP="003C3A84">
            <w:pPr>
              <w:rPr>
                <w:rFonts w:ascii="Arial Narrow" w:hAnsi="Arial Narrow"/>
                <w:sz w:val="20"/>
                <w:szCs w:val="20"/>
              </w:rPr>
            </w:pP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r w:rsidRPr="00BE23C5">
              <w:rPr>
                <w:rFonts w:ascii="Arial Narrow" w:hAnsi="Arial Narrow"/>
                <w:strike/>
                <w:sz w:val="20"/>
                <w:szCs w:val="20"/>
              </w:rPr>
              <w:t xml:space="preserve">Patients must have completed a course of prior adjuvant </w:t>
            </w:r>
            <w:proofErr w:type="spellStart"/>
            <w:r w:rsidRPr="00BE23C5">
              <w:rPr>
                <w:rFonts w:ascii="Arial Narrow" w:hAnsi="Arial Narrow"/>
                <w:strike/>
                <w:sz w:val="20"/>
                <w:szCs w:val="20"/>
              </w:rPr>
              <w:t>trastuzumab</w:t>
            </w:r>
            <w:proofErr w:type="spellEnd"/>
            <w:r w:rsidRPr="00BE23C5">
              <w:rPr>
                <w:rFonts w:ascii="Arial Narrow" w:hAnsi="Arial Narrow"/>
                <w:strike/>
                <w:sz w:val="20"/>
                <w:szCs w:val="20"/>
              </w:rPr>
              <w:t>-based therapy</w:t>
            </w:r>
            <w:r w:rsidRPr="00BE23C5">
              <w:rPr>
                <w:rFonts w:ascii="Arial Narrow" w:hAnsi="Arial Narrow"/>
                <w:strike/>
                <w:sz w:val="20"/>
                <w:szCs w:val="20"/>
              </w:rPr>
              <w:br/>
              <w:t>AND</w:t>
            </w:r>
            <w:r w:rsidRPr="00BE23C5">
              <w:rPr>
                <w:rFonts w:ascii="Arial Narrow" w:hAnsi="Arial Narrow"/>
                <w:strike/>
                <w:sz w:val="20"/>
                <w:szCs w:val="20"/>
              </w:rPr>
              <w:br/>
              <w:t xml:space="preserve">Patients must have received last dose of </w:t>
            </w:r>
            <w:proofErr w:type="spellStart"/>
            <w:r w:rsidRPr="00BE23C5">
              <w:rPr>
                <w:rFonts w:ascii="Arial Narrow" w:hAnsi="Arial Narrow"/>
                <w:strike/>
                <w:sz w:val="20"/>
                <w:szCs w:val="20"/>
              </w:rPr>
              <w:t>trastuzumab</w:t>
            </w:r>
            <w:proofErr w:type="spellEnd"/>
            <w:r w:rsidRPr="00BE23C5">
              <w:rPr>
                <w:rFonts w:ascii="Arial Narrow" w:hAnsi="Arial Narrow"/>
                <w:strike/>
                <w:sz w:val="20"/>
                <w:szCs w:val="20"/>
              </w:rPr>
              <w:t xml:space="preserve"> &gt;2 weeks and &lt;52 weeks before initiation of </w:t>
            </w:r>
            <w:proofErr w:type="spellStart"/>
            <w:r w:rsidRPr="00BE23C5">
              <w:rPr>
                <w:rFonts w:ascii="Arial Narrow" w:hAnsi="Arial Narrow"/>
                <w:strike/>
                <w:sz w:val="20"/>
                <w:szCs w:val="20"/>
              </w:rPr>
              <w:t>neratinib</w:t>
            </w:r>
            <w:proofErr w:type="spellEnd"/>
            <w:r w:rsidRPr="00BE23C5">
              <w:rPr>
                <w:rFonts w:ascii="Arial Narrow" w:hAnsi="Arial Narrow"/>
                <w:sz w:val="20"/>
                <w:szCs w:val="20"/>
              </w:rPr>
              <w:t>.</w:t>
            </w:r>
          </w:p>
          <w:p w:rsidR="003C3A84" w:rsidRPr="00BE23C5" w:rsidRDefault="003C3A84" w:rsidP="003C3A84">
            <w:pPr>
              <w:rPr>
                <w:rFonts w:ascii="Arial Narrow" w:hAnsi="Arial Narrow"/>
                <w:i/>
                <w:sz w:val="20"/>
                <w:szCs w:val="20"/>
              </w:rPr>
            </w:pPr>
            <w:r w:rsidRPr="00BE23C5">
              <w:rPr>
                <w:rFonts w:ascii="Arial Narrow" w:hAnsi="Arial Narrow"/>
                <w:i/>
                <w:sz w:val="20"/>
                <w:szCs w:val="20"/>
              </w:rPr>
              <w:t xml:space="preserve">Patient must have been treated with a course of adjuvant </w:t>
            </w:r>
            <w:proofErr w:type="spellStart"/>
            <w:r w:rsidRPr="00BE23C5">
              <w:rPr>
                <w:rFonts w:ascii="Arial Narrow" w:hAnsi="Arial Narrow"/>
                <w:i/>
                <w:sz w:val="20"/>
                <w:szCs w:val="20"/>
              </w:rPr>
              <w:t>trastuzumab</w:t>
            </w:r>
            <w:proofErr w:type="spellEnd"/>
            <w:r w:rsidRPr="00BE23C5">
              <w:rPr>
                <w:rFonts w:ascii="Arial Narrow" w:hAnsi="Arial Narrow"/>
                <w:i/>
                <w:sz w:val="20"/>
                <w:szCs w:val="20"/>
              </w:rPr>
              <w:t xml:space="preserve"> within the last 12 months prior to initiating treatment with this drug for this condition</w:t>
            </w:r>
          </w:p>
          <w:p w:rsidR="003C3A84" w:rsidRPr="00BE23C5" w:rsidRDefault="003C3A84" w:rsidP="003C3A84">
            <w:pPr>
              <w:rPr>
                <w:rFonts w:ascii="Arial Narrow" w:hAnsi="Arial Narrow"/>
                <w:sz w:val="20"/>
                <w:szCs w:val="20"/>
              </w:rPr>
            </w:pPr>
            <w:r w:rsidRPr="00BE23C5">
              <w:rPr>
                <w:rFonts w:ascii="Arial Narrow" w:hAnsi="Arial Narrow"/>
                <w:sz w:val="20"/>
                <w:szCs w:val="20"/>
              </w:rPr>
              <w:t>AND</w:t>
            </w:r>
            <w:r w:rsidRPr="00BE23C5">
              <w:rPr>
                <w:rFonts w:ascii="Arial Narrow" w:hAnsi="Arial Narrow"/>
                <w:sz w:val="20"/>
                <w:szCs w:val="20"/>
              </w:rPr>
              <w:br/>
              <w:t xml:space="preserve">Patient must not have local or regional recurrence of disease or metastatic disease </w:t>
            </w:r>
          </w:p>
          <w:p w:rsidR="003C3A84" w:rsidRPr="00BE23C5" w:rsidRDefault="003C3A84" w:rsidP="003C3A84">
            <w:pPr>
              <w:rPr>
                <w:rFonts w:ascii="Arial Narrow" w:hAnsi="Arial Narrow"/>
                <w:sz w:val="20"/>
                <w:szCs w:val="20"/>
              </w:rPr>
            </w:pPr>
            <w:r w:rsidRPr="00BE23C5">
              <w:rPr>
                <w:rFonts w:ascii="Arial Narrow" w:hAnsi="Arial Narrow"/>
                <w:sz w:val="20"/>
                <w:szCs w:val="20"/>
              </w:rPr>
              <w:t>AND</w:t>
            </w:r>
            <w:r w:rsidRPr="00BE23C5">
              <w:rPr>
                <w:rFonts w:ascii="Arial Narrow" w:hAnsi="Arial Narrow"/>
                <w:sz w:val="20"/>
                <w:szCs w:val="20"/>
              </w:rPr>
              <w:br/>
            </w:r>
            <w:r w:rsidRPr="00BE23C5">
              <w:rPr>
                <w:rFonts w:ascii="Arial Narrow" w:hAnsi="Arial Narrow"/>
                <w:strike/>
                <w:sz w:val="20"/>
                <w:szCs w:val="20"/>
              </w:rPr>
              <w:t>Patient must have evidence of hormone receptor (HR) positive status</w:t>
            </w:r>
          </w:p>
          <w:p w:rsidR="003C3A84" w:rsidRPr="00BE23C5" w:rsidRDefault="003C3A84" w:rsidP="003C3A84">
            <w:pPr>
              <w:rPr>
                <w:rFonts w:ascii="Arial Narrow" w:hAnsi="Arial Narrow"/>
                <w:i/>
                <w:sz w:val="20"/>
                <w:szCs w:val="20"/>
              </w:rPr>
            </w:pPr>
            <w:r w:rsidRPr="00BE23C5">
              <w:rPr>
                <w:rFonts w:ascii="Arial Narrow" w:hAnsi="Arial Narrow"/>
                <w:i/>
                <w:sz w:val="20"/>
                <w:szCs w:val="20"/>
              </w:rPr>
              <w:t>The condition must be hormone receptor positive</w:t>
            </w:r>
          </w:p>
          <w:p w:rsidR="003C3A84" w:rsidRPr="00BE23C5" w:rsidRDefault="003C3A84" w:rsidP="003C3A84">
            <w:pPr>
              <w:rPr>
                <w:rFonts w:ascii="Arial Narrow" w:hAnsi="Arial Narrow"/>
                <w:i/>
                <w:sz w:val="20"/>
                <w:szCs w:val="20"/>
              </w:rPr>
            </w:pPr>
            <w:r w:rsidRPr="00BE23C5">
              <w:rPr>
                <w:rFonts w:ascii="Arial Narrow" w:hAnsi="Arial Narrow"/>
                <w:sz w:val="20"/>
                <w:szCs w:val="20"/>
              </w:rPr>
              <w:t>AND</w:t>
            </w:r>
            <w:r w:rsidRPr="00BE23C5">
              <w:rPr>
                <w:rFonts w:ascii="Arial Narrow" w:hAnsi="Arial Narrow"/>
                <w:sz w:val="20"/>
                <w:szCs w:val="20"/>
              </w:rPr>
              <w:br/>
              <w:t xml:space="preserve">The treatment must be the sole PBS-subsidised anti-HER2 therapy </w:t>
            </w:r>
            <w:r w:rsidRPr="00BE23C5">
              <w:rPr>
                <w:rFonts w:ascii="Arial Narrow" w:hAnsi="Arial Narrow"/>
                <w:i/>
                <w:sz w:val="20"/>
                <w:szCs w:val="20"/>
              </w:rPr>
              <w:t>for this condition</w:t>
            </w:r>
          </w:p>
          <w:p w:rsidR="003C3A84" w:rsidRPr="00BE23C5" w:rsidRDefault="003C3A84" w:rsidP="003C3A84">
            <w:pPr>
              <w:rPr>
                <w:rFonts w:ascii="Arial Narrow" w:hAnsi="Arial Narrow"/>
                <w:i/>
                <w:sz w:val="20"/>
                <w:szCs w:val="20"/>
              </w:rPr>
            </w:pPr>
            <w:r w:rsidRPr="00BE23C5">
              <w:rPr>
                <w:rFonts w:ascii="Arial Narrow" w:hAnsi="Arial Narrow"/>
                <w:i/>
                <w:sz w:val="20"/>
                <w:szCs w:val="20"/>
              </w:rPr>
              <w:t>AND</w:t>
            </w:r>
          </w:p>
          <w:p w:rsidR="003C3A84" w:rsidRPr="00BE23C5" w:rsidRDefault="003C3A84" w:rsidP="003C3A84">
            <w:pPr>
              <w:rPr>
                <w:rFonts w:ascii="Arial Narrow" w:hAnsi="Arial Narrow"/>
                <w:i/>
                <w:sz w:val="20"/>
                <w:szCs w:val="20"/>
              </w:rPr>
            </w:pPr>
            <w:r w:rsidRPr="00BE23C5">
              <w:rPr>
                <w:rFonts w:ascii="Arial Narrow" w:hAnsi="Arial Narrow"/>
                <w:i/>
                <w:sz w:val="20"/>
                <w:szCs w:val="20"/>
              </w:rPr>
              <w:t>Patient must not receive more than 52 weeks of combined PBS-subsidised and non-PBS-subsidised therapy for this drug for this condition</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878"/>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trike/>
                <w:sz w:val="20"/>
                <w:szCs w:val="20"/>
              </w:rPr>
            </w:pPr>
            <w:r w:rsidRPr="00BE23C5">
              <w:rPr>
                <w:rFonts w:ascii="Arial Narrow" w:hAnsi="Arial Narrow"/>
                <w:b/>
                <w:strike/>
                <w:sz w:val="20"/>
                <w:szCs w:val="20"/>
              </w:rPr>
              <w:t>Prescriber Instructions</w:t>
            </w:r>
          </w:p>
          <w:p w:rsidR="003C3A84" w:rsidRPr="00BE23C5" w:rsidRDefault="003C3A84" w:rsidP="003C3A84">
            <w:pPr>
              <w:rPr>
                <w:rFonts w:ascii="Arial Narrow" w:hAnsi="Arial Narrow"/>
                <w:sz w:val="20"/>
                <w:szCs w:val="20"/>
              </w:rPr>
            </w:pP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p>
          <w:p w:rsidR="003C3A84" w:rsidRPr="00BE23C5" w:rsidRDefault="003C3A84" w:rsidP="003C3A84">
            <w:pPr>
              <w:rPr>
                <w:rFonts w:ascii="Arial Narrow" w:hAnsi="Arial Narrow"/>
                <w:strike/>
                <w:sz w:val="20"/>
                <w:szCs w:val="20"/>
              </w:rPr>
            </w:pPr>
            <w:r w:rsidRPr="00BE23C5">
              <w:rPr>
                <w:rFonts w:ascii="Arial Narrow" w:hAnsi="Arial Narrow"/>
                <w:strike/>
                <w:sz w:val="20"/>
                <w:szCs w:val="20"/>
              </w:rPr>
              <w:t>Authority applications for initial treatment must be made in writing and must include:</w:t>
            </w:r>
          </w:p>
          <w:p w:rsidR="003C3A84" w:rsidRPr="00BE23C5" w:rsidRDefault="003C3A84" w:rsidP="003C3A84">
            <w:pPr>
              <w:rPr>
                <w:rFonts w:ascii="Arial Narrow" w:hAnsi="Arial Narrow"/>
                <w:strike/>
                <w:sz w:val="20"/>
                <w:szCs w:val="20"/>
              </w:rPr>
            </w:pPr>
            <w:r w:rsidRPr="00BE23C5">
              <w:rPr>
                <w:rFonts w:ascii="Arial Narrow" w:hAnsi="Arial Narrow"/>
                <w:strike/>
                <w:sz w:val="20"/>
                <w:szCs w:val="20"/>
              </w:rPr>
              <w:t>(a) a completed authority prescription form; and</w:t>
            </w:r>
          </w:p>
          <w:p w:rsidR="003C3A84" w:rsidRPr="00BE23C5" w:rsidRDefault="003C3A84" w:rsidP="003C3A84">
            <w:pPr>
              <w:rPr>
                <w:rFonts w:ascii="Arial Narrow" w:hAnsi="Arial Narrow"/>
                <w:strike/>
                <w:sz w:val="20"/>
                <w:szCs w:val="20"/>
              </w:rPr>
            </w:pPr>
            <w:r w:rsidRPr="00BE23C5">
              <w:rPr>
                <w:rFonts w:ascii="Arial Narrow" w:hAnsi="Arial Narrow"/>
                <w:strike/>
                <w:sz w:val="20"/>
                <w:szCs w:val="20"/>
              </w:rPr>
              <w:t>(b) a completed Early Breast Cancer - PBS Supporting Information Form which includes:</w:t>
            </w:r>
          </w:p>
          <w:p w:rsidR="003C3A84" w:rsidRPr="00BE23C5" w:rsidRDefault="003C3A84" w:rsidP="003C3A84">
            <w:pPr>
              <w:rPr>
                <w:rFonts w:ascii="Arial Narrow" w:hAnsi="Arial Narrow"/>
                <w:strike/>
                <w:sz w:val="20"/>
                <w:szCs w:val="20"/>
              </w:rPr>
            </w:pPr>
            <w:r w:rsidRPr="00BE23C5">
              <w:rPr>
                <w:rFonts w:ascii="Arial Narrow" w:hAnsi="Arial Narrow"/>
                <w:strike/>
                <w:sz w:val="20"/>
                <w:szCs w:val="20"/>
              </w:rPr>
              <w:t>(</w:t>
            </w:r>
            <w:proofErr w:type="spellStart"/>
            <w:r w:rsidRPr="00BE23C5">
              <w:rPr>
                <w:rFonts w:ascii="Arial Narrow" w:hAnsi="Arial Narrow"/>
                <w:strike/>
                <w:sz w:val="20"/>
                <w:szCs w:val="20"/>
              </w:rPr>
              <w:t>i</w:t>
            </w:r>
            <w:proofErr w:type="spellEnd"/>
            <w:r w:rsidRPr="00BE23C5">
              <w:rPr>
                <w:rFonts w:ascii="Arial Narrow" w:hAnsi="Arial Narrow"/>
                <w:strike/>
                <w:sz w:val="20"/>
                <w:szCs w:val="20"/>
              </w:rPr>
              <w:t>) a copy of the pathology report from an Approved Pathology Authority confirming of hormone receptor (HR) positive status; and</w:t>
            </w:r>
          </w:p>
          <w:p w:rsidR="003C3A84" w:rsidRPr="00BE23C5" w:rsidRDefault="003C3A84" w:rsidP="003C3A84">
            <w:pPr>
              <w:rPr>
                <w:rFonts w:ascii="Arial Narrow" w:hAnsi="Arial Narrow"/>
                <w:sz w:val="20"/>
                <w:szCs w:val="20"/>
              </w:rPr>
            </w:pPr>
            <w:r w:rsidRPr="00BE23C5">
              <w:rPr>
                <w:rFonts w:ascii="Arial Narrow" w:hAnsi="Arial Narrow"/>
                <w:strike/>
                <w:sz w:val="20"/>
                <w:szCs w:val="20"/>
              </w:rPr>
              <w:t xml:space="preserve">(ii) </w:t>
            </w:r>
            <w:proofErr w:type="gramStart"/>
            <w:r w:rsidRPr="00BE23C5">
              <w:rPr>
                <w:rFonts w:ascii="Arial Narrow" w:hAnsi="Arial Narrow"/>
                <w:strike/>
                <w:sz w:val="20"/>
                <w:szCs w:val="20"/>
              </w:rPr>
              <w:t>a</w:t>
            </w:r>
            <w:proofErr w:type="gramEnd"/>
            <w:r w:rsidRPr="00BE23C5">
              <w:rPr>
                <w:rFonts w:ascii="Arial Narrow" w:hAnsi="Arial Narrow"/>
                <w:strike/>
                <w:sz w:val="20"/>
                <w:szCs w:val="20"/>
              </w:rPr>
              <w:t xml:space="preserve"> copy of the signed patient acknowledgement form.</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Administrative Advice</w:t>
            </w:r>
          </w:p>
          <w:p w:rsidR="003C3A84" w:rsidRPr="00BE23C5" w:rsidRDefault="003C3A84" w:rsidP="003C3A84">
            <w:pPr>
              <w:rPr>
                <w:rFonts w:ascii="Arial Narrow" w:hAnsi="Arial Narrow"/>
                <w:i/>
                <w:sz w:val="20"/>
                <w:szCs w:val="20"/>
              </w:rPr>
            </w:pP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trike/>
                <w:sz w:val="20"/>
                <w:szCs w:val="20"/>
              </w:rPr>
            </w:pPr>
            <w:r w:rsidRPr="00BE23C5">
              <w:rPr>
                <w:rFonts w:ascii="Arial Narrow" w:hAnsi="Arial Narrow"/>
                <w:strike/>
                <w:sz w:val="20"/>
                <w:szCs w:val="20"/>
              </w:rPr>
              <w:t xml:space="preserve">Any queries concerning the arrangements to prescribe may be directed to the Department of Human Services on 1800 700 270 (hours of operation 8 a.m. to 5 p.m. EST Monday to Friday). </w:t>
            </w:r>
          </w:p>
          <w:p w:rsidR="003C3A84" w:rsidRPr="00BE23C5" w:rsidRDefault="003C3A84" w:rsidP="003C3A84">
            <w:pPr>
              <w:rPr>
                <w:rFonts w:ascii="Arial Narrow" w:hAnsi="Arial Narrow"/>
                <w:strike/>
                <w:sz w:val="20"/>
                <w:szCs w:val="20"/>
              </w:rPr>
            </w:pPr>
            <w:r w:rsidRPr="00BE23C5">
              <w:rPr>
                <w:rFonts w:ascii="Arial Narrow" w:hAnsi="Arial Narrow"/>
                <w:strike/>
                <w:sz w:val="20"/>
                <w:szCs w:val="20"/>
              </w:rPr>
              <w:t xml:space="preserve">Prescribing information (including Authority Application forms and other relevant documentation as applicable) is available on the Department of Human Services website at </w:t>
            </w:r>
            <w:r w:rsidRPr="00FC3C5B">
              <w:rPr>
                <w:rFonts w:ascii="Arial Narrow" w:hAnsi="Arial Narrow"/>
                <w:strike/>
                <w:sz w:val="20"/>
                <w:szCs w:val="20"/>
              </w:rPr>
              <w:t>www.humanservices.gov.au</w:t>
            </w:r>
          </w:p>
          <w:p w:rsidR="003C3A84" w:rsidRPr="00BE23C5" w:rsidRDefault="003C3A84" w:rsidP="003C3A84">
            <w:pPr>
              <w:rPr>
                <w:rFonts w:ascii="Arial Narrow" w:hAnsi="Arial Narrow"/>
                <w:strike/>
                <w:sz w:val="20"/>
                <w:szCs w:val="20"/>
              </w:rPr>
            </w:pPr>
            <w:r w:rsidRPr="00BE23C5">
              <w:rPr>
                <w:rFonts w:ascii="Arial Narrow" w:hAnsi="Arial Narrow"/>
                <w:strike/>
                <w:sz w:val="20"/>
                <w:szCs w:val="20"/>
              </w:rPr>
              <w:t xml:space="preserve">Applications for authority to prescribe should be forwarded to: </w:t>
            </w:r>
          </w:p>
          <w:p w:rsidR="003C3A84" w:rsidRPr="00BE23C5" w:rsidRDefault="003C3A84" w:rsidP="003C3A84">
            <w:pPr>
              <w:rPr>
                <w:rFonts w:ascii="Arial Narrow" w:hAnsi="Arial Narrow"/>
                <w:strike/>
                <w:sz w:val="20"/>
                <w:szCs w:val="20"/>
              </w:rPr>
            </w:pPr>
            <w:r w:rsidRPr="00BE23C5">
              <w:rPr>
                <w:rFonts w:ascii="Arial Narrow" w:hAnsi="Arial Narrow"/>
                <w:strike/>
                <w:sz w:val="20"/>
                <w:szCs w:val="20"/>
              </w:rPr>
              <w:t>Department of Human Services</w:t>
            </w:r>
          </w:p>
          <w:p w:rsidR="003C3A84" w:rsidRPr="00BE23C5" w:rsidRDefault="003C3A84" w:rsidP="003C3A84">
            <w:pPr>
              <w:rPr>
                <w:rFonts w:ascii="Arial Narrow" w:hAnsi="Arial Narrow"/>
                <w:strike/>
                <w:sz w:val="20"/>
                <w:szCs w:val="20"/>
              </w:rPr>
            </w:pPr>
            <w:r w:rsidRPr="00BE23C5">
              <w:rPr>
                <w:rFonts w:ascii="Arial Narrow" w:hAnsi="Arial Narrow"/>
                <w:strike/>
                <w:sz w:val="20"/>
                <w:szCs w:val="20"/>
              </w:rPr>
              <w:t xml:space="preserve">Prior Written Approval of Complex Drugs </w:t>
            </w:r>
          </w:p>
          <w:p w:rsidR="003C3A84" w:rsidRPr="00BE23C5" w:rsidRDefault="003C3A84" w:rsidP="003C3A84">
            <w:pPr>
              <w:rPr>
                <w:rFonts w:ascii="Arial Narrow" w:hAnsi="Arial Narrow"/>
                <w:strike/>
                <w:sz w:val="20"/>
                <w:szCs w:val="20"/>
              </w:rPr>
            </w:pPr>
            <w:r w:rsidRPr="00BE23C5">
              <w:rPr>
                <w:rFonts w:ascii="Arial Narrow" w:hAnsi="Arial Narrow"/>
                <w:strike/>
                <w:sz w:val="20"/>
                <w:szCs w:val="20"/>
              </w:rPr>
              <w:t xml:space="preserve">Reply Paid 9826 </w:t>
            </w:r>
          </w:p>
          <w:p w:rsidR="003C3A84" w:rsidRPr="00BE23C5" w:rsidRDefault="003C3A84" w:rsidP="003C3A84">
            <w:pPr>
              <w:rPr>
                <w:rFonts w:ascii="Arial Narrow" w:hAnsi="Arial Narrow"/>
                <w:strike/>
                <w:sz w:val="20"/>
                <w:szCs w:val="20"/>
              </w:rPr>
            </w:pPr>
            <w:r w:rsidRPr="00BE23C5">
              <w:rPr>
                <w:rFonts w:ascii="Arial Narrow" w:hAnsi="Arial Narrow"/>
                <w:strike/>
                <w:sz w:val="20"/>
                <w:szCs w:val="20"/>
              </w:rPr>
              <w:t xml:space="preserve">GPO Box 9826 </w:t>
            </w:r>
          </w:p>
          <w:p w:rsidR="003C3A84" w:rsidRPr="00BE23C5" w:rsidRDefault="003C3A84" w:rsidP="003C3A84">
            <w:pPr>
              <w:rPr>
                <w:rFonts w:ascii="Arial Narrow" w:hAnsi="Arial Narrow"/>
                <w:strike/>
                <w:sz w:val="20"/>
                <w:szCs w:val="20"/>
              </w:rPr>
            </w:pPr>
            <w:r w:rsidRPr="00BE23C5">
              <w:rPr>
                <w:rFonts w:ascii="Arial Narrow" w:hAnsi="Arial Narrow"/>
                <w:strike/>
                <w:sz w:val="20"/>
                <w:szCs w:val="20"/>
              </w:rPr>
              <w:t>HOBART TAS 7001</w:t>
            </w:r>
          </w:p>
          <w:p w:rsidR="003C3A84" w:rsidRPr="00BE23C5" w:rsidRDefault="003C3A84" w:rsidP="003C3A84">
            <w:pPr>
              <w:rPr>
                <w:rFonts w:ascii="Arial Narrow" w:hAnsi="Arial Narrow"/>
                <w:i/>
                <w:sz w:val="20"/>
                <w:szCs w:val="20"/>
              </w:rPr>
            </w:pPr>
            <w:r w:rsidRPr="00BE23C5">
              <w:rPr>
                <w:rFonts w:ascii="Arial Narrow" w:hAnsi="Arial Narrow"/>
                <w:i/>
                <w:sz w:val="20"/>
                <w:szCs w:val="20"/>
              </w:rPr>
              <w:t>No applications for increased maximum quantities will be authorised.</w:t>
            </w:r>
          </w:p>
          <w:p w:rsidR="003C3A84" w:rsidRPr="00BE23C5" w:rsidRDefault="003C3A84" w:rsidP="003C3A84">
            <w:pPr>
              <w:rPr>
                <w:rFonts w:ascii="Arial Narrow" w:hAnsi="Arial Narrow"/>
                <w:i/>
                <w:sz w:val="20"/>
                <w:szCs w:val="20"/>
              </w:rPr>
            </w:pPr>
          </w:p>
          <w:p w:rsidR="003C3A84" w:rsidRPr="00BE23C5" w:rsidRDefault="003C3A84" w:rsidP="003C3A84">
            <w:pPr>
              <w:rPr>
                <w:rFonts w:ascii="Arial Narrow" w:hAnsi="Arial Narrow"/>
                <w:i/>
                <w:sz w:val="20"/>
                <w:szCs w:val="20"/>
              </w:rPr>
            </w:pPr>
            <w:r w:rsidRPr="00BE23C5">
              <w:rPr>
                <w:rFonts w:ascii="Arial Narrow" w:hAnsi="Arial Narrow"/>
                <w:i/>
                <w:sz w:val="20"/>
                <w:szCs w:val="20"/>
              </w:rPr>
              <w:t xml:space="preserve">No applications for increased repeats will be authorised. </w:t>
            </w:r>
          </w:p>
        </w:tc>
      </w:tr>
    </w:tbl>
    <w:p w:rsidR="003C3A84" w:rsidRPr="00BE23C5" w:rsidRDefault="003C3A84" w:rsidP="003C3A84">
      <w:pPr>
        <w:rPr>
          <w:rFonts w:ascii="Arial Narrow" w:hAnsi="Arial Narrow"/>
          <w:sz w:val="18"/>
        </w:rPr>
      </w:pPr>
      <w:r w:rsidRPr="00BE23C5">
        <w:rPr>
          <w:rFonts w:ascii="Arial Narrow" w:hAnsi="Arial Narrow"/>
          <w:sz w:val="18"/>
        </w:rPr>
        <w:lastRenderedPageBreak/>
        <w:t>Source: Table 8, p15 of the submission.</w:t>
      </w:r>
    </w:p>
    <w:p w:rsidR="003C3A84" w:rsidRPr="00BE23C5" w:rsidRDefault="003C3A84" w:rsidP="003C3A84">
      <w:pPr>
        <w:rPr>
          <w:rFonts w:ascii="Arial Narrow" w:hAnsi="Arial Narrow"/>
        </w:rPr>
      </w:pPr>
    </w:p>
    <w:p w:rsidR="003C3A84" w:rsidRPr="00BE23C5" w:rsidRDefault="003C3A84" w:rsidP="0023586D">
      <w:pPr>
        <w:keepNext/>
        <w:keepLines/>
        <w:rPr>
          <w:rFonts w:ascii="Arial Narrow" w:hAnsi="Arial Narrow"/>
          <w:b/>
          <w:sz w:val="20"/>
          <w:szCs w:val="20"/>
        </w:rPr>
      </w:pPr>
      <w:r w:rsidRPr="00BE23C5">
        <w:rPr>
          <w:rFonts w:ascii="Arial Narrow" w:hAnsi="Arial Narrow"/>
          <w:b/>
          <w:sz w:val="20"/>
          <w:szCs w:val="20"/>
        </w:rPr>
        <w:t>Continuing treatment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18"/>
        <w:gridCol w:w="103"/>
        <w:gridCol w:w="1217"/>
        <w:gridCol w:w="1298"/>
        <w:gridCol w:w="926"/>
        <w:gridCol w:w="1641"/>
        <w:gridCol w:w="1724"/>
      </w:tblGrid>
      <w:tr w:rsidR="003C3A84" w:rsidRPr="00BE23C5" w:rsidTr="003C3A84">
        <w:tc>
          <w:tcPr>
            <w:tcW w:w="1173" w:type="pct"/>
          </w:tcPr>
          <w:p w:rsidR="003C3A84" w:rsidRPr="00BE23C5" w:rsidRDefault="003C3A84" w:rsidP="0023586D">
            <w:pPr>
              <w:pStyle w:val="Tabletext"/>
              <w:keepNext/>
              <w:keepLines/>
              <w:rPr>
                <w:b/>
                <w:bCs/>
              </w:rPr>
            </w:pPr>
            <w:r w:rsidRPr="00BE23C5">
              <w:rPr>
                <w:b/>
              </w:rPr>
              <w:t>Name, restriction, manner of administration, form</w:t>
            </w:r>
          </w:p>
        </w:tc>
        <w:tc>
          <w:tcPr>
            <w:tcW w:w="731" w:type="pct"/>
            <w:gridSpan w:val="2"/>
          </w:tcPr>
          <w:p w:rsidR="003C3A84" w:rsidRPr="00BE23C5" w:rsidRDefault="003C3A84" w:rsidP="0023586D">
            <w:pPr>
              <w:pStyle w:val="Tabletext"/>
              <w:keepNext/>
              <w:keepLines/>
              <w:jc w:val="center"/>
              <w:rPr>
                <w:b/>
                <w:bCs/>
              </w:rPr>
            </w:pPr>
            <w:r w:rsidRPr="00BE23C5">
              <w:rPr>
                <w:b/>
              </w:rPr>
              <w:t>Maximum quantity (packs)</w:t>
            </w:r>
          </w:p>
        </w:tc>
        <w:tc>
          <w:tcPr>
            <w:tcW w:w="719" w:type="pct"/>
          </w:tcPr>
          <w:p w:rsidR="003C3A84" w:rsidRPr="00BE23C5" w:rsidRDefault="003C3A84" w:rsidP="0023586D">
            <w:pPr>
              <w:pStyle w:val="Tabletext"/>
              <w:keepNext/>
              <w:keepLines/>
              <w:jc w:val="center"/>
              <w:rPr>
                <w:b/>
                <w:bCs/>
              </w:rPr>
            </w:pPr>
            <w:r w:rsidRPr="00BE23C5">
              <w:rPr>
                <w:b/>
              </w:rPr>
              <w:t>Maximum quantity (units)</w:t>
            </w:r>
          </w:p>
        </w:tc>
        <w:tc>
          <w:tcPr>
            <w:tcW w:w="513" w:type="pct"/>
          </w:tcPr>
          <w:p w:rsidR="003C3A84" w:rsidRPr="00BE23C5" w:rsidRDefault="003C3A84" w:rsidP="0023586D">
            <w:pPr>
              <w:pStyle w:val="Tabletext"/>
              <w:keepNext/>
              <w:keepLines/>
              <w:rPr>
                <w:b/>
                <w:bCs/>
              </w:rPr>
            </w:pPr>
            <w:r w:rsidRPr="00BE23C5">
              <w:rPr>
                <w:b/>
              </w:rPr>
              <w:t>No. of repeats</w:t>
            </w:r>
          </w:p>
        </w:tc>
        <w:tc>
          <w:tcPr>
            <w:tcW w:w="909" w:type="pct"/>
          </w:tcPr>
          <w:p w:rsidR="003C3A84" w:rsidRPr="00BE23C5" w:rsidRDefault="003C3A84" w:rsidP="0023586D">
            <w:pPr>
              <w:pStyle w:val="Tabletext"/>
              <w:keepNext/>
              <w:keepLines/>
              <w:rPr>
                <w:b/>
                <w:bCs/>
              </w:rPr>
            </w:pPr>
            <w:r w:rsidRPr="00BE23C5">
              <w:rPr>
                <w:b/>
              </w:rPr>
              <w:t>Dispensed price for maximum quantity</w:t>
            </w:r>
          </w:p>
        </w:tc>
        <w:tc>
          <w:tcPr>
            <w:tcW w:w="955" w:type="pct"/>
          </w:tcPr>
          <w:p w:rsidR="003C3A84" w:rsidRPr="00BE23C5" w:rsidRDefault="003C3A84" w:rsidP="0023586D">
            <w:pPr>
              <w:pStyle w:val="Tabletext"/>
              <w:keepNext/>
              <w:keepLines/>
              <w:rPr>
                <w:b/>
                <w:bCs/>
              </w:rPr>
            </w:pPr>
            <w:r w:rsidRPr="00BE23C5">
              <w:rPr>
                <w:b/>
              </w:rPr>
              <w:t>Proprietary name and manufacturer</w:t>
            </w:r>
          </w:p>
        </w:tc>
      </w:tr>
      <w:tr w:rsidR="003C3A84" w:rsidRPr="00BE23C5" w:rsidTr="003C3A84">
        <w:tc>
          <w:tcPr>
            <w:tcW w:w="1173" w:type="pct"/>
            <w:tcBorders>
              <w:bottom w:val="single" w:sz="4" w:space="0" w:color="auto"/>
            </w:tcBorders>
          </w:tcPr>
          <w:p w:rsidR="003C3A84" w:rsidRPr="00BE23C5" w:rsidRDefault="003C3A84" w:rsidP="0023586D">
            <w:pPr>
              <w:pStyle w:val="Tabletext"/>
              <w:keepNext/>
              <w:keepLines/>
            </w:pPr>
            <w:proofErr w:type="spellStart"/>
            <w:r w:rsidRPr="00BE23C5">
              <w:rPr>
                <w:smallCaps/>
              </w:rPr>
              <w:t>Neratinib</w:t>
            </w:r>
            <w:proofErr w:type="spellEnd"/>
            <w:r w:rsidRPr="00BE23C5">
              <w:br/>
              <w:t>40 mg tablet</w:t>
            </w:r>
          </w:p>
          <w:p w:rsidR="003C3A84" w:rsidRPr="00BE23C5" w:rsidRDefault="003C3A84" w:rsidP="0023586D">
            <w:pPr>
              <w:pStyle w:val="Tabletext"/>
              <w:keepNext/>
              <w:keepLines/>
            </w:pPr>
            <w:r w:rsidRPr="00BE23C5">
              <w:t xml:space="preserve">Continuing treatment </w:t>
            </w:r>
          </w:p>
        </w:tc>
        <w:tc>
          <w:tcPr>
            <w:tcW w:w="731" w:type="pct"/>
            <w:gridSpan w:val="2"/>
            <w:tcBorders>
              <w:bottom w:val="single" w:sz="4" w:space="0" w:color="auto"/>
            </w:tcBorders>
          </w:tcPr>
          <w:p w:rsidR="003C3A84" w:rsidRPr="00BE23C5" w:rsidRDefault="003C3A84" w:rsidP="0023586D">
            <w:pPr>
              <w:pStyle w:val="Tabletext"/>
              <w:keepNext/>
              <w:keepLines/>
              <w:jc w:val="center"/>
            </w:pPr>
            <w:r w:rsidRPr="00BE23C5">
              <w:t>1</w:t>
            </w:r>
          </w:p>
        </w:tc>
        <w:tc>
          <w:tcPr>
            <w:tcW w:w="719" w:type="pct"/>
            <w:tcBorders>
              <w:bottom w:val="single" w:sz="4" w:space="0" w:color="auto"/>
            </w:tcBorders>
          </w:tcPr>
          <w:p w:rsidR="003C3A84" w:rsidRPr="00BE23C5" w:rsidRDefault="003C3A84" w:rsidP="0023586D">
            <w:pPr>
              <w:pStyle w:val="Tabletext"/>
              <w:keepNext/>
              <w:keepLines/>
              <w:jc w:val="center"/>
            </w:pPr>
            <w:r w:rsidRPr="00BE23C5">
              <w:t>180</w:t>
            </w:r>
          </w:p>
        </w:tc>
        <w:tc>
          <w:tcPr>
            <w:tcW w:w="513" w:type="pct"/>
            <w:tcBorders>
              <w:bottom w:val="single" w:sz="4" w:space="0" w:color="auto"/>
            </w:tcBorders>
          </w:tcPr>
          <w:p w:rsidR="003C3A84" w:rsidRPr="00BE23C5" w:rsidRDefault="003C3A84" w:rsidP="0023586D">
            <w:pPr>
              <w:pStyle w:val="Tabletext"/>
              <w:keepNext/>
              <w:keepLines/>
              <w:jc w:val="center"/>
              <w:rPr>
                <w:i/>
                <w:strike/>
              </w:rPr>
            </w:pPr>
            <w:r w:rsidRPr="00BE23C5">
              <w:rPr>
                <w:strike/>
              </w:rPr>
              <w:t>2</w:t>
            </w:r>
            <w:r w:rsidRPr="00BE23C5">
              <w:rPr>
                <w:i/>
                <w:strike/>
              </w:rPr>
              <w:t>4</w:t>
            </w:r>
          </w:p>
        </w:tc>
        <w:tc>
          <w:tcPr>
            <w:tcW w:w="909" w:type="pct"/>
            <w:tcBorders>
              <w:bottom w:val="single" w:sz="4" w:space="0" w:color="auto"/>
            </w:tcBorders>
          </w:tcPr>
          <w:p w:rsidR="003C3A84" w:rsidRPr="00BE23C5" w:rsidRDefault="003C3A84" w:rsidP="0023586D">
            <w:pPr>
              <w:pStyle w:val="Tabletext"/>
              <w:keepNext/>
              <w:keepLines/>
            </w:pPr>
            <w:r w:rsidRPr="00BE23C5">
              <w:t>$</w:t>
            </w:r>
            <w:r w:rsidR="00FC3C5B">
              <w:rPr>
                <w:noProof/>
                <w:color w:val="000000"/>
                <w:highlight w:val="black"/>
              </w:rPr>
              <w:t>''''''''''''''''''</w:t>
            </w:r>
          </w:p>
        </w:tc>
        <w:tc>
          <w:tcPr>
            <w:tcW w:w="955" w:type="pct"/>
            <w:tcBorders>
              <w:bottom w:val="single" w:sz="4" w:space="0" w:color="auto"/>
            </w:tcBorders>
          </w:tcPr>
          <w:p w:rsidR="003C3A84" w:rsidRPr="00BE23C5" w:rsidRDefault="003C3A84" w:rsidP="0023586D">
            <w:pPr>
              <w:pStyle w:val="Tabletext"/>
              <w:keepNext/>
              <w:keepLines/>
            </w:pPr>
            <w:proofErr w:type="spellStart"/>
            <w:r w:rsidRPr="00BE23C5">
              <w:t>Nerlynx</w:t>
            </w:r>
            <w:proofErr w:type="spellEnd"/>
            <w:r w:rsidRPr="00BE23C5">
              <w:t>, Specialised Therapeutics PM</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 xml:space="preserve">Category / </w:t>
            </w:r>
          </w:p>
          <w:p w:rsidR="003C3A84" w:rsidRPr="00BE23C5" w:rsidRDefault="003C3A84" w:rsidP="003C3A84">
            <w:pPr>
              <w:rPr>
                <w:rFonts w:ascii="Arial Narrow" w:hAnsi="Arial Narrow"/>
                <w:b/>
                <w:sz w:val="20"/>
                <w:szCs w:val="20"/>
              </w:rPr>
            </w:pPr>
            <w:r w:rsidRPr="00BE23C5">
              <w:rPr>
                <w:rFonts w:ascii="Arial Narrow" w:hAnsi="Arial Narrow"/>
                <w:b/>
                <w:sz w:val="20"/>
                <w:szCs w:val="20"/>
              </w:rPr>
              <w:t>Program</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r w:rsidRPr="00BE23C5">
              <w:rPr>
                <w:rFonts w:ascii="Arial Narrow" w:eastAsia="Arial Narrow" w:hAnsi="Arial Narrow" w:cs="Arial Narrow"/>
                <w:sz w:val="20"/>
                <w:szCs w:val="20"/>
              </w:rPr>
              <w:t>GENERAL – General Schedule (Code GE)</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Prescriber type:</w:t>
            </w:r>
          </w:p>
          <w:p w:rsidR="003C3A84" w:rsidRPr="00BE23C5" w:rsidRDefault="003C3A84" w:rsidP="003C3A84">
            <w:pPr>
              <w:rPr>
                <w:rFonts w:ascii="Arial Narrow" w:hAnsi="Arial Narrow"/>
                <w:b/>
                <w:sz w:val="20"/>
                <w:szCs w:val="20"/>
              </w:rPr>
            </w:pP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r w:rsidRPr="00BE23C5">
              <w:rPr>
                <w:rFonts w:ascii="Arial Narrow" w:hAnsi="Arial Narrow"/>
                <w:sz w:val="20"/>
                <w:szCs w:val="20"/>
              </w:rPr>
              <w:fldChar w:fldCharType="begin">
                <w:ffData>
                  <w:name w:val="Check1"/>
                  <w:enabled/>
                  <w:calcOnExit w:val="0"/>
                  <w:checkBox>
                    <w:sizeAuto/>
                    <w:default w:val="0"/>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 xml:space="preserve">Dental  </w:t>
            </w:r>
            <w:r w:rsidRPr="00BE23C5">
              <w:rPr>
                <w:rFonts w:ascii="Arial Narrow" w:hAnsi="Arial Narrow"/>
                <w:sz w:val="20"/>
                <w:szCs w:val="20"/>
              </w:rPr>
              <w:fldChar w:fldCharType="begin">
                <w:ffData>
                  <w:name w:val=""/>
                  <w:enabled/>
                  <w:calcOnExit w:val="0"/>
                  <w:checkBox>
                    <w:sizeAuto/>
                    <w:default w:val="1"/>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 xml:space="preserve">Medical Practitioners  </w:t>
            </w:r>
            <w:r w:rsidRPr="00BE23C5">
              <w:rPr>
                <w:rFonts w:ascii="Arial Narrow" w:hAnsi="Arial Narrow"/>
                <w:sz w:val="20"/>
                <w:szCs w:val="20"/>
              </w:rPr>
              <w:fldChar w:fldCharType="begin">
                <w:ffData>
                  <w:name w:val="Check3"/>
                  <w:enabled/>
                  <w:calcOnExit w:val="0"/>
                  <w:checkBox>
                    <w:sizeAuto/>
                    <w:default w:val="0"/>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 xml:space="preserve">Nurse practitioners  </w:t>
            </w:r>
            <w:r w:rsidRPr="00BE23C5">
              <w:rPr>
                <w:rFonts w:ascii="Arial Narrow" w:hAnsi="Arial Narrow"/>
                <w:sz w:val="20"/>
                <w:szCs w:val="20"/>
              </w:rPr>
              <w:fldChar w:fldCharType="begin">
                <w:ffData>
                  <w:name w:val=""/>
                  <w:enabled/>
                  <w:calcOnExit w:val="0"/>
                  <w:checkBox>
                    <w:sizeAuto/>
                    <w:default w:val="0"/>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Optometrists</w:t>
            </w:r>
          </w:p>
          <w:p w:rsidR="003C3A84" w:rsidRPr="00BE23C5" w:rsidRDefault="003C3A84" w:rsidP="003C3A84">
            <w:pPr>
              <w:rPr>
                <w:rFonts w:ascii="Arial Narrow" w:hAnsi="Arial Narrow"/>
                <w:sz w:val="20"/>
                <w:szCs w:val="20"/>
              </w:rPr>
            </w:pPr>
            <w:r w:rsidRPr="00BE23C5">
              <w:rPr>
                <w:rFonts w:ascii="Arial Narrow" w:hAnsi="Arial Narrow"/>
                <w:sz w:val="20"/>
                <w:szCs w:val="20"/>
              </w:rPr>
              <w:fldChar w:fldCharType="begin">
                <w:ffData>
                  <w:name w:val="Check5"/>
                  <w:enabled/>
                  <w:calcOnExit w:val="0"/>
                  <w:checkBox>
                    <w:sizeAuto/>
                    <w:default w:val="0"/>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Midwives</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Severity:</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i/>
                <w:sz w:val="20"/>
                <w:szCs w:val="20"/>
              </w:rPr>
            </w:pPr>
            <w:r w:rsidRPr="00BE23C5">
              <w:rPr>
                <w:rFonts w:ascii="Arial Narrow" w:hAnsi="Arial Narrow"/>
                <w:i/>
                <w:sz w:val="20"/>
                <w:szCs w:val="20"/>
              </w:rPr>
              <w:t>Early</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Condition:</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r w:rsidRPr="00BE23C5">
              <w:rPr>
                <w:rFonts w:ascii="Arial Narrow" w:hAnsi="Arial Narrow"/>
                <w:i/>
                <w:sz w:val="20"/>
                <w:szCs w:val="20"/>
              </w:rPr>
              <w:t xml:space="preserve">HER2 positive </w:t>
            </w:r>
            <w:r w:rsidRPr="00BE23C5">
              <w:rPr>
                <w:rFonts w:ascii="Arial Narrow" w:hAnsi="Arial Narrow"/>
                <w:sz w:val="20"/>
                <w:szCs w:val="20"/>
              </w:rPr>
              <w:t>Breast cancer</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PBS Indication:</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r w:rsidRPr="00BE23C5">
              <w:rPr>
                <w:rFonts w:ascii="Arial Narrow" w:hAnsi="Arial Narrow"/>
                <w:sz w:val="20"/>
                <w:szCs w:val="20"/>
              </w:rPr>
              <w:t>Early HER2</w:t>
            </w:r>
            <w:r w:rsidRPr="00BE23C5">
              <w:rPr>
                <w:rFonts w:ascii="Arial Narrow" w:hAnsi="Arial Narrow"/>
                <w:strike/>
                <w:sz w:val="20"/>
                <w:szCs w:val="20"/>
              </w:rPr>
              <w:t>+</w:t>
            </w:r>
            <w:r w:rsidRPr="00BE23C5">
              <w:rPr>
                <w:rFonts w:ascii="Arial Narrow" w:hAnsi="Arial Narrow"/>
                <w:sz w:val="20"/>
                <w:szCs w:val="20"/>
              </w:rPr>
              <w:t xml:space="preserve"> </w:t>
            </w:r>
            <w:r w:rsidRPr="00BE23C5">
              <w:rPr>
                <w:rFonts w:ascii="Arial Narrow" w:hAnsi="Arial Narrow"/>
                <w:i/>
                <w:sz w:val="20"/>
                <w:szCs w:val="20"/>
              </w:rPr>
              <w:t>positive</w:t>
            </w:r>
            <w:r w:rsidRPr="00BE23C5">
              <w:rPr>
                <w:rFonts w:ascii="Arial Narrow" w:hAnsi="Arial Narrow"/>
                <w:sz w:val="20"/>
                <w:szCs w:val="20"/>
              </w:rPr>
              <w:t xml:space="preserve"> breast cancer</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i/>
                <w:sz w:val="20"/>
                <w:szCs w:val="20"/>
              </w:rPr>
            </w:pPr>
            <w:r w:rsidRPr="00BE23C5">
              <w:rPr>
                <w:rFonts w:ascii="Arial Narrow" w:hAnsi="Arial Narrow"/>
                <w:b/>
                <w:sz w:val="20"/>
                <w:szCs w:val="20"/>
              </w:rPr>
              <w:t>Treatment phase:</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r w:rsidRPr="00BE23C5">
              <w:rPr>
                <w:rFonts w:ascii="Arial Narrow" w:hAnsi="Arial Narrow"/>
                <w:sz w:val="20"/>
                <w:szCs w:val="20"/>
              </w:rPr>
              <w:t>Continuing treatment</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i/>
                <w:sz w:val="20"/>
                <w:szCs w:val="20"/>
              </w:rPr>
            </w:pPr>
            <w:r w:rsidRPr="00BE23C5">
              <w:rPr>
                <w:rFonts w:ascii="Arial Narrow" w:hAnsi="Arial Narrow"/>
                <w:b/>
                <w:sz w:val="20"/>
                <w:szCs w:val="20"/>
              </w:rPr>
              <w:t>Restriction Level / Method:</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r w:rsidRPr="00BE23C5">
              <w:rPr>
                <w:rFonts w:ascii="Arial Narrow" w:hAnsi="Arial Narrow"/>
                <w:sz w:val="20"/>
                <w:szCs w:val="20"/>
              </w:rPr>
              <w:fldChar w:fldCharType="begin">
                <w:ffData>
                  <w:name w:val=""/>
                  <w:enabled/>
                  <w:calcOnExit w:val="0"/>
                  <w:checkBox>
                    <w:sizeAuto/>
                    <w:default w:val="1"/>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Streamlined</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Clinical criteria:</w:t>
            </w:r>
          </w:p>
          <w:p w:rsidR="003C3A84" w:rsidRPr="00BE23C5" w:rsidRDefault="003C3A84" w:rsidP="003C3A84">
            <w:pPr>
              <w:rPr>
                <w:rFonts w:ascii="Arial Narrow" w:hAnsi="Arial Narrow"/>
                <w:sz w:val="20"/>
                <w:szCs w:val="20"/>
              </w:rPr>
            </w:pP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2E2BD7">
            <w:pPr>
              <w:jc w:val="left"/>
              <w:rPr>
                <w:rFonts w:ascii="Arial Narrow" w:hAnsi="Arial Narrow"/>
                <w:sz w:val="20"/>
                <w:szCs w:val="20"/>
              </w:rPr>
            </w:pPr>
            <w:r w:rsidRPr="00BE23C5">
              <w:rPr>
                <w:rFonts w:ascii="Arial Narrow" w:hAnsi="Arial Narrow"/>
                <w:sz w:val="20"/>
                <w:szCs w:val="20"/>
              </w:rPr>
              <w:t xml:space="preserve">Patient must have previously </w:t>
            </w:r>
            <w:r w:rsidRPr="00BE23C5">
              <w:rPr>
                <w:rFonts w:ascii="Arial Narrow" w:hAnsi="Arial Narrow"/>
                <w:strike/>
                <w:sz w:val="20"/>
                <w:szCs w:val="20"/>
              </w:rPr>
              <w:t>been issued with an authority prescription for</w:t>
            </w:r>
            <w:r w:rsidRPr="00BE23C5">
              <w:rPr>
                <w:rFonts w:ascii="Arial Narrow" w:hAnsi="Arial Narrow"/>
                <w:sz w:val="20"/>
                <w:szCs w:val="20"/>
              </w:rPr>
              <w:t xml:space="preserve"> </w:t>
            </w:r>
            <w:r w:rsidRPr="00BE23C5">
              <w:rPr>
                <w:rFonts w:ascii="Arial Narrow" w:hAnsi="Arial Narrow"/>
                <w:i/>
                <w:sz w:val="20"/>
                <w:szCs w:val="20"/>
              </w:rPr>
              <w:t xml:space="preserve">received PBS-subsidised treatment with </w:t>
            </w:r>
            <w:r w:rsidRPr="00BE23C5">
              <w:rPr>
                <w:rFonts w:ascii="Arial Narrow" w:hAnsi="Arial Narrow"/>
                <w:sz w:val="20"/>
                <w:szCs w:val="20"/>
              </w:rPr>
              <w:t>this drug for this condition,</w:t>
            </w:r>
            <w:r w:rsidRPr="00BE23C5">
              <w:rPr>
                <w:rFonts w:ascii="Arial Narrow" w:hAnsi="Arial Narrow"/>
                <w:sz w:val="20"/>
                <w:szCs w:val="20"/>
              </w:rPr>
              <w:br/>
              <w:t>AND</w:t>
            </w:r>
            <w:r w:rsidRPr="00BE23C5">
              <w:rPr>
                <w:rFonts w:ascii="Arial Narrow" w:hAnsi="Arial Narrow"/>
                <w:sz w:val="20"/>
                <w:szCs w:val="20"/>
              </w:rPr>
              <w:br/>
              <w:t xml:space="preserve">Patient must not receive more than 52 weeks of combined PBS-subsidised and non-PBS-subsidised therapy </w:t>
            </w:r>
            <w:r w:rsidRPr="00BE23C5">
              <w:rPr>
                <w:rFonts w:ascii="Arial Narrow" w:hAnsi="Arial Narrow"/>
                <w:i/>
                <w:sz w:val="20"/>
                <w:szCs w:val="20"/>
              </w:rPr>
              <w:t>for this drug for this condition</w:t>
            </w:r>
            <w:r w:rsidRPr="00BE23C5">
              <w:rPr>
                <w:rFonts w:ascii="Arial Narrow" w:hAnsi="Arial Narrow"/>
                <w:sz w:val="20"/>
                <w:szCs w:val="20"/>
              </w:rPr>
              <w:t>.</w:t>
            </w:r>
            <w:r w:rsidRPr="00BE23C5">
              <w:rPr>
                <w:rFonts w:ascii="Arial Narrow" w:hAnsi="Arial Narrow"/>
                <w:sz w:val="20"/>
                <w:szCs w:val="20"/>
              </w:rPr>
              <w:br/>
              <w:t>AND</w:t>
            </w:r>
            <w:r w:rsidRPr="00BE23C5">
              <w:rPr>
                <w:rFonts w:ascii="Arial Narrow" w:hAnsi="Arial Narrow"/>
                <w:sz w:val="20"/>
                <w:szCs w:val="20"/>
              </w:rPr>
              <w:br/>
              <w:t xml:space="preserve">The treatment must be the sole PBS-subsidised anti-HER2 therapy </w:t>
            </w:r>
            <w:r w:rsidRPr="00BE23C5">
              <w:rPr>
                <w:rFonts w:ascii="Arial Narrow" w:hAnsi="Arial Narrow"/>
                <w:i/>
                <w:sz w:val="20"/>
                <w:szCs w:val="20"/>
              </w:rPr>
              <w:t>for this condition</w:t>
            </w:r>
            <w:r w:rsidR="002E2BD7" w:rsidRPr="00BE23C5">
              <w:rPr>
                <w:rFonts w:ascii="Arial Narrow" w:hAnsi="Arial Narrow"/>
                <w:i/>
                <w:sz w:val="20"/>
                <w:szCs w:val="20"/>
              </w:rPr>
              <w:t>.</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Prescriber Instructions</w:t>
            </w:r>
          </w:p>
          <w:p w:rsidR="003C3A84" w:rsidRPr="00BE23C5" w:rsidRDefault="003C3A84" w:rsidP="003C3A84">
            <w:pPr>
              <w:rPr>
                <w:rFonts w:ascii="Arial Narrow" w:hAnsi="Arial Narrow"/>
                <w:sz w:val="20"/>
                <w:szCs w:val="20"/>
              </w:rPr>
            </w:pP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i/>
                <w:sz w:val="20"/>
                <w:szCs w:val="20"/>
              </w:rPr>
            </w:pPr>
            <w:r w:rsidRPr="00BE23C5">
              <w:rPr>
                <w:rFonts w:ascii="Arial Narrow" w:hAnsi="Arial Narrow"/>
                <w:i/>
                <w:sz w:val="20"/>
                <w:szCs w:val="20"/>
              </w:rPr>
              <w:t>A patient who has progressive disease when treated with this drug is no longer eligible for PBS-subsidised treatment with this drug.</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Administrative Advice</w:t>
            </w:r>
          </w:p>
          <w:p w:rsidR="003C3A84" w:rsidRPr="00BE23C5" w:rsidRDefault="003C3A84" w:rsidP="003C3A84">
            <w:pPr>
              <w:rPr>
                <w:rFonts w:ascii="Arial Narrow" w:hAnsi="Arial Narrow"/>
                <w:i/>
                <w:sz w:val="20"/>
                <w:szCs w:val="20"/>
              </w:rPr>
            </w:pP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trike/>
                <w:sz w:val="20"/>
                <w:szCs w:val="20"/>
              </w:rPr>
            </w:pPr>
            <w:r w:rsidRPr="00BE23C5">
              <w:rPr>
                <w:rFonts w:ascii="Arial Narrow" w:hAnsi="Arial Narrow"/>
                <w:strike/>
                <w:sz w:val="20"/>
                <w:szCs w:val="20"/>
              </w:rPr>
              <w:t>Authority applications for continuing treatment may be made by telephone to the Department of Human Services on 1800 700 270 (hours of operation 8 a.m. to 5 p.m. EST Monday to Friday).</w:t>
            </w:r>
          </w:p>
          <w:p w:rsidR="003C3A84" w:rsidRPr="00BE23C5" w:rsidRDefault="003C3A84" w:rsidP="003C3A84">
            <w:pPr>
              <w:rPr>
                <w:rFonts w:ascii="Arial Narrow" w:hAnsi="Arial Narrow"/>
                <w:i/>
                <w:sz w:val="20"/>
                <w:szCs w:val="20"/>
              </w:rPr>
            </w:pPr>
            <w:r w:rsidRPr="00BE23C5">
              <w:rPr>
                <w:rFonts w:ascii="Arial Narrow" w:hAnsi="Arial Narrow"/>
                <w:i/>
                <w:sz w:val="20"/>
                <w:szCs w:val="20"/>
              </w:rPr>
              <w:t>No applications for increased maximum quantities will be authorised.</w:t>
            </w:r>
          </w:p>
          <w:p w:rsidR="003C3A84" w:rsidRPr="00BE23C5" w:rsidRDefault="003C3A84" w:rsidP="003C3A84">
            <w:pPr>
              <w:rPr>
                <w:rFonts w:ascii="Arial Narrow" w:hAnsi="Arial Narrow"/>
                <w:i/>
                <w:sz w:val="20"/>
                <w:szCs w:val="20"/>
              </w:rPr>
            </w:pPr>
          </w:p>
          <w:p w:rsidR="003C3A84" w:rsidRPr="00BE23C5" w:rsidRDefault="003C3A84" w:rsidP="003C3A84">
            <w:pPr>
              <w:rPr>
                <w:rFonts w:ascii="Arial Narrow" w:hAnsi="Arial Narrow"/>
                <w:i/>
                <w:sz w:val="20"/>
                <w:szCs w:val="20"/>
              </w:rPr>
            </w:pPr>
            <w:r w:rsidRPr="00BE23C5">
              <w:rPr>
                <w:rFonts w:ascii="Arial Narrow" w:hAnsi="Arial Narrow"/>
                <w:i/>
                <w:sz w:val="20"/>
                <w:szCs w:val="20"/>
              </w:rPr>
              <w:t xml:space="preserve">No applications for increased repeats will be authorised. </w:t>
            </w:r>
          </w:p>
        </w:tc>
      </w:tr>
    </w:tbl>
    <w:p w:rsidR="003C3A84" w:rsidRPr="00BE23C5" w:rsidRDefault="003C3A84" w:rsidP="003C3A84">
      <w:pPr>
        <w:rPr>
          <w:rFonts w:ascii="Arial Narrow" w:hAnsi="Arial Narrow"/>
          <w:sz w:val="18"/>
        </w:rPr>
      </w:pPr>
      <w:r w:rsidRPr="00BE23C5">
        <w:rPr>
          <w:rFonts w:ascii="Arial Narrow" w:hAnsi="Arial Narrow"/>
          <w:sz w:val="18"/>
        </w:rPr>
        <w:t>Source: Table 9, p16 of the submission.</w:t>
      </w:r>
    </w:p>
    <w:p w:rsidR="003C3A84" w:rsidRPr="00BE23C5" w:rsidRDefault="003C3A84" w:rsidP="003C3A84">
      <w:pPr>
        <w:rPr>
          <w:b/>
          <w:sz w:val="20"/>
          <w:szCs w:val="20"/>
        </w:rPr>
      </w:pPr>
    </w:p>
    <w:p w:rsidR="003C3A84" w:rsidRPr="00BE23C5" w:rsidRDefault="000F112A" w:rsidP="003C3A84">
      <w:pPr>
        <w:pStyle w:val="Tabletext"/>
        <w:rPr>
          <w:rStyle w:val="CommentReference"/>
          <w:szCs w:val="20"/>
        </w:rPr>
      </w:pPr>
      <w:r>
        <w:rPr>
          <w:rStyle w:val="CommentReference"/>
          <w:szCs w:val="20"/>
        </w:rPr>
        <w:br w:type="column"/>
      </w:r>
      <w:r w:rsidR="003C3A84" w:rsidRPr="00BE23C5">
        <w:rPr>
          <w:rStyle w:val="CommentReference"/>
          <w:szCs w:val="20"/>
        </w:rPr>
        <w:lastRenderedPageBreak/>
        <w:t>Grandfathering treatment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18"/>
        <w:gridCol w:w="103"/>
        <w:gridCol w:w="1217"/>
        <w:gridCol w:w="1298"/>
        <w:gridCol w:w="926"/>
        <w:gridCol w:w="1641"/>
        <w:gridCol w:w="1724"/>
      </w:tblGrid>
      <w:tr w:rsidR="003C3A84" w:rsidRPr="00BE23C5" w:rsidTr="003C3A84">
        <w:tc>
          <w:tcPr>
            <w:tcW w:w="1173" w:type="pct"/>
          </w:tcPr>
          <w:p w:rsidR="003C3A84" w:rsidRPr="00BE23C5" w:rsidRDefault="003C3A84" w:rsidP="003C3A84">
            <w:pPr>
              <w:pStyle w:val="Tabletext"/>
              <w:rPr>
                <w:b/>
                <w:bCs/>
              </w:rPr>
            </w:pPr>
            <w:r w:rsidRPr="00BE23C5">
              <w:rPr>
                <w:b/>
              </w:rPr>
              <w:t>Name, restriction, manner of administration, form</w:t>
            </w:r>
          </w:p>
        </w:tc>
        <w:tc>
          <w:tcPr>
            <w:tcW w:w="731" w:type="pct"/>
            <w:gridSpan w:val="2"/>
          </w:tcPr>
          <w:p w:rsidR="003C3A84" w:rsidRPr="00BE23C5" w:rsidRDefault="003C3A84" w:rsidP="003C3A84">
            <w:pPr>
              <w:pStyle w:val="Tabletext"/>
              <w:jc w:val="center"/>
              <w:rPr>
                <w:b/>
                <w:bCs/>
              </w:rPr>
            </w:pPr>
            <w:r w:rsidRPr="00BE23C5">
              <w:rPr>
                <w:b/>
              </w:rPr>
              <w:t>Maximum quantity (packs)</w:t>
            </w:r>
          </w:p>
        </w:tc>
        <w:tc>
          <w:tcPr>
            <w:tcW w:w="719" w:type="pct"/>
          </w:tcPr>
          <w:p w:rsidR="003C3A84" w:rsidRPr="00BE23C5" w:rsidRDefault="003C3A84" w:rsidP="003C3A84">
            <w:pPr>
              <w:pStyle w:val="Tabletext"/>
              <w:jc w:val="center"/>
              <w:rPr>
                <w:b/>
                <w:bCs/>
              </w:rPr>
            </w:pPr>
            <w:r w:rsidRPr="00BE23C5">
              <w:rPr>
                <w:b/>
              </w:rPr>
              <w:t>Maximum quantity (units)</w:t>
            </w:r>
          </w:p>
        </w:tc>
        <w:tc>
          <w:tcPr>
            <w:tcW w:w="513" w:type="pct"/>
          </w:tcPr>
          <w:p w:rsidR="003C3A84" w:rsidRPr="00BE23C5" w:rsidRDefault="003C3A84" w:rsidP="003C3A84">
            <w:pPr>
              <w:pStyle w:val="Tabletext"/>
              <w:rPr>
                <w:b/>
                <w:bCs/>
              </w:rPr>
            </w:pPr>
            <w:r w:rsidRPr="00BE23C5">
              <w:rPr>
                <w:b/>
              </w:rPr>
              <w:t>No. of repeats</w:t>
            </w:r>
          </w:p>
        </w:tc>
        <w:tc>
          <w:tcPr>
            <w:tcW w:w="909" w:type="pct"/>
          </w:tcPr>
          <w:p w:rsidR="003C3A84" w:rsidRPr="00BE23C5" w:rsidRDefault="003C3A84" w:rsidP="003C3A84">
            <w:pPr>
              <w:pStyle w:val="Tabletext"/>
              <w:rPr>
                <w:b/>
                <w:bCs/>
              </w:rPr>
            </w:pPr>
            <w:r w:rsidRPr="00BE23C5">
              <w:rPr>
                <w:b/>
              </w:rPr>
              <w:t>Dispensed price for maximum quantity</w:t>
            </w:r>
          </w:p>
        </w:tc>
        <w:tc>
          <w:tcPr>
            <w:tcW w:w="955" w:type="pct"/>
          </w:tcPr>
          <w:p w:rsidR="003C3A84" w:rsidRPr="00BE23C5" w:rsidRDefault="003C3A84" w:rsidP="003C3A84">
            <w:pPr>
              <w:pStyle w:val="Tabletext"/>
              <w:rPr>
                <w:b/>
                <w:bCs/>
              </w:rPr>
            </w:pPr>
            <w:r w:rsidRPr="00BE23C5">
              <w:rPr>
                <w:b/>
              </w:rPr>
              <w:t>Proprietary name and manufacturer</w:t>
            </w:r>
          </w:p>
        </w:tc>
      </w:tr>
      <w:tr w:rsidR="003C3A84" w:rsidRPr="00BE23C5" w:rsidTr="003C3A84">
        <w:tc>
          <w:tcPr>
            <w:tcW w:w="1173" w:type="pct"/>
          </w:tcPr>
          <w:p w:rsidR="003C3A84" w:rsidRPr="00BE23C5" w:rsidRDefault="003C3A84" w:rsidP="003C3A84">
            <w:pPr>
              <w:pStyle w:val="Tabletext"/>
            </w:pPr>
            <w:proofErr w:type="spellStart"/>
            <w:r w:rsidRPr="00BE23C5">
              <w:rPr>
                <w:smallCaps/>
              </w:rPr>
              <w:t>Neratinib</w:t>
            </w:r>
            <w:proofErr w:type="spellEnd"/>
            <w:r w:rsidRPr="00BE23C5">
              <w:br/>
              <w:t>40 mg tablet</w:t>
            </w:r>
          </w:p>
          <w:p w:rsidR="003C3A84" w:rsidRPr="00BE23C5" w:rsidRDefault="003C3A84" w:rsidP="003C3A84">
            <w:pPr>
              <w:pStyle w:val="Tabletext"/>
              <w:rPr>
                <w:b/>
              </w:rPr>
            </w:pPr>
            <w:r w:rsidRPr="00BE23C5">
              <w:t>Initial therapy</w:t>
            </w:r>
          </w:p>
        </w:tc>
        <w:tc>
          <w:tcPr>
            <w:tcW w:w="731" w:type="pct"/>
            <w:gridSpan w:val="2"/>
          </w:tcPr>
          <w:p w:rsidR="003C3A84" w:rsidRPr="00BE23C5" w:rsidRDefault="003C3A84" w:rsidP="003C3A84">
            <w:pPr>
              <w:pStyle w:val="Tabletext"/>
              <w:jc w:val="center"/>
              <w:rPr>
                <w:b/>
              </w:rPr>
            </w:pPr>
            <w:r w:rsidRPr="00BE23C5">
              <w:t>1</w:t>
            </w:r>
          </w:p>
        </w:tc>
        <w:tc>
          <w:tcPr>
            <w:tcW w:w="719" w:type="pct"/>
          </w:tcPr>
          <w:p w:rsidR="003C3A84" w:rsidRPr="00BE23C5" w:rsidRDefault="003C3A84" w:rsidP="003C3A84">
            <w:pPr>
              <w:pStyle w:val="Tabletext"/>
              <w:jc w:val="center"/>
              <w:rPr>
                <w:b/>
              </w:rPr>
            </w:pPr>
            <w:r w:rsidRPr="00BE23C5">
              <w:t>180</w:t>
            </w:r>
          </w:p>
        </w:tc>
        <w:tc>
          <w:tcPr>
            <w:tcW w:w="513" w:type="pct"/>
          </w:tcPr>
          <w:p w:rsidR="003C3A84" w:rsidRPr="00BE23C5" w:rsidRDefault="003C3A84" w:rsidP="003C3A84">
            <w:pPr>
              <w:pStyle w:val="Tabletext"/>
              <w:jc w:val="center"/>
              <w:rPr>
                <w:b/>
              </w:rPr>
            </w:pPr>
            <w:r w:rsidRPr="00BE23C5">
              <w:t>1</w:t>
            </w:r>
          </w:p>
        </w:tc>
        <w:tc>
          <w:tcPr>
            <w:tcW w:w="909" w:type="pct"/>
          </w:tcPr>
          <w:p w:rsidR="003C3A84" w:rsidRPr="00BE23C5" w:rsidRDefault="003C3A84" w:rsidP="003C3A84">
            <w:pPr>
              <w:pStyle w:val="Tabletext"/>
              <w:rPr>
                <w:b/>
              </w:rPr>
            </w:pPr>
            <w:r w:rsidRPr="00BE23C5">
              <w:t>$</w:t>
            </w:r>
            <w:r w:rsidR="00FC3C5B">
              <w:rPr>
                <w:noProof/>
                <w:color w:val="000000"/>
                <w:highlight w:val="black"/>
              </w:rPr>
              <w:t>'''''''''''''''''''</w:t>
            </w:r>
          </w:p>
        </w:tc>
        <w:tc>
          <w:tcPr>
            <w:tcW w:w="955" w:type="pct"/>
          </w:tcPr>
          <w:p w:rsidR="003C3A84" w:rsidRPr="00BE23C5" w:rsidRDefault="003C3A84" w:rsidP="003C3A84">
            <w:pPr>
              <w:pStyle w:val="Tabletext"/>
              <w:rPr>
                <w:b/>
              </w:rPr>
            </w:pPr>
            <w:proofErr w:type="spellStart"/>
            <w:r w:rsidRPr="00BE23C5">
              <w:t>Nerlynx</w:t>
            </w:r>
            <w:proofErr w:type="spellEnd"/>
            <w:r w:rsidRPr="00BE23C5">
              <w:t>, Specialised Therapeutics PM</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 xml:space="preserve">Category / </w:t>
            </w:r>
          </w:p>
          <w:p w:rsidR="003C3A84" w:rsidRPr="00BE23C5" w:rsidRDefault="003C3A84" w:rsidP="003C3A84">
            <w:pPr>
              <w:rPr>
                <w:rFonts w:ascii="Arial Narrow" w:hAnsi="Arial Narrow"/>
                <w:b/>
                <w:sz w:val="20"/>
                <w:szCs w:val="20"/>
              </w:rPr>
            </w:pPr>
            <w:r w:rsidRPr="00BE23C5">
              <w:rPr>
                <w:rFonts w:ascii="Arial Narrow" w:hAnsi="Arial Narrow"/>
                <w:b/>
                <w:sz w:val="20"/>
                <w:szCs w:val="20"/>
              </w:rPr>
              <w:t>Program</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spacing w:after="120"/>
              <w:rPr>
                <w:rFonts w:ascii="Arial Narrow" w:hAnsi="Arial Narrow"/>
                <w:sz w:val="20"/>
                <w:szCs w:val="20"/>
              </w:rPr>
            </w:pPr>
            <w:r w:rsidRPr="00BE23C5">
              <w:rPr>
                <w:rFonts w:ascii="Arial Narrow" w:eastAsia="Arial Narrow" w:hAnsi="Arial Narrow" w:cs="Arial Narrow"/>
                <w:sz w:val="20"/>
                <w:szCs w:val="20"/>
              </w:rPr>
              <w:t>GENERAL – General Schedule (Code GE)</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Prescriber type:</w:t>
            </w:r>
          </w:p>
          <w:p w:rsidR="003C3A84" w:rsidRPr="00BE23C5" w:rsidRDefault="003C3A84" w:rsidP="003C3A84">
            <w:pPr>
              <w:rPr>
                <w:rFonts w:ascii="Arial Narrow" w:hAnsi="Arial Narrow"/>
                <w:b/>
                <w:sz w:val="20"/>
                <w:szCs w:val="20"/>
              </w:rPr>
            </w:pP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r w:rsidRPr="00BE23C5">
              <w:rPr>
                <w:rFonts w:ascii="Arial Narrow" w:hAnsi="Arial Narrow"/>
                <w:sz w:val="20"/>
                <w:szCs w:val="20"/>
              </w:rPr>
              <w:fldChar w:fldCharType="begin">
                <w:ffData>
                  <w:name w:val="Check1"/>
                  <w:enabled/>
                  <w:calcOnExit w:val="0"/>
                  <w:checkBox>
                    <w:sizeAuto/>
                    <w:default w:val="0"/>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 xml:space="preserve">Dental  </w:t>
            </w:r>
            <w:r w:rsidRPr="00BE23C5">
              <w:rPr>
                <w:rFonts w:ascii="Arial Narrow" w:hAnsi="Arial Narrow"/>
                <w:sz w:val="20"/>
                <w:szCs w:val="20"/>
              </w:rPr>
              <w:fldChar w:fldCharType="begin">
                <w:ffData>
                  <w:name w:val=""/>
                  <w:enabled/>
                  <w:calcOnExit w:val="0"/>
                  <w:checkBox>
                    <w:sizeAuto/>
                    <w:default w:val="1"/>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 xml:space="preserve">Medical Practitioners  </w:t>
            </w:r>
            <w:r w:rsidRPr="00BE23C5">
              <w:rPr>
                <w:rFonts w:ascii="Arial Narrow" w:hAnsi="Arial Narrow"/>
                <w:sz w:val="20"/>
                <w:szCs w:val="20"/>
              </w:rPr>
              <w:fldChar w:fldCharType="begin">
                <w:ffData>
                  <w:name w:val="Check3"/>
                  <w:enabled/>
                  <w:calcOnExit w:val="0"/>
                  <w:checkBox>
                    <w:sizeAuto/>
                    <w:default w:val="0"/>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 xml:space="preserve">Nurse practitioners  </w:t>
            </w:r>
            <w:r w:rsidRPr="00BE23C5">
              <w:rPr>
                <w:rFonts w:ascii="Arial Narrow" w:hAnsi="Arial Narrow"/>
                <w:sz w:val="20"/>
                <w:szCs w:val="20"/>
              </w:rPr>
              <w:fldChar w:fldCharType="begin">
                <w:ffData>
                  <w:name w:val=""/>
                  <w:enabled/>
                  <w:calcOnExit w:val="0"/>
                  <w:checkBox>
                    <w:sizeAuto/>
                    <w:default w:val="0"/>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Optometrists</w:t>
            </w:r>
          </w:p>
          <w:p w:rsidR="003C3A84" w:rsidRPr="00BE23C5" w:rsidRDefault="003C3A84" w:rsidP="003C3A84">
            <w:pPr>
              <w:rPr>
                <w:rFonts w:ascii="Arial Narrow" w:hAnsi="Arial Narrow"/>
                <w:sz w:val="20"/>
                <w:szCs w:val="20"/>
              </w:rPr>
            </w:pPr>
            <w:r w:rsidRPr="00BE23C5">
              <w:rPr>
                <w:rFonts w:ascii="Arial Narrow" w:hAnsi="Arial Narrow"/>
                <w:sz w:val="20"/>
                <w:szCs w:val="20"/>
              </w:rPr>
              <w:fldChar w:fldCharType="begin">
                <w:ffData>
                  <w:name w:val="Check5"/>
                  <w:enabled/>
                  <w:calcOnExit w:val="0"/>
                  <w:checkBox>
                    <w:sizeAuto/>
                    <w:default w:val="0"/>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Midwives</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Severity:</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r w:rsidRPr="00BE23C5">
              <w:rPr>
                <w:rFonts w:ascii="Arial Narrow" w:hAnsi="Arial Narrow"/>
                <w:i/>
                <w:sz w:val="20"/>
                <w:szCs w:val="20"/>
              </w:rPr>
              <w:t>Early</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Condition:</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r w:rsidRPr="00BE23C5">
              <w:rPr>
                <w:rFonts w:ascii="Arial Narrow" w:hAnsi="Arial Narrow"/>
                <w:i/>
                <w:sz w:val="20"/>
                <w:szCs w:val="20"/>
              </w:rPr>
              <w:t xml:space="preserve">HER2 positive </w:t>
            </w:r>
            <w:r w:rsidRPr="00BE23C5">
              <w:rPr>
                <w:rFonts w:ascii="Arial Narrow" w:hAnsi="Arial Narrow"/>
                <w:sz w:val="20"/>
                <w:szCs w:val="20"/>
              </w:rPr>
              <w:t>Breast cancer</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PBS Indication:</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r w:rsidRPr="00BE23C5">
              <w:rPr>
                <w:rFonts w:ascii="Arial Narrow" w:hAnsi="Arial Narrow"/>
                <w:sz w:val="20"/>
                <w:szCs w:val="20"/>
              </w:rPr>
              <w:t>Early HER2 positive breast cancer</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i/>
                <w:sz w:val="20"/>
                <w:szCs w:val="20"/>
              </w:rPr>
            </w:pPr>
            <w:r w:rsidRPr="00BE23C5">
              <w:rPr>
                <w:rFonts w:ascii="Arial Narrow" w:hAnsi="Arial Narrow"/>
                <w:b/>
                <w:sz w:val="20"/>
                <w:szCs w:val="20"/>
              </w:rPr>
              <w:t>Treatment phase:</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z w:val="20"/>
                <w:szCs w:val="20"/>
              </w:rPr>
            </w:pPr>
            <w:r w:rsidRPr="00BE23C5">
              <w:rPr>
                <w:rFonts w:ascii="Arial Narrow" w:hAnsi="Arial Narrow"/>
                <w:sz w:val="20"/>
                <w:szCs w:val="20"/>
              </w:rPr>
              <w:t>Grandfathering treatment</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i/>
                <w:sz w:val="20"/>
                <w:szCs w:val="20"/>
              </w:rPr>
            </w:pPr>
            <w:r w:rsidRPr="00BE23C5">
              <w:rPr>
                <w:rFonts w:ascii="Arial Narrow" w:hAnsi="Arial Narrow"/>
                <w:b/>
                <w:sz w:val="20"/>
                <w:szCs w:val="20"/>
              </w:rPr>
              <w:t>Restriction Level / Method:</w:t>
            </w: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i/>
                <w:sz w:val="20"/>
                <w:szCs w:val="20"/>
              </w:rPr>
            </w:pPr>
            <w:r w:rsidRPr="00BE23C5">
              <w:rPr>
                <w:rFonts w:ascii="Arial Narrow" w:hAnsi="Arial Narrow"/>
                <w:sz w:val="20"/>
                <w:szCs w:val="20"/>
              </w:rPr>
              <w:fldChar w:fldCharType="begin">
                <w:ffData>
                  <w:name w:val=""/>
                  <w:enabled/>
                  <w:calcOnExit w:val="0"/>
                  <w:checkBox>
                    <w:sizeAuto/>
                    <w:default w:val="1"/>
                  </w:checkBox>
                </w:ffData>
              </w:fldChar>
            </w:r>
            <w:r w:rsidRPr="00BE23C5">
              <w:rPr>
                <w:rFonts w:ascii="Arial Narrow" w:hAnsi="Arial Narrow"/>
                <w:sz w:val="20"/>
                <w:szCs w:val="20"/>
              </w:rPr>
              <w:instrText xml:space="preserve"> FORMCHECKBOX </w:instrText>
            </w:r>
            <w:r w:rsidR="00E031F5">
              <w:rPr>
                <w:rFonts w:ascii="Arial Narrow" w:hAnsi="Arial Narrow"/>
                <w:sz w:val="20"/>
                <w:szCs w:val="20"/>
              </w:rPr>
            </w:r>
            <w:r w:rsidR="00E031F5">
              <w:rPr>
                <w:rFonts w:ascii="Arial Narrow" w:hAnsi="Arial Narrow"/>
                <w:sz w:val="20"/>
                <w:szCs w:val="20"/>
              </w:rPr>
              <w:fldChar w:fldCharType="separate"/>
            </w:r>
            <w:r w:rsidRPr="00BE23C5">
              <w:rPr>
                <w:rFonts w:ascii="Arial Narrow" w:hAnsi="Arial Narrow"/>
                <w:sz w:val="20"/>
                <w:szCs w:val="20"/>
              </w:rPr>
              <w:fldChar w:fldCharType="end"/>
            </w:r>
            <w:r w:rsidRPr="00BE23C5">
              <w:rPr>
                <w:rFonts w:ascii="Arial Narrow" w:hAnsi="Arial Narrow"/>
                <w:sz w:val="20"/>
                <w:szCs w:val="20"/>
              </w:rPr>
              <w:t>Authority Required - Telephone</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Clinical criteria:</w:t>
            </w:r>
          </w:p>
          <w:p w:rsidR="003C3A84" w:rsidRPr="00BE23C5" w:rsidRDefault="003C3A84" w:rsidP="003C3A84">
            <w:pPr>
              <w:rPr>
                <w:rFonts w:ascii="Arial Narrow" w:hAnsi="Arial Narrow"/>
                <w:sz w:val="20"/>
                <w:szCs w:val="20"/>
              </w:rPr>
            </w:pP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2E2BD7">
            <w:pPr>
              <w:jc w:val="left"/>
              <w:rPr>
                <w:rFonts w:ascii="Arial Narrow" w:hAnsi="Arial Narrow"/>
                <w:sz w:val="20"/>
                <w:szCs w:val="20"/>
              </w:rPr>
            </w:pPr>
            <w:r w:rsidRPr="00BE23C5">
              <w:rPr>
                <w:rFonts w:ascii="Arial Narrow" w:hAnsi="Arial Narrow"/>
                <w:sz w:val="20"/>
                <w:szCs w:val="20"/>
              </w:rPr>
              <w:t xml:space="preserve">Patient must have previously received non-PBS-subsidised treatment with this drug for this condition before </w:t>
            </w:r>
            <w:r w:rsidR="002E2BD7" w:rsidRPr="00BE23C5">
              <w:rPr>
                <w:rFonts w:ascii="Arial Narrow" w:hAnsi="Arial Narrow"/>
                <w:sz w:val="20"/>
                <w:szCs w:val="20"/>
              </w:rPr>
              <w:t>&lt;</w:t>
            </w:r>
            <w:r w:rsidRPr="00BE23C5">
              <w:rPr>
                <w:rFonts w:ascii="Arial Narrow" w:hAnsi="Arial Narrow"/>
                <w:sz w:val="20"/>
                <w:szCs w:val="20"/>
              </w:rPr>
              <w:t>Date of Listing</w:t>
            </w:r>
            <w:r w:rsidR="002E2BD7" w:rsidRPr="00BE23C5">
              <w:rPr>
                <w:rFonts w:ascii="Arial Narrow" w:hAnsi="Arial Narrow"/>
                <w:sz w:val="20"/>
                <w:szCs w:val="20"/>
              </w:rPr>
              <w:t>&gt;</w:t>
            </w:r>
            <w:r w:rsidRPr="00BE23C5">
              <w:rPr>
                <w:rFonts w:ascii="Arial Narrow" w:hAnsi="Arial Narrow"/>
                <w:sz w:val="20"/>
                <w:szCs w:val="20"/>
              </w:rPr>
              <w:br/>
              <w:t>AND</w:t>
            </w:r>
            <w:r w:rsidRPr="00BE23C5">
              <w:rPr>
                <w:rFonts w:ascii="Arial Narrow" w:hAnsi="Arial Narrow"/>
                <w:sz w:val="20"/>
                <w:szCs w:val="20"/>
              </w:rPr>
              <w:br/>
              <w:t xml:space="preserve">The treatment must be the sole PBS-subsidised anti-HER2 therapy </w:t>
            </w:r>
            <w:r w:rsidRPr="00BE23C5">
              <w:rPr>
                <w:rFonts w:ascii="Arial Narrow" w:hAnsi="Arial Narrow"/>
                <w:i/>
                <w:sz w:val="20"/>
                <w:szCs w:val="20"/>
              </w:rPr>
              <w:t>for this condition</w:t>
            </w:r>
            <w:r w:rsidRPr="00BE23C5">
              <w:rPr>
                <w:rFonts w:ascii="Arial Narrow" w:hAnsi="Arial Narrow"/>
                <w:sz w:val="20"/>
                <w:szCs w:val="20"/>
              </w:rPr>
              <w:t>.</w:t>
            </w:r>
          </w:p>
          <w:p w:rsidR="003C3A84" w:rsidRPr="00BE23C5" w:rsidRDefault="003C3A84" w:rsidP="003C3A84">
            <w:pPr>
              <w:rPr>
                <w:rFonts w:ascii="Arial Narrow" w:hAnsi="Arial Narrow"/>
                <w:i/>
                <w:sz w:val="20"/>
                <w:szCs w:val="20"/>
              </w:rPr>
            </w:pPr>
            <w:r w:rsidRPr="00BE23C5">
              <w:rPr>
                <w:rFonts w:ascii="Arial Narrow" w:hAnsi="Arial Narrow"/>
                <w:i/>
                <w:sz w:val="20"/>
                <w:szCs w:val="20"/>
              </w:rPr>
              <w:t>AND</w:t>
            </w:r>
          </w:p>
          <w:p w:rsidR="003C3A84" w:rsidRPr="00BE23C5" w:rsidRDefault="003C3A84" w:rsidP="003C3A84">
            <w:pPr>
              <w:rPr>
                <w:rFonts w:ascii="Arial Narrow" w:hAnsi="Arial Narrow"/>
                <w:i/>
                <w:sz w:val="20"/>
                <w:szCs w:val="20"/>
              </w:rPr>
            </w:pPr>
            <w:r w:rsidRPr="00BE23C5">
              <w:rPr>
                <w:rFonts w:ascii="Arial Narrow" w:hAnsi="Arial Narrow"/>
                <w:i/>
                <w:sz w:val="20"/>
                <w:szCs w:val="20"/>
              </w:rPr>
              <w:t xml:space="preserve">Patient must have been treated with a course of adjuvant </w:t>
            </w:r>
            <w:proofErr w:type="spellStart"/>
            <w:r w:rsidRPr="00BE23C5">
              <w:rPr>
                <w:rFonts w:ascii="Arial Narrow" w:hAnsi="Arial Narrow"/>
                <w:i/>
                <w:sz w:val="20"/>
                <w:szCs w:val="20"/>
              </w:rPr>
              <w:t>trastuzumab</w:t>
            </w:r>
            <w:proofErr w:type="spellEnd"/>
            <w:r w:rsidRPr="00BE23C5">
              <w:rPr>
                <w:rFonts w:ascii="Arial Narrow" w:hAnsi="Arial Narrow"/>
                <w:i/>
                <w:sz w:val="20"/>
                <w:szCs w:val="20"/>
              </w:rPr>
              <w:t xml:space="preserve"> within 12 months of initiating non-PBS subsidised treatment with this drug for this condition</w:t>
            </w:r>
          </w:p>
          <w:p w:rsidR="003C3A84" w:rsidRPr="00BE23C5" w:rsidRDefault="003C3A84" w:rsidP="003C3A84">
            <w:pPr>
              <w:rPr>
                <w:rFonts w:ascii="Arial Narrow" w:hAnsi="Arial Narrow"/>
                <w:sz w:val="20"/>
                <w:szCs w:val="20"/>
              </w:rPr>
            </w:pPr>
            <w:r w:rsidRPr="00BE23C5">
              <w:rPr>
                <w:rFonts w:ascii="Arial Narrow" w:hAnsi="Arial Narrow"/>
                <w:sz w:val="20"/>
                <w:szCs w:val="20"/>
              </w:rPr>
              <w:t>AND</w:t>
            </w:r>
            <w:r w:rsidRPr="00BE23C5">
              <w:rPr>
                <w:rFonts w:ascii="Arial Narrow" w:hAnsi="Arial Narrow"/>
                <w:sz w:val="20"/>
                <w:szCs w:val="20"/>
              </w:rPr>
              <w:br/>
            </w:r>
            <w:r w:rsidRPr="00BE23C5">
              <w:rPr>
                <w:rFonts w:ascii="Arial Narrow" w:hAnsi="Arial Narrow"/>
                <w:i/>
                <w:sz w:val="20"/>
                <w:szCs w:val="20"/>
              </w:rPr>
              <w:t>Patient must not have local or regional recurrence of disease or metastatic disease</w:t>
            </w:r>
            <w:r w:rsidRPr="00BE23C5">
              <w:rPr>
                <w:rFonts w:ascii="Arial Narrow" w:hAnsi="Arial Narrow"/>
                <w:sz w:val="20"/>
                <w:szCs w:val="20"/>
              </w:rPr>
              <w:t xml:space="preserve"> </w:t>
            </w:r>
          </w:p>
          <w:p w:rsidR="003C3A84" w:rsidRPr="00BE23C5" w:rsidRDefault="003C3A84" w:rsidP="003C3A84">
            <w:pPr>
              <w:rPr>
                <w:rFonts w:ascii="Arial Narrow" w:hAnsi="Arial Narrow"/>
                <w:i/>
                <w:sz w:val="20"/>
                <w:szCs w:val="20"/>
              </w:rPr>
            </w:pPr>
            <w:r w:rsidRPr="00BE23C5">
              <w:rPr>
                <w:rFonts w:ascii="Arial Narrow" w:hAnsi="Arial Narrow"/>
                <w:sz w:val="20"/>
                <w:szCs w:val="20"/>
              </w:rPr>
              <w:t>AND</w:t>
            </w:r>
            <w:r w:rsidRPr="00BE23C5">
              <w:rPr>
                <w:rFonts w:ascii="Arial Narrow" w:hAnsi="Arial Narrow"/>
                <w:sz w:val="20"/>
                <w:szCs w:val="20"/>
              </w:rPr>
              <w:br/>
            </w:r>
            <w:r w:rsidRPr="00BE23C5">
              <w:rPr>
                <w:rFonts w:ascii="Arial Narrow" w:hAnsi="Arial Narrow"/>
                <w:i/>
                <w:sz w:val="20"/>
                <w:szCs w:val="20"/>
              </w:rPr>
              <w:t>The condition must be hormone receptor positive</w:t>
            </w:r>
          </w:p>
          <w:p w:rsidR="003C3A84" w:rsidRPr="00BE23C5" w:rsidRDefault="003C3A84" w:rsidP="003C3A84">
            <w:pPr>
              <w:rPr>
                <w:rFonts w:ascii="Arial Narrow" w:hAnsi="Arial Narrow"/>
                <w:i/>
                <w:sz w:val="20"/>
                <w:szCs w:val="20"/>
              </w:rPr>
            </w:pPr>
            <w:r w:rsidRPr="00BE23C5">
              <w:rPr>
                <w:rFonts w:ascii="Arial Narrow" w:hAnsi="Arial Narrow"/>
                <w:sz w:val="20"/>
                <w:szCs w:val="20"/>
              </w:rPr>
              <w:br/>
            </w:r>
            <w:r w:rsidRPr="00BE23C5">
              <w:rPr>
                <w:rFonts w:ascii="Arial Narrow" w:hAnsi="Arial Narrow"/>
                <w:i/>
                <w:sz w:val="20"/>
                <w:szCs w:val="20"/>
              </w:rPr>
              <w:t>AND</w:t>
            </w:r>
          </w:p>
          <w:p w:rsidR="003C3A84" w:rsidRPr="00BE23C5" w:rsidRDefault="003C3A84" w:rsidP="003C3A84">
            <w:pPr>
              <w:rPr>
                <w:rFonts w:ascii="Arial Narrow" w:hAnsi="Arial Narrow"/>
                <w:i/>
                <w:sz w:val="20"/>
                <w:szCs w:val="20"/>
              </w:rPr>
            </w:pPr>
            <w:r w:rsidRPr="00BE23C5">
              <w:rPr>
                <w:rFonts w:ascii="Arial Narrow" w:hAnsi="Arial Narrow"/>
                <w:i/>
                <w:sz w:val="20"/>
                <w:szCs w:val="20"/>
              </w:rPr>
              <w:t>Patient must not receive more than 52 weeks of combined PBS-subsidised and non-PBS-subsidised therapy for this drug for this condition</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Prescriber Instructions</w:t>
            </w:r>
          </w:p>
          <w:p w:rsidR="003C3A84" w:rsidRPr="00BE23C5" w:rsidRDefault="003C3A84" w:rsidP="003C3A84">
            <w:pPr>
              <w:rPr>
                <w:rFonts w:ascii="Arial Narrow" w:hAnsi="Arial Narrow"/>
                <w:sz w:val="20"/>
                <w:szCs w:val="20"/>
              </w:rPr>
            </w:pP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i/>
                <w:sz w:val="20"/>
                <w:szCs w:val="20"/>
              </w:rPr>
            </w:pPr>
            <w:r w:rsidRPr="00BE23C5">
              <w:rPr>
                <w:rFonts w:ascii="Arial Narrow" w:hAnsi="Arial Narrow"/>
                <w:i/>
                <w:sz w:val="20"/>
                <w:szCs w:val="20"/>
              </w:rPr>
              <w:t>A patient may qualify for PBS-subsidised treatment under this restriction once only.</w:t>
            </w:r>
          </w:p>
          <w:p w:rsidR="003C3A84" w:rsidRPr="00BE23C5" w:rsidRDefault="003C3A84" w:rsidP="003C3A84">
            <w:pPr>
              <w:rPr>
                <w:rFonts w:ascii="Arial Narrow" w:hAnsi="Arial Narrow"/>
                <w:i/>
                <w:sz w:val="20"/>
                <w:szCs w:val="20"/>
              </w:rPr>
            </w:pPr>
          </w:p>
          <w:p w:rsidR="003C3A84" w:rsidRPr="00BE23C5" w:rsidRDefault="003C3A84" w:rsidP="003C3A84">
            <w:pPr>
              <w:rPr>
                <w:rFonts w:ascii="Arial Narrow" w:hAnsi="Arial Narrow"/>
                <w:i/>
                <w:sz w:val="20"/>
                <w:szCs w:val="20"/>
              </w:rPr>
            </w:pPr>
            <w:r w:rsidRPr="00BE23C5">
              <w:rPr>
                <w:rFonts w:ascii="Arial Narrow" w:hAnsi="Arial Narrow"/>
                <w:i/>
                <w:sz w:val="20"/>
                <w:szCs w:val="20"/>
              </w:rPr>
              <w:t>For continuing PBS-subsidised treatment, a Grandfathered patient must qualify under the Continuing treatment criteria.</w:t>
            </w:r>
          </w:p>
        </w:tc>
      </w:tr>
      <w:tr w:rsidR="003C3A84" w:rsidRPr="00BE23C5" w:rsidTr="003C3A8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230" w:type="pct"/>
            <w:gridSpan w:val="2"/>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b/>
                <w:sz w:val="20"/>
                <w:szCs w:val="20"/>
              </w:rPr>
            </w:pPr>
            <w:r w:rsidRPr="00BE23C5">
              <w:rPr>
                <w:rFonts w:ascii="Arial Narrow" w:hAnsi="Arial Narrow"/>
                <w:b/>
                <w:sz w:val="20"/>
                <w:szCs w:val="20"/>
              </w:rPr>
              <w:t>Administrative Advice</w:t>
            </w:r>
          </w:p>
          <w:p w:rsidR="003C3A84" w:rsidRPr="00BE23C5" w:rsidRDefault="003C3A84" w:rsidP="003C3A84">
            <w:pPr>
              <w:rPr>
                <w:rFonts w:ascii="Arial Narrow" w:hAnsi="Arial Narrow"/>
                <w:i/>
                <w:sz w:val="20"/>
                <w:szCs w:val="20"/>
              </w:rPr>
            </w:pPr>
          </w:p>
        </w:tc>
        <w:tc>
          <w:tcPr>
            <w:tcW w:w="3770" w:type="pct"/>
            <w:gridSpan w:val="5"/>
            <w:tcBorders>
              <w:top w:val="single" w:sz="4" w:space="0" w:color="auto"/>
              <w:left w:val="single" w:sz="4" w:space="0" w:color="auto"/>
              <w:bottom w:val="single" w:sz="4" w:space="0" w:color="auto"/>
              <w:right w:val="single" w:sz="4" w:space="0" w:color="auto"/>
            </w:tcBorders>
          </w:tcPr>
          <w:p w:rsidR="003C3A84" w:rsidRPr="00BE23C5" w:rsidRDefault="003C3A84" w:rsidP="003C3A84">
            <w:pPr>
              <w:rPr>
                <w:rFonts w:ascii="Arial Narrow" w:hAnsi="Arial Narrow"/>
                <w:strike/>
                <w:sz w:val="20"/>
                <w:szCs w:val="20"/>
              </w:rPr>
            </w:pPr>
            <w:r w:rsidRPr="00BE23C5">
              <w:rPr>
                <w:rFonts w:ascii="Arial Narrow" w:hAnsi="Arial Narrow"/>
                <w:strike/>
                <w:sz w:val="20"/>
                <w:szCs w:val="20"/>
              </w:rPr>
              <w:t>Authority applications for continuing treatment may be made by telephone to the Department of Human Services on 1800 700 270 (hours of operation 8 a.m. to 5 p.m. EST Monday to Friday).</w:t>
            </w:r>
          </w:p>
          <w:p w:rsidR="003C3A84" w:rsidRPr="00BE23C5" w:rsidRDefault="003C3A84" w:rsidP="003C3A84">
            <w:pPr>
              <w:rPr>
                <w:rFonts w:ascii="Arial Narrow" w:hAnsi="Arial Narrow"/>
                <w:i/>
                <w:sz w:val="20"/>
                <w:szCs w:val="20"/>
              </w:rPr>
            </w:pPr>
            <w:r w:rsidRPr="00BE23C5">
              <w:rPr>
                <w:rFonts w:ascii="Arial Narrow" w:hAnsi="Arial Narrow"/>
                <w:i/>
                <w:sz w:val="20"/>
                <w:szCs w:val="20"/>
              </w:rPr>
              <w:t>No applications for increased maximum quantities will be authorised.</w:t>
            </w:r>
          </w:p>
          <w:p w:rsidR="003C3A84" w:rsidRPr="00BE23C5" w:rsidRDefault="003C3A84" w:rsidP="003C3A84">
            <w:pPr>
              <w:rPr>
                <w:rFonts w:ascii="Arial Narrow" w:hAnsi="Arial Narrow"/>
                <w:i/>
                <w:sz w:val="20"/>
                <w:szCs w:val="20"/>
              </w:rPr>
            </w:pPr>
          </w:p>
          <w:p w:rsidR="003C3A84" w:rsidRPr="00BE23C5" w:rsidRDefault="003C3A84" w:rsidP="003C3A84">
            <w:pPr>
              <w:rPr>
                <w:rFonts w:ascii="Arial Narrow" w:hAnsi="Arial Narrow"/>
                <w:strike/>
                <w:sz w:val="20"/>
                <w:szCs w:val="20"/>
              </w:rPr>
            </w:pPr>
            <w:r w:rsidRPr="00BE23C5">
              <w:rPr>
                <w:rFonts w:ascii="Arial Narrow" w:hAnsi="Arial Narrow"/>
                <w:i/>
                <w:sz w:val="20"/>
                <w:szCs w:val="20"/>
              </w:rPr>
              <w:t xml:space="preserve">No applications for increased repeats will be authorised. </w:t>
            </w:r>
          </w:p>
        </w:tc>
      </w:tr>
    </w:tbl>
    <w:p w:rsidR="003C3A84" w:rsidRPr="00BE23C5" w:rsidRDefault="003C3A84" w:rsidP="003C3A84">
      <w:r w:rsidRPr="00BE23C5">
        <w:rPr>
          <w:rFonts w:ascii="Arial Narrow" w:hAnsi="Arial Narrow"/>
          <w:sz w:val="18"/>
        </w:rPr>
        <w:t>Source: Table 10, p17 of the submission</w:t>
      </w:r>
    </w:p>
    <w:p w:rsidR="00B26AEF" w:rsidRPr="00BE23C5" w:rsidRDefault="00B26AEF" w:rsidP="00ED7F82">
      <w:pPr>
        <w:pStyle w:val="ListParagraph"/>
        <w:widowControl/>
        <w:numPr>
          <w:ilvl w:val="1"/>
          <w:numId w:val="2"/>
        </w:numPr>
        <w:spacing w:before="120" w:after="120"/>
      </w:pPr>
      <w:r w:rsidRPr="00BE23C5">
        <w:t xml:space="preserve">The ESC noted the requested restriction is narrower than the proposed TGA indication. The TGA indication is for patients with HER2+ </w:t>
      </w:r>
      <w:proofErr w:type="spellStart"/>
      <w:r w:rsidRPr="00BE23C5">
        <w:t>eBC</w:t>
      </w:r>
      <w:proofErr w:type="spellEnd"/>
      <w:r w:rsidRPr="00BE23C5">
        <w:t xml:space="preserve">, without reference to HR status. The proposed PBS restriction included a more restricted patient population: HER2+, HR+, </w:t>
      </w:r>
      <w:proofErr w:type="spellStart"/>
      <w:r w:rsidRPr="00BE23C5">
        <w:t>eBC</w:t>
      </w:r>
      <w:proofErr w:type="spellEnd"/>
      <w:r w:rsidRPr="00BE23C5">
        <w:rPr>
          <w:i/>
        </w:rPr>
        <w:t>.</w:t>
      </w:r>
    </w:p>
    <w:p w:rsidR="00EF6FB4" w:rsidRPr="00BE23C5" w:rsidRDefault="007E4DEA" w:rsidP="00ED7F82">
      <w:pPr>
        <w:pStyle w:val="ListParagraph"/>
        <w:widowControl/>
        <w:numPr>
          <w:ilvl w:val="1"/>
          <w:numId w:val="2"/>
        </w:numPr>
        <w:spacing w:before="120" w:after="120"/>
      </w:pPr>
      <w:r w:rsidRPr="00BE23C5">
        <w:t xml:space="preserve">The </w:t>
      </w:r>
      <w:r w:rsidR="00EF6FB4" w:rsidRPr="00BE23C5">
        <w:t>pre-PBAC response agreed with the following changes to the proposed restrictions:</w:t>
      </w:r>
    </w:p>
    <w:p w:rsidR="00EF6FB4" w:rsidRPr="00BE23C5" w:rsidRDefault="00575F33" w:rsidP="00ED7F82">
      <w:pPr>
        <w:pStyle w:val="ListParagraph"/>
        <w:widowControl/>
        <w:numPr>
          <w:ilvl w:val="0"/>
          <w:numId w:val="21"/>
        </w:numPr>
        <w:spacing w:before="120" w:after="120"/>
      </w:pPr>
      <w:proofErr w:type="gramStart"/>
      <w:r w:rsidRPr="00BE23C5">
        <w:t>a</w:t>
      </w:r>
      <w:proofErr w:type="gramEnd"/>
      <w:r w:rsidRPr="00BE23C5">
        <w:t xml:space="preserve"> streamlined restriction level for continuing treatment, especially as </w:t>
      </w:r>
      <w:proofErr w:type="spellStart"/>
      <w:r w:rsidRPr="00BE23C5">
        <w:t>trastuzumab</w:t>
      </w:r>
      <w:proofErr w:type="spellEnd"/>
      <w:r w:rsidRPr="00BE23C5">
        <w:t xml:space="preserve"> for </w:t>
      </w:r>
      <w:proofErr w:type="spellStart"/>
      <w:r w:rsidRPr="00BE23C5">
        <w:t>eBC</w:t>
      </w:r>
      <w:proofErr w:type="spellEnd"/>
      <w:r w:rsidRPr="00BE23C5">
        <w:t xml:space="preserve"> is </w:t>
      </w:r>
      <w:r w:rsidR="00D31E16" w:rsidRPr="00BE23C5">
        <w:t>Authority Required (Telephone)</w:t>
      </w:r>
      <w:r w:rsidRPr="00BE23C5">
        <w:t>.</w:t>
      </w:r>
      <w:r w:rsidR="007E4DEA" w:rsidRPr="00BE23C5">
        <w:t xml:space="preserve"> </w:t>
      </w:r>
      <w:r w:rsidR="00EF6FB4" w:rsidRPr="00BE23C5">
        <w:t>This align</w:t>
      </w:r>
      <w:r w:rsidR="00B37C0C" w:rsidRPr="00BE23C5">
        <w:t>ed</w:t>
      </w:r>
      <w:r w:rsidR="00EF6FB4" w:rsidRPr="00BE23C5">
        <w:t xml:space="preserve"> with DUSC advice.</w:t>
      </w:r>
    </w:p>
    <w:p w:rsidR="00575F33" w:rsidRPr="00BE23C5" w:rsidRDefault="004A7AC2" w:rsidP="00ED7F82">
      <w:pPr>
        <w:pStyle w:val="ListParagraph"/>
        <w:widowControl/>
        <w:numPr>
          <w:ilvl w:val="0"/>
          <w:numId w:val="21"/>
        </w:numPr>
        <w:spacing w:before="120" w:after="120"/>
      </w:pPr>
      <w:proofErr w:type="gramStart"/>
      <w:r w:rsidRPr="00BE23C5">
        <w:lastRenderedPageBreak/>
        <w:t>s</w:t>
      </w:r>
      <w:r w:rsidR="00EF6FB4" w:rsidRPr="00BE23C5">
        <w:t>implifying</w:t>
      </w:r>
      <w:proofErr w:type="gramEnd"/>
      <w:r w:rsidR="00EF6FB4" w:rsidRPr="00BE23C5">
        <w:t xml:space="preserve"> </w:t>
      </w:r>
      <w:r w:rsidR="00B26AEF" w:rsidRPr="00BE23C5">
        <w:t xml:space="preserve">the </w:t>
      </w:r>
      <w:r w:rsidR="00EF6FB4" w:rsidRPr="00BE23C5">
        <w:t>clinical criterion</w:t>
      </w:r>
      <w:r w:rsidRPr="00BE23C5">
        <w:t xml:space="preserve"> in the initial restriction to</w:t>
      </w:r>
      <w:r w:rsidR="00EF6FB4" w:rsidRPr="00BE23C5">
        <w:t xml:space="preserve"> “Patient must have been treated with a course of adjuvant </w:t>
      </w:r>
      <w:proofErr w:type="spellStart"/>
      <w:r w:rsidR="00EF6FB4" w:rsidRPr="00BE23C5">
        <w:t>trastuzumab</w:t>
      </w:r>
      <w:proofErr w:type="spellEnd"/>
      <w:r w:rsidR="00EF6FB4" w:rsidRPr="00BE23C5">
        <w:t>-based therapy within the last 12 months prior to initiating treatment with this drug for this condition.”</w:t>
      </w:r>
    </w:p>
    <w:p w:rsidR="00745D73" w:rsidRPr="00BE23C5" w:rsidRDefault="00745D73" w:rsidP="00ED7F82">
      <w:pPr>
        <w:pStyle w:val="ListParagraph"/>
        <w:widowControl/>
        <w:numPr>
          <w:ilvl w:val="0"/>
          <w:numId w:val="21"/>
        </w:numPr>
        <w:spacing w:before="120" w:after="120"/>
      </w:pPr>
      <w:proofErr w:type="gramStart"/>
      <w:r w:rsidRPr="00BE23C5">
        <w:t>including</w:t>
      </w:r>
      <w:proofErr w:type="gramEnd"/>
      <w:r w:rsidRPr="00BE23C5">
        <w:t xml:space="preserve"> administrative advice regarding the requirement for concurrent administration of anti-diarrhoeal prophylaxis as advised by the ESC. The </w:t>
      </w:r>
      <w:r w:rsidR="00C045C0">
        <w:t>P</w:t>
      </w:r>
      <w:r w:rsidR="007F5EE0">
        <w:t>re-Sub-Committee Response (PSCR</w:t>
      </w:r>
      <w:r w:rsidRPr="00BE23C5">
        <w:t xml:space="preserve">) </w:t>
      </w:r>
      <w:r w:rsidR="00A604EB" w:rsidRPr="00BE23C5">
        <w:t>n</w:t>
      </w:r>
      <w:r w:rsidR="00356EE7" w:rsidRPr="00BE23C5">
        <w:t>ote</w:t>
      </w:r>
      <w:r w:rsidRPr="00BE23C5">
        <w:t>d that anti-diarrhoeal medication (</w:t>
      </w:r>
      <w:proofErr w:type="spellStart"/>
      <w:r w:rsidRPr="00BE23C5">
        <w:t>loperamide</w:t>
      </w:r>
      <w:proofErr w:type="spellEnd"/>
      <w:r w:rsidRPr="00BE23C5">
        <w:t xml:space="preserve">) will be mandated in the Australian Product Information for the first two cycles. </w:t>
      </w:r>
    </w:p>
    <w:p w:rsidR="00B72717" w:rsidRPr="00BE23C5" w:rsidRDefault="00B72717" w:rsidP="00ED7F82">
      <w:pPr>
        <w:pStyle w:val="ListParagraph"/>
        <w:widowControl/>
        <w:numPr>
          <w:ilvl w:val="1"/>
          <w:numId w:val="2"/>
        </w:numPr>
        <w:snapToGrid w:val="0"/>
        <w:spacing w:before="120" w:after="120"/>
      </w:pPr>
      <w:r w:rsidRPr="00BE23C5">
        <w:t xml:space="preserve">The pre-PBAC response disagreed with the DUSC advice that the PBS criteria should specify that the only prior PBS funded HER2 therapy </w:t>
      </w:r>
      <w:r w:rsidR="00B26AEF" w:rsidRPr="00BE23C5">
        <w:t>should</w:t>
      </w:r>
      <w:r w:rsidR="00356EE7" w:rsidRPr="00BE23C5">
        <w:t xml:space="preserve"> be</w:t>
      </w:r>
      <w:r w:rsidRPr="00BE23C5">
        <w:t xml:space="preserve"> </w:t>
      </w:r>
      <w:proofErr w:type="spellStart"/>
      <w:r w:rsidRPr="00BE23C5">
        <w:t>trastuzumab</w:t>
      </w:r>
      <w:proofErr w:type="spellEnd"/>
      <w:r w:rsidR="00356EE7" w:rsidRPr="00BE23C5">
        <w:t xml:space="preserve">. The pre-PBAC response argued that </w:t>
      </w:r>
      <w:r w:rsidR="00DF6DD6" w:rsidRPr="00BE23C5">
        <w:t xml:space="preserve">patients who have been treated with other HER2+ agents such as </w:t>
      </w:r>
      <w:proofErr w:type="spellStart"/>
      <w:r w:rsidR="00DF6DD6" w:rsidRPr="00BE23C5">
        <w:t>pertuzumab</w:t>
      </w:r>
      <w:proofErr w:type="spellEnd"/>
      <w:r w:rsidR="00DF6DD6" w:rsidRPr="00BE23C5">
        <w:t xml:space="preserve"> or </w:t>
      </w:r>
      <w:proofErr w:type="spellStart"/>
      <w:r w:rsidR="00DF6DD6" w:rsidRPr="00BE23C5">
        <w:t>trastuzumab</w:t>
      </w:r>
      <w:proofErr w:type="spellEnd"/>
      <w:r w:rsidR="00DF6DD6" w:rsidRPr="00BE23C5">
        <w:t xml:space="preserve"> </w:t>
      </w:r>
      <w:proofErr w:type="spellStart"/>
      <w:r w:rsidR="00DF6DD6" w:rsidRPr="00BE23C5">
        <w:t>emtansine</w:t>
      </w:r>
      <w:proofErr w:type="spellEnd"/>
      <w:r w:rsidR="00DF6DD6" w:rsidRPr="00BE23C5">
        <w:t xml:space="preserve"> (T-DM1) should not be excluded</w:t>
      </w:r>
      <w:r w:rsidR="00F021FF" w:rsidRPr="00BE23C5">
        <w:t xml:space="preserve"> </w:t>
      </w:r>
      <w:r w:rsidR="00356EE7" w:rsidRPr="00BE23C5">
        <w:t xml:space="preserve">from accessing </w:t>
      </w:r>
      <w:proofErr w:type="spellStart"/>
      <w:r w:rsidR="00356EE7" w:rsidRPr="00BE23C5">
        <w:t>neratinib</w:t>
      </w:r>
      <w:proofErr w:type="spellEnd"/>
      <w:r w:rsidR="00356EE7" w:rsidRPr="00BE23C5">
        <w:t xml:space="preserve"> </w:t>
      </w:r>
      <w:r w:rsidR="00F021FF" w:rsidRPr="00BE23C5">
        <w:t>as this would not allow clinicians the freedom to select the best course of therapy for their patients.</w:t>
      </w:r>
      <w:r w:rsidR="002E2BD7" w:rsidRPr="00BE23C5">
        <w:t xml:space="preserve"> </w:t>
      </w:r>
      <w:r w:rsidR="00C230A5" w:rsidRPr="00BE23C5">
        <w:t xml:space="preserve">The PBAC considered that it was not appropriate </w:t>
      </w:r>
      <w:r w:rsidR="00B26AEF" w:rsidRPr="00BE23C5">
        <w:t>to</w:t>
      </w:r>
      <w:r w:rsidR="00C230A5" w:rsidRPr="00BE23C5">
        <w:t xml:space="preserve"> allow </w:t>
      </w:r>
      <w:proofErr w:type="spellStart"/>
      <w:r w:rsidR="00C230A5" w:rsidRPr="00BE23C5">
        <w:t>neratinib</w:t>
      </w:r>
      <w:proofErr w:type="spellEnd"/>
      <w:r w:rsidR="00C230A5" w:rsidRPr="00BE23C5">
        <w:t xml:space="preserve"> treatment following </w:t>
      </w:r>
      <w:proofErr w:type="spellStart"/>
      <w:r w:rsidR="00C230A5" w:rsidRPr="00BE23C5">
        <w:t>pertuz</w:t>
      </w:r>
      <w:r w:rsidR="004C2897">
        <w:t>u</w:t>
      </w:r>
      <w:r w:rsidR="00C230A5" w:rsidRPr="00BE23C5">
        <w:t>mab</w:t>
      </w:r>
      <w:proofErr w:type="spellEnd"/>
      <w:r w:rsidR="00C230A5" w:rsidRPr="00BE23C5">
        <w:t xml:space="preserve"> or T-DM1 as the clinical benefit in this population is unknown. See also </w:t>
      </w:r>
      <w:r w:rsidR="00C230A5" w:rsidRPr="004A3CCD">
        <w:t>paragraph 4.4 and 4.5</w:t>
      </w:r>
      <w:r w:rsidR="00C230A5" w:rsidRPr="00BE23C5">
        <w:t xml:space="preserve"> below. </w:t>
      </w:r>
    </w:p>
    <w:p w:rsidR="005B575D" w:rsidRPr="00BE23C5" w:rsidRDefault="00045C6B" w:rsidP="00ED7F82">
      <w:pPr>
        <w:pStyle w:val="ListParagraph"/>
        <w:widowControl/>
        <w:numPr>
          <w:ilvl w:val="1"/>
          <w:numId w:val="2"/>
        </w:numPr>
        <w:snapToGrid w:val="0"/>
        <w:spacing w:before="120" w:after="120"/>
      </w:pPr>
      <w:r w:rsidRPr="00BE23C5">
        <w:t xml:space="preserve">Table </w:t>
      </w:r>
      <w:r w:rsidR="00191FFB" w:rsidRPr="00BE23C5">
        <w:t>2</w:t>
      </w:r>
      <w:r w:rsidRPr="00BE23C5">
        <w:t xml:space="preserve"> </w:t>
      </w:r>
      <w:r w:rsidR="00B37C0C" w:rsidRPr="00BE23C5">
        <w:t>compare</w:t>
      </w:r>
      <w:r w:rsidR="007423DE" w:rsidRPr="00BE23C5">
        <w:t>s</w:t>
      </w:r>
      <w:r w:rsidRPr="00BE23C5">
        <w:t xml:space="preserve"> the </w:t>
      </w:r>
      <w:r w:rsidR="00B37C0C" w:rsidRPr="00BE23C5">
        <w:t>proposed</w:t>
      </w:r>
      <w:r w:rsidR="005140A5" w:rsidRPr="00BE23C5">
        <w:t xml:space="preserve"> </w:t>
      </w:r>
      <w:r w:rsidRPr="00BE23C5">
        <w:t>PBS listing and the</w:t>
      </w:r>
      <w:r w:rsidR="00191FFB" w:rsidRPr="00BE23C5">
        <w:t xml:space="preserve"> populations in the</w:t>
      </w:r>
      <w:r w:rsidRPr="00BE23C5">
        <w:t xml:space="preserve"> </w:t>
      </w:r>
      <w:proofErr w:type="spellStart"/>
      <w:r w:rsidRPr="00BE23C5">
        <w:t>ExteNET</w:t>
      </w:r>
      <w:proofErr w:type="spellEnd"/>
      <w:r w:rsidRPr="00BE23C5">
        <w:t xml:space="preserve"> trial.</w:t>
      </w:r>
      <w:r w:rsidR="004C52C6" w:rsidRPr="00BE23C5">
        <w:t xml:space="preserve"> The </w:t>
      </w:r>
      <w:proofErr w:type="spellStart"/>
      <w:r w:rsidR="005B575D" w:rsidRPr="00BE23C5">
        <w:t>ExteNET</w:t>
      </w:r>
      <w:proofErr w:type="spellEnd"/>
      <w:r w:rsidR="005B575D" w:rsidRPr="00BE23C5">
        <w:t xml:space="preserve"> </w:t>
      </w:r>
      <w:r w:rsidR="004C52C6" w:rsidRPr="00BE23C5">
        <w:t>trial</w:t>
      </w:r>
      <w:r w:rsidR="00D36BBF" w:rsidRPr="00BE23C5">
        <w:t xml:space="preserve"> reported data for 2 populations</w:t>
      </w:r>
      <w:r w:rsidR="005B575D" w:rsidRPr="00BE23C5">
        <w:t xml:space="preserve">: </w:t>
      </w:r>
    </w:p>
    <w:p w:rsidR="005B575D" w:rsidRPr="00BE23C5" w:rsidRDefault="00D36BBF" w:rsidP="00ED7F82">
      <w:pPr>
        <w:pStyle w:val="ListParagraph"/>
        <w:widowControl/>
        <w:numPr>
          <w:ilvl w:val="1"/>
          <w:numId w:val="6"/>
        </w:numPr>
        <w:spacing w:before="120" w:after="120"/>
        <w:ind w:left="851" w:hanging="357"/>
      </w:pPr>
      <w:r w:rsidRPr="00BE23C5">
        <w:t>The intent to treat (ITT) population which included all randomised patients</w:t>
      </w:r>
      <w:r w:rsidR="005B575D" w:rsidRPr="00BE23C5">
        <w:t xml:space="preserve">; </w:t>
      </w:r>
      <w:r w:rsidRPr="00BE23C5">
        <w:t xml:space="preserve">and </w:t>
      </w:r>
    </w:p>
    <w:p w:rsidR="00045C6B" w:rsidRPr="00BE23C5" w:rsidRDefault="005B575D" w:rsidP="00ED7F82">
      <w:pPr>
        <w:pStyle w:val="ListParagraph"/>
        <w:widowControl/>
        <w:numPr>
          <w:ilvl w:val="1"/>
          <w:numId w:val="6"/>
        </w:numPr>
        <w:spacing w:before="120" w:after="120"/>
        <w:ind w:left="851" w:hanging="357"/>
      </w:pPr>
      <w:r w:rsidRPr="00BE23C5">
        <w:t>T</w:t>
      </w:r>
      <w:r w:rsidR="00D36BBF" w:rsidRPr="00BE23C5">
        <w:t>he amended ITT population (</w:t>
      </w:r>
      <w:proofErr w:type="spellStart"/>
      <w:r w:rsidR="00D36BBF" w:rsidRPr="00BE23C5">
        <w:t>aITT</w:t>
      </w:r>
      <w:proofErr w:type="spellEnd"/>
      <w:r w:rsidR="00D36BBF" w:rsidRPr="00BE23C5">
        <w:t>) which included all patients randomised after global amendment 3</w:t>
      </w:r>
      <w:r w:rsidRPr="00BE23C5">
        <w:t xml:space="preserve">, which revised the eligibility criteria to include patients with Stage 2 to 3c, node-positive breast cancer, who had completed prior </w:t>
      </w:r>
      <w:proofErr w:type="spellStart"/>
      <w:r w:rsidRPr="00BE23C5">
        <w:t>trastuzumab</w:t>
      </w:r>
      <w:proofErr w:type="spellEnd"/>
      <w:r w:rsidRPr="00BE23C5">
        <w:t xml:space="preserve"> therapy within 1 year. The </w:t>
      </w:r>
      <w:proofErr w:type="spellStart"/>
      <w:r w:rsidRPr="00BE23C5">
        <w:t>aITT</w:t>
      </w:r>
      <w:proofErr w:type="spellEnd"/>
      <w:r w:rsidRPr="00BE23C5">
        <w:t xml:space="preserve"> population also included</w:t>
      </w:r>
      <w:r w:rsidR="00D36BBF" w:rsidRPr="00BE23C5">
        <w:t xml:space="preserve"> all patients randomised prior to implementation of amendment 3 if they met the following key criteria: 1. node-positive disease and 2. </w:t>
      </w:r>
      <w:proofErr w:type="gramStart"/>
      <w:r w:rsidR="00D36BBF" w:rsidRPr="00BE23C5">
        <w:t>randomised</w:t>
      </w:r>
      <w:proofErr w:type="gramEnd"/>
      <w:r w:rsidR="00D36BBF" w:rsidRPr="00BE23C5">
        <w:t xml:space="preserve"> within 1 year from completion of prior </w:t>
      </w:r>
      <w:proofErr w:type="spellStart"/>
      <w:r w:rsidR="00D36BBF" w:rsidRPr="00BE23C5">
        <w:t>trastuzumab</w:t>
      </w:r>
      <w:proofErr w:type="spellEnd"/>
      <w:r w:rsidR="00D36BBF" w:rsidRPr="00BE23C5">
        <w:t xml:space="preserve"> therapy.</w:t>
      </w:r>
    </w:p>
    <w:p w:rsidR="00045C6B" w:rsidRPr="00BE23C5" w:rsidRDefault="00045C6B" w:rsidP="00ED7F82">
      <w:pPr>
        <w:widowControl/>
        <w:spacing w:before="120" w:after="120"/>
        <w:rPr>
          <w:rFonts w:ascii="Arial Narrow" w:hAnsi="Arial Narrow"/>
          <w:b/>
          <w:sz w:val="20"/>
          <w:szCs w:val="20"/>
        </w:rPr>
      </w:pPr>
      <w:r w:rsidRPr="00BE23C5">
        <w:rPr>
          <w:rFonts w:ascii="Arial Narrow" w:hAnsi="Arial Narrow"/>
          <w:b/>
          <w:sz w:val="20"/>
          <w:szCs w:val="20"/>
        </w:rPr>
        <w:t xml:space="preserve">Table </w:t>
      </w:r>
      <w:r w:rsidR="004F734A" w:rsidRPr="00BE23C5">
        <w:rPr>
          <w:rFonts w:ascii="Arial Narrow" w:hAnsi="Arial Narrow"/>
          <w:b/>
          <w:sz w:val="20"/>
          <w:szCs w:val="20"/>
        </w:rPr>
        <w:t>2</w:t>
      </w:r>
      <w:r w:rsidRPr="00BE23C5">
        <w:rPr>
          <w:rFonts w:ascii="Arial Narrow" w:hAnsi="Arial Narrow"/>
          <w:b/>
          <w:sz w:val="20"/>
          <w:szCs w:val="20"/>
        </w:rPr>
        <w:t xml:space="preserve">: </w:t>
      </w:r>
      <w:r w:rsidR="006A0D32" w:rsidRPr="00BE23C5">
        <w:rPr>
          <w:rFonts w:ascii="Arial Narrow" w:hAnsi="Arial Narrow"/>
          <w:b/>
          <w:sz w:val="20"/>
          <w:szCs w:val="20"/>
        </w:rPr>
        <w:t xml:space="preserve">Summary of factors in the </w:t>
      </w:r>
      <w:proofErr w:type="spellStart"/>
      <w:r w:rsidR="006A0D32" w:rsidRPr="00BE23C5">
        <w:rPr>
          <w:rFonts w:ascii="Arial Narrow" w:hAnsi="Arial Narrow"/>
          <w:b/>
          <w:sz w:val="20"/>
          <w:szCs w:val="20"/>
        </w:rPr>
        <w:t>ExteNET</w:t>
      </w:r>
      <w:proofErr w:type="spellEnd"/>
      <w:r w:rsidR="006A0D32" w:rsidRPr="00BE23C5">
        <w:rPr>
          <w:rFonts w:ascii="Arial Narrow" w:hAnsi="Arial Narrow"/>
          <w:b/>
          <w:sz w:val="20"/>
          <w:szCs w:val="20"/>
        </w:rPr>
        <w:t xml:space="preserve"> trial versus the </w:t>
      </w:r>
      <w:r w:rsidR="00B37C0C" w:rsidRPr="00BE23C5">
        <w:rPr>
          <w:rFonts w:ascii="Arial Narrow" w:hAnsi="Arial Narrow"/>
          <w:b/>
          <w:sz w:val="20"/>
          <w:szCs w:val="20"/>
        </w:rPr>
        <w:t xml:space="preserve">proposed </w:t>
      </w:r>
      <w:r w:rsidR="006A0D32" w:rsidRPr="00BE23C5">
        <w:rPr>
          <w:rFonts w:ascii="Arial Narrow" w:hAnsi="Arial Narrow"/>
          <w:b/>
          <w:sz w:val="20"/>
          <w:szCs w:val="20"/>
        </w:rPr>
        <w:t>PBS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Caption w:val="Table 2: Summary of factors in the ExteNET trial versus the proposed PBS listing"/>
      </w:tblPr>
      <w:tblGrid>
        <w:gridCol w:w="2255"/>
        <w:gridCol w:w="2254"/>
        <w:gridCol w:w="2254"/>
        <w:gridCol w:w="2254"/>
      </w:tblGrid>
      <w:tr w:rsidR="00045C6B" w:rsidRPr="00BE23C5" w:rsidTr="000A577A">
        <w:trPr>
          <w:trHeight w:val="100"/>
        </w:trPr>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b/>
                <w:bCs/>
                <w:snapToGrid/>
                <w:kern w:val="24"/>
                <w:sz w:val="20"/>
                <w:szCs w:val="20"/>
                <w:lang w:eastAsia="en-AU"/>
              </w:rPr>
              <w:t>Factor</w:t>
            </w:r>
          </w:p>
        </w:tc>
        <w:tc>
          <w:tcPr>
            <w:tcW w:w="1250" w:type="pct"/>
            <w:shd w:val="clear" w:color="auto" w:fill="auto"/>
            <w:tcMar>
              <w:top w:w="72" w:type="dxa"/>
              <w:left w:w="144" w:type="dxa"/>
              <w:bottom w:w="72" w:type="dxa"/>
              <w:right w:w="144" w:type="dxa"/>
            </w:tcMar>
            <w:hideMark/>
          </w:tcPr>
          <w:p w:rsidR="00045C6B" w:rsidRPr="00BE23C5" w:rsidRDefault="00B37C0C" w:rsidP="000F2E0D">
            <w:pPr>
              <w:widowControl/>
              <w:jc w:val="left"/>
              <w:rPr>
                <w:rFonts w:ascii="Arial Narrow" w:hAnsi="Arial Narrow"/>
                <w:snapToGrid/>
                <w:sz w:val="20"/>
                <w:szCs w:val="20"/>
                <w:lang w:eastAsia="en-AU"/>
              </w:rPr>
            </w:pPr>
            <w:r w:rsidRPr="00BE23C5">
              <w:rPr>
                <w:rFonts w:ascii="Arial Narrow" w:hAnsi="Arial Narrow"/>
                <w:b/>
                <w:bCs/>
                <w:snapToGrid/>
                <w:kern w:val="24"/>
                <w:sz w:val="20"/>
                <w:szCs w:val="20"/>
                <w:lang w:eastAsia="en-AU"/>
              </w:rPr>
              <w:t xml:space="preserve">Proposed </w:t>
            </w:r>
            <w:r w:rsidR="00045C6B" w:rsidRPr="00BE23C5">
              <w:rPr>
                <w:rFonts w:ascii="Arial Narrow" w:hAnsi="Arial Narrow"/>
                <w:b/>
                <w:bCs/>
                <w:snapToGrid/>
                <w:kern w:val="24"/>
                <w:sz w:val="20"/>
                <w:szCs w:val="20"/>
                <w:lang w:eastAsia="en-AU"/>
              </w:rPr>
              <w:t>PBS</w:t>
            </w:r>
            <w:r w:rsidRPr="00BE23C5">
              <w:rPr>
                <w:rFonts w:ascii="Arial Narrow" w:hAnsi="Arial Narrow"/>
                <w:b/>
                <w:bCs/>
                <w:snapToGrid/>
                <w:kern w:val="24"/>
                <w:sz w:val="20"/>
                <w:szCs w:val="20"/>
                <w:lang w:eastAsia="en-AU"/>
              </w:rPr>
              <w:t xml:space="preserve"> listing</w:t>
            </w:r>
          </w:p>
        </w:tc>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b/>
                <w:bCs/>
                <w:snapToGrid/>
                <w:kern w:val="24"/>
                <w:sz w:val="20"/>
                <w:szCs w:val="20"/>
                <w:lang w:eastAsia="en-AU"/>
              </w:rPr>
              <w:t>ITT</w:t>
            </w:r>
            <w:r w:rsidR="00B37C0C" w:rsidRPr="00BE23C5">
              <w:rPr>
                <w:rFonts w:ascii="Arial Narrow" w:hAnsi="Arial Narrow"/>
                <w:b/>
                <w:bCs/>
                <w:snapToGrid/>
                <w:kern w:val="24"/>
                <w:sz w:val="20"/>
                <w:szCs w:val="20"/>
                <w:lang w:eastAsia="en-AU"/>
              </w:rPr>
              <w:t xml:space="preserve"> trial population</w:t>
            </w:r>
          </w:p>
        </w:tc>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proofErr w:type="spellStart"/>
            <w:r w:rsidRPr="00BE23C5">
              <w:rPr>
                <w:rFonts w:ascii="Arial Narrow" w:hAnsi="Arial Narrow"/>
                <w:b/>
                <w:bCs/>
                <w:snapToGrid/>
                <w:kern w:val="24"/>
                <w:sz w:val="20"/>
                <w:szCs w:val="20"/>
                <w:lang w:eastAsia="en-AU"/>
              </w:rPr>
              <w:t>aITT</w:t>
            </w:r>
            <w:proofErr w:type="spellEnd"/>
            <w:r w:rsidR="00B37C0C" w:rsidRPr="00BE23C5">
              <w:rPr>
                <w:rFonts w:ascii="Arial Narrow" w:hAnsi="Arial Narrow"/>
                <w:b/>
                <w:bCs/>
                <w:snapToGrid/>
                <w:kern w:val="24"/>
                <w:sz w:val="20"/>
                <w:szCs w:val="20"/>
                <w:lang w:eastAsia="en-AU"/>
              </w:rPr>
              <w:t xml:space="preserve"> trial population</w:t>
            </w:r>
          </w:p>
        </w:tc>
      </w:tr>
      <w:tr w:rsidR="00045C6B" w:rsidRPr="00BE23C5" w:rsidTr="000A577A">
        <w:trPr>
          <w:trHeight w:val="290"/>
        </w:trPr>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lang w:eastAsia="en-AU"/>
              </w:rPr>
              <w:t>Stage 1 included</w:t>
            </w:r>
          </w:p>
        </w:tc>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lang w:eastAsia="en-AU"/>
              </w:rPr>
              <w:t>Yes</w:t>
            </w:r>
          </w:p>
        </w:tc>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lang w:eastAsia="en-AU"/>
              </w:rPr>
              <w:t>Yes</w:t>
            </w:r>
          </w:p>
        </w:tc>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lang w:eastAsia="en-AU"/>
              </w:rPr>
              <w:t>Unclear: stage 1 excluded if enrolled after amendment 3</w:t>
            </w:r>
          </w:p>
        </w:tc>
      </w:tr>
      <w:tr w:rsidR="00045C6B" w:rsidRPr="00BE23C5" w:rsidTr="000A577A">
        <w:trPr>
          <w:trHeight w:val="20"/>
        </w:trPr>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lang w:eastAsia="en-AU"/>
              </w:rPr>
              <w:t xml:space="preserve">Last </w:t>
            </w:r>
            <w:proofErr w:type="spellStart"/>
            <w:r w:rsidR="00B26AEF" w:rsidRPr="00BE23C5">
              <w:rPr>
                <w:rFonts w:ascii="Arial Narrow" w:hAnsi="Arial Narrow"/>
                <w:snapToGrid/>
                <w:color w:val="000000"/>
                <w:kern w:val="24"/>
                <w:sz w:val="20"/>
                <w:szCs w:val="20"/>
                <w:lang w:eastAsia="en-AU"/>
              </w:rPr>
              <w:t>t</w:t>
            </w:r>
            <w:r w:rsidRPr="00BE23C5">
              <w:rPr>
                <w:rFonts w:ascii="Arial Narrow" w:hAnsi="Arial Narrow"/>
                <w:snapToGrid/>
                <w:color w:val="000000"/>
                <w:kern w:val="24"/>
                <w:sz w:val="20"/>
                <w:szCs w:val="20"/>
                <w:lang w:eastAsia="en-AU"/>
              </w:rPr>
              <w:t>rastuzumab</w:t>
            </w:r>
            <w:proofErr w:type="spellEnd"/>
            <w:r w:rsidRPr="00BE23C5">
              <w:rPr>
                <w:rFonts w:ascii="Arial Narrow" w:hAnsi="Arial Narrow"/>
                <w:snapToGrid/>
                <w:color w:val="000000"/>
                <w:kern w:val="24"/>
                <w:sz w:val="20"/>
                <w:szCs w:val="20"/>
                <w:lang w:eastAsia="en-AU"/>
              </w:rPr>
              <w:t xml:space="preserve"> dose</w:t>
            </w:r>
          </w:p>
        </w:tc>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u w:val="single"/>
                <w:lang w:eastAsia="en-AU"/>
              </w:rPr>
              <w:t>&lt;</w:t>
            </w:r>
            <w:r w:rsidRPr="00BE23C5">
              <w:rPr>
                <w:rFonts w:ascii="Arial Narrow" w:hAnsi="Arial Narrow"/>
                <w:snapToGrid/>
                <w:color w:val="000000"/>
                <w:kern w:val="24"/>
                <w:sz w:val="20"/>
                <w:szCs w:val="20"/>
                <w:lang w:eastAsia="en-AU"/>
              </w:rPr>
              <w:t>1 year</w:t>
            </w:r>
          </w:p>
        </w:tc>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u w:val="single"/>
                <w:lang w:eastAsia="en-AU"/>
              </w:rPr>
              <w:t>&lt;</w:t>
            </w:r>
            <w:r w:rsidRPr="00BE23C5">
              <w:rPr>
                <w:rFonts w:ascii="Arial Narrow" w:hAnsi="Arial Narrow"/>
                <w:snapToGrid/>
                <w:color w:val="000000"/>
                <w:kern w:val="24"/>
                <w:sz w:val="20"/>
                <w:szCs w:val="20"/>
                <w:lang w:eastAsia="en-AU"/>
              </w:rPr>
              <w:t>2 years</w:t>
            </w:r>
          </w:p>
        </w:tc>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u w:val="single"/>
                <w:lang w:eastAsia="en-AU"/>
              </w:rPr>
              <w:t>&lt;</w:t>
            </w:r>
            <w:r w:rsidRPr="00BE23C5">
              <w:rPr>
                <w:rFonts w:ascii="Arial Narrow" w:hAnsi="Arial Narrow"/>
                <w:snapToGrid/>
                <w:color w:val="000000"/>
                <w:kern w:val="24"/>
                <w:sz w:val="20"/>
                <w:szCs w:val="20"/>
                <w:lang w:eastAsia="en-AU"/>
              </w:rPr>
              <w:t>1 year</w:t>
            </w:r>
          </w:p>
        </w:tc>
      </w:tr>
      <w:tr w:rsidR="00045C6B" w:rsidRPr="00BE23C5" w:rsidTr="000A577A">
        <w:trPr>
          <w:trHeight w:val="20"/>
        </w:trPr>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proofErr w:type="spellStart"/>
            <w:r w:rsidRPr="00BE23C5">
              <w:rPr>
                <w:rFonts w:ascii="Arial Narrow" w:hAnsi="Arial Narrow"/>
                <w:snapToGrid/>
                <w:color w:val="000000"/>
                <w:kern w:val="24"/>
                <w:sz w:val="20"/>
                <w:szCs w:val="20"/>
                <w:lang w:eastAsia="en-AU"/>
              </w:rPr>
              <w:t>Neoadjuvant</w:t>
            </w:r>
            <w:proofErr w:type="spellEnd"/>
            <w:r w:rsidRPr="00BE23C5">
              <w:rPr>
                <w:rFonts w:ascii="Arial Narrow" w:hAnsi="Arial Narrow"/>
                <w:snapToGrid/>
                <w:color w:val="000000"/>
                <w:kern w:val="24"/>
                <w:sz w:val="20"/>
                <w:szCs w:val="20"/>
                <w:lang w:eastAsia="en-AU"/>
              </w:rPr>
              <w:t xml:space="preserve"> </w:t>
            </w:r>
            <w:proofErr w:type="spellStart"/>
            <w:r w:rsidRPr="00BE23C5">
              <w:rPr>
                <w:rFonts w:ascii="Arial Narrow" w:hAnsi="Arial Narrow"/>
                <w:snapToGrid/>
                <w:color w:val="000000"/>
                <w:kern w:val="24"/>
                <w:sz w:val="20"/>
                <w:szCs w:val="20"/>
                <w:lang w:eastAsia="en-AU"/>
              </w:rPr>
              <w:t>trastuzumab</w:t>
            </w:r>
            <w:proofErr w:type="spellEnd"/>
            <w:r w:rsidRPr="00BE23C5">
              <w:rPr>
                <w:rFonts w:ascii="Arial Narrow" w:hAnsi="Arial Narrow"/>
                <w:snapToGrid/>
                <w:color w:val="000000"/>
                <w:kern w:val="24"/>
                <w:sz w:val="20"/>
                <w:szCs w:val="20"/>
                <w:lang w:eastAsia="en-AU"/>
              </w:rPr>
              <w:t xml:space="preserve"> therapy</w:t>
            </w:r>
          </w:p>
        </w:tc>
        <w:tc>
          <w:tcPr>
            <w:tcW w:w="1250" w:type="pct"/>
            <w:shd w:val="clear" w:color="auto" w:fill="auto"/>
            <w:tcMar>
              <w:top w:w="72" w:type="dxa"/>
              <w:left w:w="144" w:type="dxa"/>
              <w:bottom w:w="72" w:type="dxa"/>
              <w:right w:w="144" w:type="dxa"/>
            </w:tcMar>
            <w:hideMark/>
          </w:tcPr>
          <w:p w:rsidR="00045C6B" w:rsidRPr="00BE23C5" w:rsidRDefault="00045C6B" w:rsidP="006F4D79">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lang w:eastAsia="en-AU"/>
              </w:rPr>
              <w:t>Not PBS listed</w:t>
            </w:r>
            <w:r w:rsidR="006F4D79" w:rsidRPr="00BE23C5">
              <w:rPr>
                <w:rFonts w:ascii="Arial Narrow" w:hAnsi="Arial Narrow"/>
                <w:snapToGrid/>
                <w:color w:val="000000"/>
                <w:kern w:val="24"/>
                <w:sz w:val="20"/>
                <w:szCs w:val="20"/>
                <w:lang w:eastAsia="en-AU"/>
              </w:rPr>
              <w:t xml:space="preserve"> in </w:t>
            </w:r>
            <w:proofErr w:type="spellStart"/>
            <w:r w:rsidR="006F4D79" w:rsidRPr="00BE23C5">
              <w:rPr>
                <w:rFonts w:ascii="Arial Narrow" w:hAnsi="Arial Narrow"/>
                <w:snapToGrid/>
                <w:color w:val="000000"/>
                <w:kern w:val="24"/>
                <w:sz w:val="20"/>
                <w:szCs w:val="20"/>
                <w:lang w:eastAsia="en-AU"/>
              </w:rPr>
              <w:t>eBC</w:t>
            </w:r>
            <w:proofErr w:type="spellEnd"/>
          </w:p>
        </w:tc>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lang w:eastAsia="en-AU"/>
              </w:rPr>
              <w:t>Allowed</w:t>
            </w:r>
          </w:p>
        </w:tc>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lang w:eastAsia="en-AU"/>
              </w:rPr>
              <w:t>Allowed</w:t>
            </w:r>
          </w:p>
        </w:tc>
      </w:tr>
      <w:tr w:rsidR="00045C6B" w:rsidRPr="00BE23C5" w:rsidTr="00191FFB">
        <w:trPr>
          <w:trHeight w:val="134"/>
        </w:trPr>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lang w:eastAsia="en-AU"/>
              </w:rPr>
              <w:t>Nodal status</w:t>
            </w:r>
          </w:p>
        </w:tc>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lang w:eastAsia="en-AU"/>
              </w:rPr>
              <w:t>+/-</w:t>
            </w:r>
          </w:p>
        </w:tc>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lang w:eastAsia="en-AU"/>
              </w:rPr>
              <w:t>+/-</w:t>
            </w:r>
          </w:p>
        </w:tc>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lang w:eastAsia="en-AU"/>
              </w:rPr>
              <w:t>+</w:t>
            </w:r>
          </w:p>
        </w:tc>
      </w:tr>
      <w:tr w:rsidR="00045C6B" w:rsidRPr="00BE23C5" w:rsidTr="00191FFB">
        <w:trPr>
          <w:trHeight w:val="25"/>
        </w:trPr>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lang w:eastAsia="en-AU"/>
              </w:rPr>
              <w:t>HR status</w:t>
            </w:r>
          </w:p>
        </w:tc>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lang w:eastAsia="en-AU"/>
              </w:rPr>
              <w:t>+</w:t>
            </w:r>
          </w:p>
        </w:tc>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lang w:eastAsia="en-AU"/>
              </w:rPr>
              <w:t>+/-</w:t>
            </w:r>
          </w:p>
        </w:tc>
        <w:tc>
          <w:tcPr>
            <w:tcW w:w="1250" w:type="pct"/>
            <w:shd w:val="clear" w:color="auto" w:fill="auto"/>
            <w:tcMar>
              <w:top w:w="72" w:type="dxa"/>
              <w:left w:w="144" w:type="dxa"/>
              <w:bottom w:w="72" w:type="dxa"/>
              <w:right w:w="144" w:type="dxa"/>
            </w:tcMar>
            <w:hideMark/>
          </w:tcPr>
          <w:p w:rsidR="00045C6B" w:rsidRPr="00BE23C5" w:rsidRDefault="00045C6B" w:rsidP="000F2E0D">
            <w:pPr>
              <w:widowControl/>
              <w:jc w:val="left"/>
              <w:rPr>
                <w:rFonts w:ascii="Arial Narrow" w:hAnsi="Arial Narrow"/>
                <w:snapToGrid/>
                <w:sz w:val="20"/>
                <w:szCs w:val="20"/>
                <w:lang w:eastAsia="en-AU"/>
              </w:rPr>
            </w:pPr>
            <w:r w:rsidRPr="00BE23C5">
              <w:rPr>
                <w:rFonts w:ascii="Arial Narrow" w:hAnsi="Arial Narrow"/>
                <w:snapToGrid/>
                <w:color w:val="000000"/>
                <w:kern w:val="24"/>
                <w:sz w:val="20"/>
                <w:szCs w:val="20"/>
                <w:lang w:eastAsia="en-AU"/>
              </w:rPr>
              <w:t>+/-</w:t>
            </w:r>
          </w:p>
        </w:tc>
      </w:tr>
    </w:tbl>
    <w:p w:rsidR="00045C6B" w:rsidRPr="00BE23C5" w:rsidRDefault="005C5DE7" w:rsidP="005140A5">
      <w:pPr>
        <w:pStyle w:val="TableFooter"/>
      </w:pPr>
      <w:r w:rsidRPr="00BE23C5">
        <w:t>Compiled during</w:t>
      </w:r>
      <w:r w:rsidR="006A0D32" w:rsidRPr="00BE23C5">
        <w:t xml:space="preserve"> the</w:t>
      </w:r>
      <w:r w:rsidRPr="00BE23C5">
        <w:t xml:space="preserve"> ESC evaluation</w:t>
      </w:r>
    </w:p>
    <w:p w:rsidR="00D36BBF" w:rsidRPr="00BE23C5" w:rsidRDefault="00D36BBF" w:rsidP="005140A5">
      <w:pPr>
        <w:pStyle w:val="TableFooter"/>
      </w:pPr>
      <w:proofErr w:type="spellStart"/>
      <w:proofErr w:type="gramStart"/>
      <w:r w:rsidRPr="00BE23C5">
        <w:t>eBC</w:t>
      </w:r>
      <w:proofErr w:type="spellEnd"/>
      <w:proofErr w:type="gramEnd"/>
      <w:r w:rsidRPr="00BE23C5">
        <w:t>: early breast cancer; PBS: Pharmaceutical Benefits Scheme</w:t>
      </w:r>
    </w:p>
    <w:p w:rsidR="00575F33" w:rsidRPr="00BE23C5" w:rsidRDefault="00575F33" w:rsidP="00DA7068">
      <w:pPr>
        <w:pStyle w:val="ListParagraph"/>
        <w:widowControl/>
        <w:numPr>
          <w:ilvl w:val="1"/>
          <w:numId w:val="2"/>
        </w:numPr>
        <w:spacing w:before="120" w:after="120"/>
      </w:pPr>
      <w:r w:rsidRPr="00BE23C5">
        <w:t xml:space="preserve">The </w:t>
      </w:r>
      <w:r w:rsidR="002D6462" w:rsidRPr="00BE23C5">
        <w:t xml:space="preserve">ESC considered that the </w:t>
      </w:r>
      <w:r w:rsidRPr="00BE23C5">
        <w:t xml:space="preserve">requested restriction is not consistent with the </w:t>
      </w:r>
      <w:proofErr w:type="spellStart"/>
      <w:r w:rsidRPr="00BE23C5">
        <w:t>ExteNET</w:t>
      </w:r>
      <w:proofErr w:type="spellEnd"/>
      <w:r w:rsidRPr="00BE23C5">
        <w:t xml:space="preserve"> trial presented in </w:t>
      </w:r>
      <w:r w:rsidR="004D58F1" w:rsidRPr="00BE23C5">
        <w:t>Section </w:t>
      </w:r>
      <w:r w:rsidRPr="00BE23C5">
        <w:t>2:</w:t>
      </w:r>
    </w:p>
    <w:p w:rsidR="00FF5F06" w:rsidRPr="00BE23C5" w:rsidRDefault="00FF5F06" w:rsidP="00DA7068">
      <w:pPr>
        <w:pStyle w:val="ListParagraph"/>
        <w:widowControl/>
        <w:numPr>
          <w:ilvl w:val="1"/>
          <w:numId w:val="6"/>
        </w:numPr>
        <w:spacing w:before="120" w:after="120"/>
        <w:ind w:left="851" w:hanging="357"/>
      </w:pPr>
      <w:r w:rsidRPr="00BE23C5">
        <w:lastRenderedPageBreak/>
        <w:t xml:space="preserve">The </w:t>
      </w:r>
      <w:proofErr w:type="spellStart"/>
      <w:r w:rsidRPr="00BE23C5">
        <w:t>ExteNET</w:t>
      </w:r>
      <w:proofErr w:type="spellEnd"/>
      <w:r w:rsidRPr="00BE23C5">
        <w:t xml:space="preserve"> trial (ITT and </w:t>
      </w:r>
      <w:proofErr w:type="spellStart"/>
      <w:r w:rsidRPr="00BE23C5">
        <w:t>aITT</w:t>
      </w:r>
      <w:proofErr w:type="spellEnd"/>
      <w:r w:rsidRPr="00BE23C5">
        <w:t xml:space="preserve"> population) included patients with </w:t>
      </w:r>
      <w:r w:rsidR="00B26AEF" w:rsidRPr="00BE23C5">
        <w:t xml:space="preserve">either </w:t>
      </w:r>
      <w:r w:rsidRPr="00BE23C5">
        <w:t xml:space="preserve">HR+ </w:t>
      </w:r>
      <w:r w:rsidR="00B26AEF" w:rsidRPr="00BE23C5">
        <w:t xml:space="preserve">or </w:t>
      </w:r>
      <w:r w:rsidRPr="00BE23C5">
        <w:t>HR- disease. However, the proposed PBS indication only include</w:t>
      </w:r>
      <w:r w:rsidR="00137246" w:rsidRPr="00BE23C5">
        <w:t>s</w:t>
      </w:r>
      <w:r w:rsidRPr="00BE23C5">
        <w:t xml:space="preserve"> patients with HR+ disease.</w:t>
      </w:r>
      <w:r w:rsidR="008705C7" w:rsidRPr="00BE23C5">
        <w:t xml:space="preserve"> </w:t>
      </w:r>
      <w:r w:rsidR="00BA0DA7" w:rsidRPr="00BE23C5">
        <w:t xml:space="preserve">The PSCR argued </w:t>
      </w:r>
      <w:r w:rsidR="002A6F8D" w:rsidRPr="00BE23C5">
        <w:t xml:space="preserve">the pre-specified subgroup analysis of HR+ </w:t>
      </w:r>
      <w:r w:rsidR="006C260D" w:rsidRPr="00BE23C5">
        <w:t xml:space="preserve">patients in the ITT population </w:t>
      </w:r>
      <w:r w:rsidR="002A6F8D" w:rsidRPr="00BE23C5">
        <w:t>mo</w:t>
      </w:r>
      <w:r w:rsidR="000506F2" w:rsidRPr="00BE23C5">
        <w:t>st</w:t>
      </w:r>
      <w:r w:rsidR="002A6F8D" w:rsidRPr="00BE23C5">
        <w:t xml:space="preserve"> closely matched the </w:t>
      </w:r>
      <w:r w:rsidR="006C260D" w:rsidRPr="00BE23C5">
        <w:t>proposed PBS</w:t>
      </w:r>
      <w:r w:rsidR="002A6F8D" w:rsidRPr="00BE23C5">
        <w:t xml:space="preserve"> population.</w:t>
      </w:r>
      <w:r w:rsidR="00191FFB" w:rsidRPr="00BE23C5">
        <w:t xml:space="preserve"> </w:t>
      </w:r>
    </w:p>
    <w:p w:rsidR="00D36BBF" w:rsidRPr="00BE23C5" w:rsidRDefault="00575F33" w:rsidP="00DA7068">
      <w:pPr>
        <w:pStyle w:val="ListParagraph"/>
        <w:widowControl/>
        <w:numPr>
          <w:ilvl w:val="1"/>
          <w:numId w:val="6"/>
        </w:numPr>
        <w:spacing w:before="120" w:after="120"/>
      </w:pPr>
      <w:r w:rsidRPr="00BE23C5">
        <w:t xml:space="preserve">The </w:t>
      </w:r>
      <w:proofErr w:type="spellStart"/>
      <w:r w:rsidRPr="00BE23C5">
        <w:t>ExteNET</w:t>
      </w:r>
      <w:proofErr w:type="spellEnd"/>
      <w:r w:rsidRPr="00BE23C5">
        <w:t xml:space="preserve"> trial</w:t>
      </w:r>
      <w:r w:rsidR="00FF5F06" w:rsidRPr="00BE23C5">
        <w:t xml:space="preserve"> (ITT</w:t>
      </w:r>
      <w:r w:rsidR="003563C3" w:rsidRPr="00BE23C5">
        <w:t xml:space="preserve"> population</w:t>
      </w:r>
      <w:r w:rsidR="00FF5F06" w:rsidRPr="00BE23C5">
        <w:t>)</w:t>
      </w:r>
      <w:r w:rsidRPr="00BE23C5">
        <w:t xml:space="preserve"> included patients </w:t>
      </w:r>
      <w:r w:rsidR="00A365F0" w:rsidRPr="00BE23C5">
        <w:t xml:space="preserve">who </w:t>
      </w:r>
      <w:r w:rsidRPr="00BE23C5">
        <w:t xml:space="preserve">completed </w:t>
      </w:r>
      <w:proofErr w:type="spellStart"/>
      <w:r w:rsidRPr="00BE23C5">
        <w:t>neoadjuvant</w:t>
      </w:r>
      <w:proofErr w:type="spellEnd"/>
      <w:r w:rsidRPr="00BE23C5">
        <w:t xml:space="preserve"> </w:t>
      </w:r>
      <w:r w:rsidR="00FF5F06" w:rsidRPr="00BE23C5">
        <w:t xml:space="preserve">or </w:t>
      </w:r>
      <w:r w:rsidRPr="00BE23C5">
        <w:t xml:space="preserve">adjuvant </w:t>
      </w:r>
      <w:proofErr w:type="spellStart"/>
      <w:r w:rsidRPr="00BE23C5">
        <w:t>trastuzumab</w:t>
      </w:r>
      <w:proofErr w:type="spellEnd"/>
      <w:r w:rsidRPr="00BE23C5">
        <w:t xml:space="preserve"> therapy</w:t>
      </w:r>
      <w:r w:rsidR="00233E80" w:rsidRPr="00BE23C5">
        <w:t xml:space="preserve"> up to two years prior to randomisation</w:t>
      </w:r>
      <w:r w:rsidRPr="00BE23C5">
        <w:t xml:space="preserve">. However, the proposed PBS indication </w:t>
      </w:r>
      <w:r w:rsidR="00D36BBF" w:rsidRPr="00BE23C5">
        <w:t xml:space="preserve">and </w:t>
      </w:r>
      <w:proofErr w:type="spellStart"/>
      <w:r w:rsidR="00D36BBF" w:rsidRPr="00BE23C5">
        <w:t>aITT</w:t>
      </w:r>
      <w:proofErr w:type="spellEnd"/>
      <w:r w:rsidR="00D36BBF" w:rsidRPr="00BE23C5">
        <w:t xml:space="preserve"> population </w:t>
      </w:r>
      <w:r w:rsidRPr="00BE23C5">
        <w:t xml:space="preserve">only include patients who completed adjuvant </w:t>
      </w:r>
      <w:proofErr w:type="spellStart"/>
      <w:r w:rsidRPr="00BE23C5">
        <w:t>trastuzumab</w:t>
      </w:r>
      <w:proofErr w:type="spellEnd"/>
      <w:r w:rsidRPr="00BE23C5">
        <w:t xml:space="preserve"> therapy </w:t>
      </w:r>
      <w:r w:rsidR="0040670F" w:rsidRPr="00BE23C5">
        <w:t xml:space="preserve">up to one year </w:t>
      </w:r>
      <w:r w:rsidRPr="00BE23C5">
        <w:t xml:space="preserve">prior to initiation of </w:t>
      </w:r>
      <w:proofErr w:type="spellStart"/>
      <w:r w:rsidRPr="00BE23C5">
        <w:t>neratinib</w:t>
      </w:r>
      <w:proofErr w:type="spellEnd"/>
      <w:r w:rsidRPr="00BE23C5">
        <w:t>.</w:t>
      </w:r>
      <w:r w:rsidR="003563C3" w:rsidRPr="00BE23C5">
        <w:t xml:space="preserve"> The ESC noted that 80.9% of patients in the ITT group had completed </w:t>
      </w:r>
      <w:proofErr w:type="spellStart"/>
      <w:r w:rsidR="003563C3" w:rsidRPr="00BE23C5">
        <w:t>trastuzumab</w:t>
      </w:r>
      <w:proofErr w:type="spellEnd"/>
      <w:r w:rsidR="003563C3" w:rsidRPr="00BE23C5">
        <w:t xml:space="preserve"> ≤1 year from randomisation, therefore, the majority of patients were aligned with the proposed PBS population in terms of the time since </w:t>
      </w:r>
      <w:proofErr w:type="spellStart"/>
      <w:r w:rsidR="003563C3" w:rsidRPr="00BE23C5">
        <w:t>trastuzumab</w:t>
      </w:r>
      <w:proofErr w:type="spellEnd"/>
      <w:r w:rsidR="003563C3" w:rsidRPr="00BE23C5">
        <w:t xml:space="preserve"> therapy.</w:t>
      </w:r>
    </w:p>
    <w:p w:rsidR="00575F33" w:rsidRPr="00BE23C5" w:rsidRDefault="004D58F1" w:rsidP="00DA7068">
      <w:pPr>
        <w:pStyle w:val="ListParagraph"/>
        <w:widowControl/>
        <w:numPr>
          <w:ilvl w:val="1"/>
          <w:numId w:val="6"/>
        </w:numPr>
        <w:spacing w:before="120" w:after="120"/>
        <w:ind w:left="851" w:hanging="357"/>
      </w:pPr>
      <w:r w:rsidRPr="00BE23C5">
        <w:t>Part of t</w:t>
      </w:r>
      <w:r w:rsidR="00575F33" w:rsidRPr="00BE23C5">
        <w:t xml:space="preserve">he </w:t>
      </w:r>
      <w:r w:rsidR="00FF5F06" w:rsidRPr="00BE23C5">
        <w:t xml:space="preserve">ITT population of the </w:t>
      </w:r>
      <w:proofErr w:type="spellStart"/>
      <w:r w:rsidR="00575F33" w:rsidRPr="00BE23C5">
        <w:t>ExteNET</w:t>
      </w:r>
      <w:proofErr w:type="spellEnd"/>
      <w:r w:rsidR="00575F33" w:rsidRPr="00BE23C5">
        <w:t xml:space="preserve"> trial (</w:t>
      </w:r>
      <w:r w:rsidRPr="00BE23C5">
        <w:t xml:space="preserve">after </w:t>
      </w:r>
      <w:r w:rsidR="00575F33" w:rsidRPr="00BE23C5">
        <w:t xml:space="preserve">protocol amendment 3) excluded subjects with </w:t>
      </w:r>
      <w:r w:rsidRPr="00BE23C5">
        <w:t>Stage </w:t>
      </w:r>
      <w:r w:rsidR="00575F33" w:rsidRPr="00BE23C5">
        <w:t xml:space="preserve">1 disease. However, the proposed PBS indication </w:t>
      </w:r>
      <w:r w:rsidR="00877407" w:rsidRPr="00BE23C5">
        <w:t xml:space="preserve">includes patients </w:t>
      </w:r>
      <w:r w:rsidR="00575F33" w:rsidRPr="00BE23C5">
        <w:t xml:space="preserve">with </w:t>
      </w:r>
      <w:r w:rsidRPr="00BE23C5">
        <w:t>Stage </w:t>
      </w:r>
      <w:r w:rsidR="00575F33" w:rsidRPr="00BE23C5">
        <w:t xml:space="preserve">1 disease. </w:t>
      </w:r>
    </w:p>
    <w:p w:rsidR="00575F33" w:rsidRPr="00BE23C5" w:rsidRDefault="004D58F1" w:rsidP="00DA7068">
      <w:pPr>
        <w:pStyle w:val="ListParagraph"/>
        <w:widowControl/>
        <w:numPr>
          <w:ilvl w:val="1"/>
          <w:numId w:val="6"/>
        </w:numPr>
        <w:spacing w:before="120" w:after="120"/>
        <w:ind w:left="851" w:hanging="357"/>
      </w:pPr>
      <w:r w:rsidRPr="00BE23C5">
        <w:t>Part of t</w:t>
      </w:r>
      <w:r w:rsidR="00575F33" w:rsidRPr="00BE23C5">
        <w:t>he</w:t>
      </w:r>
      <w:r w:rsidR="00FF5F06" w:rsidRPr="00BE23C5">
        <w:t xml:space="preserve"> ITT population of the</w:t>
      </w:r>
      <w:r w:rsidR="00575F33" w:rsidRPr="00BE23C5">
        <w:t xml:space="preserve"> </w:t>
      </w:r>
      <w:proofErr w:type="spellStart"/>
      <w:r w:rsidR="00575F33" w:rsidRPr="00BE23C5">
        <w:t>ExteNET</w:t>
      </w:r>
      <w:proofErr w:type="spellEnd"/>
      <w:r w:rsidR="00575F33" w:rsidRPr="00BE23C5">
        <w:t xml:space="preserve"> trial (</w:t>
      </w:r>
      <w:r w:rsidRPr="00BE23C5">
        <w:t xml:space="preserve">after </w:t>
      </w:r>
      <w:r w:rsidR="00575F33" w:rsidRPr="00BE23C5">
        <w:t>protocol amendment 3</w:t>
      </w:r>
      <w:r w:rsidR="003563C3" w:rsidRPr="00BE23C5">
        <w:t xml:space="preserve">) and the </w:t>
      </w:r>
      <w:proofErr w:type="spellStart"/>
      <w:r w:rsidR="00FF5F06" w:rsidRPr="00BE23C5">
        <w:t>aITT</w:t>
      </w:r>
      <w:proofErr w:type="spellEnd"/>
      <w:r w:rsidR="00FF5F06" w:rsidRPr="00BE23C5">
        <w:t xml:space="preserve"> population</w:t>
      </w:r>
      <w:r w:rsidR="00575F33" w:rsidRPr="00BE23C5">
        <w:t xml:space="preserve"> only included patients with node-positive disease. </w:t>
      </w:r>
      <w:r w:rsidR="00FA049E" w:rsidRPr="00BE23C5">
        <w:t xml:space="preserve">Consequently, 77% of patients were node-positive in the </w:t>
      </w:r>
      <w:r w:rsidR="00CD31B3" w:rsidRPr="00BE23C5">
        <w:t xml:space="preserve">ITT population of the </w:t>
      </w:r>
      <w:proofErr w:type="spellStart"/>
      <w:r w:rsidR="00FA049E" w:rsidRPr="00BE23C5">
        <w:t>ExteNET</w:t>
      </w:r>
      <w:proofErr w:type="spellEnd"/>
      <w:r w:rsidR="00FA049E" w:rsidRPr="00BE23C5">
        <w:t xml:space="preserve"> trial. </w:t>
      </w:r>
      <w:r w:rsidR="008B2842" w:rsidRPr="00BE23C5">
        <w:t>The ESC considered that there was no clinical rationale for excluding node negative patients</w:t>
      </w:r>
      <w:r w:rsidR="00821926" w:rsidRPr="00BE23C5">
        <w:t xml:space="preserve"> and that</w:t>
      </w:r>
      <w:r w:rsidR="008B2842" w:rsidRPr="00BE23C5">
        <w:t xml:space="preserve"> it was not reasonable to </w:t>
      </w:r>
      <w:r w:rsidR="00821926" w:rsidRPr="00BE23C5">
        <w:t>do so</w:t>
      </w:r>
      <w:r w:rsidR="008B2842" w:rsidRPr="00BE23C5">
        <w:t xml:space="preserve"> as there may be some high risk node negative patients who </w:t>
      </w:r>
      <w:r w:rsidR="00B37C0C" w:rsidRPr="00BE23C5">
        <w:t xml:space="preserve">may </w:t>
      </w:r>
      <w:r w:rsidR="008B2842" w:rsidRPr="00BE23C5">
        <w:t xml:space="preserve">benefit from treatment with </w:t>
      </w:r>
      <w:proofErr w:type="spellStart"/>
      <w:r w:rsidR="008B2842" w:rsidRPr="00BE23C5">
        <w:t>neratinib</w:t>
      </w:r>
      <w:proofErr w:type="spellEnd"/>
      <w:r w:rsidR="008B2842" w:rsidRPr="00BE23C5">
        <w:t xml:space="preserve">. The ESC noted that the minutes from the Advisory Board meeting identified patients with a tumour size greater than 2.1 cm and/or patients who failed to respond to </w:t>
      </w:r>
      <w:proofErr w:type="spellStart"/>
      <w:r w:rsidR="008B2842" w:rsidRPr="00BE23C5">
        <w:t>neoadjuvant</w:t>
      </w:r>
      <w:proofErr w:type="spellEnd"/>
      <w:r w:rsidR="008B2842" w:rsidRPr="00BE23C5">
        <w:t xml:space="preserve"> therapy</w:t>
      </w:r>
      <w:r w:rsidR="00B37C0C" w:rsidRPr="00BE23C5">
        <w:t xml:space="preserve"> as possible high risk node negative patients</w:t>
      </w:r>
      <w:r w:rsidR="008B2842" w:rsidRPr="00BE23C5">
        <w:t xml:space="preserve">. The ESC noted that it was unknown what proportion of patients included in the </w:t>
      </w:r>
      <w:proofErr w:type="spellStart"/>
      <w:r w:rsidR="008B2842" w:rsidRPr="00BE23C5">
        <w:t>ExteNET</w:t>
      </w:r>
      <w:proofErr w:type="spellEnd"/>
      <w:r w:rsidR="008B2842" w:rsidRPr="00BE23C5">
        <w:t xml:space="preserve"> tria</w:t>
      </w:r>
      <w:r w:rsidR="0034727D" w:rsidRPr="00BE23C5">
        <w:t>l</w:t>
      </w:r>
      <w:r w:rsidR="008B2842" w:rsidRPr="00BE23C5">
        <w:t xml:space="preserve"> or in the proposed PBS population would fall into this category. </w:t>
      </w:r>
    </w:p>
    <w:p w:rsidR="00DD3B55" w:rsidRPr="00BE23C5" w:rsidRDefault="00FA049E" w:rsidP="00DA7068">
      <w:pPr>
        <w:pStyle w:val="ListParagraph"/>
        <w:widowControl/>
        <w:numPr>
          <w:ilvl w:val="1"/>
          <w:numId w:val="6"/>
        </w:numPr>
        <w:spacing w:before="120" w:after="120"/>
        <w:ind w:left="851" w:hanging="357"/>
      </w:pPr>
      <w:r w:rsidRPr="00BE23C5">
        <w:t xml:space="preserve">The </w:t>
      </w:r>
      <w:proofErr w:type="spellStart"/>
      <w:r w:rsidRPr="00BE23C5">
        <w:t>ExteNET</w:t>
      </w:r>
      <w:proofErr w:type="spellEnd"/>
      <w:r w:rsidRPr="00BE23C5">
        <w:t xml:space="preserve"> trial included patients who were</w:t>
      </w:r>
      <w:r w:rsidR="00203672" w:rsidRPr="00BE23C5">
        <w:t xml:space="preserve"> </w:t>
      </w:r>
      <w:r w:rsidR="00203672" w:rsidRPr="00BE23C5">
        <w:rPr>
          <w:rFonts w:asciiTheme="minorHAnsi" w:hAnsiTheme="minorHAnsi" w:cstheme="minorHAnsi"/>
        </w:rPr>
        <w:t>immunohistochemistry</w:t>
      </w:r>
      <w:r w:rsidRPr="00BE23C5">
        <w:t xml:space="preserve"> </w:t>
      </w:r>
      <w:r w:rsidR="00203672" w:rsidRPr="00BE23C5">
        <w:t>(</w:t>
      </w:r>
      <w:r w:rsidRPr="00BE23C5">
        <w:t>IHC3+</w:t>
      </w:r>
      <w:r w:rsidR="00203672" w:rsidRPr="00BE23C5">
        <w:t>)</w:t>
      </w:r>
      <w:r w:rsidRPr="00BE23C5">
        <w:t xml:space="preserve"> or </w:t>
      </w:r>
      <w:r w:rsidR="00203672" w:rsidRPr="00BE23C5">
        <w:rPr>
          <w:rFonts w:asciiTheme="minorHAnsi" w:hAnsiTheme="minorHAnsi" w:cstheme="minorHAnsi"/>
        </w:rPr>
        <w:t>in situ hybridization (</w:t>
      </w:r>
      <w:r w:rsidRPr="00BE23C5">
        <w:t>ISH+</w:t>
      </w:r>
      <w:r w:rsidR="00203672" w:rsidRPr="00BE23C5">
        <w:t>)</w:t>
      </w:r>
      <w:r w:rsidR="0034727D" w:rsidRPr="00BE23C5">
        <w:t xml:space="preserve"> for HER2</w:t>
      </w:r>
      <w:r w:rsidRPr="00BE23C5">
        <w:t xml:space="preserve">. However, </w:t>
      </w:r>
      <w:proofErr w:type="spellStart"/>
      <w:r w:rsidRPr="00BE23C5">
        <w:t>trastuzumab</w:t>
      </w:r>
      <w:proofErr w:type="spellEnd"/>
      <w:r w:rsidRPr="00BE23C5">
        <w:t xml:space="preserve"> (for </w:t>
      </w:r>
      <w:proofErr w:type="spellStart"/>
      <w:r w:rsidRPr="00BE23C5">
        <w:t>eBC</w:t>
      </w:r>
      <w:proofErr w:type="spellEnd"/>
      <w:r w:rsidRPr="00BE23C5">
        <w:t xml:space="preserve">) is </w:t>
      </w:r>
      <w:r w:rsidR="00137246" w:rsidRPr="00BE23C5">
        <w:t>PBS listed for</w:t>
      </w:r>
      <w:r w:rsidRPr="00BE23C5">
        <w:t xml:space="preserve"> patients </w:t>
      </w:r>
      <w:r w:rsidR="00137246" w:rsidRPr="00BE23C5">
        <w:t>who are HER2+ on the basis of the</w:t>
      </w:r>
      <w:r w:rsidRPr="00BE23C5">
        <w:t xml:space="preserve"> ISH test</w:t>
      </w:r>
      <w:r w:rsidR="00137246" w:rsidRPr="00BE23C5">
        <w:t xml:space="preserve"> only</w:t>
      </w:r>
      <w:r w:rsidRPr="00BE23C5">
        <w:t>.</w:t>
      </w:r>
      <w:r w:rsidR="002A6F8D" w:rsidRPr="00BE23C5">
        <w:t xml:space="preserve"> </w:t>
      </w:r>
      <w:r w:rsidR="00E64F44" w:rsidRPr="00BE23C5">
        <w:t>The</w:t>
      </w:r>
      <w:r w:rsidR="002A6F8D" w:rsidRPr="00BE23C5">
        <w:t xml:space="preserve"> PSCR argued that </w:t>
      </w:r>
      <w:r w:rsidR="00C27EE6" w:rsidRPr="00BE23C5">
        <w:t xml:space="preserve">an Australian study reported </w:t>
      </w:r>
      <w:r w:rsidR="0034727D" w:rsidRPr="00BE23C5">
        <w:t xml:space="preserve">there is </w:t>
      </w:r>
      <w:r w:rsidR="002A6F8D" w:rsidRPr="00BE23C5">
        <w:t xml:space="preserve">a low rate of discordance (1.2%) </w:t>
      </w:r>
      <w:r w:rsidR="0034727D" w:rsidRPr="00BE23C5">
        <w:t xml:space="preserve">between IHC and ISH assays </w:t>
      </w:r>
      <w:r w:rsidR="002A6F8D" w:rsidRPr="00BE23C5">
        <w:t>(</w:t>
      </w:r>
      <w:proofErr w:type="spellStart"/>
      <w:r w:rsidR="002A6F8D" w:rsidRPr="00BE23C5">
        <w:t>Balasubramanian</w:t>
      </w:r>
      <w:proofErr w:type="spellEnd"/>
      <w:r w:rsidR="002A6F8D" w:rsidRPr="00BE23C5">
        <w:t>, 2018).</w:t>
      </w:r>
      <w:r w:rsidR="00082D4C" w:rsidRPr="00BE23C5">
        <w:t xml:space="preserve"> </w:t>
      </w:r>
      <w:r w:rsidR="00BA7B76" w:rsidRPr="00BE23C5">
        <w:t>The ESC noted the reference provided was a</w:t>
      </w:r>
      <w:r w:rsidR="000E6FDB" w:rsidRPr="00BE23C5">
        <w:t xml:space="preserve"> conference</w:t>
      </w:r>
      <w:r w:rsidR="00BA7B76" w:rsidRPr="00BE23C5">
        <w:t xml:space="preserve"> abstract </w:t>
      </w:r>
      <w:r w:rsidR="000E6FDB" w:rsidRPr="00BE23C5">
        <w:t xml:space="preserve">based on </w:t>
      </w:r>
      <w:r w:rsidR="00BA7B76" w:rsidRPr="00BE23C5">
        <w:t xml:space="preserve">a retrospective </w:t>
      </w:r>
      <w:r w:rsidR="000E6FDB" w:rsidRPr="00BE23C5">
        <w:t>analysis</w:t>
      </w:r>
      <w:r w:rsidR="00BA7B76" w:rsidRPr="00BE23C5">
        <w:t xml:space="preserve"> and the risk of bias</w:t>
      </w:r>
      <w:r w:rsidR="00C27EE6" w:rsidRPr="00BE23C5">
        <w:t xml:space="preserve"> could not be determined</w:t>
      </w:r>
      <w:r w:rsidR="00BA7B76" w:rsidRPr="00BE23C5">
        <w:t>.</w:t>
      </w:r>
    </w:p>
    <w:p w:rsidR="0003633F" w:rsidRPr="00BE23C5" w:rsidRDefault="0003633F" w:rsidP="00DA7068">
      <w:pPr>
        <w:widowControl/>
        <w:spacing w:before="120" w:after="120"/>
        <w:rPr>
          <w:i/>
        </w:rPr>
      </w:pPr>
      <w:r w:rsidRPr="00BE23C5">
        <w:rPr>
          <w:i/>
        </w:rPr>
        <w:t>For more detail on PBAC’s view, see section 7 PBAC outcome.</w:t>
      </w:r>
    </w:p>
    <w:p w:rsidR="00575F33" w:rsidRPr="00BE23C5" w:rsidRDefault="00575F33" w:rsidP="00DA7068">
      <w:pPr>
        <w:pStyle w:val="PBACHeading1"/>
        <w:spacing w:before="120" w:after="120"/>
        <w:outlineLvl w:val="0"/>
      </w:pPr>
      <w:bookmarkStart w:id="5" w:name="_Toc535857345"/>
      <w:r w:rsidRPr="00BE23C5">
        <w:t>Background</w:t>
      </w:r>
      <w:bookmarkEnd w:id="5"/>
    </w:p>
    <w:p w:rsidR="00575F33" w:rsidRPr="00B36A97" w:rsidRDefault="00575F33" w:rsidP="00B36A97">
      <w:pPr>
        <w:spacing w:before="120" w:after="120"/>
        <w:outlineLvl w:val="1"/>
        <w:rPr>
          <w:rFonts w:asciiTheme="minorHAnsi" w:hAnsiTheme="minorHAnsi"/>
          <w:b/>
          <w:bCs/>
          <w:i/>
          <w:sz w:val="28"/>
          <w:szCs w:val="28"/>
        </w:rPr>
      </w:pPr>
      <w:r w:rsidRPr="00B36A97">
        <w:rPr>
          <w:rFonts w:asciiTheme="minorHAnsi" w:hAnsiTheme="minorHAnsi"/>
          <w:b/>
          <w:bCs/>
          <w:i/>
          <w:sz w:val="28"/>
          <w:szCs w:val="28"/>
        </w:rPr>
        <w:t>Registration status</w:t>
      </w:r>
    </w:p>
    <w:p w:rsidR="00575F33" w:rsidRPr="00BE23C5" w:rsidRDefault="00575F33" w:rsidP="00DA7068">
      <w:pPr>
        <w:pStyle w:val="ListParagraph"/>
        <w:widowControl/>
        <w:numPr>
          <w:ilvl w:val="1"/>
          <w:numId w:val="2"/>
        </w:numPr>
        <w:spacing w:before="120" w:after="120"/>
      </w:pPr>
      <w:r w:rsidRPr="00BE23C5">
        <w:t xml:space="preserve">The submission was made under TGA/PBAC Parallel </w:t>
      </w:r>
      <w:r w:rsidR="00497A9B" w:rsidRPr="00BE23C5">
        <w:t>Process. At</w:t>
      </w:r>
      <w:r w:rsidRPr="00BE23C5">
        <w:t xml:space="preserve"> the time of PBAC consideration, </w:t>
      </w:r>
      <w:proofErr w:type="spellStart"/>
      <w:r w:rsidRPr="00BE23C5">
        <w:t>neratinib</w:t>
      </w:r>
      <w:proofErr w:type="spellEnd"/>
      <w:r w:rsidRPr="00BE23C5">
        <w:t xml:space="preserve"> </w:t>
      </w:r>
      <w:r w:rsidR="00C27EE6" w:rsidRPr="00BE23C5">
        <w:t xml:space="preserve">was TGA approved </w:t>
      </w:r>
      <w:r w:rsidRPr="00BE23C5">
        <w:t xml:space="preserve">for </w:t>
      </w:r>
      <w:r w:rsidR="00033414" w:rsidRPr="00BE23C5">
        <w:t>“</w:t>
      </w:r>
      <w:r w:rsidRPr="00BE23C5">
        <w:t>the extended adjuvant treatment of adult patients with early-stage HER2-overexpressed/amplified breast cancer</w:t>
      </w:r>
      <w:r w:rsidR="00AB07DE" w:rsidRPr="00BE23C5">
        <w:t xml:space="preserve">, to follow adjuvant </w:t>
      </w:r>
      <w:proofErr w:type="spellStart"/>
      <w:r w:rsidR="00AB07DE" w:rsidRPr="00BE23C5">
        <w:t>trastuzumab</w:t>
      </w:r>
      <w:proofErr w:type="spellEnd"/>
      <w:r w:rsidR="00AB07DE" w:rsidRPr="00BE23C5">
        <w:t xml:space="preserve"> based therapy</w:t>
      </w:r>
      <w:r w:rsidRPr="00BE23C5">
        <w:t>”</w:t>
      </w:r>
      <w:r w:rsidR="008E5CD4" w:rsidRPr="00BE23C5">
        <w:t>.</w:t>
      </w:r>
    </w:p>
    <w:p w:rsidR="0003633F" w:rsidRPr="00BE23C5" w:rsidRDefault="0003633F" w:rsidP="00DA7068">
      <w:pPr>
        <w:widowControl/>
        <w:spacing w:before="120" w:after="120"/>
        <w:rPr>
          <w:i/>
        </w:rPr>
      </w:pPr>
      <w:r w:rsidRPr="00BE23C5">
        <w:rPr>
          <w:i/>
        </w:rPr>
        <w:lastRenderedPageBreak/>
        <w:t>For more detail on PBAC’s view, see section 7 PBAC outcome.</w:t>
      </w:r>
    </w:p>
    <w:p w:rsidR="00575F33" w:rsidRPr="00BE23C5" w:rsidRDefault="00575F33" w:rsidP="00DA7068">
      <w:pPr>
        <w:pStyle w:val="PBACHeading1"/>
        <w:keepNext/>
        <w:spacing w:before="120" w:after="120"/>
        <w:outlineLvl w:val="0"/>
      </w:pPr>
      <w:bookmarkStart w:id="6" w:name="_Toc535857346"/>
      <w:r w:rsidRPr="00BE23C5">
        <w:t>Population and disease</w:t>
      </w:r>
      <w:bookmarkEnd w:id="6"/>
    </w:p>
    <w:p w:rsidR="00575F33" w:rsidRPr="00BE23C5" w:rsidRDefault="00575F33" w:rsidP="00DA7068">
      <w:pPr>
        <w:pStyle w:val="ListParagraph"/>
        <w:widowControl/>
        <w:numPr>
          <w:ilvl w:val="1"/>
          <w:numId w:val="2"/>
        </w:numPr>
        <w:spacing w:before="120" w:after="120"/>
      </w:pPr>
      <w:r w:rsidRPr="00BE23C5">
        <w:t>Breast cancer is the most frequently diagnosed malignancy in women and the leading cause of cancer mortality in women worldwide. In Australia, 16,753 people were diagnosed with breast cancer, and 2,868 died as a result of breast cancer</w:t>
      </w:r>
      <w:r w:rsidR="004B12DD" w:rsidRPr="00BE23C5">
        <w:t>,</w:t>
      </w:r>
      <w:r w:rsidRPr="00BE23C5">
        <w:t xml:space="preserve"> in 2014 (AIHW 2017).</w:t>
      </w:r>
    </w:p>
    <w:p w:rsidR="00575F33" w:rsidRPr="00BE23C5" w:rsidRDefault="00575F33" w:rsidP="00DA7068">
      <w:pPr>
        <w:pStyle w:val="ListParagraph"/>
        <w:widowControl/>
        <w:numPr>
          <w:ilvl w:val="1"/>
          <w:numId w:val="2"/>
        </w:numPr>
        <w:spacing w:before="120" w:after="120"/>
      </w:pPr>
      <w:r w:rsidRPr="00BE23C5">
        <w:t xml:space="preserve">HER2 is a transmembrane receptor tyrosine kinase, involved in mediating growth, differentiation and survival of cells. HER2+ breast cancer </w:t>
      </w:r>
      <w:r w:rsidR="00DF068C" w:rsidRPr="00BE23C5">
        <w:t>has</w:t>
      </w:r>
      <w:r w:rsidRPr="00BE23C5">
        <w:t xml:space="preserve"> an increased tendency to metastasis and a poorer prognosis (</w:t>
      </w:r>
      <w:proofErr w:type="spellStart"/>
      <w:r w:rsidRPr="00BE23C5">
        <w:t>Slamon</w:t>
      </w:r>
      <w:proofErr w:type="spellEnd"/>
      <w:r w:rsidRPr="00BE23C5">
        <w:t xml:space="preserve"> et al, 2011). In Australia approximately 15% of breast cancer patients are HER2+ (</w:t>
      </w:r>
      <w:proofErr w:type="spellStart"/>
      <w:r w:rsidRPr="00BE23C5">
        <w:t>Bilous</w:t>
      </w:r>
      <w:proofErr w:type="spellEnd"/>
      <w:r w:rsidRPr="00BE23C5">
        <w:t xml:space="preserve"> 2012a) (based on ISH testing).</w:t>
      </w:r>
    </w:p>
    <w:p w:rsidR="00575F33" w:rsidRPr="00BE23C5" w:rsidRDefault="0092043C" w:rsidP="00DA7068">
      <w:pPr>
        <w:pStyle w:val="ListParagraph"/>
        <w:widowControl/>
        <w:numPr>
          <w:ilvl w:val="1"/>
          <w:numId w:val="2"/>
        </w:numPr>
        <w:spacing w:before="120" w:after="120"/>
      </w:pPr>
      <w:r w:rsidRPr="00BE23C5">
        <w:t>75%</w:t>
      </w:r>
      <w:r w:rsidR="00033414" w:rsidRPr="00BE23C5">
        <w:t xml:space="preserve"> percent</w:t>
      </w:r>
      <w:r w:rsidR="00575F33" w:rsidRPr="00BE23C5">
        <w:t xml:space="preserve"> of all breast cancers are HR+ </w:t>
      </w:r>
      <w:r w:rsidR="00033414" w:rsidRPr="00BE23C5">
        <w:t xml:space="preserve">with </w:t>
      </w:r>
      <w:r w:rsidR="00575F33" w:rsidRPr="00BE23C5">
        <w:t>overexpress</w:t>
      </w:r>
      <w:r w:rsidR="00A365F0" w:rsidRPr="00BE23C5">
        <w:t>ion</w:t>
      </w:r>
      <w:r w:rsidR="00575F33" w:rsidRPr="00BE23C5">
        <w:t xml:space="preserve"> of </w:t>
      </w:r>
      <w:r w:rsidR="003F3B19" w:rsidRPr="00BE23C5">
        <w:t>o</w:t>
      </w:r>
      <w:r w:rsidR="00575F33" w:rsidRPr="00BE23C5">
        <w:t>estrogen receptors (ER) and/or progesterone (</w:t>
      </w:r>
      <w:proofErr w:type="spellStart"/>
      <w:r w:rsidR="00575F33" w:rsidRPr="00BE23C5">
        <w:t>PgR</w:t>
      </w:r>
      <w:proofErr w:type="spellEnd"/>
      <w:r w:rsidR="00575F33" w:rsidRPr="00BE23C5">
        <w:t xml:space="preserve">) receptors. Around 50% of all HER2+ breast cancer </w:t>
      </w:r>
      <w:r w:rsidR="00DF068C" w:rsidRPr="00BE23C5">
        <w:t>is</w:t>
      </w:r>
      <w:r w:rsidR="00575F33" w:rsidRPr="00BE23C5">
        <w:t xml:space="preserve"> HR+. A prospective cohort study showed that HER2+, HR+ breast cancer </w:t>
      </w:r>
      <w:r w:rsidR="004D58F1" w:rsidRPr="00BE23C5">
        <w:t>is</w:t>
      </w:r>
      <w:r w:rsidR="00575F33" w:rsidRPr="00BE23C5">
        <w:t xml:space="preserve"> associated with a cons</w:t>
      </w:r>
      <w:r w:rsidR="004D4737" w:rsidRPr="00BE23C5">
        <w:t>tant</w:t>
      </w:r>
      <w:r w:rsidR="00575F33" w:rsidRPr="00BE23C5">
        <w:t xml:space="preserve"> risk of relapse overtime, whereas HER2+, HR- breast cancer </w:t>
      </w:r>
      <w:r w:rsidR="00DF068C" w:rsidRPr="00BE23C5">
        <w:t>is</w:t>
      </w:r>
      <w:r w:rsidR="00575F33" w:rsidRPr="00BE23C5">
        <w:t xml:space="preserve"> associated with a higher risk of early recurrence (</w:t>
      </w:r>
      <w:proofErr w:type="spellStart"/>
      <w:r w:rsidR="00575F33" w:rsidRPr="00BE23C5">
        <w:t>Schettini</w:t>
      </w:r>
      <w:proofErr w:type="spellEnd"/>
      <w:r w:rsidR="00575F33" w:rsidRPr="00BE23C5">
        <w:t xml:space="preserve"> et al., 2016).</w:t>
      </w:r>
    </w:p>
    <w:p w:rsidR="00575F33" w:rsidRPr="00BE23C5" w:rsidRDefault="00575F33" w:rsidP="00DA7068">
      <w:pPr>
        <w:pStyle w:val="ListParagraph"/>
        <w:widowControl/>
        <w:numPr>
          <w:ilvl w:val="1"/>
          <w:numId w:val="2"/>
        </w:numPr>
        <w:spacing w:before="120" w:after="120"/>
      </w:pPr>
      <w:r w:rsidRPr="00BE23C5">
        <w:t xml:space="preserve">The submission proposed the listing of </w:t>
      </w:r>
      <w:proofErr w:type="spellStart"/>
      <w:r w:rsidRPr="00BE23C5">
        <w:t>neratinib</w:t>
      </w:r>
      <w:proofErr w:type="spellEnd"/>
      <w:r w:rsidRPr="00BE23C5">
        <w:t xml:space="preserve"> on the PBS as an additional line of therapy for adult patient</w:t>
      </w:r>
      <w:r w:rsidR="00B13F1B" w:rsidRPr="00BE23C5">
        <w:t>s</w:t>
      </w:r>
      <w:r w:rsidRPr="00BE23C5">
        <w:t xml:space="preserve"> with HER2+, HR+, </w:t>
      </w:r>
      <w:proofErr w:type="spellStart"/>
      <w:r w:rsidRPr="00BE23C5">
        <w:t>eBC</w:t>
      </w:r>
      <w:proofErr w:type="spellEnd"/>
      <w:r w:rsidRPr="00BE23C5">
        <w:t xml:space="preserve"> who have been treated with </w:t>
      </w:r>
      <w:proofErr w:type="spellStart"/>
      <w:r w:rsidRPr="00BE23C5">
        <w:t>trastuzumab</w:t>
      </w:r>
      <w:proofErr w:type="spellEnd"/>
      <w:r w:rsidRPr="00BE23C5">
        <w:t xml:space="preserve">-based therapy within the past 12 months. </w:t>
      </w:r>
      <w:r w:rsidR="003C181E" w:rsidRPr="00BE23C5">
        <w:t xml:space="preserve">The ESC considered this treatment algorithm to be appropriate in the absence of </w:t>
      </w:r>
      <w:proofErr w:type="spellStart"/>
      <w:r w:rsidR="003C181E" w:rsidRPr="00BE23C5">
        <w:t>pertuzumab</w:t>
      </w:r>
      <w:proofErr w:type="spellEnd"/>
      <w:r w:rsidR="0034727D" w:rsidRPr="00BE23C5">
        <w:t xml:space="preserve"> </w:t>
      </w:r>
      <w:r w:rsidR="004B29C4" w:rsidRPr="00BE23C5">
        <w:t xml:space="preserve">for </w:t>
      </w:r>
      <w:proofErr w:type="spellStart"/>
      <w:r w:rsidR="0034727D" w:rsidRPr="00BE23C5">
        <w:t>eBC</w:t>
      </w:r>
      <w:proofErr w:type="spellEnd"/>
      <w:r w:rsidR="0034727D" w:rsidRPr="00BE23C5">
        <w:t xml:space="preserve"> on the PBS</w:t>
      </w:r>
      <w:r w:rsidR="003C181E" w:rsidRPr="00BE23C5">
        <w:t>.</w:t>
      </w:r>
      <w:r w:rsidR="003D4B44" w:rsidRPr="00BE23C5">
        <w:t xml:space="preserve"> However, the ESC </w:t>
      </w:r>
      <w:r w:rsidR="00CD37E7" w:rsidRPr="00BE23C5">
        <w:t>noted it was uncertain whether</w:t>
      </w:r>
      <w:r w:rsidR="00924682" w:rsidRPr="00BE23C5">
        <w:t xml:space="preserve"> (if </w:t>
      </w:r>
      <w:r w:rsidR="00F0127D" w:rsidRPr="00BE23C5">
        <w:t xml:space="preserve">PBS </w:t>
      </w:r>
      <w:r w:rsidR="00924682" w:rsidRPr="00BE23C5">
        <w:t xml:space="preserve">listed) </w:t>
      </w:r>
      <w:r w:rsidR="00804631" w:rsidRPr="00BE23C5">
        <w:t>use</w:t>
      </w:r>
      <w:r w:rsidR="00924682" w:rsidRPr="00BE23C5">
        <w:t xml:space="preserve"> of</w:t>
      </w:r>
      <w:r w:rsidR="003D4B44" w:rsidRPr="00BE23C5">
        <w:t xml:space="preserve"> </w:t>
      </w:r>
      <w:proofErr w:type="spellStart"/>
      <w:r w:rsidR="003D4B44" w:rsidRPr="00BE23C5">
        <w:t>pertuzumab</w:t>
      </w:r>
      <w:proofErr w:type="spellEnd"/>
      <w:r w:rsidR="003D4B44" w:rsidRPr="00BE23C5">
        <w:t xml:space="preserve"> would negate the </w:t>
      </w:r>
      <w:r w:rsidR="00F0127D" w:rsidRPr="00BE23C5">
        <w:t>clinical benefit</w:t>
      </w:r>
      <w:r w:rsidR="003D4B44" w:rsidRPr="00BE23C5">
        <w:t xml:space="preserve"> of </w:t>
      </w:r>
      <w:proofErr w:type="spellStart"/>
      <w:r w:rsidR="003D4B44" w:rsidRPr="00BE23C5">
        <w:t>neratinib</w:t>
      </w:r>
      <w:proofErr w:type="spellEnd"/>
      <w:r w:rsidR="003D4B44" w:rsidRPr="00BE23C5">
        <w:t xml:space="preserve"> </w:t>
      </w:r>
      <w:r w:rsidR="00924682" w:rsidRPr="00BE23C5">
        <w:t>in this population</w:t>
      </w:r>
      <w:r w:rsidR="00F0127D" w:rsidRPr="00BE23C5">
        <w:t>.</w:t>
      </w:r>
      <w:r w:rsidR="00342B76" w:rsidRPr="00BE23C5">
        <w:t xml:space="preserve"> The PBAC noted </w:t>
      </w:r>
      <w:r w:rsidR="00356EE7" w:rsidRPr="00BE23C5">
        <w:t>t</w:t>
      </w:r>
      <w:r w:rsidR="00342B76" w:rsidRPr="00BE23C5">
        <w:t xml:space="preserve">here is limited data regarding the benefits of </w:t>
      </w:r>
      <w:proofErr w:type="spellStart"/>
      <w:r w:rsidR="00342B76" w:rsidRPr="00BE23C5">
        <w:t>neratinib</w:t>
      </w:r>
      <w:proofErr w:type="spellEnd"/>
      <w:r w:rsidR="00342B76" w:rsidRPr="00BE23C5">
        <w:t xml:space="preserve"> after </w:t>
      </w:r>
      <w:r w:rsidR="00802010" w:rsidRPr="00BE23C5">
        <w:t xml:space="preserve">treatment with </w:t>
      </w:r>
      <w:proofErr w:type="spellStart"/>
      <w:r w:rsidR="00342B76" w:rsidRPr="00BE23C5">
        <w:t>pertuzumab</w:t>
      </w:r>
      <w:proofErr w:type="spellEnd"/>
      <w:r w:rsidR="00342B76" w:rsidRPr="00BE23C5">
        <w:t>.</w:t>
      </w:r>
    </w:p>
    <w:p w:rsidR="004509E0" w:rsidRPr="00BE23C5" w:rsidRDefault="004509E0" w:rsidP="00DA7068">
      <w:pPr>
        <w:pStyle w:val="ListParagraph"/>
        <w:widowControl/>
        <w:numPr>
          <w:ilvl w:val="1"/>
          <w:numId w:val="2"/>
        </w:numPr>
        <w:spacing w:before="120" w:after="120"/>
      </w:pPr>
      <w:r w:rsidRPr="00BE23C5">
        <w:t xml:space="preserve">The PBAC noted </w:t>
      </w:r>
      <w:r w:rsidR="00342B76" w:rsidRPr="00BE23C5">
        <w:t>that there is a move to</w:t>
      </w:r>
      <w:r w:rsidR="00802010" w:rsidRPr="00BE23C5">
        <w:t xml:space="preserve">wards </w:t>
      </w:r>
      <w:proofErr w:type="spellStart"/>
      <w:r w:rsidR="00342B76" w:rsidRPr="00BE23C5">
        <w:t>neoadjuvant</w:t>
      </w:r>
      <w:proofErr w:type="spellEnd"/>
      <w:r w:rsidR="00342B76" w:rsidRPr="00BE23C5">
        <w:t xml:space="preserve"> therapy </w:t>
      </w:r>
      <w:r w:rsidR="00A41E50" w:rsidRPr="00BE23C5">
        <w:t xml:space="preserve">in </w:t>
      </w:r>
      <w:r w:rsidR="0003714C" w:rsidRPr="00BE23C5">
        <w:t xml:space="preserve">patients with </w:t>
      </w:r>
      <w:r w:rsidR="00342B76" w:rsidRPr="00BE23C5">
        <w:t xml:space="preserve">high risk </w:t>
      </w:r>
      <w:proofErr w:type="spellStart"/>
      <w:r w:rsidR="00802010" w:rsidRPr="00BE23C5">
        <w:t>eBC</w:t>
      </w:r>
      <w:proofErr w:type="spellEnd"/>
      <w:r w:rsidR="00342B76" w:rsidRPr="00BE23C5">
        <w:t xml:space="preserve">. </w:t>
      </w:r>
      <w:r w:rsidR="00BF72D7" w:rsidRPr="00BE23C5">
        <w:t xml:space="preserve">This approach allows assessment of response to therapy at the time of surgery. </w:t>
      </w:r>
      <w:r w:rsidR="00DD0F58" w:rsidRPr="00BE23C5">
        <w:t>A recent l</w:t>
      </w:r>
      <w:r w:rsidR="00BF72D7" w:rsidRPr="00BE23C5">
        <w:t xml:space="preserve">arge meta-analysis </w:t>
      </w:r>
      <w:r w:rsidR="00DD0F58" w:rsidRPr="00BE23C5">
        <w:t xml:space="preserve">of </w:t>
      </w:r>
      <w:proofErr w:type="spellStart"/>
      <w:r w:rsidR="00DD0F58" w:rsidRPr="00BE23C5">
        <w:t>eBC</w:t>
      </w:r>
      <w:proofErr w:type="spellEnd"/>
      <w:r w:rsidR="00DD0F58" w:rsidRPr="00BE23C5">
        <w:t xml:space="preserve"> trials with </w:t>
      </w:r>
      <w:proofErr w:type="spellStart"/>
      <w:r w:rsidR="00DD0F58" w:rsidRPr="00BE23C5">
        <w:t>neoadjuvant</w:t>
      </w:r>
      <w:proofErr w:type="spellEnd"/>
      <w:r w:rsidR="00DD0F58" w:rsidRPr="00BE23C5">
        <w:t xml:space="preserve"> chemotherapy</w:t>
      </w:r>
      <w:r w:rsidR="00DD0F58" w:rsidRPr="00BE23C5">
        <w:rPr>
          <w:rStyle w:val="FootnoteReference"/>
        </w:rPr>
        <w:footnoteReference w:id="1"/>
      </w:r>
      <w:r w:rsidR="00DD0F58" w:rsidRPr="00BE23C5">
        <w:t xml:space="preserve"> </w:t>
      </w:r>
      <w:r w:rsidR="004C2897">
        <w:t>reported</w:t>
      </w:r>
      <w:r w:rsidR="00DD0F58" w:rsidRPr="00BE23C5">
        <w:t xml:space="preserve"> the prognostic importance of </w:t>
      </w:r>
      <w:r w:rsidR="00CB5D9D" w:rsidRPr="00BE23C5">
        <w:t xml:space="preserve">pathological complete response </w:t>
      </w:r>
      <w:r w:rsidR="00CB5D9D">
        <w:t>(</w:t>
      </w:r>
      <w:proofErr w:type="spellStart"/>
      <w:r w:rsidR="00DD0F58" w:rsidRPr="00BE23C5">
        <w:t>pCR</w:t>
      </w:r>
      <w:proofErr w:type="spellEnd"/>
      <w:r w:rsidR="00CB5D9D">
        <w:t>)</w:t>
      </w:r>
      <w:r w:rsidR="00DD0F58" w:rsidRPr="00BE23C5">
        <w:t xml:space="preserve">, which correlates with event free and overall survival. </w:t>
      </w:r>
      <w:r w:rsidR="00342B76" w:rsidRPr="00BE23C5">
        <w:t>The PBAC noted data from the</w:t>
      </w:r>
      <w:r w:rsidRPr="00BE23C5">
        <w:t xml:space="preserve"> </w:t>
      </w:r>
      <w:r w:rsidR="00342B76" w:rsidRPr="00BE23C5">
        <w:t>KATHERINE trial</w:t>
      </w:r>
      <w:r w:rsidR="00D50CFB" w:rsidRPr="00BE23C5">
        <w:rPr>
          <w:rStyle w:val="FootnoteReference"/>
        </w:rPr>
        <w:footnoteReference w:id="2"/>
      </w:r>
      <w:r w:rsidR="00342B76" w:rsidRPr="00BE23C5">
        <w:t xml:space="preserve"> </w:t>
      </w:r>
      <w:r w:rsidR="0003714C" w:rsidRPr="00BE23C5">
        <w:t xml:space="preserve">demonstrated that patients with residual invasive disease after completing </w:t>
      </w:r>
      <w:proofErr w:type="spellStart"/>
      <w:r w:rsidR="0003714C" w:rsidRPr="00BE23C5">
        <w:t>neoadjuvant</w:t>
      </w:r>
      <w:proofErr w:type="spellEnd"/>
      <w:r w:rsidR="0003714C" w:rsidRPr="00BE23C5">
        <w:t xml:space="preserve"> </w:t>
      </w:r>
      <w:r w:rsidR="00802010" w:rsidRPr="00BE23C5">
        <w:t>chemo</w:t>
      </w:r>
      <w:r w:rsidR="0003714C" w:rsidRPr="00BE23C5">
        <w:t>therapy</w:t>
      </w:r>
      <w:r w:rsidR="00802010" w:rsidRPr="00BE23C5">
        <w:t xml:space="preserve"> + </w:t>
      </w:r>
      <w:proofErr w:type="spellStart"/>
      <w:r w:rsidR="00802010" w:rsidRPr="00BE23C5">
        <w:t>trastuzumab</w:t>
      </w:r>
      <w:proofErr w:type="spellEnd"/>
      <w:r w:rsidR="00802010" w:rsidRPr="00BE23C5">
        <w:t>,</w:t>
      </w:r>
      <w:r w:rsidR="0003714C" w:rsidRPr="00BE23C5">
        <w:t xml:space="preserve"> who </w:t>
      </w:r>
      <w:r w:rsidR="00A41E50" w:rsidRPr="00BE23C5">
        <w:t xml:space="preserve">were </w:t>
      </w:r>
      <w:r w:rsidR="00802010" w:rsidRPr="00BE23C5">
        <w:t xml:space="preserve">then </w:t>
      </w:r>
      <w:r w:rsidR="0003714C" w:rsidRPr="00BE23C5">
        <w:t>treated with T-DM1</w:t>
      </w:r>
      <w:r w:rsidR="00802010" w:rsidRPr="00BE23C5">
        <w:t>,</w:t>
      </w:r>
      <w:r w:rsidR="0003714C" w:rsidRPr="00BE23C5">
        <w:t xml:space="preserve"> had a 50% lower risk of recurrence of invasive breast cancer or death than patients treated with </w:t>
      </w:r>
      <w:proofErr w:type="spellStart"/>
      <w:r w:rsidR="0003714C" w:rsidRPr="00BE23C5">
        <w:t>trastuzumab</w:t>
      </w:r>
      <w:proofErr w:type="spellEnd"/>
      <w:r w:rsidR="0003714C" w:rsidRPr="00BE23C5">
        <w:t xml:space="preserve"> alone. The KATHERINE study supports</w:t>
      </w:r>
      <w:r w:rsidR="00342B76" w:rsidRPr="00BE23C5">
        <w:t xml:space="preserve"> a change in </w:t>
      </w:r>
      <w:r w:rsidR="004C2897">
        <w:t xml:space="preserve">the </w:t>
      </w:r>
      <w:r w:rsidR="00181189" w:rsidRPr="00BE23C5">
        <w:t xml:space="preserve">treatment pathway in </w:t>
      </w:r>
      <w:r w:rsidR="00342B76" w:rsidRPr="00BE23C5">
        <w:t>the adjuvant setting</w:t>
      </w:r>
      <w:r w:rsidR="00A41E50" w:rsidRPr="00BE23C5">
        <w:t>, particular</w:t>
      </w:r>
      <w:r w:rsidR="00181189" w:rsidRPr="00BE23C5">
        <w:t xml:space="preserve">ly </w:t>
      </w:r>
      <w:r w:rsidR="00342B76" w:rsidRPr="00BE23C5">
        <w:t xml:space="preserve">for </w:t>
      </w:r>
      <w:r w:rsidR="004C2897">
        <w:t xml:space="preserve">high risk </w:t>
      </w:r>
      <w:r w:rsidR="00342B76" w:rsidRPr="00BE23C5">
        <w:t>patients.</w:t>
      </w:r>
      <w:r w:rsidR="0003714C" w:rsidRPr="00BE23C5">
        <w:t xml:space="preserve"> The </w:t>
      </w:r>
      <w:r w:rsidR="0003714C" w:rsidRPr="00BE23C5">
        <w:lastRenderedPageBreak/>
        <w:t>PBAC noted no data</w:t>
      </w:r>
      <w:r w:rsidR="004C2897">
        <w:t xml:space="preserve"> was presented</w:t>
      </w:r>
      <w:r w:rsidR="0003714C" w:rsidRPr="00BE23C5">
        <w:t xml:space="preserve"> of the effectiveness of </w:t>
      </w:r>
      <w:proofErr w:type="spellStart"/>
      <w:r w:rsidR="0003714C" w:rsidRPr="00BE23C5">
        <w:t>neratinib</w:t>
      </w:r>
      <w:proofErr w:type="spellEnd"/>
      <w:r w:rsidR="0003714C" w:rsidRPr="00BE23C5">
        <w:t xml:space="preserve"> after treatment with T-DM1.</w:t>
      </w:r>
    </w:p>
    <w:p w:rsidR="00575F33" w:rsidRPr="00BE23C5" w:rsidRDefault="0003633F" w:rsidP="00DA7068">
      <w:pPr>
        <w:pStyle w:val="Header"/>
        <w:spacing w:before="120" w:after="120"/>
        <w:rPr>
          <w:i/>
        </w:rPr>
      </w:pPr>
      <w:r w:rsidRPr="00BE23C5">
        <w:rPr>
          <w:i/>
        </w:rPr>
        <w:t>For more detail on PBAC’s view, see section 7 PBAC outcome.</w:t>
      </w:r>
    </w:p>
    <w:p w:rsidR="00575F33" w:rsidRPr="00BE23C5" w:rsidRDefault="00575F33" w:rsidP="00A35FF9">
      <w:pPr>
        <w:pStyle w:val="PBACHeading1"/>
        <w:spacing w:before="120" w:after="120"/>
        <w:outlineLvl w:val="0"/>
      </w:pPr>
      <w:bookmarkStart w:id="7" w:name="_Toc535857347"/>
      <w:r w:rsidRPr="00BE23C5">
        <w:t>Comparator</w:t>
      </w:r>
      <w:bookmarkEnd w:id="7"/>
    </w:p>
    <w:p w:rsidR="00575F33" w:rsidRPr="00BE23C5" w:rsidRDefault="00575F33" w:rsidP="00A35FF9">
      <w:pPr>
        <w:pStyle w:val="ListParagraph"/>
        <w:widowControl/>
        <w:numPr>
          <w:ilvl w:val="1"/>
          <w:numId w:val="2"/>
        </w:numPr>
        <w:spacing w:before="120" w:after="120"/>
      </w:pPr>
      <w:r w:rsidRPr="00BE23C5">
        <w:t>The submission nominated usual care/placebo as the main comparator (p7 of the submission).</w:t>
      </w:r>
      <w:r w:rsidR="00E0278D" w:rsidRPr="00BE23C5">
        <w:t xml:space="preserve"> </w:t>
      </w:r>
      <w:r w:rsidR="00F23118" w:rsidRPr="00BE23C5">
        <w:t>The PBAC considered t</w:t>
      </w:r>
      <w:r w:rsidRPr="00BE23C5">
        <w:t xml:space="preserve">his </w:t>
      </w:r>
      <w:r w:rsidR="00F23118" w:rsidRPr="00BE23C5">
        <w:t>wa</w:t>
      </w:r>
      <w:r w:rsidRPr="00BE23C5">
        <w:t>s reasonable.</w:t>
      </w:r>
    </w:p>
    <w:p w:rsidR="00CA0678" w:rsidRPr="00BE23C5" w:rsidRDefault="00FC032F" w:rsidP="00A35FF9">
      <w:pPr>
        <w:pStyle w:val="ListParagraph"/>
        <w:widowControl/>
        <w:numPr>
          <w:ilvl w:val="1"/>
          <w:numId w:val="2"/>
        </w:numPr>
        <w:spacing w:before="120" w:after="120"/>
      </w:pPr>
      <w:proofErr w:type="spellStart"/>
      <w:r w:rsidRPr="00BE23C5">
        <w:t>Pertuzumab</w:t>
      </w:r>
      <w:proofErr w:type="spellEnd"/>
      <w:r w:rsidRPr="00BE23C5">
        <w:t xml:space="preserve"> in combination with </w:t>
      </w:r>
      <w:proofErr w:type="spellStart"/>
      <w:r w:rsidRPr="00BE23C5">
        <w:t>trastuzumab</w:t>
      </w:r>
      <w:proofErr w:type="spellEnd"/>
      <w:r w:rsidRPr="00BE23C5">
        <w:t xml:space="preserve"> and chemotherapy (</w:t>
      </w:r>
      <w:proofErr w:type="spellStart"/>
      <w:r w:rsidRPr="00BE23C5">
        <w:t>Ptz+T+Chemo</w:t>
      </w:r>
      <w:proofErr w:type="spellEnd"/>
      <w:r w:rsidRPr="00BE23C5">
        <w:t>)</w:t>
      </w:r>
      <w:r w:rsidR="00D64D66" w:rsidRPr="00BE23C5">
        <w:t>, also considered by the PBAC at the March 2019 meeting,</w:t>
      </w:r>
      <w:r w:rsidRPr="00BE23C5">
        <w:t xml:space="preserve"> </w:t>
      </w:r>
      <w:r w:rsidR="004B12DD" w:rsidRPr="00BE23C5">
        <w:t>is a potential</w:t>
      </w:r>
      <w:r w:rsidRPr="00BE23C5">
        <w:t xml:space="preserve"> near market comparator </w:t>
      </w:r>
      <w:r w:rsidR="004B12DD" w:rsidRPr="00BE23C5">
        <w:t xml:space="preserve">as there are no data to support </w:t>
      </w:r>
      <w:proofErr w:type="spellStart"/>
      <w:r w:rsidRPr="00BE23C5">
        <w:t>Ptz+T+Chemo</w:t>
      </w:r>
      <w:proofErr w:type="spellEnd"/>
      <w:r w:rsidRPr="00BE23C5">
        <w:t xml:space="preserve"> in Year 1 followed by </w:t>
      </w:r>
      <w:proofErr w:type="spellStart"/>
      <w:r w:rsidRPr="00BE23C5">
        <w:t>neratinib</w:t>
      </w:r>
      <w:proofErr w:type="spellEnd"/>
      <w:r w:rsidRPr="00BE23C5">
        <w:t xml:space="preserve"> in Year 2</w:t>
      </w:r>
      <w:r w:rsidR="00D64D66" w:rsidRPr="00BE23C5">
        <w:t>,</w:t>
      </w:r>
      <w:r w:rsidR="004B12DD" w:rsidRPr="00BE23C5">
        <w:t xml:space="preserve"> and hence the addition of </w:t>
      </w:r>
      <w:proofErr w:type="spellStart"/>
      <w:r w:rsidR="004B12DD" w:rsidRPr="00BE23C5">
        <w:t>pertuzumab</w:t>
      </w:r>
      <w:proofErr w:type="spellEnd"/>
      <w:r w:rsidR="004B12DD" w:rsidRPr="00BE23C5">
        <w:t xml:space="preserve"> in year 1 </w:t>
      </w:r>
      <w:r w:rsidR="00D64D66" w:rsidRPr="00BE23C5">
        <w:t xml:space="preserve">and the use of </w:t>
      </w:r>
      <w:proofErr w:type="spellStart"/>
      <w:r w:rsidR="00D64D66" w:rsidRPr="00BE23C5">
        <w:t>neratinib</w:t>
      </w:r>
      <w:proofErr w:type="spellEnd"/>
      <w:r w:rsidR="00D64D66" w:rsidRPr="00BE23C5">
        <w:t xml:space="preserve"> in year 2 are alternative treatment options</w:t>
      </w:r>
      <w:r w:rsidRPr="00BE23C5">
        <w:t>.</w:t>
      </w:r>
      <w:r w:rsidR="004B29C4" w:rsidRPr="00BE23C5">
        <w:t xml:space="preserve"> The PSCR argued that </w:t>
      </w:r>
      <w:proofErr w:type="spellStart"/>
      <w:r w:rsidR="004B29C4" w:rsidRPr="00BE23C5">
        <w:t>pertuzumab</w:t>
      </w:r>
      <w:proofErr w:type="spellEnd"/>
      <w:r w:rsidR="004B29C4" w:rsidRPr="00BE23C5">
        <w:t xml:space="preserve"> is not a near market comparator for </w:t>
      </w:r>
      <w:proofErr w:type="spellStart"/>
      <w:r w:rsidR="004B29C4" w:rsidRPr="00BE23C5">
        <w:t>neratinib</w:t>
      </w:r>
      <w:proofErr w:type="spellEnd"/>
      <w:r w:rsidR="004B29C4" w:rsidRPr="00BE23C5">
        <w:t xml:space="preserve"> on the basis that it is used in an earlier line of therapy and would most likely be used in a HR- population. The PBAC considered that </w:t>
      </w:r>
      <w:proofErr w:type="spellStart"/>
      <w:r w:rsidR="004B29C4" w:rsidRPr="00BE23C5">
        <w:t>Ptz+T+Chemo</w:t>
      </w:r>
      <w:proofErr w:type="spellEnd"/>
      <w:r w:rsidR="004B29C4" w:rsidRPr="00BE23C5">
        <w:t xml:space="preserve"> </w:t>
      </w:r>
      <w:r w:rsidR="005236BB" w:rsidRPr="00BE23C5">
        <w:t>i</w:t>
      </w:r>
      <w:r w:rsidR="004B29C4" w:rsidRPr="00BE23C5">
        <w:t xml:space="preserve">s a relevant near market comparator because, </w:t>
      </w:r>
      <w:r w:rsidR="001F7A87" w:rsidRPr="00BE23C5">
        <w:rPr>
          <w:rFonts w:cs="Calibri"/>
          <w:snapToGrid/>
          <w:szCs w:val="24"/>
          <w:lang w:eastAsia="en-AU"/>
        </w:rPr>
        <w:t xml:space="preserve">without evidence of the clinical benefit for sequential treatment with </w:t>
      </w:r>
      <w:proofErr w:type="spellStart"/>
      <w:r w:rsidR="001F7A87" w:rsidRPr="00BE23C5">
        <w:rPr>
          <w:rFonts w:cs="Calibri"/>
          <w:snapToGrid/>
          <w:szCs w:val="24"/>
          <w:lang w:eastAsia="en-AU"/>
        </w:rPr>
        <w:t>neratinib</w:t>
      </w:r>
      <w:proofErr w:type="spellEnd"/>
      <w:r w:rsidR="001F7A87" w:rsidRPr="00BE23C5">
        <w:rPr>
          <w:rFonts w:cs="Calibri"/>
          <w:snapToGrid/>
          <w:szCs w:val="24"/>
          <w:lang w:eastAsia="en-AU"/>
        </w:rPr>
        <w:t xml:space="preserve"> after </w:t>
      </w:r>
      <w:proofErr w:type="spellStart"/>
      <w:r w:rsidR="001F7A87" w:rsidRPr="00BE23C5">
        <w:rPr>
          <w:rFonts w:cs="Calibri"/>
          <w:snapToGrid/>
          <w:szCs w:val="24"/>
          <w:lang w:eastAsia="en-AU"/>
        </w:rPr>
        <w:t>pertuzumab</w:t>
      </w:r>
      <w:proofErr w:type="spellEnd"/>
      <w:r w:rsidR="001F7A87" w:rsidRPr="00BE23C5">
        <w:rPr>
          <w:rFonts w:cs="Calibri"/>
          <w:snapToGrid/>
          <w:szCs w:val="24"/>
          <w:lang w:eastAsia="en-AU"/>
        </w:rPr>
        <w:t>, sequential use is not considered to be appropriate.</w:t>
      </w:r>
      <w:r w:rsidR="004B29C4" w:rsidRPr="00BE23C5">
        <w:t xml:space="preserve"> </w:t>
      </w:r>
    </w:p>
    <w:p w:rsidR="00575F33" w:rsidRPr="00BE23C5" w:rsidRDefault="0003633F" w:rsidP="00A35FF9">
      <w:pPr>
        <w:spacing w:before="120" w:after="120"/>
        <w:rPr>
          <w:i/>
        </w:rPr>
      </w:pPr>
      <w:r w:rsidRPr="00BE23C5">
        <w:rPr>
          <w:i/>
        </w:rPr>
        <w:t>For more detail on PBAC’s view, see section 7 PBAC outcome.</w:t>
      </w:r>
    </w:p>
    <w:p w:rsidR="00575F33" w:rsidRPr="00BE23C5" w:rsidRDefault="00575F33" w:rsidP="00A35FF9">
      <w:pPr>
        <w:pStyle w:val="PBACHeading1"/>
        <w:spacing w:before="120" w:after="120"/>
        <w:outlineLvl w:val="0"/>
      </w:pPr>
      <w:bookmarkStart w:id="8" w:name="_Toc535857348"/>
      <w:r w:rsidRPr="00BE23C5">
        <w:t>Consideration of the evidence</w:t>
      </w:r>
      <w:bookmarkEnd w:id="8"/>
    </w:p>
    <w:p w:rsidR="0003633F" w:rsidRPr="00BE23C5" w:rsidRDefault="0003633F" w:rsidP="00A35FF9">
      <w:pPr>
        <w:spacing w:before="120" w:after="120"/>
        <w:outlineLvl w:val="1"/>
        <w:rPr>
          <w:rFonts w:asciiTheme="minorHAnsi" w:hAnsiTheme="minorHAnsi"/>
          <w:b/>
          <w:bCs/>
          <w:i/>
          <w:sz w:val="28"/>
          <w:szCs w:val="28"/>
        </w:rPr>
      </w:pPr>
      <w:bookmarkStart w:id="9" w:name="_Toc535857349"/>
      <w:r w:rsidRPr="00BE23C5">
        <w:rPr>
          <w:rFonts w:asciiTheme="minorHAnsi" w:hAnsiTheme="minorHAnsi"/>
          <w:b/>
          <w:bCs/>
          <w:i/>
          <w:sz w:val="28"/>
          <w:szCs w:val="28"/>
        </w:rPr>
        <w:t>Sponsor hearing</w:t>
      </w:r>
    </w:p>
    <w:p w:rsidR="00131A02" w:rsidRPr="00BE23C5" w:rsidRDefault="0003633F" w:rsidP="00A35FF9">
      <w:pPr>
        <w:numPr>
          <w:ilvl w:val="1"/>
          <w:numId w:val="2"/>
        </w:numPr>
        <w:spacing w:before="120" w:after="120"/>
        <w:rPr>
          <w:rFonts w:asciiTheme="minorHAnsi" w:hAnsiTheme="minorHAnsi"/>
          <w:bCs/>
        </w:rPr>
      </w:pPr>
      <w:r w:rsidRPr="00BE23C5">
        <w:rPr>
          <w:rFonts w:asciiTheme="minorHAnsi" w:hAnsiTheme="minorHAnsi"/>
          <w:bCs/>
        </w:rPr>
        <w:t xml:space="preserve">The sponsor requested a hearing for this item. The clinician </w:t>
      </w:r>
      <w:r w:rsidR="00131A02" w:rsidRPr="00BE23C5">
        <w:rPr>
          <w:rFonts w:asciiTheme="minorHAnsi" w:hAnsiTheme="minorHAnsi"/>
          <w:bCs/>
        </w:rPr>
        <w:t>reiterated facts from the submission regarding the</w:t>
      </w:r>
      <w:r w:rsidR="00AB15E9" w:rsidRPr="00BE23C5">
        <w:rPr>
          <w:rFonts w:asciiTheme="minorHAnsi" w:hAnsiTheme="minorHAnsi"/>
          <w:bCs/>
        </w:rPr>
        <w:t xml:space="preserve"> study design and outcomes of the</w:t>
      </w:r>
      <w:r w:rsidR="00131A02" w:rsidRPr="00BE23C5">
        <w:rPr>
          <w:rFonts w:asciiTheme="minorHAnsi" w:hAnsiTheme="minorHAnsi"/>
          <w:bCs/>
        </w:rPr>
        <w:t xml:space="preserve"> primary</w:t>
      </w:r>
      <w:r w:rsidR="00AB15E9" w:rsidRPr="00BE23C5">
        <w:rPr>
          <w:rFonts w:asciiTheme="minorHAnsi" w:hAnsiTheme="minorHAnsi"/>
          <w:bCs/>
        </w:rPr>
        <w:t xml:space="preserve"> clinical trial </w:t>
      </w:r>
      <w:proofErr w:type="spellStart"/>
      <w:r w:rsidR="00AB15E9" w:rsidRPr="00BE23C5">
        <w:rPr>
          <w:rFonts w:asciiTheme="minorHAnsi" w:hAnsiTheme="minorHAnsi"/>
          <w:bCs/>
        </w:rPr>
        <w:t>ExteNET</w:t>
      </w:r>
      <w:proofErr w:type="spellEnd"/>
      <w:r w:rsidR="00AB15E9" w:rsidRPr="00BE23C5">
        <w:rPr>
          <w:rFonts w:asciiTheme="minorHAnsi" w:hAnsiTheme="minorHAnsi"/>
          <w:bCs/>
        </w:rPr>
        <w:t>. The PBAC did not consider this information to be new or helpful to its deliberations</w:t>
      </w:r>
      <w:r w:rsidR="00BE23C5">
        <w:rPr>
          <w:rFonts w:asciiTheme="minorHAnsi" w:hAnsiTheme="minorHAnsi"/>
          <w:bCs/>
        </w:rPr>
        <w:t xml:space="preserve">. </w:t>
      </w:r>
    </w:p>
    <w:p w:rsidR="00131A02" w:rsidRPr="00BE23C5" w:rsidRDefault="00B660C7" w:rsidP="00A35FF9">
      <w:pPr>
        <w:numPr>
          <w:ilvl w:val="1"/>
          <w:numId w:val="2"/>
        </w:numPr>
        <w:spacing w:before="120" w:after="120"/>
        <w:rPr>
          <w:rFonts w:asciiTheme="minorHAnsi" w:hAnsiTheme="minorHAnsi"/>
          <w:bCs/>
        </w:rPr>
      </w:pPr>
      <w:r w:rsidRPr="00BE23C5">
        <w:rPr>
          <w:rFonts w:asciiTheme="minorHAnsi" w:hAnsiTheme="minorHAnsi"/>
          <w:bCs/>
        </w:rPr>
        <w:t xml:space="preserve">The clinician </w:t>
      </w:r>
      <w:r w:rsidR="006B0D77" w:rsidRPr="00BE23C5">
        <w:rPr>
          <w:rFonts w:asciiTheme="minorHAnsi" w:hAnsiTheme="minorHAnsi"/>
          <w:bCs/>
        </w:rPr>
        <w:t xml:space="preserve">noted that </w:t>
      </w:r>
      <w:r w:rsidR="004136A8" w:rsidRPr="00BE23C5">
        <w:rPr>
          <w:rFonts w:asciiTheme="minorHAnsi" w:hAnsiTheme="minorHAnsi"/>
          <w:bCs/>
        </w:rPr>
        <w:t>diarrhoea</w:t>
      </w:r>
      <w:r w:rsidRPr="00BE23C5">
        <w:rPr>
          <w:rFonts w:asciiTheme="minorHAnsi" w:hAnsiTheme="minorHAnsi"/>
          <w:bCs/>
        </w:rPr>
        <w:t xml:space="preserve"> is the main adverse event experienced</w:t>
      </w:r>
      <w:r w:rsidR="004136A8" w:rsidRPr="00BE23C5">
        <w:rPr>
          <w:rFonts w:asciiTheme="minorHAnsi" w:hAnsiTheme="minorHAnsi"/>
          <w:bCs/>
        </w:rPr>
        <w:t xml:space="preserve">, which </w:t>
      </w:r>
      <w:r w:rsidR="006B0D77" w:rsidRPr="00BE23C5">
        <w:rPr>
          <w:rFonts w:asciiTheme="minorHAnsi" w:hAnsiTheme="minorHAnsi"/>
          <w:bCs/>
        </w:rPr>
        <w:t xml:space="preserve">occurred in the first 2 months of starting </w:t>
      </w:r>
      <w:proofErr w:type="spellStart"/>
      <w:r w:rsidR="006B0D77" w:rsidRPr="00BE23C5">
        <w:rPr>
          <w:rFonts w:asciiTheme="minorHAnsi" w:hAnsiTheme="minorHAnsi"/>
          <w:bCs/>
        </w:rPr>
        <w:t>neratinib</w:t>
      </w:r>
      <w:proofErr w:type="spellEnd"/>
      <w:r w:rsidR="006B0D77" w:rsidRPr="00BE23C5">
        <w:rPr>
          <w:rFonts w:asciiTheme="minorHAnsi" w:hAnsiTheme="minorHAnsi"/>
          <w:bCs/>
        </w:rPr>
        <w:t xml:space="preserve"> treatment</w:t>
      </w:r>
      <w:r w:rsidR="004136A8" w:rsidRPr="00BE23C5">
        <w:rPr>
          <w:rFonts w:asciiTheme="minorHAnsi" w:hAnsiTheme="minorHAnsi"/>
          <w:bCs/>
        </w:rPr>
        <w:t xml:space="preserve"> and reduced during treatment. The CONTROL trial data presented in the submission showed that administration</w:t>
      </w:r>
      <w:r w:rsidR="006B0D77" w:rsidRPr="00BE23C5">
        <w:rPr>
          <w:rFonts w:asciiTheme="minorHAnsi" w:hAnsiTheme="minorHAnsi"/>
          <w:bCs/>
        </w:rPr>
        <w:t xml:space="preserve"> of </w:t>
      </w:r>
      <w:proofErr w:type="spellStart"/>
      <w:r w:rsidR="004F4713" w:rsidRPr="00BE23C5">
        <w:rPr>
          <w:rFonts w:asciiTheme="minorHAnsi" w:hAnsiTheme="minorHAnsi"/>
          <w:bCs/>
        </w:rPr>
        <w:t>colestipol</w:t>
      </w:r>
      <w:proofErr w:type="spellEnd"/>
      <w:r w:rsidR="004136A8" w:rsidRPr="00BE23C5">
        <w:rPr>
          <w:rFonts w:asciiTheme="minorHAnsi" w:hAnsiTheme="minorHAnsi"/>
          <w:bCs/>
        </w:rPr>
        <w:t xml:space="preserve">, a bile acid </w:t>
      </w:r>
      <w:proofErr w:type="spellStart"/>
      <w:r w:rsidR="004136A8" w:rsidRPr="00BE23C5">
        <w:rPr>
          <w:rFonts w:asciiTheme="minorHAnsi" w:hAnsiTheme="minorHAnsi"/>
          <w:bCs/>
        </w:rPr>
        <w:t>sequestrant</w:t>
      </w:r>
      <w:proofErr w:type="spellEnd"/>
      <w:r w:rsidR="004136A8" w:rsidRPr="00BE23C5">
        <w:rPr>
          <w:rFonts w:asciiTheme="minorHAnsi" w:hAnsiTheme="minorHAnsi"/>
          <w:bCs/>
        </w:rPr>
        <w:t>,</w:t>
      </w:r>
      <w:r w:rsidR="004F4713" w:rsidRPr="00BE23C5">
        <w:rPr>
          <w:rFonts w:asciiTheme="minorHAnsi" w:hAnsiTheme="minorHAnsi"/>
          <w:bCs/>
        </w:rPr>
        <w:t xml:space="preserve"> as an add-on </w:t>
      </w:r>
      <w:r w:rsidR="009C3E3D" w:rsidRPr="00BE23C5">
        <w:rPr>
          <w:rFonts w:asciiTheme="minorHAnsi" w:hAnsiTheme="minorHAnsi"/>
          <w:bCs/>
        </w:rPr>
        <w:t xml:space="preserve">to </w:t>
      </w:r>
      <w:proofErr w:type="spellStart"/>
      <w:r w:rsidR="009C3E3D" w:rsidRPr="00BE23C5">
        <w:rPr>
          <w:rFonts w:asciiTheme="minorHAnsi" w:hAnsiTheme="minorHAnsi"/>
          <w:bCs/>
        </w:rPr>
        <w:t>loperamide</w:t>
      </w:r>
      <w:proofErr w:type="spellEnd"/>
      <w:r w:rsidR="009C3E3D" w:rsidRPr="00BE23C5">
        <w:rPr>
          <w:rFonts w:asciiTheme="minorHAnsi" w:hAnsiTheme="minorHAnsi"/>
          <w:bCs/>
        </w:rPr>
        <w:t xml:space="preserve"> </w:t>
      </w:r>
      <w:r w:rsidR="004F4713" w:rsidRPr="00BE23C5">
        <w:rPr>
          <w:rFonts w:asciiTheme="minorHAnsi" w:hAnsiTheme="minorHAnsi"/>
          <w:bCs/>
        </w:rPr>
        <w:t xml:space="preserve">prophylaxis treatment </w:t>
      </w:r>
      <w:r w:rsidR="009C3E3D" w:rsidRPr="00BE23C5">
        <w:rPr>
          <w:rFonts w:asciiTheme="minorHAnsi" w:hAnsiTheme="minorHAnsi"/>
          <w:bCs/>
        </w:rPr>
        <w:t>w</w:t>
      </w:r>
      <w:r w:rsidR="004F4713" w:rsidRPr="00BE23C5">
        <w:rPr>
          <w:rFonts w:asciiTheme="minorHAnsi" w:hAnsiTheme="minorHAnsi"/>
          <w:bCs/>
        </w:rPr>
        <w:t>as</w:t>
      </w:r>
      <w:r w:rsidR="009C3E3D" w:rsidRPr="00BE23C5">
        <w:rPr>
          <w:rFonts w:asciiTheme="minorHAnsi" w:hAnsiTheme="minorHAnsi"/>
          <w:bCs/>
        </w:rPr>
        <w:t xml:space="preserve"> </w:t>
      </w:r>
      <w:r w:rsidR="004F4713" w:rsidRPr="00BE23C5">
        <w:rPr>
          <w:rFonts w:asciiTheme="minorHAnsi" w:hAnsiTheme="minorHAnsi"/>
          <w:bCs/>
        </w:rPr>
        <w:t xml:space="preserve">effective </w:t>
      </w:r>
      <w:r w:rsidR="009C3E3D" w:rsidRPr="00BE23C5">
        <w:rPr>
          <w:rFonts w:asciiTheme="minorHAnsi" w:hAnsiTheme="minorHAnsi"/>
          <w:bCs/>
        </w:rPr>
        <w:t xml:space="preserve">at reducing diarrhoea events in patients </w:t>
      </w:r>
      <w:r w:rsidR="004F4713" w:rsidRPr="00BE23C5">
        <w:rPr>
          <w:rFonts w:asciiTheme="minorHAnsi" w:hAnsiTheme="minorHAnsi"/>
          <w:bCs/>
        </w:rPr>
        <w:t xml:space="preserve">treated with </w:t>
      </w:r>
      <w:proofErr w:type="spellStart"/>
      <w:r w:rsidR="004F4713" w:rsidRPr="00BE23C5">
        <w:rPr>
          <w:rFonts w:asciiTheme="minorHAnsi" w:hAnsiTheme="minorHAnsi"/>
          <w:bCs/>
        </w:rPr>
        <w:t>neratinib</w:t>
      </w:r>
      <w:proofErr w:type="spellEnd"/>
      <w:r w:rsidR="004F4713" w:rsidRPr="00BE23C5">
        <w:rPr>
          <w:rFonts w:asciiTheme="minorHAnsi" w:hAnsiTheme="minorHAnsi"/>
          <w:bCs/>
        </w:rPr>
        <w:t xml:space="preserve"> </w:t>
      </w:r>
      <w:r w:rsidR="009C3E3D" w:rsidRPr="00BE23C5">
        <w:rPr>
          <w:rFonts w:asciiTheme="minorHAnsi" w:hAnsiTheme="minorHAnsi"/>
          <w:bCs/>
        </w:rPr>
        <w:t>compared to</w:t>
      </w:r>
      <w:r w:rsidR="00421894" w:rsidRPr="00BE23C5">
        <w:rPr>
          <w:rFonts w:asciiTheme="minorHAnsi" w:hAnsiTheme="minorHAnsi"/>
          <w:bCs/>
        </w:rPr>
        <w:t xml:space="preserve"> treatment with</w:t>
      </w:r>
      <w:r w:rsidR="009C3E3D" w:rsidRPr="00BE23C5">
        <w:rPr>
          <w:rFonts w:asciiTheme="minorHAnsi" w:hAnsiTheme="minorHAnsi"/>
          <w:bCs/>
        </w:rPr>
        <w:t xml:space="preserve"> </w:t>
      </w:r>
      <w:proofErr w:type="spellStart"/>
      <w:r w:rsidR="009C3E3D" w:rsidRPr="00BE23C5">
        <w:rPr>
          <w:rFonts w:asciiTheme="minorHAnsi" w:hAnsiTheme="minorHAnsi"/>
          <w:bCs/>
        </w:rPr>
        <w:t>loperamine</w:t>
      </w:r>
      <w:proofErr w:type="spellEnd"/>
      <w:r w:rsidR="009C3E3D" w:rsidRPr="00BE23C5">
        <w:rPr>
          <w:rFonts w:asciiTheme="minorHAnsi" w:hAnsiTheme="minorHAnsi"/>
          <w:bCs/>
        </w:rPr>
        <w:t xml:space="preserve"> alone.</w:t>
      </w:r>
      <w:r w:rsidRPr="00BE23C5">
        <w:rPr>
          <w:rFonts w:asciiTheme="minorHAnsi" w:hAnsiTheme="minorHAnsi"/>
          <w:bCs/>
        </w:rPr>
        <w:t xml:space="preserve"> </w:t>
      </w:r>
      <w:r w:rsidR="00AB15E9" w:rsidRPr="00BE23C5">
        <w:rPr>
          <w:rFonts w:asciiTheme="minorHAnsi" w:hAnsiTheme="minorHAnsi"/>
          <w:bCs/>
        </w:rPr>
        <w:t xml:space="preserve">The PBAC considered that </w:t>
      </w:r>
      <w:proofErr w:type="spellStart"/>
      <w:r w:rsidR="00AB15E9" w:rsidRPr="00BE23C5">
        <w:rPr>
          <w:rFonts w:asciiTheme="minorHAnsi" w:hAnsiTheme="minorHAnsi"/>
          <w:bCs/>
        </w:rPr>
        <w:t>colestipol</w:t>
      </w:r>
      <w:proofErr w:type="spellEnd"/>
      <w:r w:rsidR="00AB15E9" w:rsidRPr="00BE23C5">
        <w:rPr>
          <w:rFonts w:asciiTheme="minorHAnsi" w:hAnsiTheme="minorHAnsi"/>
          <w:bCs/>
        </w:rPr>
        <w:t xml:space="preserve"> </w:t>
      </w:r>
      <w:r w:rsidR="005236BB" w:rsidRPr="00BE23C5">
        <w:rPr>
          <w:rFonts w:asciiTheme="minorHAnsi" w:hAnsiTheme="minorHAnsi"/>
          <w:bCs/>
        </w:rPr>
        <w:t xml:space="preserve">may not be an appropriate anti-diarrhoeal treatment </w:t>
      </w:r>
      <w:r w:rsidR="00AB15E9" w:rsidRPr="00BE23C5">
        <w:rPr>
          <w:rFonts w:asciiTheme="minorHAnsi" w:hAnsiTheme="minorHAnsi"/>
          <w:bCs/>
        </w:rPr>
        <w:t>because of its adverse event profile</w:t>
      </w:r>
      <w:r w:rsidR="005236BB" w:rsidRPr="00BE23C5">
        <w:rPr>
          <w:rFonts w:asciiTheme="minorHAnsi" w:hAnsiTheme="minorHAnsi"/>
          <w:bCs/>
        </w:rPr>
        <w:t xml:space="preserve"> and the potential to affect absorption of </w:t>
      </w:r>
      <w:proofErr w:type="spellStart"/>
      <w:r w:rsidR="005236BB" w:rsidRPr="00BE23C5">
        <w:rPr>
          <w:rFonts w:asciiTheme="minorHAnsi" w:hAnsiTheme="minorHAnsi"/>
          <w:bCs/>
        </w:rPr>
        <w:t>neratinib</w:t>
      </w:r>
      <w:proofErr w:type="spellEnd"/>
      <w:r w:rsidR="005236BB" w:rsidRPr="00BE23C5">
        <w:rPr>
          <w:rFonts w:asciiTheme="minorHAnsi" w:hAnsiTheme="minorHAnsi"/>
          <w:bCs/>
        </w:rPr>
        <w:t>. The PBAC also</w:t>
      </w:r>
      <w:r w:rsidR="00C74DEB" w:rsidRPr="00BE23C5">
        <w:rPr>
          <w:rFonts w:asciiTheme="minorHAnsi" w:hAnsiTheme="minorHAnsi"/>
          <w:bCs/>
        </w:rPr>
        <w:t xml:space="preserve"> noted that the proposed prophylaxis is in addition to an already considerable pill burden associated with </w:t>
      </w:r>
      <w:proofErr w:type="spellStart"/>
      <w:r w:rsidR="00C74DEB" w:rsidRPr="00BE23C5">
        <w:rPr>
          <w:rFonts w:asciiTheme="minorHAnsi" w:hAnsiTheme="minorHAnsi"/>
          <w:bCs/>
        </w:rPr>
        <w:t>neratinib</w:t>
      </w:r>
      <w:proofErr w:type="spellEnd"/>
      <w:r w:rsidR="00AB15E9" w:rsidRPr="00BE23C5">
        <w:rPr>
          <w:rFonts w:asciiTheme="minorHAnsi" w:hAnsiTheme="minorHAnsi"/>
          <w:bCs/>
        </w:rPr>
        <w:t xml:space="preserve">. </w:t>
      </w:r>
    </w:p>
    <w:p w:rsidR="00131A02" w:rsidRPr="00BE23C5" w:rsidRDefault="00FD5CC8" w:rsidP="00A35FF9">
      <w:pPr>
        <w:numPr>
          <w:ilvl w:val="1"/>
          <w:numId w:val="2"/>
        </w:numPr>
        <w:spacing w:before="120" w:after="120"/>
        <w:rPr>
          <w:rFonts w:asciiTheme="minorHAnsi" w:hAnsiTheme="minorHAnsi"/>
          <w:bCs/>
        </w:rPr>
      </w:pPr>
      <w:r w:rsidRPr="00BE23C5">
        <w:rPr>
          <w:rFonts w:asciiTheme="minorHAnsi" w:hAnsiTheme="minorHAnsi"/>
          <w:bCs/>
        </w:rPr>
        <w:t xml:space="preserve">The clinician </w:t>
      </w:r>
      <w:r w:rsidR="0003633F" w:rsidRPr="00BE23C5">
        <w:rPr>
          <w:rFonts w:asciiTheme="minorHAnsi" w:hAnsiTheme="minorHAnsi"/>
          <w:bCs/>
        </w:rPr>
        <w:t>addressed other matters in response to the Committee’s questions</w:t>
      </w:r>
      <w:r w:rsidR="00972194" w:rsidRPr="00BE23C5">
        <w:rPr>
          <w:rFonts w:asciiTheme="minorHAnsi" w:hAnsiTheme="minorHAnsi"/>
          <w:bCs/>
        </w:rPr>
        <w:t xml:space="preserve"> such as </w:t>
      </w:r>
      <w:r w:rsidR="00917626" w:rsidRPr="00BE23C5">
        <w:rPr>
          <w:rFonts w:asciiTheme="minorHAnsi" w:hAnsiTheme="minorHAnsi"/>
          <w:bCs/>
        </w:rPr>
        <w:t>confirming that</w:t>
      </w:r>
      <w:r w:rsidR="00131A02" w:rsidRPr="00BE23C5">
        <w:rPr>
          <w:rFonts w:asciiTheme="minorHAnsi" w:hAnsiTheme="minorHAnsi"/>
          <w:bCs/>
        </w:rPr>
        <w:t xml:space="preserve"> there is a shift in treatment management of</w:t>
      </w:r>
      <w:r w:rsidR="00917626" w:rsidRPr="00BE23C5">
        <w:rPr>
          <w:rFonts w:asciiTheme="minorHAnsi" w:hAnsiTheme="minorHAnsi"/>
          <w:bCs/>
        </w:rPr>
        <w:t xml:space="preserve"> HER2+ patients</w:t>
      </w:r>
      <w:r w:rsidR="00131A02" w:rsidRPr="00BE23C5">
        <w:rPr>
          <w:rFonts w:asciiTheme="minorHAnsi" w:hAnsiTheme="minorHAnsi"/>
          <w:bCs/>
        </w:rPr>
        <w:t xml:space="preserve"> </w:t>
      </w:r>
      <w:r w:rsidR="00C74DEB" w:rsidRPr="00BE23C5">
        <w:rPr>
          <w:rFonts w:asciiTheme="minorHAnsi" w:hAnsiTheme="minorHAnsi"/>
          <w:bCs/>
        </w:rPr>
        <w:t>towards</w:t>
      </w:r>
      <w:r w:rsidR="00131A02" w:rsidRPr="00BE23C5">
        <w:rPr>
          <w:rFonts w:asciiTheme="minorHAnsi" w:hAnsiTheme="minorHAnsi"/>
          <w:bCs/>
        </w:rPr>
        <w:t xml:space="preserve"> </w:t>
      </w:r>
      <w:r w:rsidR="00C74DEB" w:rsidRPr="00BE23C5">
        <w:rPr>
          <w:rFonts w:asciiTheme="minorHAnsi" w:hAnsiTheme="minorHAnsi"/>
          <w:bCs/>
        </w:rPr>
        <w:t>a</w:t>
      </w:r>
      <w:r w:rsidR="009224C1" w:rsidRPr="00BE23C5">
        <w:rPr>
          <w:rFonts w:asciiTheme="minorHAnsi" w:hAnsiTheme="minorHAnsi"/>
          <w:bCs/>
        </w:rPr>
        <w:t xml:space="preserve"> </w:t>
      </w:r>
      <w:proofErr w:type="spellStart"/>
      <w:r w:rsidR="009224C1" w:rsidRPr="00BE23C5">
        <w:rPr>
          <w:rFonts w:asciiTheme="minorHAnsi" w:hAnsiTheme="minorHAnsi"/>
          <w:bCs/>
        </w:rPr>
        <w:t>neoadjuvant</w:t>
      </w:r>
      <w:proofErr w:type="spellEnd"/>
      <w:r w:rsidR="009224C1" w:rsidRPr="00BE23C5">
        <w:rPr>
          <w:rFonts w:asciiTheme="minorHAnsi" w:hAnsiTheme="minorHAnsi"/>
          <w:bCs/>
        </w:rPr>
        <w:t xml:space="preserve"> </w:t>
      </w:r>
      <w:r w:rsidR="00C74DEB" w:rsidRPr="00BE23C5">
        <w:rPr>
          <w:rFonts w:asciiTheme="minorHAnsi" w:hAnsiTheme="minorHAnsi"/>
          <w:bCs/>
        </w:rPr>
        <w:t>approach</w:t>
      </w:r>
      <w:r w:rsidR="005236BB" w:rsidRPr="00BE23C5">
        <w:rPr>
          <w:rFonts w:asciiTheme="minorHAnsi" w:hAnsiTheme="minorHAnsi"/>
          <w:bCs/>
        </w:rPr>
        <w:t>,</w:t>
      </w:r>
      <w:r w:rsidR="00C74DEB" w:rsidRPr="00BE23C5">
        <w:rPr>
          <w:rFonts w:asciiTheme="minorHAnsi" w:hAnsiTheme="minorHAnsi"/>
          <w:bCs/>
        </w:rPr>
        <w:t xml:space="preserve"> based on </w:t>
      </w:r>
      <w:r w:rsidR="00214151" w:rsidRPr="00BE23C5">
        <w:rPr>
          <w:rFonts w:asciiTheme="minorHAnsi" w:hAnsiTheme="minorHAnsi"/>
          <w:bCs/>
        </w:rPr>
        <w:t xml:space="preserve">individual </w:t>
      </w:r>
      <w:r w:rsidR="00C74DEB" w:rsidRPr="00BE23C5">
        <w:rPr>
          <w:rFonts w:asciiTheme="minorHAnsi" w:hAnsiTheme="minorHAnsi"/>
          <w:bCs/>
        </w:rPr>
        <w:t>treatment goals</w:t>
      </w:r>
      <w:r w:rsidR="00917626" w:rsidRPr="00BE23C5">
        <w:rPr>
          <w:rFonts w:asciiTheme="minorHAnsi" w:hAnsiTheme="minorHAnsi"/>
          <w:bCs/>
        </w:rPr>
        <w:t xml:space="preserve">. The clinician highlighted that </w:t>
      </w:r>
      <w:proofErr w:type="spellStart"/>
      <w:r w:rsidR="00917626" w:rsidRPr="00BE23C5">
        <w:rPr>
          <w:rFonts w:asciiTheme="minorHAnsi" w:hAnsiTheme="minorHAnsi"/>
          <w:bCs/>
        </w:rPr>
        <w:t>neratinib</w:t>
      </w:r>
      <w:proofErr w:type="spellEnd"/>
      <w:r w:rsidR="00917626" w:rsidRPr="00BE23C5">
        <w:rPr>
          <w:rFonts w:asciiTheme="minorHAnsi" w:hAnsiTheme="minorHAnsi"/>
          <w:bCs/>
        </w:rPr>
        <w:t xml:space="preserve"> </w:t>
      </w:r>
      <w:r w:rsidR="00214151" w:rsidRPr="00BE23C5">
        <w:rPr>
          <w:rFonts w:asciiTheme="minorHAnsi" w:hAnsiTheme="minorHAnsi"/>
          <w:bCs/>
        </w:rPr>
        <w:t xml:space="preserve">showed clinical benefit in </w:t>
      </w:r>
      <w:r w:rsidR="00917626" w:rsidRPr="00BE23C5">
        <w:rPr>
          <w:rFonts w:asciiTheme="minorHAnsi" w:hAnsiTheme="minorHAnsi"/>
          <w:bCs/>
        </w:rPr>
        <w:t xml:space="preserve">patients </w:t>
      </w:r>
      <w:r w:rsidR="00214151" w:rsidRPr="00BE23C5">
        <w:rPr>
          <w:rFonts w:asciiTheme="minorHAnsi" w:hAnsiTheme="minorHAnsi"/>
          <w:bCs/>
        </w:rPr>
        <w:t xml:space="preserve">treated with </w:t>
      </w:r>
      <w:proofErr w:type="spellStart"/>
      <w:r w:rsidR="00214151" w:rsidRPr="00BE23C5">
        <w:rPr>
          <w:rFonts w:asciiTheme="minorHAnsi" w:hAnsiTheme="minorHAnsi"/>
          <w:bCs/>
        </w:rPr>
        <w:t>neoadjuvant</w:t>
      </w:r>
      <w:proofErr w:type="spellEnd"/>
      <w:r w:rsidR="00214151" w:rsidRPr="00BE23C5">
        <w:rPr>
          <w:rFonts w:asciiTheme="minorHAnsi" w:hAnsiTheme="minorHAnsi"/>
          <w:bCs/>
        </w:rPr>
        <w:t xml:space="preserve"> chemotherapy + </w:t>
      </w:r>
      <w:proofErr w:type="spellStart"/>
      <w:r w:rsidR="00214151" w:rsidRPr="00BE23C5">
        <w:rPr>
          <w:rFonts w:asciiTheme="minorHAnsi" w:hAnsiTheme="minorHAnsi"/>
          <w:bCs/>
        </w:rPr>
        <w:t>trastuzumab</w:t>
      </w:r>
      <w:proofErr w:type="spellEnd"/>
      <w:r w:rsidR="00214151" w:rsidRPr="00BE23C5">
        <w:rPr>
          <w:rFonts w:asciiTheme="minorHAnsi" w:hAnsiTheme="minorHAnsi"/>
          <w:bCs/>
        </w:rPr>
        <w:t>,</w:t>
      </w:r>
      <w:r w:rsidR="00AF2032" w:rsidRPr="00BE23C5">
        <w:rPr>
          <w:rFonts w:asciiTheme="minorHAnsi" w:hAnsiTheme="minorHAnsi"/>
          <w:bCs/>
        </w:rPr>
        <w:t xml:space="preserve"> compared to </w:t>
      </w:r>
      <w:r w:rsidR="00214151" w:rsidRPr="00BE23C5">
        <w:rPr>
          <w:rFonts w:asciiTheme="minorHAnsi" w:hAnsiTheme="minorHAnsi"/>
          <w:bCs/>
        </w:rPr>
        <w:t>placebo</w:t>
      </w:r>
      <w:r w:rsidR="00917626" w:rsidRPr="00BE23C5">
        <w:rPr>
          <w:rFonts w:asciiTheme="minorHAnsi" w:hAnsiTheme="minorHAnsi"/>
          <w:bCs/>
        </w:rPr>
        <w:t xml:space="preserve"> in </w:t>
      </w:r>
      <w:r w:rsidR="009224C1" w:rsidRPr="00BE23C5">
        <w:rPr>
          <w:rFonts w:asciiTheme="minorHAnsi" w:hAnsiTheme="minorHAnsi"/>
          <w:bCs/>
        </w:rPr>
        <w:t xml:space="preserve">the </w:t>
      </w:r>
      <w:proofErr w:type="spellStart"/>
      <w:r w:rsidR="009224C1" w:rsidRPr="00BE23C5">
        <w:rPr>
          <w:rFonts w:asciiTheme="minorHAnsi" w:hAnsiTheme="minorHAnsi"/>
          <w:bCs/>
        </w:rPr>
        <w:t>ExteNET</w:t>
      </w:r>
      <w:proofErr w:type="spellEnd"/>
      <w:r w:rsidR="009224C1" w:rsidRPr="00BE23C5">
        <w:rPr>
          <w:rFonts w:asciiTheme="minorHAnsi" w:hAnsiTheme="minorHAnsi"/>
          <w:bCs/>
        </w:rPr>
        <w:t xml:space="preserve"> trial. </w:t>
      </w:r>
    </w:p>
    <w:p w:rsidR="0003633F" w:rsidRPr="00BE23C5" w:rsidRDefault="00131A02" w:rsidP="00A35FF9">
      <w:pPr>
        <w:numPr>
          <w:ilvl w:val="1"/>
          <w:numId w:val="2"/>
        </w:numPr>
        <w:spacing w:before="120" w:after="120"/>
        <w:rPr>
          <w:rFonts w:asciiTheme="minorHAnsi" w:hAnsiTheme="minorHAnsi"/>
          <w:bCs/>
        </w:rPr>
      </w:pPr>
      <w:r w:rsidRPr="00BE23C5">
        <w:rPr>
          <w:rFonts w:asciiTheme="minorHAnsi" w:hAnsiTheme="minorHAnsi"/>
          <w:bCs/>
        </w:rPr>
        <w:lastRenderedPageBreak/>
        <w:t>T</w:t>
      </w:r>
      <w:r w:rsidR="009224C1" w:rsidRPr="00BE23C5">
        <w:rPr>
          <w:rFonts w:asciiTheme="minorHAnsi" w:hAnsiTheme="minorHAnsi"/>
          <w:bCs/>
        </w:rPr>
        <w:t xml:space="preserve">he clinician noted that </w:t>
      </w:r>
      <w:r w:rsidRPr="00BE23C5">
        <w:rPr>
          <w:rFonts w:asciiTheme="minorHAnsi" w:hAnsiTheme="minorHAnsi"/>
          <w:bCs/>
        </w:rPr>
        <w:t xml:space="preserve">the </w:t>
      </w:r>
      <w:r w:rsidR="009224C1" w:rsidRPr="00BE23C5">
        <w:rPr>
          <w:rFonts w:asciiTheme="minorHAnsi" w:hAnsiTheme="minorHAnsi"/>
          <w:bCs/>
        </w:rPr>
        <w:t xml:space="preserve">treatment effect </w:t>
      </w:r>
      <w:r w:rsidRPr="00BE23C5">
        <w:rPr>
          <w:rFonts w:asciiTheme="minorHAnsi" w:hAnsiTheme="minorHAnsi"/>
          <w:bCs/>
        </w:rPr>
        <w:t xml:space="preserve">of </w:t>
      </w:r>
      <w:proofErr w:type="spellStart"/>
      <w:r w:rsidRPr="00BE23C5">
        <w:rPr>
          <w:rFonts w:asciiTheme="minorHAnsi" w:hAnsiTheme="minorHAnsi"/>
          <w:bCs/>
        </w:rPr>
        <w:t>neratinib</w:t>
      </w:r>
      <w:proofErr w:type="spellEnd"/>
      <w:r w:rsidRPr="00BE23C5">
        <w:rPr>
          <w:rFonts w:asciiTheme="minorHAnsi" w:hAnsiTheme="minorHAnsi"/>
          <w:bCs/>
        </w:rPr>
        <w:t xml:space="preserve"> </w:t>
      </w:r>
      <w:r w:rsidR="009224C1" w:rsidRPr="00BE23C5">
        <w:rPr>
          <w:rFonts w:asciiTheme="minorHAnsi" w:hAnsiTheme="minorHAnsi"/>
          <w:bCs/>
        </w:rPr>
        <w:t>attenuat</w:t>
      </w:r>
      <w:r w:rsidRPr="00BE23C5">
        <w:rPr>
          <w:rFonts w:asciiTheme="minorHAnsi" w:hAnsiTheme="minorHAnsi"/>
          <w:bCs/>
        </w:rPr>
        <w:t>ed</w:t>
      </w:r>
      <w:r w:rsidR="009224C1" w:rsidRPr="00BE23C5">
        <w:rPr>
          <w:rFonts w:asciiTheme="minorHAnsi" w:hAnsiTheme="minorHAnsi"/>
          <w:bCs/>
        </w:rPr>
        <w:t xml:space="preserve"> over time</w:t>
      </w:r>
      <w:r w:rsidR="00C74DEB" w:rsidRPr="00BE23C5">
        <w:rPr>
          <w:rFonts w:asciiTheme="minorHAnsi" w:hAnsiTheme="minorHAnsi"/>
          <w:bCs/>
        </w:rPr>
        <w:t xml:space="preserve"> in the ITT population and that this may be due to the inclusion of HR- patients </w:t>
      </w:r>
      <w:r w:rsidR="00214151" w:rsidRPr="00BE23C5">
        <w:rPr>
          <w:rFonts w:asciiTheme="minorHAnsi" w:hAnsiTheme="minorHAnsi"/>
          <w:bCs/>
        </w:rPr>
        <w:t>who are at higher risk of early recurrence</w:t>
      </w:r>
      <w:r w:rsidRPr="00BE23C5">
        <w:rPr>
          <w:rFonts w:asciiTheme="minorHAnsi" w:hAnsiTheme="minorHAnsi"/>
          <w:bCs/>
        </w:rPr>
        <w:t>.</w:t>
      </w:r>
      <w:r w:rsidR="009224C1" w:rsidRPr="00BE23C5">
        <w:rPr>
          <w:rFonts w:asciiTheme="minorHAnsi" w:hAnsiTheme="minorHAnsi"/>
          <w:bCs/>
        </w:rPr>
        <w:t xml:space="preserve"> </w:t>
      </w:r>
      <w:r w:rsidRPr="00BE23C5">
        <w:rPr>
          <w:rFonts w:asciiTheme="minorHAnsi" w:hAnsiTheme="minorHAnsi"/>
          <w:bCs/>
        </w:rPr>
        <w:t>H</w:t>
      </w:r>
      <w:r w:rsidR="009224C1" w:rsidRPr="00BE23C5">
        <w:rPr>
          <w:rFonts w:asciiTheme="minorHAnsi" w:hAnsiTheme="minorHAnsi"/>
          <w:bCs/>
        </w:rPr>
        <w:t>owever</w:t>
      </w:r>
      <w:r w:rsidRPr="00BE23C5">
        <w:rPr>
          <w:rFonts w:asciiTheme="minorHAnsi" w:hAnsiTheme="minorHAnsi"/>
          <w:bCs/>
        </w:rPr>
        <w:t>,</w:t>
      </w:r>
      <w:r w:rsidR="006A67C3" w:rsidRPr="00BE23C5">
        <w:rPr>
          <w:rFonts w:asciiTheme="minorHAnsi" w:hAnsiTheme="minorHAnsi"/>
          <w:bCs/>
        </w:rPr>
        <w:t xml:space="preserve"> in HR+ patients</w:t>
      </w:r>
      <w:r w:rsidR="005236BB" w:rsidRPr="00BE23C5">
        <w:rPr>
          <w:rFonts w:asciiTheme="minorHAnsi" w:hAnsiTheme="minorHAnsi"/>
          <w:bCs/>
        </w:rPr>
        <w:t>,</w:t>
      </w:r>
      <w:r w:rsidRPr="00BE23C5">
        <w:rPr>
          <w:rFonts w:asciiTheme="minorHAnsi" w:hAnsiTheme="minorHAnsi"/>
          <w:bCs/>
        </w:rPr>
        <w:t xml:space="preserve"> </w:t>
      </w:r>
      <w:proofErr w:type="spellStart"/>
      <w:r w:rsidR="009224C1" w:rsidRPr="00BE23C5">
        <w:rPr>
          <w:rFonts w:asciiTheme="minorHAnsi" w:hAnsiTheme="minorHAnsi"/>
          <w:bCs/>
        </w:rPr>
        <w:t>neratinib</w:t>
      </w:r>
      <w:proofErr w:type="spellEnd"/>
      <w:r w:rsidR="009224C1" w:rsidRPr="00BE23C5">
        <w:rPr>
          <w:rFonts w:asciiTheme="minorHAnsi" w:hAnsiTheme="minorHAnsi"/>
          <w:bCs/>
        </w:rPr>
        <w:t xml:space="preserve"> </w:t>
      </w:r>
      <w:r w:rsidR="006A67C3" w:rsidRPr="00BE23C5">
        <w:rPr>
          <w:rFonts w:asciiTheme="minorHAnsi" w:hAnsiTheme="minorHAnsi"/>
          <w:bCs/>
        </w:rPr>
        <w:t>reduce</w:t>
      </w:r>
      <w:r w:rsidR="005236BB" w:rsidRPr="00BE23C5">
        <w:rPr>
          <w:rFonts w:asciiTheme="minorHAnsi" w:hAnsiTheme="minorHAnsi"/>
          <w:bCs/>
        </w:rPr>
        <w:t>d</w:t>
      </w:r>
      <w:r w:rsidR="006A67C3" w:rsidRPr="00BE23C5">
        <w:rPr>
          <w:rFonts w:asciiTheme="minorHAnsi" w:hAnsiTheme="minorHAnsi"/>
          <w:bCs/>
        </w:rPr>
        <w:t xml:space="preserve"> the risk of recurrence </w:t>
      </w:r>
      <w:r w:rsidR="009224C1" w:rsidRPr="00BE23C5">
        <w:rPr>
          <w:rFonts w:asciiTheme="minorHAnsi" w:hAnsiTheme="minorHAnsi"/>
          <w:bCs/>
        </w:rPr>
        <w:t xml:space="preserve">at </w:t>
      </w:r>
      <w:r w:rsidR="00214151" w:rsidRPr="00BE23C5">
        <w:rPr>
          <w:rFonts w:asciiTheme="minorHAnsi" w:hAnsiTheme="minorHAnsi"/>
          <w:bCs/>
        </w:rPr>
        <w:t>3 and 5 years</w:t>
      </w:r>
      <w:r w:rsidR="009224C1" w:rsidRPr="00BE23C5">
        <w:rPr>
          <w:rFonts w:asciiTheme="minorHAnsi" w:hAnsiTheme="minorHAnsi"/>
          <w:bCs/>
        </w:rPr>
        <w:t xml:space="preserve"> </w:t>
      </w:r>
      <w:r w:rsidR="006A67C3" w:rsidRPr="00BE23C5">
        <w:rPr>
          <w:rFonts w:asciiTheme="minorHAnsi" w:hAnsiTheme="minorHAnsi"/>
          <w:bCs/>
        </w:rPr>
        <w:t>after commencing treatment</w:t>
      </w:r>
      <w:r w:rsidRPr="00BE23C5">
        <w:rPr>
          <w:rFonts w:asciiTheme="minorHAnsi" w:hAnsiTheme="minorHAnsi"/>
          <w:bCs/>
        </w:rPr>
        <w:t xml:space="preserve">. </w:t>
      </w:r>
    </w:p>
    <w:p w:rsidR="0003633F" w:rsidRPr="00BE23C5" w:rsidRDefault="0003633F" w:rsidP="00A35FF9">
      <w:pPr>
        <w:spacing w:before="120" w:after="120"/>
        <w:outlineLvl w:val="1"/>
        <w:rPr>
          <w:rFonts w:asciiTheme="minorHAnsi" w:hAnsiTheme="minorHAnsi"/>
          <w:b/>
          <w:bCs/>
          <w:i/>
          <w:sz w:val="28"/>
          <w:szCs w:val="28"/>
        </w:rPr>
      </w:pPr>
      <w:r w:rsidRPr="00BE23C5">
        <w:rPr>
          <w:rFonts w:asciiTheme="minorHAnsi" w:hAnsiTheme="minorHAnsi"/>
          <w:b/>
          <w:bCs/>
          <w:i/>
          <w:sz w:val="28"/>
          <w:szCs w:val="28"/>
        </w:rPr>
        <w:t>Consumer comments</w:t>
      </w:r>
    </w:p>
    <w:p w:rsidR="0003633F" w:rsidRPr="00BE23C5" w:rsidRDefault="0003633F" w:rsidP="00A35FF9">
      <w:pPr>
        <w:numPr>
          <w:ilvl w:val="1"/>
          <w:numId w:val="2"/>
        </w:numPr>
        <w:spacing w:before="120" w:after="120"/>
        <w:rPr>
          <w:rFonts w:asciiTheme="minorHAnsi" w:hAnsiTheme="minorHAnsi"/>
          <w:bCs/>
        </w:rPr>
      </w:pPr>
      <w:r w:rsidRPr="00BE23C5">
        <w:rPr>
          <w:rFonts w:asciiTheme="minorHAnsi" w:hAnsiTheme="minorHAnsi"/>
          <w:bCs/>
        </w:rPr>
        <w:t>The PBAC noted and welcomed the input from individuals (</w:t>
      </w:r>
      <w:r w:rsidR="008E7031" w:rsidRPr="00BE23C5">
        <w:rPr>
          <w:rFonts w:asciiTheme="minorHAnsi" w:hAnsiTheme="minorHAnsi"/>
          <w:bCs/>
        </w:rPr>
        <w:t>3), health care professional</w:t>
      </w:r>
      <w:r w:rsidRPr="00BE23C5">
        <w:rPr>
          <w:rFonts w:asciiTheme="minorHAnsi" w:hAnsiTheme="minorHAnsi"/>
          <w:bCs/>
        </w:rPr>
        <w:t xml:space="preserve"> (1) and organisations (</w:t>
      </w:r>
      <w:r w:rsidR="008E7031" w:rsidRPr="00BE23C5">
        <w:rPr>
          <w:rFonts w:asciiTheme="minorHAnsi" w:hAnsiTheme="minorHAnsi"/>
          <w:bCs/>
        </w:rPr>
        <w:t>2</w:t>
      </w:r>
      <w:r w:rsidRPr="00BE23C5">
        <w:rPr>
          <w:rFonts w:asciiTheme="minorHAnsi" w:hAnsiTheme="minorHAnsi"/>
          <w:bCs/>
        </w:rPr>
        <w:t>) via the Consumer Comment</w:t>
      </w:r>
      <w:r w:rsidR="000E06C0" w:rsidRPr="00BE23C5">
        <w:rPr>
          <w:rFonts w:asciiTheme="minorHAnsi" w:hAnsiTheme="minorHAnsi"/>
          <w:bCs/>
        </w:rPr>
        <w:t xml:space="preserve">s facility on the PBS website. </w:t>
      </w:r>
      <w:r w:rsidRPr="00BE23C5">
        <w:rPr>
          <w:rFonts w:asciiTheme="minorHAnsi" w:hAnsiTheme="minorHAnsi"/>
          <w:bCs/>
        </w:rPr>
        <w:t xml:space="preserve">The comments described </w:t>
      </w:r>
      <w:r w:rsidR="00235952" w:rsidRPr="00BE23C5">
        <w:rPr>
          <w:rFonts w:asciiTheme="minorHAnsi" w:hAnsiTheme="minorHAnsi"/>
          <w:bCs/>
        </w:rPr>
        <w:t>the</w:t>
      </w:r>
      <w:r w:rsidRPr="00BE23C5">
        <w:rPr>
          <w:rFonts w:asciiTheme="minorHAnsi" w:hAnsiTheme="minorHAnsi"/>
          <w:bCs/>
        </w:rPr>
        <w:t xml:space="preserve"> benefits of treatment with </w:t>
      </w:r>
      <w:proofErr w:type="spellStart"/>
      <w:r w:rsidR="000E06C0" w:rsidRPr="00BE23C5">
        <w:rPr>
          <w:rFonts w:asciiTheme="minorHAnsi" w:hAnsiTheme="minorHAnsi"/>
          <w:bCs/>
        </w:rPr>
        <w:t>neratinib</w:t>
      </w:r>
      <w:proofErr w:type="spellEnd"/>
      <w:r w:rsidRPr="00BE23C5">
        <w:rPr>
          <w:rFonts w:asciiTheme="minorHAnsi" w:hAnsiTheme="minorHAnsi"/>
          <w:bCs/>
        </w:rPr>
        <w:t xml:space="preserve"> </w:t>
      </w:r>
      <w:r w:rsidR="00235952" w:rsidRPr="00BE23C5">
        <w:rPr>
          <w:rFonts w:asciiTheme="minorHAnsi" w:hAnsiTheme="minorHAnsi"/>
          <w:bCs/>
        </w:rPr>
        <w:t>includ</w:t>
      </w:r>
      <w:r w:rsidR="006A67C3" w:rsidRPr="00BE23C5">
        <w:rPr>
          <w:rFonts w:asciiTheme="minorHAnsi" w:hAnsiTheme="minorHAnsi"/>
          <w:bCs/>
        </w:rPr>
        <w:t>ing</w:t>
      </w:r>
      <w:r w:rsidR="00235952" w:rsidRPr="00BE23C5">
        <w:rPr>
          <w:rFonts w:asciiTheme="minorHAnsi" w:hAnsiTheme="minorHAnsi"/>
          <w:bCs/>
        </w:rPr>
        <w:t xml:space="preserve"> that it is an oral treatment which can cross the blood brain barrier. Although there are </w:t>
      </w:r>
      <w:r w:rsidR="00DB09F4" w:rsidRPr="00BE23C5">
        <w:rPr>
          <w:rFonts w:asciiTheme="minorHAnsi" w:hAnsiTheme="minorHAnsi"/>
          <w:bCs/>
        </w:rPr>
        <w:t xml:space="preserve">known </w:t>
      </w:r>
      <w:r w:rsidR="00235952" w:rsidRPr="00BE23C5">
        <w:rPr>
          <w:rFonts w:asciiTheme="minorHAnsi" w:hAnsiTheme="minorHAnsi"/>
          <w:bCs/>
        </w:rPr>
        <w:t xml:space="preserve">side effects, </w:t>
      </w:r>
      <w:r w:rsidR="002771CF" w:rsidRPr="00BE23C5">
        <w:rPr>
          <w:rFonts w:asciiTheme="minorHAnsi" w:hAnsiTheme="minorHAnsi"/>
          <w:bCs/>
        </w:rPr>
        <w:t>consumers considered</w:t>
      </w:r>
      <w:r w:rsidR="008E05C5" w:rsidRPr="00BE23C5">
        <w:rPr>
          <w:rFonts w:asciiTheme="minorHAnsi" w:hAnsiTheme="minorHAnsi"/>
          <w:bCs/>
        </w:rPr>
        <w:t xml:space="preserve"> these </w:t>
      </w:r>
      <w:r w:rsidR="00DB09F4" w:rsidRPr="00BE23C5">
        <w:rPr>
          <w:rFonts w:asciiTheme="minorHAnsi" w:hAnsiTheme="minorHAnsi"/>
          <w:bCs/>
        </w:rPr>
        <w:t>side effects</w:t>
      </w:r>
      <w:r w:rsidR="00235952" w:rsidRPr="00BE23C5">
        <w:rPr>
          <w:rFonts w:asciiTheme="minorHAnsi" w:hAnsiTheme="minorHAnsi"/>
          <w:bCs/>
        </w:rPr>
        <w:t xml:space="preserve"> could be </w:t>
      </w:r>
      <w:r w:rsidR="00DB09F4" w:rsidRPr="00BE23C5">
        <w:rPr>
          <w:rFonts w:asciiTheme="minorHAnsi" w:hAnsiTheme="minorHAnsi"/>
          <w:bCs/>
        </w:rPr>
        <w:t xml:space="preserve">managed </w:t>
      </w:r>
      <w:r w:rsidR="002E7C05" w:rsidRPr="00BE23C5">
        <w:rPr>
          <w:rFonts w:asciiTheme="minorHAnsi" w:hAnsiTheme="minorHAnsi"/>
          <w:bCs/>
        </w:rPr>
        <w:t>through</w:t>
      </w:r>
      <w:r w:rsidR="00DB09F4" w:rsidRPr="00BE23C5">
        <w:rPr>
          <w:rFonts w:asciiTheme="minorHAnsi" w:hAnsiTheme="minorHAnsi"/>
          <w:bCs/>
        </w:rPr>
        <w:t xml:space="preserve"> </w:t>
      </w:r>
      <w:r w:rsidR="002E7C05" w:rsidRPr="00BE23C5">
        <w:rPr>
          <w:rFonts w:asciiTheme="minorHAnsi" w:hAnsiTheme="minorHAnsi"/>
          <w:bCs/>
        </w:rPr>
        <w:t xml:space="preserve">prophylactic medication </w:t>
      </w:r>
      <w:r w:rsidR="00235952" w:rsidRPr="00BE23C5">
        <w:rPr>
          <w:rFonts w:asciiTheme="minorHAnsi" w:hAnsiTheme="minorHAnsi"/>
          <w:bCs/>
        </w:rPr>
        <w:t xml:space="preserve">on initiation of </w:t>
      </w:r>
      <w:proofErr w:type="spellStart"/>
      <w:r w:rsidR="00235952" w:rsidRPr="00BE23C5">
        <w:rPr>
          <w:rFonts w:asciiTheme="minorHAnsi" w:hAnsiTheme="minorHAnsi"/>
          <w:bCs/>
        </w:rPr>
        <w:t>neratinib</w:t>
      </w:r>
      <w:proofErr w:type="spellEnd"/>
      <w:r w:rsidR="00235952" w:rsidRPr="00BE23C5">
        <w:rPr>
          <w:rFonts w:asciiTheme="minorHAnsi" w:hAnsiTheme="minorHAnsi"/>
          <w:bCs/>
        </w:rPr>
        <w:t xml:space="preserve"> treatment. </w:t>
      </w:r>
    </w:p>
    <w:p w:rsidR="003B41A3" w:rsidRPr="00BE23C5" w:rsidRDefault="0003633F" w:rsidP="00A35FF9">
      <w:pPr>
        <w:numPr>
          <w:ilvl w:val="1"/>
          <w:numId w:val="2"/>
        </w:numPr>
        <w:spacing w:before="120" w:after="120"/>
        <w:rPr>
          <w:rFonts w:asciiTheme="minorHAnsi" w:hAnsiTheme="minorHAnsi"/>
          <w:bCs/>
        </w:rPr>
      </w:pPr>
      <w:r w:rsidRPr="00BE23C5">
        <w:rPr>
          <w:rFonts w:asciiTheme="minorHAnsi" w:hAnsiTheme="minorHAnsi"/>
          <w:bCs/>
        </w:rPr>
        <w:t xml:space="preserve">The PBAC noted the advice received from </w:t>
      </w:r>
      <w:r w:rsidR="00316BC8" w:rsidRPr="00BE23C5">
        <w:rPr>
          <w:rFonts w:asciiTheme="minorHAnsi" w:hAnsiTheme="minorHAnsi"/>
          <w:bCs/>
        </w:rPr>
        <w:t xml:space="preserve">Breast Cancer Network Australia (BCNA) </w:t>
      </w:r>
      <w:r w:rsidR="007F38E8" w:rsidRPr="00BE23C5">
        <w:rPr>
          <w:rFonts w:asciiTheme="minorHAnsi" w:hAnsiTheme="minorHAnsi"/>
          <w:bCs/>
        </w:rPr>
        <w:t xml:space="preserve">highlighting </w:t>
      </w:r>
      <w:r w:rsidRPr="00BE23C5">
        <w:rPr>
          <w:rFonts w:asciiTheme="minorHAnsi" w:hAnsiTheme="minorHAnsi"/>
          <w:bCs/>
        </w:rPr>
        <w:t xml:space="preserve">the likely use of </w:t>
      </w:r>
      <w:proofErr w:type="spellStart"/>
      <w:r w:rsidR="00316BC8" w:rsidRPr="00BE23C5">
        <w:rPr>
          <w:rFonts w:asciiTheme="minorHAnsi" w:hAnsiTheme="minorHAnsi"/>
          <w:bCs/>
        </w:rPr>
        <w:t>neratinib</w:t>
      </w:r>
      <w:proofErr w:type="spellEnd"/>
      <w:r w:rsidRPr="00BE23C5">
        <w:rPr>
          <w:rFonts w:asciiTheme="minorHAnsi" w:hAnsiTheme="minorHAnsi"/>
          <w:bCs/>
        </w:rPr>
        <w:t xml:space="preserve"> in clinical practice</w:t>
      </w:r>
      <w:r w:rsidR="00C71A0D" w:rsidRPr="00BE23C5">
        <w:rPr>
          <w:rFonts w:asciiTheme="minorHAnsi" w:hAnsiTheme="minorHAnsi"/>
          <w:bCs/>
        </w:rPr>
        <w:t>, despite the known side effects</w:t>
      </w:r>
      <w:r w:rsidRPr="00BE23C5">
        <w:rPr>
          <w:rFonts w:asciiTheme="minorHAnsi" w:hAnsiTheme="minorHAnsi"/>
          <w:bCs/>
        </w:rPr>
        <w:t xml:space="preserve">. The PBAC noted the advice that </w:t>
      </w:r>
      <w:proofErr w:type="spellStart"/>
      <w:r w:rsidR="00C71A0D" w:rsidRPr="00BE23C5">
        <w:rPr>
          <w:rFonts w:asciiTheme="minorHAnsi" w:hAnsiTheme="minorHAnsi"/>
          <w:bCs/>
        </w:rPr>
        <w:t>neratinib</w:t>
      </w:r>
      <w:proofErr w:type="spellEnd"/>
      <w:r w:rsidR="00C71A0D" w:rsidRPr="00BE23C5">
        <w:rPr>
          <w:rFonts w:asciiTheme="minorHAnsi" w:hAnsiTheme="minorHAnsi"/>
          <w:bCs/>
        </w:rPr>
        <w:t xml:space="preserve"> </w:t>
      </w:r>
      <w:r w:rsidR="00286203" w:rsidRPr="00BE23C5">
        <w:rPr>
          <w:rFonts w:asciiTheme="minorHAnsi" w:hAnsiTheme="minorHAnsi"/>
          <w:bCs/>
        </w:rPr>
        <w:t xml:space="preserve">being </w:t>
      </w:r>
      <w:r w:rsidR="0093617F" w:rsidRPr="00BE23C5">
        <w:rPr>
          <w:rFonts w:asciiTheme="minorHAnsi" w:hAnsiTheme="minorHAnsi"/>
          <w:bCs/>
        </w:rPr>
        <w:t xml:space="preserve">in </w:t>
      </w:r>
      <w:r w:rsidR="00286203" w:rsidRPr="00BE23C5">
        <w:rPr>
          <w:rFonts w:asciiTheme="minorHAnsi" w:hAnsiTheme="minorHAnsi"/>
          <w:bCs/>
        </w:rPr>
        <w:t xml:space="preserve">oral </w:t>
      </w:r>
      <w:r w:rsidR="0093617F" w:rsidRPr="00BE23C5">
        <w:rPr>
          <w:rFonts w:asciiTheme="minorHAnsi" w:hAnsiTheme="minorHAnsi"/>
          <w:bCs/>
        </w:rPr>
        <w:t xml:space="preserve">form </w:t>
      </w:r>
      <w:r w:rsidR="00C71A0D" w:rsidRPr="00BE23C5">
        <w:rPr>
          <w:rFonts w:asciiTheme="minorHAnsi" w:hAnsiTheme="minorHAnsi"/>
          <w:bCs/>
        </w:rPr>
        <w:t xml:space="preserve">made it easier for combination </w:t>
      </w:r>
      <w:r w:rsidR="00286203" w:rsidRPr="00BE23C5">
        <w:rPr>
          <w:rFonts w:asciiTheme="minorHAnsi" w:hAnsiTheme="minorHAnsi"/>
          <w:bCs/>
        </w:rPr>
        <w:t xml:space="preserve">treatment </w:t>
      </w:r>
      <w:r w:rsidR="00C71A0D" w:rsidRPr="00BE23C5">
        <w:rPr>
          <w:rFonts w:asciiTheme="minorHAnsi" w:hAnsiTheme="minorHAnsi"/>
          <w:bCs/>
        </w:rPr>
        <w:t>with aromatase inhibitor</w:t>
      </w:r>
      <w:r w:rsidR="00DB09F4" w:rsidRPr="00BE23C5">
        <w:rPr>
          <w:rFonts w:asciiTheme="minorHAnsi" w:hAnsiTheme="minorHAnsi"/>
          <w:bCs/>
        </w:rPr>
        <w:t>s</w:t>
      </w:r>
      <w:r w:rsidR="00C71A0D" w:rsidRPr="00BE23C5">
        <w:rPr>
          <w:rFonts w:asciiTheme="minorHAnsi" w:hAnsiTheme="minorHAnsi"/>
          <w:bCs/>
        </w:rPr>
        <w:t>, the adverse event of diarrhoea was transient and manageable</w:t>
      </w:r>
      <w:r w:rsidR="00286203" w:rsidRPr="00BE23C5">
        <w:rPr>
          <w:rFonts w:asciiTheme="minorHAnsi" w:hAnsiTheme="minorHAnsi"/>
          <w:bCs/>
        </w:rPr>
        <w:t>,</w:t>
      </w:r>
      <w:r w:rsidR="00C71A0D" w:rsidRPr="00BE23C5">
        <w:rPr>
          <w:rFonts w:asciiTheme="minorHAnsi" w:hAnsiTheme="minorHAnsi"/>
          <w:bCs/>
        </w:rPr>
        <w:t xml:space="preserve"> and </w:t>
      </w:r>
      <w:r w:rsidR="002771CF" w:rsidRPr="00BE23C5">
        <w:rPr>
          <w:rFonts w:asciiTheme="minorHAnsi" w:hAnsiTheme="minorHAnsi"/>
          <w:bCs/>
        </w:rPr>
        <w:t xml:space="preserve">that </w:t>
      </w:r>
      <w:proofErr w:type="spellStart"/>
      <w:r w:rsidR="00286203" w:rsidRPr="00BE23C5">
        <w:rPr>
          <w:rFonts w:asciiTheme="minorHAnsi" w:hAnsiTheme="minorHAnsi"/>
          <w:bCs/>
        </w:rPr>
        <w:t>neratinib</w:t>
      </w:r>
      <w:proofErr w:type="spellEnd"/>
      <w:r w:rsidR="00C71A0D" w:rsidRPr="00BE23C5">
        <w:rPr>
          <w:rFonts w:asciiTheme="minorHAnsi" w:hAnsiTheme="minorHAnsi"/>
          <w:bCs/>
        </w:rPr>
        <w:t xml:space="preserve"> would prevent early stage disease fro</w:t>
      </w:r>
      <w:r w:rsidR="00DB09F4" w:rsidRPr="00BE23C5">
        <w:rPr>
          <w:rFonts w:asciiTheme="minorHAnsi" w:hAnsiTheme="minorHAnsi"/>
          <w:bCs/>
        </w:rPr>
        <w:t>m</w:t>
      </w:r>
      <w:r w:rsidR="00C71A0D" w:rsidRPr="00BE23C5">
        <w:rPr>
          <w:rFonts w:asciiTheme="minorHAnsi" w:hAnsiTheme="minorHAnsi"/>
          <w:bCs/>
        </w:rPr>
        <w:t xml:space="preserve"> progressing to metastatic disease</w:t>
      </w:r>
      <w:r w:rsidR="00F70D00" w:rsidRPr="00BE23C5">
        <w:rPr>
          <w:rFonts w:asciiTheme="minorHAnsi" w:hAnsiTheme="minorHAnsi"/>
          <w:bCs/>
        </w:rPr>
        <w:t>.</w:t>
      </w:r>
    </w:p>
    <w:p w:rsidR="0003633F" w:rsidRPr="00BE23C5" w:rsidRDefault="0003633F" w:rsidP="00A35FF9">
      <w:pPr>
        <w:numPr>
          <w:ilvl w:val="1"/>
          <w:numId w:val="2"/>
        </w:numPr>
        <w:spacing w:before="120" w:after="120"/>
        <w:rPr>
          <w:rFonts w:asciiTheme="minorHAnsi" w:hAnsiTheme="minorHAnsi"/>
          <w:bCs/>
        </w:rPr>
      </w:pPr>
      <w:r w:rsidRPr="00BE23C5">
        <w:rPr>
          <w:rFonts w:asciiTheme="minorHAnsi" w:hAnsiTheme="minorHAnsi"/>
          <w:bCs/>
        </w:rPr>
        <w:t xml:space="preserve">The Medical Oncology Group of Australia (MOGA) </w:t>
      </w:r>
      <w:r w:rsidR="002771CF" w:rsidRPr="00BE23C5">
        <w:rPr>
          <w:rFonts w:asciiTheme="minorHAnsi" w:hAnsiTheme="minorHAnsi"/>
          <w:bCs/>
        </w:rPr>
        <w:t xml:space="preserve">included </w:t>
      </w:r>
      <w:proofErr w:type="spellStart"/>
      <w:r w:rsidR="002771CF" w:rsidRPr="00BE23C5">
        <w:rPr>
          <w:rFonts w:asciiTheme="minorHAnsi" w:hAnsiTheme="minorHAnsi"/>
          <w:bCs/>
        </w:rPr>
        <w:t>neratinib</w:t>
      </w:r>
      <w:proofErr w:type="spellEnd"/>
      <w:r w:rsidR="002771CF" w:rsidRPr="00BE23C5">
        <w:rPr>
          <w:rFonts w:asciiTheme="minorHAnsi" w:hAnsiTheme="minorHAnsi"/>
          <w:bCs/>
        </w:rPr>
        <w:t xml:space="preserve"> in the category “other supported applications”</w:t>
      </w:r>
      <w:r w:rsidRPr="00BE23C5">
        <w:rPr>
          <w:rFonts w:asciiTheme="minorHAnsi" w:hAnsiTheme="minorHAnsi"/>
          <w:bCs/>
        </w:rPr>
        <w:t>, on the basis of</w:t>
      </w:r>
      <w:r w:rsidR="00447316" w:rsidRPr="00BE23C5">
        <w:rPr>
          <w:rFonts w:asciiTheme="minorHAnsi" w:hAnsiTheme="minorHAnsi"/>
          <w:bCs/>
        </w:rPr>
        <w:t xml:space="preserve"> improved </w:t>
      </w:r>
      <w:proofErr w:type="spellStart"/>
      <w:r w:rsidR="00447316" w:rsidRPr="00BE23C5">
        <w:rPr>
          <w:rFonts w:asciiTheme="minorHAnsi" w:hAnsiTheme="minorHAnsi"/>
          <w:bCs/>
        </w:rPr>
        <w:t>iDFS</w:t>
      </w:r>
      <w:proofErr w:type="spellEnd"/>
      <w:r w:rsidR="007F38E8" w:rsidRPr="00BE23C5">
        <w:rPr>
          <w:rFonts w:asciiTheme="minorHAnsi" w:hAnsiTheme="minorHAnsi"/>
          <w:bCs/>
        </w:rPr>
        <w:t xml:space="preserve"> but </w:t>
      </w:r>
      <w:r w:rsidR="00AC13C0" w:rsidRPr="00BE23C5">
        <w:rPr>
          <w:rFonts w:asciiTheme="minorHAnsi" w:hAnsiTheme="minorHAnsi"/>
          <w:bCs/>
        </w:rPr>
        <w:t>noting that the OS benefit was immature</w:t>
      </w:r>
      <w:r w:rsidRPr="00BE23C5">
        <w:rPr>
          <w:rFonts w:asciiTheme="minorHAnsi" w:hAnsiTheme="minorHAnsi"/>
          <w:bCs/>
        </w:rPr>
        <w:t xml:space="preserve">. The PBAC noted that the MOGA presented the European Society for Medical Oncology Magnitude of Clinical Benefit Scale (ESMO-MCBS) for </w:t>
      </w:r>
      <w:proofErr w:type="spellStart"/>
      <w:r w:rsidR="00391A3B" w:rsidRPr="00BE23C5">
        <w:rPr>
          <w:rFonts w:asciiTheme="minorHAnsi" w:hAnsiTheme="minorHAnsi"/>
          <w:bCs/>
        </w:rPr>
        <w:t>neratinib</w:t>
      </w:r>
      <w:proofErr w:type="spellEnd"/>
      <w:r w:rsidRPr="00BE23C5">
        <w:rPr>
          <w:rFonts w:asciiTheme="minorHAnsi" w:hAnsiTheme="minorHAnsi"/>
          <w:bCs/>
        </w:rPr>
        <w:t xml:space="preserve">, </w:t>
      </w:r>
      <w:r w:rsidR="00286203" w:rsidRPr="00BE23C5">
        <w:rPr>
          <w:rFonts w:asciiTheme="minorHAnsi" w:hAnsiTheme="minorHAnsi"/>
          <w:bCs/>
        </w:rPr>
        <w:t xml:space="preserve">and it </w:t>
      </w:r>
      <w:r w:rsidRPr="00BE23C5">
        <w:rPr>
          <w:rFonts w:asciiTheme="minorHAnsi" w:hAnsiTheme="minorHAnsi"/>
          <w:bCs/>
        </w:rPr>
        <w:t xml:space="preserve">was </w:t>
      </w:r>
      <w:r w:rsidR="00286203" w:rsidRPr="00BE23C5">
        <w:rPr>
          <w:rFonts w:asciiTheme="minorHAnsi" w:hAnsiTheme="minorHAnsi"/>
          <w:bCs/>
        </w:rPr>
        <w:t>rated</w:t>
      </w:r>
      <w:r w:rsidRPr="00BE23C5">
        <w:rPr>
          <w:rFonts w:asciiTheme="minorHAnsi" w:hAnsiTheme="minorHAnsi"/>
          <w:bCs/>
        </w:rPr>
        <w:t xml:space="preserve"> </w:t>
      </w:r>
      <w:r w:rsidR="00AC13C0" w:rsidRPr="00BE23C5">
        <w:rPr>
          <w:rFonts w:asciiTheme="minorHAnsi" w:hAnsiTheme="minorHAnsi"/>
          <w:bCs/>
        </w:rPr>
        <w:t>A (out of A, B and C, where A and B represent the grades with substantial improvement for new approaches to adjuvant therapy or new potentially curative therapies)</w:t>
      </w:r>
      <w:r w:rsidR="00095A9F" w:rsidRPr="00BE23C5">
        <w:rPr>
          <w:rStyle w:val="FootnoteReference"/>
          <w:rFonts w:asciiTheme="minorHAnsi" w:hAnsiTheme="minorHAnsi"/>
          <w:bCs/>
        </w:rPr>
        <w:footnoteReference w:id="3"/>
      </w:r>
      <w:r w:rsidRPr="00BE23C5">
        <w:rPr>
          <w:rFonts w:asciiTheme="minorHAnsi" w:hAnsiTheme="minorHAnsi"/>
          <w:bCs/>
        </w:rPr>
        <w:t xml:space="preserve">, based on a comparison with </w:t>
      </w:r>
      <w:r w:rsidR="00AC13C0" w:rsidRPr="00BE23C5">
        <w:rPr>
          <w:rFonts w:asciiTheme="minorHAnsi" w:hAnsiTheme="minorHAnsi"/>
          <w:bCs/>
        </w:rPr>
        <w:t>placebo</w:t>
      </w:r>
      <w:r w:rsidR="00095A9F" w:rsidRPr="00BE23C5">
        <w:rPr>
          <w:rFonts w:asciiTheme="minorHAnsi" w:hAnsiTheme="minorHAnsi"/>
          <w:bCs/>
        </w:rPr>
        <w:t>.</w:t>
      </w:r>
      <w:r w:rsidR="002771CF" w:rsidRPr="00BE23C5">
        <w:rPr>
          <w:rFonts w:asciiTheme="minorHAnsi" w:hAnsiTheme="minorHAnsi"/>
          <w:bCs/>
        </w:rPr>
        <w:t xml:space="preserve"> </w:t>
      </w:r>
    </w:p>
    <w:p w:rsidR="00575F33" w:rsidRPr="00BE23C5" w:rsidRDefault="00575F33" w:rsidP="00A35FF9">
      <w:pPr>
        <w:pStyle w:val="Heading2"/>
        <w:spacing w:before="120" w:after="120"/>
      </w:pPr>
      <w:r w:rsidRPr="00BE23C5">
        <w:t>Clinical trials</w:t>
      </w:r>
      <w:bookmarkEnd w:id="9"/>
    </w:p>
    <w:p w:rsidR="00575F33" w:rsidRPr="00BE23C5" w:rsidRDefault="00575F33" w:rsidP="00A35FF9">
      <w:pPr>
        <w:pStyle w:val="ListParagraph"/>
        <w:widowControl/>
        <w:numPr>
          <w:ilvl w:val="1"/>
          <w:numId w:val="2"/>
        </w:numPr>
        <w:spacing w:before="120" w:after="120"/>
      </w:pPr>
      <w:r w:rsidRPr="00BE23C5">
        <w:t xml:space="preserve">The submission was based on one head-to-head randomised trial comparing </w:t>
      </w:r>
      <w:proofErr w:type="spellStart"/>
      <w:r w:rsidRPr="00BE23C5">
        <w:t>neratinib</w:t>
      </w:r>
      <w:proofErr w:type="spellEnd"/>
      <w:r w:rsidRPr="00BE23C5">
        <w:t xml:space="preserve"> to placebo (N=2,840): </w:t>
      </w:r>
      <w:proofErr w:type="spellStart"/>
      <w:r w:rsidRPr="00BE23C5">
        <w:t>ExteNET</w:t>
      </w:r>
      <w:proofErr w:type="spellEnd"/>
      <w:r w:rsidRPr="00BE23C5">
        <w:t xml:space="preserve">. </w:t>
      </w:r>
    </w:p>
    <w:p w:rsidR="00807A78" w:rsidRDefault="00575F33" w:rsidP="00A35FF9">
      <w:pPr>
        <w:pStyle w:val="ListParagraph"/>
        <w:widowControl/>
        <w:numPr>
          <w:ilvl w:val="1"/>
          <w:numId w:val="2"/>
        </w:numPr>
        <w:spacing w:before="120" w:after="120"/>
        <w:rPr>
          <w:rFonts w:cs="Calibri"/>
          <w:snapToGrid/>
          <w:szCs w:val="24"/>
          <w:lang w:eastAsia="en-AU"/>
        </w:rPr>
      </w:pPr>
      <w:r w:rsidRPr="00BE23C5">
        <w:rPr>
          <w:rFonts w:cs="Calibri"/>
          <w:snapToGrid/>
          <w:szCs w:val="24"/>
          <w:lang w:eastAsia="en-AU"/>
        </w:rPr>
        <w:t>Table</w:t>
      </w:r>
      <w:r w:rsidR="00C6263D" w:rsidRPr="00BE23C5">
        <w:rPr>
          <w:rFonts w:cs="Calibri"/>
          <w:snapToGrid/>
          <w:szCs w:val="24"/>
          <w:lang w:eastAsia="en-AU"/>
        </w:rPr>
        <w:t xml:space="preserve"> </w:t>
      </w:r>
      <w:r w:rsidR="00C41CD3" w:rsidRPr="00BE23C5">
        <w:rPr>
          <w:rFonts w:cs="Calibri"/>
          <w:snapToGrid/>
          <w:szCs w:val="24"/>
          <w:lang w:eastAsia="en-AU"/>
        </w:rPr>
        <w:t>3</w:t>
      </w:r>
      <w:r w:rsidRPr="00BE23C5">
        <w:rPr>
          <w:rFonts w:cs="Calibri"/>
          <w:snapToGrid/>
          <w:szCs w:val="24"/>
          <w:lang w:eastAsia="en-AU"/>
        </w:rPr>
        <w:t xml:space="preserve"> presents the details of the trial presented in the submission. </w:t>
      </w:r>
    </w:p>
    <w:p w:rsidR="00575F33" w:rsidRPr="00807A78" w:rsidRDefault="00807A78" w:rsidP="00807A78">
      <w:pPr>
        <w:widowControl/>
        <w:jc w:val="left"/>
        <w:rPr>
          <w:rFonts w:cs="Calibri"/>
          <w:snapToGrid/>
          <w:szCs w:val="24"/>
          <w:lang w:eastAsia="en-AU"/>
        </w:rPr>
      </w:pPr>
      <w:r>
        <w:rPr>
          <w:rFonts w:cs="Calibri"/>
          <w:snapToGrid/>
          <w:szCs w:val="24"/>
          <w:lang w:eastAsia="en-AU"/>
        </w:rPr>
        <w:br w:type="page"/>
      </w:r>
    </w:p>
    <w:p w:rsidR="00575F33" w:rsidRPr="00BE23C5" w:rsidRDefault="00C6263D" w:rsidP="00306F9F">
      <w:pPr>
        <w:keepNext/>
        <w:rPr>
          <w:rFonts w:ascii="Arial Narrow" w:hAnsi="Arial Narrow"/>
          <w:b/>
          <w:sz w:val="20"/>
          <w:szCs w:val="16"/>
        </w:rPr>
      </w:pPr>
      <w:r w:rsidRPr="00BE23C5">
        <w:rPr>
          <w:rStyle w:val="CommentReference"/>
        </w:rPr>
        <w:lastRenderedPageBreak/>
        <w:t xml:space="preserve">Table </w:t>
      </w:r>
      <w:r w:rsidR="004F734A" w:rsidRPr="00BE23C5">
        <w:rPr>
          <w:rStyle w:val="CommentReference"/>
        </w:rPr>
        <w:t>3</w:t>
      </w:r>
      <w:r w:rsidR="00306F9F" w:rsidRPr="00BE23C5">
        <w:rPr>
          <w:rStyle w:val="CommentReference"/>
        </w:rPr>
        <w:t xml:space="preserve">: </w:t>
      </w:r>
      <w:r w:rsidR="00575F33" w:rsidRPr="00BE23C5">
        <w:rPr>
          <w:rStyle w:val="CommentReference"/>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5"/>
        <w:gridCol w:w="4940"/>
        <w:gridCol w:w="2642"/>
      </w:tblGrid>
      <w:tr w:rsidR="00306F9F" w:rsidRPr="00BE23C5" w:rsidTr="00033521">
        <w:trPr>
          <w:tblHeader/>
        </w:trPr>
        <w:tc>
          <w:tcPr>
            <w:tcW w:w="796" w:type="pct"/>
            <w:vAlign w:val="center"/>
          </w:tcPr>
          <w:p w:rsidR="00306F9F" w:rsidRPr="00BE23C5" w:rsidRDefault="00306F9F" w:rsidP="009A56EF">
            <w:pPr>
              <w:pStyle w:val="Tabletext"/>
              <w:rPr>
                <w:b/>
              </w:rPr>
            </w:pPr>
            <w:r w:rsidRPr="00BE23C5">
              <w:rPr>
                <w:b/>
              </w:rPr>
              <w:t>Trial ID</w:t>
            </w:r>
          </w:p>
        </w:tc>
        <w:tc>
          <w:tcPr>
            <w:tcW w:w="2739" w:type="pct"/>
            <w:vAlign w:val="center"/>
          </w:tcPr>
          <w:p w:rsidR="00306F9F" w:rsidRPr="00BE23C5" w:rsidRDefault="00306F9F" w:rsidP="009A56EF">
            <w:pPr>
              <w:pStyle w:val="Tabletext"/>
              <w:jc w:val="center"/>
              <w:rPr>
                <w:b/>
              </w:rPr>
            </w:pPr>
            <w:r w:rsidRPr="00BE23C5">
              <w:rPr>
                <w:b/>
              </w:rPr>
              <w:t>Protocol title/ Publication title</w:t>
            </w:r>
          </w:p>
        </w:tc>
        <w:tc>
          <w:tcPr>
            <w:tcW w:w="1465" w:type="pct"/>
            <w:vAlign w:val="center"/>
          </w:tcPr>
          <w:p w:rsidR="00306F9F" w:rsidRPr="00BE23C5" w:rsidRDefault="00306F9F" w:rsidP="009A56EF">
            <w:pPr>
              <w:pStyle w:val="Tabletext"/>
              <w:jc w:val="center"/>
              <w:rPr>
                <w:b/>
              </w:rPr>
            </w:pPr>
            <w:r w:rsidRPr="00BE23C5">
              <w:rPr>
                <w:b/>
              </w:rPr>
              <w:t>Publication citation</w:t>
            </w:r>
          </w:p>
        </w:tc>
      </w:tr>
      <w:tr w:rsidR="00306F9F" w:rsidRPr="00BE23C5" w:rsidTr="00033521">
        <w:tc>
          <w:tcPr>
            <w:tcW w:w="796" w:type="pct"/>
            <w:tcBorders>
              <w:top w:val="single" w:sz="4" w:space="0" w:color="auto"/>
              <w:left w:val="single" w:sz="4" w:space="0" w:color="auto"/>
              <w:bottom w:val="nil"/>
              <w:right w:val="single" w:sz="4" w:space="0" w:color="auto"/>
            </w:tcBorders>
          </w:tcPr>
          <w:p w:rsidR="00306F9F" w:rsidRPr="00BE23C5" w:rsidRDefault="00306F9F" w:rsidP="004D58F1">
            <w:pPr>
              <w:pStyle w:val="Tabletext"/>
            </w:pPr>
            <w:proofErr w:type="spellStart"/>
            <w:r w:rsidRPr="00BE23C5">
              <w:t>ExteNET</w:t>
            </w:r>
            <w:proofErr w:type="spellEnd"/>
          </w:p>
          <w:p w:rsidR="00306F9F" w:rsidRPr="00BE23C5" w:rsidRDefault="00306F9F" w:rsidP="004D58F1">
            <w:pPr>
              <w:pStyle w:val="Tabletext"/>
            </w:pPr>
            <w:r w:rsidRPr="00BE23C5">
              <w:t>(study 3004)</w:t>
            </w:r>
          </w:p>
        </w:tc>
        <w:tc>
          <w:tcPr>
            <w:tcW w:w="2739" w:type="pct"/>
            <w:tcBorders>
              <w:top w:val="single" w:sz="4" w:space="0" w:color="auto"/>
              <w:left w:val="single" w:sz="4" w:space="0" w:color="auto"/>
              <w:bottom w:val="nil"/>
              <w:right w:val="single" w:sz="4" w:space="0" w:color="auto"/>
            </w:tcBorders>
          </w:tcPr>
          <w:p w:rsidR="00306F9F" w:rsidRPr="00BE23C5" w:rsidRDefault="00306F9F" w:rsidP="004D58F1">
            <w:pPr>
              <w:widowControl/>
              <w:autoSpaceDE w:val="0"/>
              <w:autoSpaceDN w:val="0"/>
              <w:adjustRightInd w:val="0"/>
              <w:jc w:val="left"/>
              <w:rPr>
                <w:rFonts w:ascii="Arial Narrow" w:hAnsi="Arial Narrow" w:cs="Times New Roman"/>
                <w:snapToGrid/>
                <w:sz w:val="20"/>
              </w:rPr>
            </w:pPr>
            <w:r w:rsidRPr="00BE23C5">
              <w:rPr>
                <w:rFonts w:ascii="Arial Narrow" w:hAnsi="Arial Narrow" w:cs="Times New Roman"/>
                <w:snapToGrid/>
                <w:sz w:val="20"/>
              </w:rPr>
              <w:t xml:space="preserve">A Randomized Double-blind Placebo-Controlled Trial of </w:t>
            </w:r>
            <w:proofErr w:type="spellStart"/>
            <w:r w:rsidRPr="00BE23C5">
              <w:rPr>
                <w:rFonts w:ascii="Arial Narrow" w:hAnsi="Arial Narrow" w:cs="Times New Roman"/>
                <w:snapToGrid/>
                <w:sz w:val="20"/>
              </w:rPr>
              <w:t>Neratinib</w:t>
            </w:r>
            <w:proofErr w:type="spellEnd"/>
            <w:r w:rsidRPr="00BE23C5">
              <w:rPr>
                <w:rFonts w:ascii="Arial Narrow" w:hAnsi="Arial Narrow" w:cs="Times New Roman"/>
                <w:snapToGrid/>
                <w:sz w:val="20"/>
              </w:rPr>
              <w:t xml:space="preserve"> (HKI-272) After </w:t>
            </w:r>
            <w:proofErr w:type="spellStart"/>
            <w:r w:rsidRPr="00BE23C5">
              <w:rPr>
                <w:rFonts w:ascii="Arial Narrow" w:hAnsi="Arial Narrow" w:cs="Times New Roman"/>
                <w:snapToGrid/>
                <w:sz w:val="20"/>
              </w:rPr>
              <w:t>Trastuzumab</w:t>
            </w:r>
            <w:proofErr w:type="spellEnd"/>
            <w:r w:rsidRPr="00BE23C5">
              <w:rPr>
                <w:rFonts w:ascii="Arial Narrow" w:hAnsi="Arial Narrow" w:cs="Times New Roman"/>
                <w:snapToGrid/>
                <w:sz w:val="20"/>
              </w:rPr>
              <w:t xml:space="preserve"> in Women With Early-Stage HER-2/</w:t>
            </w:r>
            <w:proofErr w:type="spellStart"/>
            <w:r w:rsidRPr="00BE23C5">
              <w:rPr>
                <w:rFonts w:ascii="Arial Narrow" w:hAnsi="Arial Narrow" w:cs="Times New Roman"/>
                <w:snapToGrid/>
                <w:sz w:val="20"/>
              </w:rPr>
              <w:t>neu</w:t>
            </w:r>
            <w:proofErr w:type="spellEnd"/>
            <w:r w:rsidRPr="00BE23C5">
              <w:rPr>
                <w:rFonts w:ascii="Arial Narrow" w:hAnsi="Arial Narrow" w:cs="Times New Roman"/>
                <w:snapToGrid/>
                <w:sz w:val="20"/>
              </w:rPr>
              <w:t xml:space="preserve"> Overexpressed/Amplified Breast Cancer</w:t>
            </w:r>
          </w:p>
        </w:tc>
        <w:tc>
          <w:tcPr>
            <w:tcW w:w="1465" w:type="pct"/>
            <w:tcBorders>
              <w:top w:val="single" w:sz="4" w:space="0" w:color="auto"/>
              <w:left w:val="single" w:sz="4" w:space="0" w:color="auto"/>
              <w:bottom w:val="nil"/>
              <w:right w:val="single" w:sz="4" w:space="0" w:color="auto"/>
            </w:tcBorders>
          </w:tcPr>
          <w:p w:rsidR="00306F9F" w:rsidRPr="00BE23C5" w:rsidRDefault="00306F9F" w:rsidP="004D58F1">
            <w:pPr>
              <w:pStyle w:val="Tabletext"/>
              <w:rPr>
                <w:szCs w:val="18"/>
              </w:rPr>
            </w:pPr>
            <w:r w:rsidRPr="00BE23C5">
              <w:rPr>
                <w:szCs w:val="18"/>
              </w:rPr>
              <w:t>April 2009</w:t>
            </w:r>
          </w:p>
        </w:tc>
      </w:tr>
      <w:tr w:rsidR="00306F9F" w:rsidRPr="00BE23C5" w:rsidTr="00033521">
        <w:tc>
          <w:tcPr>
            <w:tcW w:w="796" w:type="pct"/>
            <w:tcBorders>
              <w:top w:val="nil"/>
              <w:left w:val="single" w:sz="4" w:space="0" w:color="auto"/>
              <w:bottom w:val="nil"/>
              <w:right w:val="single" w:sz="4" w:space="0" w:color="auto"/>
            </w:tcBorders>
          </w:tcPr>
          <w:p w:rsidR="00306F9F" w:rsidRPr="00BE23C5" w:rsidRDefault="00306F9F" w:rsidP="004D58F1">
            <w:pPr>
              <w:pStyle w:val="Tabletext"/>
            </w:pPr>
          </w:p>
        </w:tc>
        <w:tc>
          <w:tcPr>
            <w:tcW w:w="2739" w:type="pct"/>
            <w:tcBorders>
              <w:top w:val="nil"/>
              <w:left w:val="single" w:sz="4" w:space="0" w:color="auto"/>
              <w:bottom w:val="nil"/>
              <w:right w:val="single" w:sz="4" w:space="0" w:color="auto"/>
            </w:tcBorders>
          </w:tcPr>
          <w:p w:rsidR="00306F9F" w:rsidRPr="00BE23C5" w:rsidRDefault="00306F9F" w:rsidP="0028388D">
            <w:pPr>
              <w:pStyle w:val="Tabletext"/>
              <w:rPr>
                <w:szCs w:val="18"/>
              </w:rPr>
            </w:pPr>
            <w:r w:rsidRPr="00BE23C5">
              <w:t xml:space="preserve">Martin M; Holmes FA; </w:t>
            </w:r>
            <w:proofErr w:type="spellStart"/>
            <w:r w:rsidRPr="00BE23C5">
              <w:t>Ejlertsen</w:t>
            </w:r>
            <w:proofErr w:type="spellEnd"/>
            <w:r w:rsidRPr="00BE23C5">
              <w:t xml:space="preserve"> B</w:t>
            </w:r>
            <w:r w:rsidR="0028388D" w:rsidRPr="00BE23C5">
              <w:t xml:space="preserve"> et al. </w:t>
            </w:r>
            <w:proofErr w:type="spellStart"/>
            <w:r w:rsidRPr="00BE23C5">
              <w:t>ExteNET</w:t>
            </w:r>
            <w:proofErr w:type="spellEnd"/>
            <w:r w:rsidRPr="00BE23C5">
              <w:t xml:space="preserve"> Study Group. </w:t>
            </w:r>
            <w:proofErr w:type="spellStart"/>
            <w:r w:rsidRPr="00BE23C5">
              <w:t>Neratinib</w:t>
            </w:r>
            <w:proofErr w:type="spellEnd"/>
            <w:r w:rsidRPr="00BE23C5">
              <w:t xml:space="preserve"> after </w:t>
            </w:r>
            <w:proofErr w:type="spellStart"/>
            <w:r w:rsidRPr="00BE23C5">
              <w:t>trastuzumab</w:t>
            </w:r>
            <w:proofErr w:type="spellEnd"/>
            <w:r w:rsidRPr="00BE23C5">
              <w:t>-based adjuvant therapy in HER2+ breast cancer (</w:t>
            </w:r>
            <w:proofErr w:type="spellStart"/>
            <w:r w:rsidRPr="00BE23C5">
              <w:t>ExteNET</w:t>
            </w:r>
            <w:proofErr w:type="spellEnd"/>
            <w:r w:rsidRPr="00BE23C5">
              <w:t>): 5-year analysis of a randomised, double-blind, placebo-controlled, phase 3 trial.</w:t>
            </w:r>
          </w:p>
        </w:tc>
        <w:tc>
          <w:tcPr>
            <w:tcW w:w="1465" w:type="pct"/>
            <w:tcBorders>
              <w:top w:val="nil"/>
              <w:left w:val="single" w:sz="4" w:space="0" w:color="auto"/>
              <w:bottom w:val="nil"/>
              <w:right w:val="single" w:sz="4" w:space="0" w:color="auto"/>
            </w:tcBorders>
          </w:tcPr>
          <w:p w:rsidR="00306F9F" w:rsidRPr="00BE23C5" w:rsidRDefault="00306F9F" w:rsidP="004D58F1">
            <w:pPr>
              <w:pStyle w:val="Tabletext"/>
              <w:rPr>
                <w:szCs w:val="18"/>
              </w:rPr>
            </w:pPr>
            <w:r w:rsidRPr="00BE23C5">
              <w:t>Lancet Oncology 2017; 18(12):1688-1700.</w:t>
            </w:r>
          </w:p>
        </w:tc>
      </w:tr>
      <w:tr w:rsidR="00306F9F" w:rsidRPr="00BE23C5" w:rsidTr="00033521">
        <w:tc>
          <w:tcPr>
            <w:tcW w:w="796" w:type="pct"/>
            <w:tcBorders>
              <w:top w:val="nil"/>
              <w:bottom w:val="nil"/>
            </w:tcBorders>
          </w:tcPr>
          <w:p w:rsidR="00306F9F" w:rsidRPr="00BE23C5" w:rsidRDefault="00306F9F" w:rsidP="004D58F1">
            <w:pPr>
              <w:pStyle w:val="Tabletext"/>
            </w:pPr>
          </w:p>
        </w:tc>
        <w:tc>
          <w:tcPr>
            <w:tcW w:w="2739" w:type="pct"/>
            <w:tcBorders>
              <w:top w:val="nil"/>
              <w:bottom w:val="nil"/>
            </w:tcBorders>
          </w:tcPr>
          <w:p w:rsidR="00306F9F" w:rsidRPr="00BE23C5" w:rsidRDefault="00306F9F" w:rsidP="0028388D">
            <w:pPr>
              <w:pStyle w:val="Tabletext"/>
              <w:rPr>
                <w:szCs w:val="18"/>
              </w:rPr>
            </w:pPr>
            <w:r w:rsidRPr="00BE23C5">
              <w:t xml:space="preserve">Chan A; </w:t>
            </w:r>
            <w:proofErr w:type="spellStart"/>
            <w:r w:rsidRPr="00BE23C5">
              <w:t>Delaloge</w:t>
            </w:r>
            <w:proofErr w:type="spellEnd"/>
            <w:r w:rsidRPr="00BE23C5">
              <w:t xml:space="preserve"> S; Holmes FA</w:t>
            </w:r>
            <w:r w:rsidR="0028388D" w:rsidRPr="00BE23C5">
              <w:t xml:space="preserve"> et al</w:t>
            </w:r>
            <w:r w:rsidRPr="00BE23C5">
              <w:t xml:space="preserve"> </w:t>
            </w:r>
            <w:proofErr w:type="spellStart"/>
            <w:r w:rsidRPr="00BE23C5">
              <w:t>ExteNET</w:t>
            </w:r>
            <w:proofErr w:type="spellEnd"/>
            <w:r w:rsidRPr="00BE23C5">
              <w:t xml:space="preserve"> Study Group. </w:t>
            </w:r>
            <w:proofErr w:type="spellStart"/>
            <w:r w:rsidRPr="00BE23C5">
              <w:t>Neratinib</w:t>
            </w:r>
            <w:proofErr w:type="spellEnd"/>
            <w:r w:rsidRPr="00BE23C5">
              <w:t xml:space="preserve"> after </w:t>
            </w:r>
            <w:proofErr w:type="spellStart"/>
            <w:r w:rsidRPr="00BE23C5">
              <w:t>trastuzumab</w:t>
            </w:r>
            <w:proofErr w:type="spellEnd"/>
            <w:r w:rsidRPr="00BE23C5">
              <w:t>-based adjuvant therapy in patients with HER2+ breast cancer (</w:t>
            </w:r>
            <w:proofErr w:type="spellStart"/>
            <w:r w:rsidRPr="00BE23C5">
              <w:t>ExteNET</w:t>
            </w:r>
            <w:proofErr w:type="spellEnd"/>
            <w:r w:rsidRPr="00BE23C5">
              <w:t xml:space="preserve">): a multicentre, randomised, double-blind, placebo-controlled, phase 3 trial. </w:t>
            </w:r>
          </w:p>
        </w:tc>
        <w:tc>
          <w:tcPr>
            <w:tcW w:w="1465" w:type="pct"/>
            <w:tcBorders>
              <w:top w:val="nil"/>
              <w:bottom w:val="nil"/>
            </w:tcBorders>
          </w:tcPr>
          <w:p w:rsidR="00306F9F" w:rsidRPr="00BE23C5" w:rsidRDefault="00306F9F" w:rsidP="004D58F1">
            <w:pPr>
              <w:pStyle w:val="Tabletext"/>
              <w:rPr>
                <w:szCs w:val="18"/>
              </w:rPr>
            </w:pPr>
            <w:r w:rsidRPr="00BE23C5">
              <w:t>Lancet Oncology 2016, 17(3):367-77.</w:t>
            </w:r>
          </w:p>
        </w:tc>
      </w:tr>
      <w:tr w:rsidR="00306F9F" w:rsidRPr="00BE23C5" w:rsidTr="00033521">
        <w:tc>
          <w:tcPr>
            <w:tcW w:w="796" w:type="pct"/>
            <w:tcBorders>
              <w:top w:val="nil"/>
              <w:bottom w:val="nil"/>
            </w:tcBorders>
          </w:tcPr>
          <w:p w:rsidR="00306F9F" w:rsidRPr="00BE23C5" w:rsidRDefault="00306F9F" w:rsidP="004D58F1">
            <w:pPr>
              <w:pStyle w:val="Tabletext"/>
            </w:pPr>
          </w:p>
        </w:tc>
        <w:tc>
          <w:tcPr>
            <w:tcW w:w="2739" w:type="pct"/>
            <w:tcBorders>
              <w:top w:val="nil"/>
              <w:bottom w:val="nil"/>
            </w:tcBorders>
          </w:tcPr>
          <w:p w:rsidR="00306F9F" w:rsidRPr="00BE23C5" w:rsidRDefault="00306F9F" w:rsidP="0028388D">
            <w:pPr>
              <w:pStyle w:val="Tabletext"/>
              <w:rPr>
                <w:szCs w:val="18"/>
              </w:rPr>
            </w:pPr>
            <w:r w:rsidRPr="00BE23C5">
              <w:t>Goss PE, Barrios CH, Chan A</w:t>
            </w:r>
            <w:r w:rsidR="0028388D" w:rsidRPr="00BE23C5">
              <w:t xml:space="preserve"> et al.</w:t>
            </w:r>
            <w:r w:rsidRPr="00BE23C5">
              <w:t xml:space="preserve"> A phase III trial of adjuvant </w:t>
            </w:r>
            <w:proofErr w:type="spellStart"/>
            <w:r w:rsidRPr="00BE23C5">
              <w:t>neratinib</w:t>
            </w:r>
            <w:proofErr w:type="spellEnd"/>
            <w:r w:rsidRPr="00BE23C5">
              <w:t xml:space="preserve"> (NER) after </w:t>
            </w:r>
            <w:proofErr w:type="spellStart"/>
            <w:r w:rsidRPr="00BE23C5">
              <w:t>trastuzumab</w:t>
            </w:r>
            <w:proofErr w:type="spellEnd"/>
            <w:r w:rsidRPr="00BE23C5">
              <w:t xml:space="preserve"> (TRAS) in women with early-stage HER2+ breast cancer (BC). </w:t>
            </w:r>
          </w:p>
        </w:tc>
        <w:tc>
          <w:tcPr>
            <w:tcW w:w="1465" w:type="pct"/>
            <w:tcBorders>
              <w:top w:val="nil"/>
              <w:bottom w:val="nil"/>
            </w:tcBorders>
          </w:tcPr>
          <w:p w:rsidR="00306F9F" w:rsidRPr="00BE23C5" w:rsidRDefault="00306F9F" w:rsidP="004D58F1">
            <w:pPr>
              <w:pStyle w:val="Tabletext"/>
              <w:rPr>
                <w:szCs w:val="18"/>
              </w:rPr>
            </w:pPr>
            <w:r w:rsidRPr="00BE23C5">
              <w:t>Journal of clinical oncology, 29(15 SUPPL. 1):, ASCO Annual Meeting 2011 Chicago, IL United States</w:t>
            </w:r>
          </w:p>
        </w:tc>
      </w:tr>
      <w:tr w:rsidR="00306F9F" w:rsidRPr="00BE23C5" w:rsidTr="00033521">
        <w:tc>
          <w:tcPr>
            <w:tcW w:w="796" w:type="pct"/>
            <w:tcBorders>
              <w:top w:val="nil"/>
              <w:left w:val="single" w:sz="4" w:space="0" w:color="auto"/>
              <w:bottom w:val="nil"/>
              <w:right w:val="single" w:sz="4" w:space="0" w:color="auto"/>
            </w:tcBorders>
          </w:tcPr>
          <w:p w:rsidR="00306F9F" w:rsidRPr="00BE23C5" w:rsidRDefault="00306F9F" w:rsidP="004D58F1">
            <w:pPr>
              <w:pStyle w:val="Tabletext"/>
            </w:pPr>
          </w:p>
        </w:tc>
        <w:tc>
          <w:tcPr>
            <w:tcW w:w="2739" w:type="pct"/>
            <w:tcBorders>
              <w:top w:val="nil"/>
              <w:left w:val="single" w:sz="4" w:space="0" w:color="auto"/>
              <w:bottom w:val="nil"/>
              <w:right w:val="single" w:sz="4" w:space="0" w:color="auto"/>
            </w:tcBorders>
          </w:tcPr>
          <w:p w:rsidR="00306F9F" w:rsidRPr="00BE23C5" w:rsidRDefault="00306F9F" w:rsidP="0028388D">
            <w:pPr>
              <w:pStyle w:val="Tabletext"/>
              <w:rPr>
                <w:szCs w:val="18"/>
              </w:rPr>
            </w:pPr>
            <w:proofErr w:type="spellStart"/>
            <w:r w:rsidRPr="00BE23C5">
              <w:t>Ejlertsen</w:t>
            </w:r>
            <w:proofErr w:type="spellEnd"/>
            <w:r w:rsidRPr="00BE23C5">
              <w:t xml:space="preserve"> B., Chan A., </w:t>
            </w:r>
            <w:proofErr w:type="spellStart"/>
            <w:r w:rsidRPr="00BE23C5">
              <w:t>Gnant</w:t>
            </w:r>
            <w:proofErr w:type="spellEnd"/>
            <w:r w:rsidRPr="00BE23C5">
              <w:t xml:space="preserve"> M</w:t>
            </w:r>
            <w:r w:rsidR="0028388D" w:rsidRPr="00BE23C5">
              <w:t xml:space="preserve"> et al. </w:t>
            </w:r>
            <w:r w:rsidRPr="00BE23C5">
              <w:t>Timing of initiation of </w:t>
            </w:r>
            <w:proofErr w:type="spellStart"/>
            <w:r w:rsidRPr="00BE23C5">
              <w:t>neratinib</w:t>
            </w:r>
            <w:proofErr w:type="spellEnd"/>
            <w:r w:rsidRPr="00BE23C5">
              <w:t xml:space="preserve"> after completion of </w:t>
            </w:r>
            <w:proofErr w:type="spellStart"/>
            <w:r w:rsidRPr="00BE23C5">
              <w:t>trastuzumab</w:t>
            </w:r>
            <w:proofErr w:type="spellEnd"/>
            <w:r w:rsidRPr="00BE23C5">
              <w:t xml:space="preserve"> based adjuvant therapy in early-stage HER2+ breast cancer: Exploratory analyses from the phase III </w:t>
            </w:r>
            <w:proofErr w:type="spellStart"/>
            <w:r w:rsidRPr="00BE23C5">
              <w:t>ExteNET</w:t>
            </w:r>
            <w:proofErr w:type="spellEnd"/>
            <w:r w:rsidRPr="00BE23C5">
              <w:t xml:space="preserve"> trial. </w:t>
            </w:r>
          </w:p>
        </w:tc>
        <w:tc>
          <w:tcPr>
            <w:tcW w:w="1465" w:type="pct"/>
            <w:tcBorders>
              <w:top w:val="nil"/>
              <w:left w:val="single" w:sz="4" w:space="0" w:color="auto"/>
              <w:bottom w:val="nil"/>
              <w:right w:val="single" w:sz="4" w:space="0" w:color="auto"/>
            </w:tcBorders>
          </w:tcPr>
          <w:p w:rsidR="00306F9F" w:rsidRPr="00BE23C5" w:rsidRDefault="00306F9F" w:rsidP="004D58F1">
            <w:pPr>
              <w:pStyle w:val="Tabletext"/>
              <w:rPr>
                <w:szCs w:val="18"/>
              </w:rPr>
            </w:pPr>
            <w:r w:rsidRPr="00BE23C5">
              <w:t xml:space="preserve">San Antonio Breast Cancer Symposium, SABCS 2017. United States. 78 (4 Supplement 1) (no pagination), February 2018. </w:t>
            </w:r>
          </w:p>
        </w:tc>
      </w:tr>
      <w:tr w:rsidR="00306F9F" w:rsidRPr="00BE23C5" w:rsidTr="00033521">
        <w:tc>
          <w:tcPr>
            <w:tcW w:w="796" w:type="pct"/>
            <w:tcBorders>
              <w:top w:val="nil"/>
              <w:left w:val="single" w:sz="4" w:space="0" w:color="auto"/>
              <w:bottom w:val="nil"/>
              <w:right w:val="single" w:sz="4" w:space="0" w:color="auto"/>
            </w:tcBorders>
          </w:tcPr>
          <w:p w:rsidR="00306F9F" w:rsidRPr="00BE23C5" w:rsidRDefault="00306F9F" w:rsidP="004D58F1">
            <w:pPr>
              <w:pStyle w:val="Tabletext"/>
            </w:pPr>
          </w:p>
        </w:tc>
        <w:tc>
          <w:tcPr>
            <w:tcW w:w="2739" w:type="pct"/>
            <w:tcBorders>
              <w:top w:val="nil"/>
              <w:left w:val="single" w:sz="4" w:space="0" w:color="auto"/>
              <w:bottom w:val="nil"/>
              <w:right w:val="single" w:sz="4" w:space="0" w:color="auto"/>
            </w:tcBorders>
          </w:tcPr>
          <w:p w:rsidR="00306F9F" w:rsidRPr="00BE23C5" w:rsidRDefault="00306F9F" w:rsidP="0028388D">
            <w:pPr>
              <w:pStyle w:val="Tabletext"/>
              <w:rPr>
                <w:szCs w:val="18"/>
              </w:rPr>
            </w:pPr>
            <w:r w:rsidRPr="00BE23C5">
              <w:t>Chia S.K.L., Martin M., Iwata H</w:t>
            </w:r>
            <w:r w:rsidR="0028388D" w:rsidRPr="00BE23C5">
              <w:t xml:space="preserve">. et al. </w:t>
            </w:r>
            <w:r w:rsidRPr="00BE23C5">
              <w:t>Effects of </w:t>
            </w:r>
            <w:proofErr w:type="spellStart"/>
            <w:r w:rsidRPr="00BE23C5">
              <w:t>neratinib</w:t>
            </w:r>
            <w:proofErr w:type="spellEnd"/>
            <w:r w:rsidRPr="00BE23C5">
              <w:t xml:space="preserve"> after </w:t>
            </w:r>
            <w:proofErr w:type="spellStart"/>
            <w:r w:rsidRPr="00BE23C5">
              <w:t>trastuzumab</w:t>
            </w:r>
            <w:proofErr w:type="spellEnd"/>
            <w:r w:rsidRPr="00BE23C5">
              <w:t xml:space="preserve">-based adjuvant therapy in hormone receptor-positive HER2+ early-stage breast cancer: Exploratory analyses from the phase III </w:t>
            </w:r>
            <w:proofErr w:type="spellStart"/>
            <w:r w:rsidRPr="00BE23C5">
              <w:t>ExteNET</w:t>
            </w:r>
            <w:proofErr w:type="spellEnd"/>
            <w:r w:rsidRPr="00BE23C5">
              <w:t xml:space="preserve"> trial. </w:t>
            </w:r>
          </w:p>
        </w:tc>
        <w:tc>
          <w:tcPr>
            <w:tcW w:w="1465" w:type="pct"/>
            <w:tcBorders>
              <w:top w:val="nil"/>
              <w:left w:val="single" w:sz="4" w:space="0" w:color="auto"/>
              <w:bottom w:val="nil"/>
              <w:right w:val="single" w:sz="4" w:space="0" w:color="auto"/>
            </w:tcBorders>
          </w:tcPr>
          <w:p w:rsidR="00306F9F" w:rsidRPr="00BE23C5" w:rsidRDefault="00306F9F" w:rsidP="004D58F1">
            <w:pPr>
              <w:pStyle w:val="Tabletext"/>
              <w:rPr>
                <w:szCs w:val="18"/>
              </w:rPr>
            </w:pPr>
            <w:r w:rsidRPr="00BE23C5">
              <w:t xml:space="preserve">San Antonio Breast Cancer Symposium, SABCS 2017. United States. 78 (4 Supplement 1) (no pagination), February 2018. </w:t>
            </w:r>
          </w:p>
        </w:tc>
      </w:tr>
      <w:tr w:rsidR="00306F9F" w:rsidRPr="00BE23C5" w:rsidTr="00033521">
        <w:tc>
          <w:tcPr>
            <w:tcW w:w="796" w:type="pct"/>
            <w:tcBorders>
              <w:top w:val="nil"/>
              <w:left w:val="single" w:sz="4" w:space="0" w:color="auto"/>
              <w:bottom w:val="nil"/>
              <w:right w:val="single" w:sz="4" w:space="0" w:color="auto"/>
            </w:tcBorders>
          </w:tcPr>
          <w:p w:rsidR="00306F9F" w:rsidRPr="00BE23C5" w:rsidRDefault="00306F9F" w:rsidP="004D58F1">
            <w:pPr>
              <w:pStyle w:val="Tabletext"/>
            </w:pPr>
          </w:p>
        </w:tc>
        <w:tc>
          <w:tcPr>
            <w:tcW w:w="2739" w:type="pct"/>
            <w:tcBorders>
              <w:top w:val="nil"/>
              <w:left w:val="single" w:sz="4" w:space="0" w:color="auto"/>
              <w:bottom w:val="nil"/>
              <w:right w:val="single" w:sz="4" w:space="0" w:color="auto"/>
            </w:tcBorders>
          </w:tcPr>
          <w:p w:rsidR="00306F9F" w:rsidRPr="00BE23C5" w:rsidRDefault="00306F9F" w:rsidP="0028388D">
            <w:pPr>
              <w:pStyle w:val="Tabletext"/>
              <w:rPr>
                <w:szCs w:val="18"/>
              </w:rPr>
            </w:pPr>
            <w:r w:rsidRPr="00BE23C5">
              <w:t>Chia S.K.L., Martin M., Holmes F.A.</w:t>
            </w:r>
            <w:r w:rsidR="0028388D" w:rsidRPr="00BE23C5">
              <w:t xml:space="preserve"> et al. </w:t>
            </w:r>
            <w:r w:rsidRPr="00BE23C5">
              <w:t>PIK3CA alterations and benefit with </w:t>
            </w:r>
            <w:proofErr w:type="spellStart"/>
            <w:r w:rsidRPr="00BE23C5">
              <w:t>neratinib</w:t>
            </w:r>
            <w:proofErr w:type="spellEnd"/>
            <w:r w:rsidRPr="00BE23C5">
              <w:t xml:space="preserve"> after </w:t>
            </w:r>
            <w:proofErr w:type="spellStart"/>
            <w:r w:rsidRPr="00BE23C5">
              <w:t>trastuzumab</w:t>
            </w:r>
            <w:proofErr w:type="spellEnd"/>
            <w:r w:rsidRPr="00BE23C5">
              <w:t xml:space="preserve">-based adjuvant therapy in early-stage HER2+ breast cancer: Correlative analyses of the phase III </w:t>
            </w:r>
            <w:proofErr w:type="spellStart"/>
            <w:r w:rsidRPr="00BE23C5">
              <w:t>ExteNET</w:t>
            </w:r>
            <w:proofErr w:type="spellEnd"/>
            <w:r w:rsidRPr="00BE23C5">
              <w:t xml:space="preserve"> trial. </w:t>
            </w:r>
          </w:p>
        </w:tc>
        <w:tc>
          <w:tcPr>
            <w:tcW w:w="1465" w:type="pct"/>
            <w:tcBorders>
              <w:top w:val="nil"/>
              <w:left w:val="single" w:sz="4" w:space="0" w:color="auto"/>
              <w:bottom w:val="nil"/>
              <w:right w:val="single" w:sz="4" w:space="0" w:color="auto"/>
            </w:tcBorders>
          </w:tcPr>
          <w:p w:rsidR="00306F9F" w:rsidRPr="00BE23C5" w:rsidRDefault="00306F9F" w:rsidP="004D58F1">
            <w:pPr>
              <w:pStyle w:val="Tabletext"/>
              <w:rPr>
                <w:szCs w:val="18"/>
              </w:rPr>
            </w:pPr>
            <w:r w:rsidRPr="00BE23C5">
              <w:t>San Antonio Breast Cancer Symposium, SABCS 2017. United States. 78 (4 Supplement 1) (no pagination), 2018. Date of Publication: February 2018.</w:t>
            </w:r>
          </w:p>
        </w:tc>
      </w:tr>
      <w:tr w:rsidR="00306F9F" w:rsidRPr="00BE23C5" w:rsidTr="00033521">
        <w:tc>
          <w:tcPr>
            <w:tcW w:w="796" w:type="pct"/>
            <w:tcBorders>
              <w:top w:val="nil"/>
              <w:left w:val="single" w:sz="4" w:space="0" w:color="auto"/>
              <w:bottom w:val="nil"/>
              <w:right w:val="single" w:sz="4" w:space="0" w:color="auto"/>
            </w:tcBorders>
          </w:tcPr>
          <w:p w:rsidR="00306F9F" w:rsidRPr="00BE23C5" w:rsidRDefault="00306F9F" w:rsidP="004D58F1">
            <w:pPr>
              <w:pStyle w:val="Tabletext"/>
            </w:pPr>
          </w:p>
        </w:tc>
        <w:tc>
          <w:tcPr>
            <w:tcW w:w="2739" w:type="pct"/>
            <w:tcBorders>
              <w:top w:val="nil"/>
              <w:left w:val="single" w:sz="4" w:space="0" w:color="auto"/>
              <w:bottom w:val="nil"/>
              <w:right w:val="single" w:sz="4" w:space="0" w:color="auto"/>
            </w:tcBorders>
          </w:tcPr>
          <w:p w:rsidR="00306F9F" w:rsidRPr="00BE23C5" w:rsidRDefault="00306F9F" w:rsidP="0028388D">
            <w:pPr>
              <w:pStyle w:val="Tabletext"/>
              <w:rPr>
                <w:szCs w:val="18"/>
              </w:rPr>
            </w:pPr>
            <w:r w:rsidRPr="00BE23C5">
              <w:t>Iwata H., Masuda N., Kim S.-B.</w:t>
            </w:r>
            <w:r w:rsidR="0028388D" w:rsidRPr="00BE23C5">
              <w:t xml:space="preserve"> </w:t>
            </w:r>
            <w:proofErr w:type="gramStart"/>
            <w:r w:rsidR="0028388D" w:rsidRPr="00BE23C5">
              <w:t>et</w:t>
            </w:r>
            <w:proofErr w:type="gramEnd"/>
            <w:r w:rsidR="0028388D" w:rsidRPr="00BE23C5">
              <w:t xml:space="preserve"> al. </w:t>
            </w:r>
            <w:proofErr w:type="spellStart"/>
            <w:r w:rsidRPr="00BE23C5">
              <w:t>Neratinib</w:t>
            </w:r>
            <w:proofErr w:type="spellEnd"/>
            <w:r w:rsidRPr="00BE23C5">
              <w:t xml:space="preserve"> in the extended adjuvant treatment of patients from Asia with early-stage HER2+ breast cancer after </w:t>
            </w:r>
            <w:proofErr w:type="spellStart"/>
            <w:r w:rsidRPr="00BE23C5">
              <w:t>trastuzumab</w:t>
            </w:r>
            <w:proofErr w:type="spellEnd"/>
            <w:r w:rsidRPr="00BE23C5">
              <w:t xml:space="preserve">-based therapy: Exploratory analyses from the phase III </w:t>
            </w:r>
            <w:proofErr w:type="spellStart"/>
            <w:r w:rsidRPr="00BE23C5">
              <w:t>ExteNET</w:t>
            </w:r>
            <w:proofErr w:type="spellEnd"/>
            <w:r w:rsidRPr="00BE23C5">
              <w:t> trial..</w:t>
            </w:r>
          </w:p>
        </w:tc>
        <w:tc>
          <w:tcPr>
            <w:tcW w:w="1465" w:type="pct"/>
            <w:tcBorders>
              <w:top w:val="nil"/>
              <w:left w:val="single" w:sz="4" w:space="0" w:color="auto"/>
              <w:bottom w:val="nil"/>
              <w:right w:val="single" w:sz="4" w:space="0" w:color="auto"/>
            </w:tcBorders>
          </w:tcPr>
          <w:p w:rsidR="00306F9F" w:rsidRPr="00BE23C5" w:rsidRDefault="00306F9F" w:rsidP="004D58F1">
            <w:pPr>
              <w:pStyle w:val="Tabletext"/>
              <w:rPr>
                <w:szCs w:val="18"/>
              </w:rPr>
            </w:pPr>
            <w:r w:rsidRPr="00BE23C5">
              <w:t>San Antonio Breast Cancer Symposium, SABCS 2017. United States. 78 (4 Supplement 1) (no pagination), 2018. Date of Publication: February 2018</w:t>
            </w:r>
          </w:p>
        </w:tc>
      </w:tr>
      <w:tr w:rsidR="00306F9F" w:rsidRPr="00BE23C5" w:rsidTr="00033521">
        <w:tc>
          <w:tcPr>
            <w:tcW w:w="796" w:type="pct"/>
            <w:tcBorders>
              <w:top w:val="nil"/>
              <w:left w:val="single" w:sz="4" w:space="0" w:color="auto"/>
              <w:bottom w:val="nil"/>
              <w:right w:val="single" w:sz="4" w:space="0" w:color="auto"/>
            </w:tcBorders>
          </w:tcPr>
          <w:p w:rsidR="00306F9F" w:rsidRPr="00BE23C5" w:rsidRDefault="00306F9F" w:rsidP="004D58F1">
            <w:pPr>
              <w:pStyle w:val="Tabletext"/>
            </w:pPr>
          </w:p>
        </w:tc>
        <w:tc>
          <w:tcPr>
            <w:tcW w:w="2739" w:type="pct"/>
            <w:tcBorders>
              <w:top w:val="nil"/>
              <w:left w:val="single" w:sz="4" w:space="0" w:color="auto"/>
              <w:bottom w:val="nil"/>
              <w:right w:val="single" w:sz="4" w:space="0" w:color="auto"/>
            </w:tcBorders>
          </w:tcPr>
          <w:p w:rsidR="00306F9F" w:rsidRPr="00BE23C5" w:rsidRDefault="00306F9F" w:rsidP="0028388D">
            <w:pPr>
              <w:pStyle w:val="Tabletext"/>
              <w:rPr>
                <w:szCs w:val="18"/>
              </w:rPr>
            </w:pPr>
            <w:r w:rsidRPr="00BE23C5">
              <w:t xml:space="preserve">Martin Jimenez M., Holmes F.A., </w:t>
            </w:r>
            <w:proofErr w:type="spellStart"/>
            <w:r w:rsidRPr="00BE23C5">
              <w:t>Ejlertsen</w:t>
            </w:r>
            <w:proofErr w:type="spellEnd"/>
            <w:r w:rsidRPr="00BE23C5">
              <w:t xml:space="preserve"> B.</w:t>
            </w:r>
            <w:r w:rsidR="0028388D" w:rsidRPr="00BE23C5">
              <w:t xml:space="preserve"> et al. </w:t>
            </w:r>
            <w:proofErr w:type="spellStart"/>
            <w:r w:rsidRPr="00BE23C5">
              <w:t>Neratinib</w:t>
            </w:r>
            <w:proofErr w:type="spellEnd"/>
            <w:r w:rsidRPr="00BE23C5">
              <w:t xml:space="preserve"> after </w:t>
            </w:r>
            <w:proofErr w:type="spellStart"/>
            <w:r w:rsidRPr="00BE23C5">
              <w:t>trastuzumab</w:t>
            </w:r>
            <w:proofErr w:type="spellEnd"/>
            <w:r w:rsidRPr="00BE23C5">
              <w:t xml:space="preserve"> (T)-based adjuvant therapy in early-stage HER21 breast cancer (BC): 5-year analysis of the phase III </w:t>
            </w:r>
            <w:proofErr w:type="spellStart"/>
            <w:r w:rsidRPr="00BE23C5">
              <w:t>ExteNET</w:t>
            </w:r>
            <w:proofErr w:type="spellEnd"/>
            <w:r w:rsidRPr="00BE23C5">
              <w:t> trial.</w:t>
            </w:r>
          </w:p>
        </w:tc>
        <w:tc>
          <w:tcPr>
            <w:tcW w:w="1465" w:type="pct"/>
            <w:tcBorders>
              <w:top w:val="nil"/>
              <w:left w:val="single" w:sz="4" w:space="0" w:color="auto"/>
              <w:bottom w:val="nil"/>
              <w:right w:val="single" w:sz="4" w:space="0" w:color="auto"/>
            </w:tcBorders>
          </w:tcPr>
          <w:p w:rsidR="00306F9F" w:rsidRPr="00BE23C5" w:rsidRDefault="00306F9F" w:rsidP="004D58F1">
            <w:pPr>
              <w:pStyle w:val="Tabletext"/>
            </w:pPr>
            <w:proofErr w:type="spellStart"/>
            <w:r w:rsidRPr="00BE23C5">
              <w:t>Embase</w:t>
            </w:r>
            <w:proofErr w:type="spellEnd"/>
            <w:r w:rsidRPr="00BE23C5">
              <w:t xml:space="preserve"> </w:t>
            </w:r>
            <w:proofErr w:type="spellStart"/>
            <w:r w:rsidRPr="00BE23C5">
              <w:t>Classic+Embase</w:t>
            </w:r>
            <w:proofErr w:type="spellEnd"/>
            <w:r w:rsidR="008641B3" w:rsidRPr="00BE23C5">
              <w:t xml:space="preserve"> </w:t>
            </w:r>
            <w:r w:rsidRPr="00BE23C5">
              <w:t xml:space="preserve">Annals of Oncology </w:t>
            </w:r>
          </w:p>
          <w:p w:rsidR="00306F9F" w:rsidRPr="00BE23C5" w:rsidRDefault="00306F9F" w:rsidP="004D58F1">
            <w:pPr>
              <w:pStyle w:val="Tabletext"/>
              <w:rPr>
                <w:szCs w:val="18"/>
              </w:rPr>
            </w:pPr>
            <w:r w:rsidRPr="00BE23C5">
              <w:t>42nd ESMO Congress, ESMO 2017. Spain. 28 (Supplement 5) (pp v43-v44), September 2017.</w:t>
            </w:r>
          </w:p>
        </w:tc>
      </w:tr>
      <w:tr w:rsidR="00306F9F" w:rsidRPr="00BE23C5" w:rsidTr="00033521">
        <w:tc>
          <w:tcPr>
            <w:tcW w:w="796" w:type="pct"/>
            <w:tcBorders>
              <w:top w:val="nil"/>
              <w:left w:val="single" w:sz="4" w:space="0" w:color="auto"/>
              <w:bottom w:val="nil"/>
              <w:right w:val="single" w:sz="4" w:space="0" w:color="auto"/>
            </w:tcBorders>
          </w:tcPr>
          <w:p w:rsidR="00306F9F" w:rsidRPr="00BE23C5" w:rsidRDefault="00306F9F" w:rsidP="004D58F1">
            <w:pPr>
              <w:pStyle w:val="Tabletext"/>
            </w:pPr>
          </w:p>
        </w:tc>
        <w:tc>
          <w:tcPr>
            <w:tcW w:w="2739" w:type="pct"/>
            <w:tcBorders>
              <w:top w:val="nil"/>
              <w:left w:val="single" w:sz="4" w:space="0" w:color="auto"/>
              <w:bottom w:val="nil"/>
              <w:right w:val="single" w:sz="4" w:space="0" w:color="auto"/>
            </w:tcBorders>
          </w:tcPr>
          <w:p w:rsidR="00306F9F" w:rsidRPr="00BE23C5" w:rsidRDefault="00306F9F" w:rsidP="0028388D">
            <w:pPr>
              <w:pStyle w:val="Tabletext"/>
              <w:rPr>
                <w:szCs w:val="18"/>
              </w:rPr>
            </w:pPr>
            <w:proofErr w:type="spellStart"/>
            <w:r w:rsidRPr="00BE23C5">
              <w:t>Delaloge</w:t>
            </w:r>
            <w:proofErr w:type="spellEnd"/>
            <w:r w:rsidRPr="00BE23C5">
              <w:t xml:space="preserve"> S., Ye Y., </w:t>
            </w:r>
            <w:proofErr w:type="spellStart"/>
            <w:r w:rsidRPr="00BE23C5">
              <w:t>Cella</w:t>
            </w:r>
            <w:proofErr w:type="spellEnd"/>
            <w:r w:rsidRPr="00BE23C5">
              <w:t xml:space="preserve"> D.</w:t>
            </w:r>
            <w:r w:rsidR="0028388D" w:rsidRPr="00BE23C5">
              <w:t xml:space="preserve"> et al. </w:t>
            </w:r>
            <w:r w:rsidRPr="00BE23C5">
              <w:t>Effects of </w:t>
            </w:r>
            <w:proofErr w:type="spellStart"/>
            <w:r w:rsidRPr="00BE23C5">
              <w:t>neratinib</w:t>
            </w:r>
            <w:proofErr w:type="spellEnd"/>
            <w:r w:rsidRPr="00BE23C5">
              <w:t> (N) on health-related quality of life (</w:t>
            </w:r>
            <w:proofErr w:type="spellStart"/>
            <w:r w:rsidRPr="00BE23C5">
              <w:t>HRQoL</w:t>
            </w:r>
            <w:proofErr w:type="spellEnd"/>
            <w:r w:rsidRPr="00BE23C5">
              <w:t xml:space="preserve">) in early-stage HER21 breast cancer (BC): Longitudinal analyses from the phase III </w:t>
            </w:r>
            <w:proofErr w:type="spellStart"/>
            <w:r w:rsidRPr="00BE23C5">
              <w:t>ExteNET</w:t>
            </w:r>
            <w:proofErr w:type="spellEnd"/>
            <w:r w:rsidRPr="00BE23C5">
              <w:t xml:space="preserve"> trial. </w:t>
            </w:r>
          </w:p>
        </w:tc>
        <w:tc>
          <w:tcPr>
            <w:tcW w:w="1465" w:type="pct"/>
            <w:tcBorders>
              <w:top w:val="nil"/>
              <w:left w:val="single" w:sz="4" w:space="0" w:color="auto"/>
              <w:bottom w:val="nil"/>
              <w:right w:val="single" w:sz="4" w:space="0" w:color="auto"/>
            </w:tcBorders>
          </w:tcPr>
          <w:p w:rsidR="00306F9F" w:rsidRPr="00BE23C5" w:rsidRDefault="00306F9F" w:rsidP="004D58F1">
            <w:pPr>
              <w:pStyle w:val="Tabletext"/>
              <w:rPr>
                <w:szCs w:val="18"/>
              </w:rPr>
            </w:pPr>
            <w:r w:rsidRPr="00BE23C5">
              <w:t>42nd ESMO Congress, ESMO 2017. Spain. 28 (Supplement 5) (pp v53), September 2017.</w:t>
            </w:r>
          </w:p>
        </w:tc>
      </w:tr>
      <w:tr w:rsidR="00306F9F" w:rsidRPr="00BE23C5" w:rsidTr="00033521">
        <w:tc>
          <w:tcPr>
            <w:tcW w:w="796" w:type="pct"/>
            <w:tcBorders>
              <w:top w:val="nil"/>
              <w:left w:val="single" w:sz="4" w:space="0" w:color="auto"/>
              <w:bottom w:val="nil"/>
              <w:right w:val="single" w:sz="4" w:space="0" w:color="auto"/>
            </w:tcBorders>
          </w:tcPr>
          <w:p w:rsidR="00306F9F" w:rsidRPr="00BE23C5" w:rsidRDefault="00306F9F" w:rsidP="004D58F1">
            <w:pPr>
              <w:pStyle w:val="Tabletext"/>
            </w:pPr>
          </w:p>
        </w:tc>
        <w:tc>
          <w:tcPr>
            <w:tcW w:w="2739" w:type="pct"/>
            <w:tcBorders>
              <w:top w:val="nil"/>
              <w:left w:val="single" w:sz="4" w:space="0" w:color="auto"/>
              <w:bottom w:val="nil"/>
              <w:right w:val="single" w:sz="4" w:space="0" w:color="auto"/>
            </w:tcBorders>
          </w:tcPr>
          <w:p w:rsidR="00306F9F" w:rsidRPr="00BE23C5" w:rsidRDefault="00306F9F" w:rsidP="0028388D">
            <w:pPr>
              <w:pStyle w:val="Tabletext"/>
              <w:rPr>
                <w:szCs w:val="18"/>
              </w:rPr>
            </w:pPr>
            <w:r w:rsidRPr="00BE23C5">
              <w:t xml:space="preserve">Mortimer J., Di Palma J., </w:t>
            </w:r>
            <w:proofErr w:type="spellStart"/>
            <w:r w:rsidRPr="00BE23C5">
              <w:t>Jahanzeb</w:t>
            </w:r>
            <w:proofErr w:type="spellEnd"/>
            <w:r w:rsidRPr="00BE23C5">
              <w:t xml:space="preserve"> M.</w:t>
            </w:r>
            <w:r w:rsidR="0028388D" w:rsidRPr="00BE23C5">
              <w:t xml:space="preserve"> et al. </w:t>
            </w:r>
            <w:r w:rsidRPr="00BE23C5">
              <w:t xml:space="preserve">Characterization of </w:t>
            </w:r>
            <w:proofErr w:type="spellStart"/>
            <w:r w:rsidRPr="00BE23C5">
              <w:t>neratinib</w:t>
            </w:r>
            <w:proofErr w:type="spellEnd"/>
            <w:r w:rsidRPr="00BE23C5">
              <w:t xml:space="preserve">-induced </w:t>
            </w:r>
            <w:proofErr w:type="spellStart"/>
            <w:r w:rsidRPr="00BE23C5">
              <w:t>diarrhea</w:t>
            </w:r>
            <w:proofErr w:type="spellEnd"/>
            <w:r w:rsidRPr="00BE23C5">
              <w:t xml:space="preserve"> in patients with early-stage HER2+ breast cancer: Analyses from the phase III </w:t>
            </w:r>
            <w:proofErr w:type="spellStart"/>
            <w:r w:rsidRPr="00BE23C5">
              <w:t>ExteNET</w:t>
            </w:r>
            <w:proofErr w:type="spellEnd"/>
            <w:r w:rsidRPr="00BE23C5">
              <w:t xml:space="preserve"> trial. </w:t>
            </w:r>
          </w:p>
        </w:tc>
        <w:tc>
          <w:tcPr>
            <w:tcW w:w="1465" w:type="pct"/>
            <w:tcBorders>
              <w:top w:val="nil"/>
              <w:left w:val="single" w:sz="4" w:space="0" w:color="auto"/>
              <w:bottom w:val="nil"/>
              <w:right w:val="single" w:sz="4" w:space="0" w:color="auto"/>
            </w:tcBorders>
          </w:tcPr>
          <w:p w:rsidR="00306F9F" w:rsidRPr="00BE23C5" w:rsidRDefault="00306F9F" w:rsidP="004D58F1">
            <w:pPr>
              <w:pStyle w:val="Tabletext"/>
            </w:pPr>
            <w:r w:rsidRPr="00BE23C5">
              <w:t>39th Annual CTRC-AACR San Antonio Breast Cancer Symposium.</w:t>
            </w:r>
            <w:r w:rsidR="008641B3" w:rsidRPr="00BE23C5">
              <w:t xml:space="preserve"> </w:t>
            </w:r>
            <w:r w:rsidRPr="00BE23C5">
              <w:t>United States. 77 (4 Supplement 1) (no pagination), February 2017.</w:t>
            </w:r>
          </w:p>
        </w:tc>
      </w:tr>
      <w:tr w:rsidR="00306F9F" w:rsidRPr="00BE23C5" w:rsidTr="00033521">
        <w:tc>
          <w:tcPr>
            <w:tcW w:w="796" w:type="pct"/>
            <w:tcBorders>
              <w:top w:val="nil"/>
              <w:left w:val="single" w:sz="4" w:space="0" w:color="auto"/>
              <w:bottom w:val="nil"/>
              <w:right w:val="single" w:sz="4" w:space="0" w:color="auto"/>
            </w:tcBorders>
          </w:tcPr>
          <w:p w:rsidR="00306F9F" w:rsidRPr="00BE23C5" w:rsidRDefault="00306F9F" w:rsidP="004D58F1">
            <w:pPr>
              <w:pStyle w:val="Tabletext"/>
            </w:pPr>
          </w:p>
        </w:tc>
        <w:tc>
          <w:tcPr>
            <w:tcW w:w="2739" w:type="pct"/>
            <w:tcBorders>
              <w:top w:val="nil"/>
              <w:left w:val="single" w:sz="4" w:space="0" w:color="auto"/>
              <w:bottom w:val="nil"/>
              <w:right w:val="single" w:sz="4" w:space="0" w:color="auto"/>
            </w:tcBorders>
          </w:tcPr>
          <w:p w:rsidR="00306F9F" w:rsidRPr="00BE23C5" w:rsidRDefault="00306F9F" w:rsidP="000A577A">
            <w:pPr>
              <w:pStyle w:val="Tabletext"/>
              <w:rPr>
                <w:szCs w:val="18"/>
              </w:rPr>
            </w:pPr>
            <w:r w:rsidRPr="00BE23C5">
              <w:t xml:space="preserve">Chan A., </w:t>
            </w:r>
            <w:proofErr w:type="spellStart"/>
            <w:r w:rsidRPr="00BE23C5">
              <w:t>Delaloge</w:t>
            </w:r>
            <w:proofErr w:type="spellEnd"/>
            <w:r w:rsidRPr="00BE23C5">
              <w:t xml:space="preserve"> S., Holmes F.A.</w:t>
            </w:r>
            <w:r w:rsidR="0028388D" w:rsidRPr="00BE23C5">
              <w:t xml:space="preserve"> et al. </w:t>
            </w:r>
            <w:proofErr w:type="spellStart"/>
            <w:r w:rsidRPr="00BE23C5">
              <w:t>Neratinib</w:t>
            </w:r>
            <w:proofErr w:type="spellEnd"/>
            <w:r w:rsidRPr="00BE23C5">
              <w:t xml:space="preserve"> after </w:t>
            </w:r>
            <w:proofErr w:type="spellStart"/>
            <w:r w:rsidRPr="00BE23C5">
              <w:t>trastuzumab</w:t>
            </w:r>
            <w:proofErr w:type="spellEnd"/>
            <w:r w:rsidRPr="00BE23C5">
              <w:t>-based adjuvant therapy in early-stage HER2+ breast cancer: 3-year analysis from a phase 3 randomized, placebo-controlled, double-blind</w:t>
            </w:r>
            <w:r w:rsidR="000A577A" w:rsidRPr="00BE23C5">
              <w:t xml:space="preserve"> t</w:t>
            </w:r>
            <w:r w:rsidRPr="00BE23C5">
              <w:t>rial (</w:t>
            </w:r>
            <w:proofErr w:type="spellStart"/>
            <w:r w:rsidRPr="00BE23C5">
              <w:t>ExteNET</w:t>
            </w:r>
            <w:proofErr w:type="spellEnd"/>
            <w:r w:rsidRPr="00BE23C5">
              <w:t xml:space="preserve">). </w:t>
            </w:r>
          </w:p>
        </w:tc>
        <w:tc>
          <w:tcPr>
            <w:tcW w:w="1465" w:type="pct"/>
            <w:tcBorders>
              <w:top w:val="nil"/>
              <w:left w:val="single" w:sz="4" w:space="0" w:color="auto"/>
              <w:bottom w:val="nil"/>
              <w:right w:val="single" w:sz="4" w:space="0" w:color="auto"/>
            </w:tcBorders>
          </w:tcPr>
          <w:p w:rsidR="00306F9F" w:rsidRPr="00BE23C5" w:rsidRDefault="00306F9F" w:rsidP="004D58F1">
            <w:pPr>
              <w:pStyle w:val="Tabletext"/>
              <w:rPr>
                <w:szCs w:val="18"/>
              </w:rPr>
            </w:pPr>
            <w:r w:rsidRPr="00BE23C5">
              <w:t>38th Annual CTRC-AACR San Antonio Breast Cancer Symposium. San Antonio, TX United States. Conference Publication: (</w:t>
            </w:r>
            <w:proofErr w:type="spellStart"/>
            <w:r w:rsidRPr="00BE23C5">
              <w:t>var.pagings</w:t>
            </w:r>
            <w:proofErr w:type="spellEnd"/>
            <w:r w:rsidRPr="00BE23C5">
              <w:t>). 76 (4 SUPPL. 1) (no pagination), Feb 2016.</w:t>
            </w:r>
          </w:p>
        </w:tc>
      </w:tr>
      <w:tr w:rsidR="00306F9F" w:rsidRPr="00BE23C5" w:rsidTr="00033521">
        <w:tc>
          <w:tcPr>
            <w:tcW w:w="796" w:type="pct"/>
            <w:tcBorders>
              <w:top w:val="nil"/>
              <w:left w:val="single" w:sz="4" w:space="0" w:color="auto"/>
              <w:bottom w:val="nil"/>
              <w:right w:val="single" w:sz="4" w:space="0" w:color="auto"/>
            </w:tcBorders>
          </w:tcPr>
          <w:p w:rsidR="00306F9F" w:rsidRPr="00BE23C5" w:rsidRDefault="00306F9F" w:rsidP="004D58F1">
            <w:pPr>
              <w:pStyle w:val="Tabletext"/>
            </w:pPr>
          </w:p>
        </w:tc>
        <w:tc>
          <w:tcPr>
            <w:tcW w:w="2739" w:type="pct"/>
            <w:tcBorders>
              <w:top w:val="nil"/>
              <w:left w:val="single" w:sz="4" w:space="0" w:color="auto"/>
              <w:bottom w:val="nil"/>
              <w:right w:val="single" w:sz="4" w:space="0" w:color="auto"/>
            </w:tcBorders>
          </w:tcPr>
          <w:p w:rsidR="00306F9F" w:rsidRPr="00BE23C5" w:rsidRDefault="00306F9F" w:rsidP="0028388D">
            <w:pPr>
              <w:pStyle w:val="Tabletext"/>
              <w:rPr>
                <w:szCs w:val="18"/>
              </w:rPr>
            </w:pPr>
            <w:proofErr w:type="spellStart"/>
            <w:r w:rsidRPr="00BE23C5">
              <w:t>Sudhan</w:t>
            </w:r>
            <w:proofErr w:type="spellEnd"/>
            <w:r w:rsidRPr="00BE23C5">
              <w:t xml:space="preserve"> D.R., Schwarz L.J., Guerrero-</w:t>
            </w:r>
            <w:proofErr w:type="spellStart"/>
            <w:r w:rsidRPr="00BE23C5">
              <w:t>Zotano</w:t>
            </w:r>
            <w:proofErr w:type="spellEnd"/>
            <w:r w:rsidRPr="00BE23C5">
              <w:t xml:space="preserve"> A.L.</w:t>
            </w:r>
            <w:r w:rsidR="0028388D" w:rsidRPr="00BE23C5">
              <w:t xml:space="preserve"> et al. </w:t>
            </w:r>
            <w:r w:rsidRPr="00BE23C5">
              <w:t>Extended adjuvant </w:t>
            </w:r>
            <w:proofErr w:type="spellStart"/>
            <w:r w:rsidRPr="00BE23C5">
              <w:t>neratinib</w:t>
            </w:r>
            <w:proofErr w:type="spellEnd"/>
            <w:r w:rsidRPr="00BE23C5">
              <w:t>/</w:t>
            </w:r>
            <w:proofErr w:type="spellStart"/>
            <w:r w:rsidRPr="00BE23C5">
              <w:t>fulvestrant</w:t>
            </w:r>
            <w:proofErr w:type="spellEnd"/>
            <w:r w:rsidRPr="00BE23C5">
              <w:t xml:space="preserve"> blocks ER/HER2 crosstalk and maintains complete responses of ER+/HER2+ </w:t>
            </w:r>
            <w:proofErr w:type="spellStart"/>
            <w:r w:rsidRPr="00BE23C5">
              <w:t>tumors</w:t>
            </w:r>
            <w:proofErr w:type="spellEnd"/>
            <w:r w:rsidRPr="00BE23C5">
              <w:t xml:space="preserve"> following treatment with chemotherapy and anti-HER2 therapy. </w:t>
            </w:r>
          </w:p>
        </w:tc>
        <w:tc>
          <w:tcPr>
            <w:tcW w:w="1465" w:type="pct"/>
            <w:tcBorders>
              <w:top w:val="nil"/>
              <w:left w:val="single" w:sz="4" w:space="0" w:color="auto"/>
              <w:bottom w:val="nil"/>
              <w:right w:val="single" w:sz="4" w:space="0" w:color="auto"/>
            </w:tcBorders>
          </w:tcPr>
          <w:p w:rsidR="00306F9F" w:rsidRPr="00BE23C5" w:rsidRDefault="00306F9F" w:rsidP="004D58F1">
            <w:pPr>
              <w:pStyle w:val="Tabletext"/>
              <w:rPr>
                <w:szCs w:val="18"/>
              </w:rPr>
            </w:pPr>
            <w:r w:rsidRPr="00BE23C5">
              <w:t>San Antonio Breast Cancer Symposium, SABCS 2017. United States. 78 (4 Supplement 1) (no pagination), February 2018.</w:t>
            </w:r>
          </w:p>
        </w:tc>
      </w:tr>
      <w:tr w:rsidR="00306F9F" w:rsidRPr="00BE23C5" w:rsidTr="00033521">
        <w:tc>
          <w:tcPr>
            <w:tcW w:w="796" w:type="pct"/>
            <w:tcBorders>
              <w:top w:val="nil"/>
              <w:left w:val="single" w:sz="4" w:space="0" w:color="auto"/>
              <w:bottom w:val="single" w:sz="4" w:space="0" w:color="auto"/>
              <w:right w:val="single" w:sz="4" w:space="0" w:color="auto"/>
            </w:tcBorders>
          </w:tcPr>
          <w:p w:rsidR="00306F9F" w:rsidRPr="00BE23C5" w:rsidRDefault="00306F9F" w:rsidP="004D58F1">
            <w:pPr>
              <w:pStyle w:val="Tabletext"/>
            </w:pPr>
          </w:p>
        </w:tc>
        <w:tc>
          <w:tcPr>
            <w:tcW w:w="2739" w:type="pct"/>
            <w:tcBorders>
              <w:top w:val="nil"/>
              <w:left w:val="single" w:sz="4" w:space="0" w:color="auto"/>
              <w:bottom w:val="single" w:sz="4" w:space="0" w:color="auto"/>
              <w:right w:val="single" w:sz="4" w:space="0" w:color="auto"/>
            </w:tcBorders>
          </w:tcPr>
          <w:p w:rsidR="00306F9F" w:rsidRPr="00BE23C5" w:rsidRDefault="00306F9F" w:rsidP="004D58F1">
            <w:pPr>
              <w:pStyle w:val="Tabletext"/>
              <w:rPr>
                <w:szCs w:val="18"/>
              </w:rPr>
            </w:pPr>
            <w:r w:rsidRPr="00BE23C5">
              <w:t>Wang M., Tao Z. Safety and efficacy profile of </w:t>
            </w:r>
            <w:proofErr w:type="spellStart"/>
            <w:r w:rsidRPr="00BE23C5">
              <w:t>neratinib</w:t>
            </w:r>
            <w:proofErr w:type="spellEnd"/>
            <w:r w:rsidRPr="00BE23C5">
              <w:t xml:space="preserve"> in breast cancer: Pooled reanalysis based on randomized controlled trials. </w:t>
            </w:r>
          </w:p>
        </w:tc>
        <w:tc>
          <w:tcPr>
            <w:tcW w:w="1465" w:type="pct"/>
            <w:tcBorders>
              <w:top w:val="nil"/>
              <w:left w:val="single" w:sz="4" w:space="0" w:color="auto"/>
              <w:bottom w:val="single" w:sz="4" w:space="0" w:color="auto"/>
              <w:right w:val="single" w:sz="4" w:space="0" w:color="auto"/>
            </w:tcBorders>
          </w:tcPr>
          <w:p w:rsidR="00306F9F" w:rsidRPr="00BE23C5" w:rsidRDefault="00306F9F" w:rsidP="004D58F1">
            <w:pPr>
              <w:pStyle w:val="Tabletext"/>
              <w:rPr>
                <w:szCs w:val="18"/>
              </w:rPr>
            </w:pPr>
            <w:r w:rsidRPr="00BE23C5">
              <w:t>Joint Meeting of the Multinational Association of Supportive Care in Cancer, MASCC and the International Society of Oral Oncology, ISOO 2018. Austria. 26 (2 Supplement 1) (pp S254-S255), 2018</w:t>
            </w:r>
          </w:p>
        </w:tc>
      </w:tr>
    </w:tbl>
    <w:p w:rsidR="00306F9F" w:rsidRPr="00BE23C5" w:rsidRDefault="00306F9F" w:rsidP="00306F9F">
      <w:pPr>
        <w:pStyle w:val="TableFooter"/>
        <w:rPr>
          <w:sz w:val="20"/>
        </w:rPr>
      </w:pPr>
      <w:r w:rsidRPr="00BE23C5">
        <w:t xml:space="preserve">Source: Table 12, p23 of the submission </w:t>
      </w:r>
    </w:p>
    <w:p w:rsidR="00306F9F" w:rsidRPr="00BE23C5" w:rsidRDefault="00306F9F" w:rsidP="00575F33">
      <w:pPr>
        <w:widowControl/>
      </w:pPr>
    </w:p>
    <w:p w:rsidR="00574980" w:rsidRPr="00BE23C5" w:rsidRDefault="00574980" w:rsidP="007B1A6B">
      <w:pPr>
        <w:pStyle w:val="ListParagraph"/>
        <w:widowControl/>
        <w:numPr>
          <w:ilvl w:val="1"/>
          <w:numId w:val="2"/>
        </w:numPr>
      </w:pPr>
      <w:r w:rsidRPr="00BE23C5">
        <w:t>The key features of the direct randomised trial are summarised in the table below.</w:t>
      </w:r>
    </w:p>
    <w:p w:rsidR="00575F33" w:rsidRPr="00BE23C5" w:rsidRDefault="00575F33" w:rsidP="00253444">
      <w:pPr>
        <w:keepNext/>
        <w:rPr>
          <w:rStyle w:val="CommentReference"/>
        </w:rPr>
      </w:pPr>
      <w:r w:rsidRPr="00BE23C5">
        <w:rPr>
          <w:rStyle w:val="CommentReference"/>
        </w:rPr>
        <w:t>T</w:t>
      </w:r>
      <w:r w:rsidR="00C6263D" w:rsidRPr="00BE23C5">
        <w:rPr>
          <w:rStyle w:val="CommentReference"/>
        </w:rPr>
        <w:t xml:space="preserve">able </w:t>
      </w:r>
      <w:r w:rsidR="004F734A" w:rsidRPr="00BE23C5">
        <w:rPr>
          <w:rStyle w:val="CommentReference"/>
        </w:rPr>
        <w:t>4</w:t>
      </w:r>
      <w:r w:rsidRPr="00BE23C5">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713"/>
        <w:gridCol w:w="421"/>
        <w:gridCol w:w="827"/>
        <w:gridCol w:w="686"/>
        <w:gridCol w:w="2267"/>
        <w:gridCol w:w="2393"/>
        <w:gridCol w:w="1710"/>
      </w:tblGrid>
      <w:tr w:rsidR="0097298F" w:rsidRPr="00BE23C5" w:rsidTr="004F734A">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575F33" w:rsidRPr="00BE23C5" w:rsidRDefault="00575F33" w:rsidP="00253444">
            <w:pPr>
              <w:pStyle w:val="Tabletext"/>
              <w:keepNext/>
              <w:rPr>
                <w:b/>
              </w:rPr>
            </w:pPr>
            <w:r w:rsidRPr="00BE23C5">
              <w:rPr>
                <w:b/>
              </w:rPr>
              <w:t>Trial</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575F33" w:rsidRPr="00BE23C5" w:rsidRDefault="00575F33" w:rsidP="00253444">
            <w:pPr>
              <w:pStyle w:val="Tabletext"/>
              <w:keepNext/>
              <w:jc w:val="center"/>
              <w:rPr>
                <w:b/>
              </w:rPr>
            </w:pPr>
            <w:r w:rsidRPr="00BE23C5">
              <w:rPr>
                <w:b/>
              </w:rPr>
              <w:t>N</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75F33" w:rsidRPr="00BE23C5" w:rsidRDefault="00575F33" w:rsidP="00253444">
            <w:pPr>
              <w:pStyle w:val="Tabletext"/>
              <w:keepNext/>
              <w:jc w:val="center"/>
              <w:rPr>
                <w:b/>
              </w:rPr>
            </w:pPr>
            <w:r w:rsidRPr="00BE23C5">
              <w:rPr>
                <w:b/>
              </w:rPr>
              <w:t>Design/ duration</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575F33" w:rsidRPr="00BE23C5" w:rsidRDefault="00575F33" w:rsidP="00253444">
            <w:pPr>
              <w:pStyle w:val="Tabletext"/>
              <w:keepNext/>
              <w:jc w:val="center"/>
              <w:rPr>
                <w:b/>
              </w:rPr>
            </w:pPr>
            <w:r w:rsidRPr="00BE23C5">
              <w:rPr>
                <w:b/>
              </w:rPr>
              <w:t>Risk of bias</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575F33" w:rsidRPr="00BE23C5" w:rsidRDefault="00575F33" w:rsidP="00253444">
            <w:pPr>
              <w:pStyle w:val="Tabletext"/>
              <w:keepNext/>
              <w:jc w:val="center"/>
              <w:rPr>
                <w:b/>
              </w:rPr>
            </w:pPr>
            <w:r w:rsidRPr="00BE23C5">
              <w:rPr>
                <w:b/>
              </w:rPr>
              <w:t>Patient population</w:t>
            </w:r>
          </w:p>
        </w:tc>
        <w:tc>
          <w:tcPr>
            <w:tcW w:w="1327" w:type="pct"/>
            <w:tcBorders>
              <w:top w:val="single" w:sz="4" w:space="0" w:color="auto"/>
              <w:left w:val="single" w:sz="4" w:space="0" w:color="auto"/>
              <w:bottom w:val="single" w:sz="4" w:space="0" w:color="auto"/>
              <w:right w:val="single" w:sz="4" w:space="0" w:color="auto"/>
            </w:tcBorders>
            <w:shd w:val="clear" w:color="auto" w:fill="auto"/>
            <w:vAlign w:val="center"/>
          </w:tcPr>
          <w:p w:rsidR="00575F33" w:rsidRPr="00BE23C5" w:rsidRDefault="00575F33" w:rsidP="00253444">
            <w:pPr>
              <w:pStyle w:val="Tabletext"/>
              <w:keepNext/>
              <w:jc w:val="center"/>
              <w:rPr>
                <w:b/>
              </w:rPr>
            </w:pPr>
            <w:r w:rsidRPr="00BE23C5">
              <w:rPr>
                <w:b/>
              </w:rPr>
              <w:t>Outcome(s)</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rsidR="00575F33" w:rsidRPr="00BE23C5" w:rsidRDefault="00575F33" w:rsidP="00253444">
            <w:pPr>
              <w:pStyle w:val="Tabletext"/>
              <w:keepNext/>
              <w:jc w:val="center"/>
              <w:rPr>
                <w:b/>
              </w:rPr>
            </w:pPr>
            <w:r w:rsidRPr="00BE23C5">
              <w:rPr>
                <w:b/>
              </w:rPr>
              <w:t>Use in modelled evaluation</w:t>
            </w:r>
          </w:p>
        </w:tc>
      </w:tr>
      <w:tr w:rsidR="00575F33" w:rsidRPr="00BE23C5" w:rsidTr="004F734A">
        <w:tc>
          <w:tcPr>
            <w:tcW w:w="5000" w:type="pct"/>
            <w:gridSpan w:val="7"/>
            <w:tcBorders>
              <w:top w:val="single" w:sz="4" w:space="0" w:color="auto"/>
            </w:tcBorders>
            <w:shd w:val="clear" w:color="auto" w:fill="auto"/>
            <w:vAlign w:val="center"/>
          </w:tcPr>
          <w:p w:rsidR="00575F33" w:rsidRPr="00BE23C5" w:rsidRDefault="0097298F" w:rsidP="001D3A29">
            <w:pPr>
              <w:pStyle w:val="Tabletext"/>
              <w:rPr>
                <w:b/>
              </w:rPr>
            </w:pPr>
            <w:proofErr w:type="spellStart"/>
            <w:r w:rsidRPr="00BE23C5">
              <w:rPr>
                <w:b/>
              </w:rPr>
              <w:t>Neratinib</w:t>
            </w:r>
            <w:proofErr w:type="spellEnd"/>
            <w:r w:rsidRPr="00BE23C5">
              <w:rPr>
                <w:b/>
              </w:rPr>
              <w:t xml:space="preserve"> vs placebo</w:t>
            </w:r>
          </w:p>
        </w:tc>
      </w:tr>
      <w:tr w:rsidR="0097298F" w:rsidRPr="00BE23C5" w:rsidTr="00033521">
        <w:tc>
          <w:tcPr>
            <w:tcW w:w="395" w:type="pct"/>
            <w:shd w:val="clear" w:color="auto" w:fill="auto"/>
            <w:vAlign w:val="center"/>
          </w:tcPr>
          <w:p w:rsidR="00575F33" w:rsidRPr="00BE23C5" w:rsidRDefault="00575F33" w:rsidP="001D3A29">
            <w:pPr>
              <w:pStyle w:val="Tabletext"/>
            </w:pPr>
            <w:proofErr w:type="spellStart"/>
            <w:r w:rsidRPr="00BE23C5">
              <w:t>ExteNET</w:t>
            </w:r>
            <w:proofErr w:type="spellEnd"/>
          </w:p>
        </w:tc>
        <w:tc>
          <w:tcPr>
            <w:tcW w:w="233" w:type="pct"/>
            <w:shd w:val="clear" w:color="auto" w:fill="auto"/>
            <w:vAlign w:val="center"/>
          </w:tcPr>
          <w:p w:rsidR="00575F33" w:rsidRPr="00BE23C5" w:rsidRDefault="007B5CE7" w:rsidP="001D3A29">
            <w:pPr>
              <w:pStyle w:val="Tabletext"/>
              <w:jc w:val="center"/>
            </w:pPr>
            <w:r w:rsidRPr="00BE23C5">
              <w:t>2840</w:t>
            </w:r>
          </w:p>
        </w:tc>
        <w:tc>
          <w:tcPr>
            <w:tcW w:w="459" w:type="pct"/>
            <w:shd w:val="clear" w:color="auto" w:fill="auto"/>
            <w:vAlign w:val="center"/>
          </w:tcPr>
          <w:p w:rsidR="00575F33" w:rsidRPr="00BE23C5" w:rsidRDefault="007B5CE7" w:rsidP="001D3A29">
            <w:pPr>
              <w:pStyle w:val="Tabletext"/>
              <w:jc w:val="center"/>
            </w:pPr>
            <w:r w:rsidRPr="00BE23C5">
              <w:t>R, DB</w:t>
            </w:r>
          </w:p>
          <w:p w:rsidR="007B5CE7" w:rsidRPr="00BE23C5" w:rsidRDefault="00E43762" w:rsidP="001D3A29">
            <w:pPr>
              <w:pStyle w:val="Tabletext"/>
              <w:jc w:val="center"/>
            </w:pPr>
            <w:r w:rsidRPr="00BE23C5">
              <w:t>60 months</w:t>
            </w:r>
          </w:p>
        </w:tc>
        <w:tc>
          <w:tcPr>
            <w:tcW w:w="381" w:type="pct"/>
            <w:shd w:val="clear" w:color="auto" w:fill="auto"/>
            <w:vAlign w:val="center"/>
          </w:tcPr>
          <w:p w:rsidR="00575F33" w:rsidRPr="00BE23C5" w:rsidRDefault="007B5CE7" w:rsidP="001D3A29">
            <w:pPr>
              <w:pStyle w:val="Tabletext"/>
              <w:jc w:val="center"/>
            </w:pPr>
            <w:r w:rsidRPr="00BE23C5">
              <w:t>Unclear</w:t>
            </w:r>
          </w:p>
        </w:tc>
        <w:tc>
          <w:tcPr>
            <w:tcW w:w="1257" w:type="pct"/>
            <w:shd w:val="clear" w:color="auto" w:fill="auto"/>
            <w:vAlign w:val="center"/>
          </w:tcPr>
          <w:p w:rsidR="00575F33" w:rsidRPr="00BE23C5" w:rsidRDefault="00E43762" w:rsidP="001D3A29">
            <w:pPr>
              <w:pStyle w:val="Tabletext"/>
              <w:jc w:val="center"/>
            </w:pPr>
            <w:r w:rsidRPr="00BE23C5">
              <w:t>Initial protocol:</w:t>
            </w:r>
            <w:r w:rsidR="00E0278D" w:rsidRPr="00BE23C5">
              <w:t xml:space="preserve"> </w:t>
            </w:r>
            <w:r w:rsidR="0097298F" w:rsidRPr="00BE23C5">
              <w:t>HER2+</w:t>
            </w:r>
            <w:r w:rsidR="004E5A3C" w:rsidRPr="00BE23C5">
              <w:t>, HR</w:t>
            </w:r>
            <w:r w:rsidRPr="00BE23C5">
              <w:t xml:space="preserve">+ &amp; HR-, lymph node positive &amp; </w:t>
            </w:r>
            <w:r w:rsidR="00C3449C" w:rsidRPr="00BE23C5">
              <w:t xml:space="preserve">negative </w:t>
            </w:r>
            <w:proofErr w:type="spellStart"/>
            <w:r w:rsidR="00C3449C" w:rsidRPr="00BE23C5">
              <w:t>eBC</w:t>
            </w:r>
            <w:proofErr w:type="spellEnd"/>
            <w:r w:rsidRPr="00BE23C5">
              <w:t xml:space="preserve">; completed </w:t>
            </w:r>
            <w:proofErr w:type="spellStart"/>
            <w:r w:rsidRPr="00BE23C5">
              <w:t>trastuzumab</w:t>
            </w:r>
            <w:proofErr w:type="spellEnd"/>
            <w:r w:rsidRPr="00BE23C5">
              <w:t xml:space="preserve"> up to 2 years</w:t>
            </w:r>
            <w:r w:rsidR="00956DF3" w:rsidRPr="00BE23C5">
              <w:t xml:space="preserve"> prior to randomisation</w:t>
            </w:r>
          </w:p>
          <w:p w:rsidR="00E43762" w:rsidRPr="00BE23C5" w:rsidRDefault="00E43762" w:rsidP="001D3A29">
            <w:pPr>
              <w:pStyle w:val="Tabletext"/>
              <w:jc w:val="center"/>
            </w:pPr>
          </w:p>
          <w:p w:rsidR="00E43762" w:rsidRPr="00BE23C5" w:rsidRDefault="00E43762" w:rsidP="001D3A29">
            <w:pPr>
              <w:pStyle w:val="Tabletext"/>
              <w:jc w:val="center"/>
            </w:pPr>
            <w:r w:rsidRPr="00BE23C5">
              <w:t xml:space="preserve">Amendment 3: </w:t>
            </w:r>
          </w:p>
          <w:p w:rsidR="00E43762" w:rsidRPr="00BE23C5" w:rsidRDefault="00E43762" w:rsidP="00956DF3">
            <w:pPr>
              <w:pStyle w:val="Tabletext"/>
              <w:jc w:val="center"/>
            </w:pPr>
            <w:r w:rsidRPr="00BE23C5">
              <w:t>HER2+,</w:t>
            </w:r>
            <w:r w:rsidR="00942F81" w:rsidRPr="00BE23C5">
              <w:t xml:space="preserve"> </w:t>
            </w:r>
            <w:r w:rsidRPr="00BE23C5">
              <w:t>HR+ &amp; HR</w:t>
            </w:r>
            <w:r w:rsidR="00EF4127" w:rsidRPr="00BE23C5">
              <w:noBreakHyphen/>
            </w:r>
            <w:r w:rsidRPr="00BE23C5">
              <w:t xml:space="preserve">, lymph node positive </w:t>
            </w:r>
            <w:proofErr w:type="spellStart"/>
            <w:r w:rsidRPr="00BE23C5">
              <w:t>eBC</w:t>
            </w:r>
            <w:proofErr w:type="spellEnd"/>
            <w:r w:rsidRPr="00BE23C5">
              <w:t xml:space="preserve">; completed </w:t>
            </w:r>
            <w:proofErr w:type="spellStart"/>
            <w:r w:rsidRPr="00BE23C5">
              <w:t>trastuzumab</w:t>
            </w:r>
            <w:proofErr w:type="spellEnd"/>
            <w:r w:rsidRPr="00BE23C5">
              <w:t xml:space="preserve"> up to 1 year</w:t>
            </w:r>
            <w:r w:rsidR="00956DF3" w:rsidRPr="00BE23C5">
              <w:t xml:space="preserve"> prior to randomisation</w:t>
            </w:r>
          </w:p>
        </w:tc>
        <w:tc>
          <w:tcPr>
            <w:tcW w:w="1327" w:type="pct"/>
            <w:shd w:val="clear" w:color="auto" w:fill="auto"/>
            <w:vAlign w:val="center"/>
          </w:tcPr>
          <w:p w:rsidR="00555A18" w:rsidRPr="00BE23C5" w:rsidRDefault="00555A18" w:rsidP="00961820">
            <w:pPr>
              <w:pStyle w:val="Tabletext"/>
              <w:jc w:val="center"/>
            </w:pPr>
            <w:r w:rsidRPr="00BE23C5">
              <w:t xml:space="preserve">Primary outcome: </w:t>
            </w:r>
            <w:proofErr w:type="spellStart"/>
            <w:r w:rsidRPr="00BE23C5">
              <w:t>iDFS</w:t>
            </w:r>
            <w:proofErr w:type="spellEnd"/>
            <w:r w:rsidRPr="00BE23C5">
              <w:t xml:space="preserve"> </w:t>
            </w:r>
            <w:r w:rsidR="00E43762" w:rsidRPr="00BE23C5">
              <w:t xml:space="preserve">of the ITT </w:t>
            </w:r>
            <w:proofErr w:type="spellStart"/>
            <w:r w:rsidR="00E43762" w:rsidRPr="00BE23C5">
              <w:t>population</w:t>
            </w:r>
            <w:r w:rsidR="006C5325" w:rsidRPr="00BE23C5">
              <w:rPr>
                <w:vertAlign w:val="superscript"/>
              </w:rPr>
              <w:t>a</w:t>
            </w:r>
            <w:proofErr w:type="spellEnd"/>
            <w:r w:rsidR="00E43762" w:rsidRPr="00BE23C5">
              <w:t xml:space="preserve">, </w:t>
            </w:r>
            <w:proofErr w:type="spellStart"/>
            <w:r w:rsidRPr="00BE23C5">
              <w:t>aITT</w:t>
            </w:r>
            <w:proofErr w:type="spellEnd"/>
            <w:r w:rsidRPr="00BE23C5">
              <w:t xml:space="preserve"> </w:t>
            </w:r>
            <w:proofErr w:type="spellStart"/>
            <w:r w:rsidR="00E43762" w:rsidRPr="00BE23C5">
              <w:t>population</w:t>
            </w:r>
            <w:r w:rsidR="006C5325" w:rsidRPr="00BE23C5">
              <w:rPr>
                <w:vertAlign w:val="superscript"/>
              </w:rPr>
              <w:t>b</w:t>
            </w:r>
            <w:proofErr w:type="spellEnd"/>
            <w:r w:rsidR="00E43762" w:rsidRPr="00BE23C5">
              <w:t>, Centrally-confirmed ERBB2-positive</w:t>
            </w:r>
            <w:r w:rsidR="006C5325" w:rsidRPr="00BE23C5">
              <w:rPr>
                <w:vertAlign w:val="superscript"/>
              </w:rPr>
              <w:t>c</w:t>
            </w:r>
            <w:r w:rsidR="00EF4127" w:rsidRPr="00BE23C5">
              <w:t>.</w:t>
            </w:r>
          </w:p>
          <w:p w:rsidR="00555A18" w:rsidRPr="00BE23C5" w:rsidRDefault="00555A18" w:rsidP="00961820">
            <w:pPr>
              <w:pStyle w:val="Tabletext"/>
              <w:jc w:val="center"/>
            </w:pPr>
          </w:p>
          <w:p w:rsidR="0097298F" w:rsidRPr="00BE23C5" w:rsidRDefault="00555A18" w:rsidP="00961820">
            <w:pPr>
              <w:pStyle w:val="Tabletext"/>
              <w:jc w:val="center"/>
            </w:pPr>
            <w:r w:rsidRPr="00BE23C5">
              <w:t xml:space="preserve">Secondary </w:t>
            </w:r>
            <w:proofErr w:type="spellStart"/>
            <w:r w:rsidRPr="00BE23C5">
              <w:t>outcome:</w:t>
            </w:r>
            <w:r w:rsidR="0097298F" w:rsidRPr="00BE23C5">
              <w:t>DFS-DCIS</w:t>
            </w:r>
            <w:proofErr w:type="spellEnd"/>
            <w:r w:rsidR="0097298F" w:rsidRPr="00BE23C5">
              <w:t>, DDFS TTDR, Incidence of CNS recurrence; OS not available; FACT-B</w:t>
            </w:r>
            <w:r w:rsidR="00292DCF" w:rsidRPr="00BE23C5">
              <w:t xml:space="preserve">; </w:t>
            </w:r>
            <w:r w:rsidR="0097298F" w:rsidRPr="00BE23C5">
              <w:t>EQ-5D</w:t>
            </w:r>
          </w:p>
        </w:tc>
        <w:tc>
          <w:tcPr>
            <w:tcW w:w="947" w:type="pct"/>
            <w:shd w:val="clear" w:color="auto" w:fill="auto"/>
            <w:vAlign w:val="center"/>
          </w:tcPr>
          <w:p w:rsidR="00575F33" w:rsidRPr="00BE23C5" w:rsidRDefault="004D58F1" w:rsidP="004D58F1">
            <w:pPr>
              <w:pStyle w:val="Tabletext"/>
              <w:jc w:val="center"/>
            </w:pPr>
            <w:r w:rsidRPr="00BE23C5">
              <w:t xml:space="preserve">Unclear, but presumably </w:t>
            </w:r>
            <w:proofErr w:type="spellStart"/>
            <w:r w:rsidR="0097298F" w:rsidRPr="00BE23C5">
              <w:t>iDFS</w:t>
            </w:r>
            <w:proofErr w:type="spellEnd"/>
            <w:r w:rsidR="0097298F" w:rsidRPr="00BE23C5">
              <w:t xml:space="preserve"> in the HR+ population of the ITT analysis.</w:t>
            </w:r>
          </w:p>
        </w:tc>
      </w:tr>
    </w:tbl>
    <w:p w:rsidR="00917E15" w:rsidRPr="00BE23C5" w:rsidRDefault="00575F33" w:rsidP="0097298F">
      <w:pPr>
        <w:pStyle w:val="TableFooter"/>
      </w:pPr>
      <w:r w:rsidRPr="00BE23C5">
        <w:t>DB</w:t>
      </w:r>
      <w:r w:rsidR="002A4F8C" w:rsidRPr="00BE23C5">
        <w:t xml:space="preserve">: </w:t>
      </w:r>
      <w:r w:rsidRPr="00BE23C5">
        <w:t>double blind; MC</w:t>
      </w:r>
      <w:r w:rsidR="002A4F8C" w:rsidRPr="00BE23C5">
        <w:t xml:space="preserve">: </w:t>
      </w:r>
      <w:r w:rsidRPr="00BE23C5">
        <w:t>multi-centre; OL</w:t>
      </w:r>
      <w:r w:rsidR="002A4F8C" w:rsidRPr="00BE23C5">
        <w:t xml:space="preserve">: </w:t>
      </w:r>
      <w:r w:rsidRPr="00BE23C5">
        <w:t>open label; OS</w:t>
      </w:r>
      <w:r w:rsidR="002A4F8C" w:rsidRPr="00BE23C5">
        <w:t xml:space="preserve">: </w:t>
      </w:r>
      <w:r w:rsidRPr="00BE23C5">
        <w:t>overall survival; PFS</w:t>
      </w:r>
      <w:r w:rsidR="002A4F8C" w:rsidRPr="00BE23C5">
        <w:t xml:space="preserve">: </w:t>
      </w:r>
      <w:r w:rsidRPr="00BE23C5">
        <w:t>progress</w:t>
      </w:r>
      <w:r w:rsidR="00292DCF" w:rsidRPr="00BE23C5">
        <w:t>ion-free survival; R</w:t>
      </w:r>
      <w:r w:rsidR="002A4F8C" w:rsidRPr="00BE23C5">
        <w:t xml:space="preserve">: </w:t>
      </w:r>
      <w:r w:rsidR="00292DCF" w:rsidRPr="00BE23C5">
        <w:t xml:space="preserve">randomised; </w:t>
      </w:r>
      <w:r w:rsidR="0097298F" w:rsidRPr="00BE23C5">
        <w:t>HER2+</w:t>
      </w:r>
      <w:r w:rsidR="002A4F8C" w:rsidRPr="00BE23C5">
        <w:t xml:space="preserve">; </w:t>
      </w:r>
      <w:r w:rsidR="00292DCF" w:rsidRPr="00BE23C5">
        <w:t xml:space="preserve"> human epidermal growth factor receptor 2 positive; </w:t>
      </w:r>
      <w:r w:rsidR="00E43762" w:rsidRPr="00BE23C5">
        <w:t xml:space="preserve">HR+: hormone receptor positive; HR-: hormone receptor negative; </w:t>
      </w:r>
      <w:proofErr w:type="spellStart"/>
      <w:r w:rsidR="00292DCF" w:rsidRPr="00BE23C5">
        <w:t>eBC</w:t>
      </w:r>
      <w:proofErr w:type="spellEnd"/>
      <w:r w:rsidR="00292DCF" w:rsidRPr="00BE23C5">
        <w:t>: early breast cancer;</w:t>
      </w:r>
      <w:r w:rsidR="00221D42" w:rsidRPr="00BE23C5">
        <w:t xml:space="preserve"> </w:t>
      </w:r>
      <w:proofErr w:type="spellStart"/>
      <w:r w:rsidR="00221D42" w:rsidRPr="00BE23C5">
        <w:t>iDFS</w:t>
      </w:r>
      <w:proofErr w:type="spellEnd"/>
      <w:r w:rsidR="00221D42" w:rsidRPr="00BE23C5">
        <w:t>: invasive disease free survival;</w:t>
      </w:r>
      <w:r w:rsidR="00292DCF" w:rsidRPr="00BE23C5">
        <w:t xml:space="preserve"> </w:t>
      </w:r>
      <w:r w:rsidR="0097298F" w:rsidRPr="00BE23C5">
        <w:t xml:space="preserve">DFS-DCIS: DFS including ductal carcinoma in situ; DDFS: Distant disease-free survival; TTDR: Time to distant recurrence; </w:t>
      </w:r>
      <w:r w:rsidR="00292DCF" w:rsidRPr="00BE23C5">
        <w:t xml:space="preserve">CNS: Central Nervous System; </w:t>
      </w:r>
      <w:r w:rsidR="0097298F" w:rsidRPr="00BE23C5">
        <w:t>FACT-B: Breast cancer-specific quality of life – FACT-B (version 4);</w:t>
      </w:r>
      <w:r w:rsidR="00A47281" w:rsidRPr="00BE23C5">
        <w:t xml:space="preserve"> </w:t>
      </w:r>
    </w:p>
    <w:p w:rsidR="00917E15" w:rsidRPr="00BE23C5" w:rsidRDefault="006C5325" w:rsidP="0097298F">
      <w:pPr>
        <w:pStyle w:val="TableFooter"/>
      </w:pPr>
      <w:proofErr w:type="gramStart"/>
      <w:r w:rsidRPr="00BE23C5">
        <w:rPr>
          <w:vertAlign w:val="superscript"/>
        </w:rPr>
        <w:t>a</w:t>
      </w:r>
      <w:proofErr w:type="gramEnd"/>
      <w:r w:rsidRPr="00BE23C5">
        <w:rPr>
          <w:vertAlign w:val="superscript"/>
        </w:rPr>
        <w:t xml:space="preserve"> </w:t>
      </w:r>
      <w:r w:rsidR="00A47281" w:rsidRPr="00BE23C5">
        <w:t xml:space="preserve">ITT: </w:t>
      </w:r>
      <w:r w:rsidR="004A2ABD" w:rsidRPr="00BE23C5">
        <w:t>Intent to treat</w:t>
      </w:r>
      <w:r w:rsidR="00917E15" w:rsidRPr="00BE23C5">
        <w:t xml:space="preserve">: The ITT population includes all randomised patients with the exceptions documented in the </w:t>
      </w:r>
      <w:r w:rsidR="00C06701" w:rsidRPr="00BE23C5">
        <w:t>statistical analysis plan (</w:t>
      </w:r>
      <w:r w:rsidR="00917E15" w:rsidRPr="00BE23C5">
        <w:t>SAP</w:t>
      </w:r>
      <w:r w:rsidR="00C06701" w:rsidRPr="00BE23C5">
        <w:t>)</w:t>
      </w:r>
      <w:r w:rsidR="00917E15" w:rsidRPr="00BE23C5">
        <w:t>. Patients were analysed by the randomised treatment arms regardless of the actual treatment received.</w:t>
      </w:r>
    </w:p>
    <w:p w:rsidR="0097298F" w:rsidRPr="00BE23C5" w:rsidRDefault="006C5325" w:rsidP="0097298F">
      <w:pPr>
        <w:pStyle w:val="TableFooter"/>
      </w:pPr>
      <w:proofErr w:type="gramStart"/>
      <w:r w:rsidRPr="00BE23C5">
        <w:rPr>
          <w:vertAlign w:val="superscript"/>
        </w:rPr>
        <w:t>b</w:t>
      </w:r>
      <w:proofErr w:type="gramEnd"/>
      <w:r w:rsidRPr="00BE23C5">
        <w:rPr>
          <w:vertAlign w:val="superscript"/>
        </w:rPr>
        <w:t xml:space="preserve"> </w:t>
      </w:r>
      <w:proofErr w:type="spellStart"/>
      <w:r w:rsidR="00E43762" w:rsidRPr="00BE23C5">
        <w:t>aITT</w:t>
      </w:r>
      <w:proofErr w:type="spellEnd"/>
      <w:r w:rsidR="00E43762" w:rsidRPr="00BE23C5">
        <w:t xml:space="preserve">: amended </w:t>
      </w:r>
      <w:r w:rsidR="004A2ABD" w:rsidRPr="00BE23C5">
        <w:t>Intent to treat</w:t>
      </w:r>
      <w:r w:rsidR="00917E15" w:rsidRPr="00BE23C5">
        <w:t xml:space="preserve">: The </w:t>
      </w:r>
      <w:proofErr w:type="spellStart"/>
      <w:r w:rsidR="00917E15" w:rsidRPr="00BE23C5">
        <w:t>aITT</w:t>
      </w:r>
      <w:proofErr w:type="spellEnd"/>
      <w:r w:rsidR="00917E15" w:rsidRPr="00BE23C5">
        <w:t xml:space="preserve"> population includes all patients randomised under global amendment 3 or later amendment, </w:t>
      </w:r>
      <w:r w:rsidR="00956DF3" w:rsidRPr="00BE23C5">
        <w:t>and</w:t>
      </w:r>
      <w:r w:rsidR="00917E15" w:rsidRPr="00BE23C5">
        <w:t xml:space="preserve"> patients randomised prior to implementation of global amendment 3 if they met the following key criteria: 1. patients with node-positive disease and 2. </w:t>
      </w:r>
      <w:proofErr w:type="gramStart"/>
      <w:r w:rsidR="00917E15" w:rsidRPr="00BE23C5">
        <w:t>patients</w:t>
      </w:r>
      <w:proofErr w:type="gramEnd"/>
      <w:r w:rsidR="00917E15" w:rsidRPr="00BE23C5">
        <w:t xml:space="preserve"> randomised within 1 year from completion of prior </w:t>
      </w:r>
      <w:proofErr w:type="spellStart"/>
      <w:r w:rsidR="00917E15" w:rsidRPr="00BE23C5">
        <w:t>trastuzumab</w:t>
      </w:r>
      <w:proofErr w:type="spellEnd"/>
      <w:r w:rsidR="00917E15" w:rsidRPr="00BE23C5">
        <w:t xml:space="preserve"> therapy.</w:t>
      </w:r>
    </w:p>
    <w:p w:rsidR="00917E15" w:rsidRPr="00BE23C5" w:rsidRDefault="006C5325" w:rsidP="0097298F">
      <w:pPr>
        <w:pStyle w:val="TableFooter"/>
      </w:pPr>
      <w:proofErr w:type="gramStart"/>
      <w:r w:rsidRPr="00BE23C5">
        <w:rPr>
          <w:vertAlign w:val="superscript"/>
        </w:rPr>
        <w:t>c</w:t>
      </w:r>
      <w:proofErr w:type="gramEnd"/>
      <w:r w:rsidRPr="00BE23C5">
        <w:rPr>
          <w:vertAlign w:val="superscript"/>
        </w:rPr>
        <w:t xml:space="preserve"> </w:t>
      </w:r>
      <w:r w:rsidR="00917E15" w:rsidRPr="00BE23C5">
        <w:t>Centrally-confirmed ERBB2-positive: The Centrally Confirmed erbB-2-Positive population includes all patients randomised who were confirmed by central testing to be erbB-2 positive.</w:t>
      </w:r>
    </w:p>
    <w:p w:rsidR="0097298F" w:rsidRPr="00BE23C5" w:rsidRDefault="0097298F" w:rsidP="0097298F">
      <w:pPr>
        <w:pStyle w:val="TableFooter"/>
      </w:pPr>
      <w:r w:rsidRPr="00BE23C5">
        <w:t xml:space="preserve">Source: compiled during the evaluation based on information provided in p40-43 of the submission </w:t>
      </w:r>
    </w:p>
    <w:p w:rsidR="00961820" w:rsidRPr="00BE23C5" w:rsidRDefault="00961820" w:rsidP="00992D88">
      <w:pPr>
        <w:pStyle w:val="ListParagraph"/>
        <w:widowControl/>
        <w:numPr>
          <w:ilvl w:val="1"/>
          <w:numId w:val="2"/>
        </w:numPr>
        <w:spacing w:before="120" w:after="120"/>
        <w:rPr>
          <w:rFonts w:asciiTheme="minorHAnsi" w:hAnsiTheme="minorHAnsi" w:cstheme="minorHAnsi"/>
          <w:i/>
        </w:rPr>
      </w:pPr>
      <w:r w:rsidRPr="00BE23C5">
        <w:t xml:space="preserve">There were 14 protocol amendments throughout the five years </w:t>
      </w:r>
      <w:r w:rsidR="000F653F" w:rsidRPr="00BE23C5">
        <w:t xml:space="preserve">of the </w:t>
      </w:r>
      <w:proofErr w:type="spellStart"/>
      <w:r w:rsidRPr="00BE23C5">
        <w:t>ExteNET</w:t>
      </w:r>
      <w:proofErr w:type="spellEnd"/>
      <w:r w:rsidRPr="00BE23C5">
        <w:t xml:space="preserve"> trial, of which six were global amendments.</w:t>
      </w:r>
      <w:r w:rsidR="00F008A3" w:rsidRPr="00BE23C5">
        <w:t xml:space="preserve"> </w:t>
      </w:r>
    </w:p>
    <w:p w:rsidR="00F008A3" w:rsidRPr="00BE23C5" w:rsidRDefault="00F008A3" w:rsidP="00992D88">
      <w:pPr>
        <w:pStyle w:val="ListParagraph"/>
        <w:widowControl/>
        <w:numPr>
          <w:ilvl w:val="1"/>
          <w:numId w:val="2"/>
        </w:numPr>
        <w:spacing w:before="120" w:after="120"/>
      </w:pPr>
      <w:r w:rsidRPr="00BE23C5">
        <w:t>The</w:t>
      </w:r>
      <w:r w:rsidR="00554C7C" w:rsidRPr="00BE23C5">
        <w:t xml:space="preserve"> ESC </w:t>
      </w:r>
      <w:r w:rsidR="00754B77" w:rsidRPr="00BE23C5">
        <w:t>considered</w:t>
      </w:r>
      <w:r w:rsidR="00554C7C" w:rsidRPr="00BE23C5">
        <w:t xml:space="preserve"> that the</w:t>
      </w:r>
      <w:r w:rsidRPr="00BE23C5">
        <w:t xml:space="preserve"> overall risk of bias of the </w:t>
      </w:r>
      <w:proofErr w:type="spellStart"/>
      <w:r w:rsidRPr="00BE23C5">
        <w:t>ExteNET</w:t>
      </w:r>
      <w:proofErr w:type="spellEnd"/>
      <w:r w:rsidRPr="00BE23C5">
        <w:t xml:space="preserve"> trial </w:t>
      </w:r>
      <w:r w:rsidR="00754B77" w:rsidRPr="00BE23C5">
        <w:t>was high</w:t>
      </w:r>
      <w:r w:rsidRPr="00BE23C5">
        <w:t xml:space="preserve"> for the following reasons: </w:t>
      </w:r>
    </w:p>
    <w:p w:rsidR="00F008A3" w:rsidRPr="00BE23C5" w:rsidRDefault="00F008A3" w:rsidP="00992D88">
      <w:pPr>
        <w:pStyle w:val="ListParagraph"/>
        <w:widowControl/>
        <w:numPr>
          <w:ilvl w:val="0"/>
          <w:numId w:val="5"/>
        </w:numPr>
        <w:spacing w:before="120" w:after="120"/>
        <w:ind w:left="1077" w:hanging="357"/>
      </w:pPr>
      <w:r w:rsidRPr="00BE23C5">
        <w:t xml:space="preserve">Amendment 3 revised the </w:t>
      </w:r>
      <w:proofErr w:type="spellStart"/>
      <w:r w:rsidRPr="00BE23C5">
        <w:t>ExteN</w:t>
      </w:r>
      <w:r w:rsidR="003E7998" w:rsidRPr="00BE23C5">
        <w:t>ET</w:t>
      </w:r>
      <w:proofErr w:type="spellEnd"/>
      <w:r w:rsidRPr="00BE23C5">
        <w:t xml:space="preserve"> trial eligibility criteria to include patients with </w:t>
      </w:r>
      <w:r w:rsidR="004D58F1" w:rsidRPr="00BE23C5">
        <w:t>Stage </w:t>
      </w:r>
      <w:r w:rsidRPr="00BE23C5">
        <w:t xml:space="preserve">2 </w:t>
      </w:r>
      <w:r w:rsidR="00942F81" w:rsidRPr="00BE23C5">
        <w:t xml:space="preserve">to </w:t>
      </w:r>
      <w:r w:rsidRPr="00BE23C5">
        <w:t xml:space="preserve">3c, node-positive breast cancer, who had completed prior </w:t>
      </w:r>
      <w:proofErr w:type="spellStart"/>
      <w:r w:rsidRPr="00BE23C5">
        <w:t>trastuzumab</w:t>
      </w:r>
      <w:proofErr w:type="spellEnd"/>
      <w:r w:rsidRPr="00BE23C5">
        <w:t xml:space="preserve"> therapy within 1 year. These changes restricted eligibility to a higher-risk population as </w:t>
      </w:r>
      <w:r w:rsidR="000F653F" w:rsidRPr="00BE23C5">
        <w:t xml:space="preserve">previous </w:t>
      </w:r>
      <w:r w:rsidRPr="00BE23C5">
        <w:t xml:space="preserve">studies found that </w:t>
      </w:r>
      <w:r w:rsidR="00D93E54" w:rsidRPr="00BE23C5">
        <w:t xml:space="preserve">1) </w:t>
      </w:r>
      <w:r w:rsidRPr="00BE23C5">
        <w:t xml:space="preserve">patients with node negative disease who received </w:t>
      </w:r>
      <w:proofErr w:type="spellStart"/>
      <w:r w:rsidRPr="00BE23C5">
        <w:t>trastuzumab</w:t>
      </w:r>
      <w:proofErr w:type="spellEnd"/>
      <w:r w:rsidR="00942F81" w:rsidRPr="00BE23C5">
        <w:t>-</w:t>
      </w:r>
      <w:r w:rsidRPr="00BE23C5">
        <w:t xml:space="preserve">based chemotherapy have a lower rate of recurrence </w:t>
      </w:r>
      <w:r w:rsidRPr="00BE23C5">
        <w:lastRenderedPageBreak/>
        <w:t xml:space="preserve">compared with node positive disease </w:t>
      </w:r>
      <w:r w:rsidR="00D93E54" w:rsidRPr="00BE23C5">
        <w:t>and</w:t>
      </w:r>
      <w:r w:rsidR="00634DE9" w:rsidRPr="00BE23C5">
        <w:t xml:space="preserve"> 2)</w:t>
      </w:r>
      <w:r w:rsidR="00D93E54" w:rsidRPr="00BE23C5">
        <w:t xml:space="preserve"> patients are at higher risk of recurrence closer to completion of adjuvant </w:t>
      </w:r>
      <w:proofErr w:type="spellStart"/>
      <w:r w:rsidR="00D93E54" w:rsidRPr="00BE23C5">
        <w:t>trastuzumab</w:t>
      </w:r>
      <w:proofErr w:type="spellEnd"/>
      <w:r w:rsidR="00D93E54" w:rsidRPr="00BE23C5">
        <w:t xml:space="preserve"> and that the risk of recurrence may decrease over time </w:t>
      </w:r>
      <w:r w:rsidRPr="00BE23C5">
        <w:t xml:space="preserve">(Perez et al. 2014; Perez et al. 2011; </w:t>
      </w:r>
      <w:proofErr w:type="spellStart"/>
      <w:r w:rsidRPr="00BE23C5">
        <w:t>Slamon</w:t>
      </w:r>
      <w:proofErr w:type="spellEnd"/>
      <w:r w:rsidRPr="00BE23C5">
        <w:t xml:space="preserve"> et al. 2016). These changes were</w:t>
      </w:r>
      <w:r w:rsidR="0077189F" w:rsidRPr="00BE23C5">
        <w:t xml:space="preserve"> intended to increase the </w:t>
      </w:r>
      <w:r w:rsidRPr="00BE23C5">
        <w:t xml:space="preserve">likelihood of trial success. These protocol amendments may have affected the </w:t>
      </w:r>
      <w:r w:rsidR="00286203" w:rsidRPr="00BE23C5">
        <w:t xml:space="preserve">applicability of the </w:t>
      </w:r>
      <w:r w:rsidR="008D6611" w:rsidRPr="00BE23C5">
        <w:t>efficacy</w:t>
      </w:r>
      <w:r w:rsidRPr="00BE23C5">
        <w:t xml:space="preserve"> results</w:t>
      </w:r>
      <w:r w:rsidR="0077189F" w:rsidRPr="00BE23C5">
        <w:t>,</w:t>
      </w:r>
      <w:r w:rsidRPr="00BE23C5">
        <w:t xml:space="preserve"> as node-positive patients </w:t>
      </w:r>
      <w:r w:rsidR="0077189F" w:rsidRPr="00BE23C5">
        <w:t>are likely to be</w:t>
      </w:r>
      <w:r w:rsidRPr="00BE23C5">
        <w:t xml:space="preserve"> over</w:t>
      </w:r>
      <w:r w:rsidR="006766BE" w:rsidRPr="00BE23C5">
        <w:t>-</w:t>
      </w:r>
      <w:r w:rsidR="0077189F" w:rsidRPr="00BE23C5">
        <w:t xml:space="preserve">represented </w:t>
      </w:r>
      <w:r w:rsidRPr="00BE23C5">
        <w:t xml:space="preserve">in the </w:t>
      </w:r>
      <w:proofErr w:type="spellStart"/>
      <w:r w:rsidRPr="00BE23C5">
        <w:t>ExteNET</w:t>
      </w:r>
      <w:proofErr w:type="spellEnd"/>
      <w:r w:rsidRPr="00BE23C5">
        <w:t xml:space="preserve"> trial. </w:t>
      </w:r>
    </w:p>
    <w:p w:rsidR="00F008A3" w:rsidRPr="00BE23C5" w:rsidRDefault="00F008A3" w:rsidP="00E1204B">
      <w:pPr>
        <w:pStyle w:val="ListParagraph"/>
        <w:widowControl/>
        <w:numPr>
          <w:ilvl w:val="0"/>
          <w:numId w:val="5"/>
        </w:numPr>
        <w:spacing w:before="120" w:after="120"/>
        <w:ind w:left="1077" w:hanging="357"/>
      </w:pPr>
      <w:r w:rsidRPr="00BE23C5">
        <w:t>Two protocol amendments (Amendment 9 &amp;</w:t>
      </w:r>
      <w:r w:rsidR="004A31B0" w:rsidRPr="00BE23C5">
        <w:t xml:space="preserve"> </w:t>
      </w:r>
      <w:r w:rsidRPr="00BE23C5">
        <w:t xml:space="preserve">13) revised key statistical analyses methods and the follow-up period. Protocol amendment 9 (14/10/2011) shortened the follow-up period from 5 years to 2 years. Protocol amendment 13 (16/1/2014) </w:t>
      </w:r>
      <w:r w:rsidR="009A643A" w:rsidRPr="00BE23C5">
        <w:t>re-</w:t>
      </w:r>
      <w:r w:rsidRPr="00BE23C5">
        <w:t>extended the follow-up period from 2 years</w:t>
      </w:r>
      <w:r w:rsidR="009A643A" w:rsidRPr="00BE23C5">
        <w:t xml:space="preserve"> back</w:t>
      </w:r>
      <w:r w:rsidRPr="00BE23C5">
        <w:t xml:space="preserve"> to 5 years. Patients who had discontinued follow-up at 2 years were asked to re</w:t>
      </w:r>
      <w:r w:rsidR="004A31B0" w:rsidRPr="00BE23C5">
        <w:t>-</w:t>
      </w:r>
      <w:r w:rsidRPr="00BE23C5">
        <w:t>consent to obtain survival data</w:t>
      </w:r>
      <w:r w:rsidR="00A47281" w:rsidRPr="00BE23C5">
        <w:t xml:space="preserve"> from their medical records. 74.5</w:t>
      </w:r>
      <w:r w:rsidRPr="00BE23C5">
        <w:t xml:space="preserve">% of patients re-consented. </w:t>
      </w:r>
      <w:r w:rsidR="001A17F9" w:rsidRPr="00BE23C5">
        <w:t>A comparison of t</w:t>
      </w:r>
      <w:r w:rsidRPr="00BE23C5">
        <w:t>he baseline characteristics of the patients who re</w:t>
      </w:r>
      <w:r w:rsidR="00335A49" w:rsidRPr="00BE23C5">
        <w:t>-</w:t>
      </w:r>
      <w:r w:rsidRPr="00BE23C5">
        <w:t xml:space="preserve">consented </w:t>
      </w:r>
      <w:r w:rsidR="009A643A" w:rsidRPr="00BE23C5">
        <w:t xml:space="preserve">compared to those who </w:t>
      </w:r>
      <w:r w:rsidR="00335A49" w:rsidRPr="00BE23C5">
        <w:t>did</w:t>
      </w:r>
      <w:r w:rsidRPr="00BE23C5">
        <w:t xml:space="preserve"> not re-consent </w:t>
      </w:r>
      <w:r w:rsidR="001A17F9" w:rsidRPr="00BE23C5">
        <w:t>was not provided, and it is unknown if the survival differed for consenting versus non-consenting patients</w:t>
      </w:r>
      <w:r w:rsidRPr="00BE23C5">
        <w:t xml:space="preserve">. </w:t>
      </w:r>
      <w:r w:rsidR="00956DF3" w:rsidRPr="00BE23C5">
        <w:t xml:space="preserve">The </w:t>
      </w:r>
      <w:r w:rsidR="00FF667B" w:rsidRPr="00BE23C5">
        <w:t>PSCR claimed</w:t>
      </w:r>
      <w:r w:rsidR="00956DF3" w:rsidRPr="00BE23C5">
        <w:t xml:space="preserve"> that baseline characteristics were comparable between consented and non-consented patients, however no further evidence was provided to support this statement. The PSCR noted that the </w:t>
      </w:r>
      <w:proofErr w:type="spellStart"/>
      <w:r w:rsidR="00956DF3" w:rsidRPr="00BE23C5">
        <w:t>iDFS</w:t>
      </w:r>
      <w:proofErr w:type="spellEnd"/>
      <w:r w:rsidR="00956DF3" w:rsidRPr="00BE23C5">
        <w:t xml:space="preserve"> HR at 2 years in non-</w:t>
      </w:r>
      <w:proofErr w:type="spellStart"/>
      <w:r w:rsidR="00956DF3" w:rsidRPr="00BE23C5">
        <w:t>reconsented</w:t>
      </w:r>
      <w:proofErr w:type="spellEnd"/>
      <w:r w:rsidR="00956DF3" w:rsidRPr="00BE23C5">
        <w:t xml:space="preserve"> patients (0.62, 95%CI: 0.41, 0.92) was comparable to </w:t>
      </w:r>
      <w:proofErr w:type="spellStart"/>
      <w:r w:rsidR="00956DF3" w:rsidRPr="00BE23C5">
        <w:t>iDFS</w:t>
      </w:r>
      <w:proofErr w:type="spellEnd"/>
      <w:r w:rsidR="00956DF3" w:rsidRPr="00BE23C5">
        <w:t xml:space="preserve"> for the ITT group at 2 years (0.68, 95%CI: 0.51, 0.91 from the PSCR or 0.66, 95%CI: 0.49, 0.90 from the submission). The ESC noted that this issue was most likely to have an impact on outcomes between two and five years rather than at two years and the characteristics of the non-censored patients compared with censored patients is still unknown. </w:t>
      </w:r>
      <w:r w:rsidRPr="00BE23C5">
        <w:t xml:space="preserve">The 5-year results may have favoured </w:t>
      </w:r>
      <w:proofErr w:type="spellStart"/>
      <w:r w:rsidRPr="00BE23C5">
        <w:t>neratinib</w:t>
      </w:r>
      <w:proofErr w:type="spellEnd"/>
      <w:r w:rsidRPr="00BE23C5">
        <w:t xml:space="preserve"> if patients who </w:t>
      </w:r>
      <w:r w:rsidR="00335A49" w:rsidRPr="00BE23C5">
        <w:t xml:space="preserve">did </w:t>
      </w:r>
      <w:r w:rsidRPr="00BE23C5">
        <w:t xml:space="preserve">not re-consent had a worse survival outcome compared with </w:t>
      </w:r>
      <w:r w:rsidR="00286203" w:rsidRPr="00BE23C5">
        <w:t>those</w:t>
      </w:r>
      <w:r w:rsidRPr="00BE23C5">
        <w:t xml:space="preserve"> wh</w:t>
      </w:r>
      <w:r w:rsidR="00A47281" w:rsidRPr="00BE23C5">
        <w:t>o re-consented</w:t>
      </w:r>
      <w:r w:rsidRPr="00BE23C5">
        <w:t xml:space="preserve">. </w:t>
      </w:r>
      <w:r w:rsidR="008D6611" w:rsidRPr="00BE23C5">
        <w:t>T</w:t>
      </w:r>
      <w:r w:rsidRPr="00BE23C5">
        <w:t xml:space="preserve">he amendments </w:t>
      </w:r>
      <w:r w:rsidR="009A643A" w:rsidRPr="00BE23C5">
        <w:t xml:space="preserve">to the </w:t>
      </w:r>
      <w:r w:rsidRPr="00BE23C5">
        <w:t xml:space="preserve">follow-up period are unlikely to affect the adverse events and quality of life measures given that these outcomes were </w:t>
      </w:r>
      <w:r w:rsidR="009A643A" w:rsidRPr="00BE23C5">
        <w:t xml:space="preserve">only </w:t>
      </w:r>
      <w:r w:rsidRPr="00BE23C5">
        <w:t xml:space="preserve">measured during the </w:t>
      </w:r>
      <w:r w:rsidR="00286203" w:rsidRPr="00BE23C5">
        <w:t xml:space="preserve">one year </w:t>
      </w:r>
      <w:r w:rsidRPr="00BE23C5">
        <w:t>course of treatment.</w:t>
      </w:r>
      <w:r w:rsidR="00CD37E7" w:rsidRPr="00BE23C5">
        <w:t xml:space="preserve"> </w:t>
      </w:r>
    </w:p>
    <w:p w:rsidR="00575F33" w:rsidRPr="00BE23C5" w:rsidRDefault="00F008A3" w:rsidP="00E1204B">
      <w:pPr>
        <w:pStyle w:val="ListParagraph"/>
        <w:widowControl/>
        <w:numPr>
          <w:ilvl w:val="0"/>
          <w:numId w:val="5"/>
        </w:numPr>
        <w:spacing w:after="120"/>
        <w:ind w:left="1077" w:hanging="357"/>
      </w:pPr>
      <w:r w:rsidRPr="00BE23C5">
        <w:t xml:space="preserve">Patients and investigators are likely to have been </w:t>
      </w:r>
      <w:proofErr w:type="spellStart"/>
      <w:r w:rsidRPr="00BE23C5">
        <w:t>unblinded</w:t>
      </w:r>
      <w:proofErr w:type="spellEnd"/>
      <w:r w:rsidRPr="00BE23C5">
        <w:t xml:space="preserve"> to treatment allocation as 95.4% of patients </w:t>
      </w:r>
      <w:r w:rsidR="004A2ABD" w:rsidRPr="00BE23C5">
        <w:t xml:space="preserve">experienced diarrhoea with </w:t>
      </w:r>
      <w:proofErr w:type="spellStart"/>
      <w:r w:rsidRPr="00BE23C5">
        <w:t>neratinib</w:t>
      </w:r>
      <w:proofErr w:type="spellEnd"/>
      <w:r w:rsidRPr="00BE23C5">
        <w:t xml:space="preserve"> </w:t>
      </w:r>
      <w:r w:rsidR="004A2ABD" w:rsidRPr="00BE23C5">
        <w:t>versus</w:t>
      </w:r>
      <w:r w:rsidRPr="00BE23C5">
        <w:t xml:space="preserve"> 35% </w:t>
      </w:r>
      <w:r w:rsidR="004A2ABD" w:rsidRPr="00BE23C5">
        <w:t>with</w:t>
      </w:r>
      <w:r w:rsidRPr="00BE23C5">
        <w:t xml:space="preserve"> placebo. This is less likely to affect the objective health outcomes such as </w:t>
      </w:r>
      <w:proofErr w:type="spellStart"/>
      <w:r w:rsidRPr="00BE23C5">
        <w:t>iDFS</w:t>
      </w:r>
      <w:proofErr w:type="spellEnd"/>
      <w:r w:rsidR="004A2ABD" w:rsidRPr="00BE23C5">
        <w:t xml:space="preserve">, but may bias </w:t>
      </w:r>
      <w:r w:rsidRPr="00BE23C5">
        <w:t>subjective outcomes, including adverse events and quality of life measures.</w:t>
      </w:r>
    </w:p>
    <w:p w:rsidR="00512EC9" w:rsidRPr="00BE23C5" w:rsidRDefault="002C60AA" w:rsidP="00E1204B">
      <w:pPr>
        <w:pStyle w:val="ListParagraph"/>
        <w:widowControl/>
        <w:numPr>
          <w:ilvl w:val="1"/>
          <w:numId w:val="2"/>
        </w:numPr>
        <w:spacing w:after="120"/>
      </w:pPr>
      <w:r w:rsidRPr="00BE23C5">
        <w:t xml:space="preserve">The PSCR stated that changes in the eligibility criteria were carried out to enrich the study population with a higher risk of recurrence to better represent the potential patient population. </w:t>
      </w:r>
      <w:r w:rsidR="005B0125" w:rsidRPr="00BE23C5">
        <w:t xml:space="preserve">The ESC considered that although the magnitude and direction of change due to these protocol amendments were not able to be determined, overall they appeared to bias the comparison in favour of </w:t>
      </w:r>
      <w:proofErr w:type="spellStart"/>
      <w:r w:rsidR="005B0125" w:rsidRPr="00BE23C5">
        <w:t>neratinib</w:t>
      </w:r>
      <w:proofErr w:type="spellEnd"/>
      <w:r w:rsidR="002A4F8C" w:rsidRPr="00BE23C5">
        <w:t xml:space="preserve"> because changes impacted on the proportion of patients with stage 1 and node negative disease</w:t>
      </w:r>
      <w:r w:rsidR="005B0125" w:rsidRPr="00BE23C5">
        <w:t xml:space="preserve"> and therefore the treatment effect for </w:t>
      </w:r>
      <w:proofErr w:type="spellStart"/>
      <w:r w:rsidR="005B0125" w:rsidRPr="00BE23C5">
        <w:t>neratinib</w:t>
      </w:r>
      <w:proofErr w:type="spellEnd"/>
      <w:r w:rsidR="005B0125" w:rsidRPr="00BE23C5">
        <w:t xml:space="preserve"> was likely to be overestimated.</w:t>
      </w:r>
    </w:p>
    <w:p w:rsidR="00AA0AFE" w:rsidRPr="00BE23C5" w:rsidRDefault="00512EC9" w:rsidP="00E1204B">
      <w:pPr>
        <w:pStyle w:val="ListParagraph"/>
        <w:widowControl/>
        <w:numPr>
          <w:ilvl w:val="1"/>
          <w:numId w:val="2"/>
        </w:numPr>
        <w:spacing w:after="120"/>
      </w:pPr>
      <w:r w:rsidRPr="00BE23C5">
        <w:lastRenderedPageBreak/>
        <w:t xml:space="preserve">The ESC noted the PSCR did not address differences </w:t>
      </w:r>
      <w:r w:rsidR="00E829DD" w:rsidRPr="00BE23C5">
        <w:t xml:space="preserve">between the </w:t>
      </w:r>
      <w:r w:rsidRPr="00BE23C5">
        <w:t xml:space="preserve">populations of the </w:t>
      </w:r>
      <w:proofErr w:type="spellStart"/>
      <w:r w:rsidRPr="00BE23C5">
        <w:t>ExteNET</w:t>
      </w:r>
      <w:proofErr w:type="spellEnd"/>
      <w:r w:rsidRPr="00BE23C5">
        <w:t xml:space="preserve"> trial and the Australian setting such as the proportion of patients with positive lymph node status, the proportion of patients with stage 1 disease, duration of </w:t>
      </w:r>
      <w:proofErr w:type="spellStart"/>
      <w:r w:rsidRPr="00BE23C5">
        <w:t>trastuzumab</w:t>
      </w:r>
      <w:proofErr w:type="spellEnd"/>
      <w:r w:rsidRPr="00BE23C5">
        <w:t xml:space="preserve"> treatment prior to </w:t>
      </w:r>
      <w:proofErr w:type="spellStart"/>
      <w:r w:rsidRPr="00BE23C5">
        <w:t>neratinib</w:t>
      </w:r>
      <w:proofErr w:type="spellEnd"/>
      <w:r w:rsidR="00504BC2" w:rsidRPr="00BE23C5">
        <w:t xml:space="preserve">, </w:t>
      </w:r>
      <w:r w:rsidRPr="00BE23C5">
        <w:t xml:space="preserve">or the proportion of patients who received </w:t>
      </w:r>
      <w:proofErr w:type="spellStart"/>
      <w:r w:rsidRPr="00BE23C5">
        <w:t>neoadjuvant</w:t>
      </w:r>
      <w:proofErr w:type="spellEnd"/>
      <w:r w:rsidRPr="00BE23C5">
        <w:t xml:space="preserve"> </w:t>
      </w:r>
      <w:proofErr w:type="spellStart"/>
      <w:r w:rsidRPr="00BE23C5">
        <w:t>trastuzumab</w:t>
      </w:r>
      <w:proofErr w:type="spellEnd"/>
      <w:r w:rsidRPr="00BE23C5">
        <w:t>.</w:t>
      </w:r>
    </w:p>
    <w:p w:rsidR="00575F33" w:rsidRPr="00BE23C5" w:rsidRDefault="00575F33" w:rsidP="00E1204B">
      <w:pPr>
        <w:pStyle w:val="Heading2"/>
        <w:keepNext/>
        <w:spacing w:after="120"/>
      </w:pPr>
      <w:bookmarkStart w:id="10" w:name="_Toc535857350"/>
      <w:r w:rsidRPr="00BE23C5">
        <w:t>Comparative effectiveness</w:t>
      </w:r>
      <w:bookmarkEnd w:id="10"/>
    </w:p>
    <w:p w:rsidR="0002791F" w:rsidRPr="00BE23C5" w:rsidRDefault="00C6263D" w:rsidP="00E1204B">
      <w:pPr>
        <w:pStyle w:val="ListParagraph"/>
        <w:keepNext/>
        <w:keepLines/>
        <w:widowControl/>
        <w:numPr>
          <w:ilvl w:val="1"/>
          <w:numId w:val="2"/>
        </w:numPr>
        <w:spacing w:after="120"/>
      </w:pPr>
      <w:r w:rsidRPr="00BE23C5">
        <w:t xml:space="preserve">Table </w:t>
      </w:r>
      <w:r w:rsidR="00C41CD3" w:rsidRPr="00BE23C5">
        <w:t>5</w:t>
      </w:r>
      <w:r w:rsidR="00575F33" w:rsidRPr="00BE23C5">
        <w:t xml:space="preserve"> presents the results of the </w:t>
      </w:r>
      <w:proofErr w:type="spellStart"/>
      <w:r w:rsidR="00575F33" w:rsidRPr="00BE23C5">
        <w:t>iDFS</w:t>
      </w:r>
      <w:proofErr w:type="spellEnd"/>
      <w:r w:rsidR="00575F33" w:rsidRPr="00BE23C5">
        <w:t xml:space="preserve"> </w:t>
      </w:r>
      <w:r w:rsidR="003045F8" w:rsidRPr="00BE23C5">
        <w:t xml:space="preserve">for </w:t>
      </w:r>
      <w:r w:rsidR="00575F33" w:rsidRPr="00BE23C5">
        <w:t>the ITT</w:t>
      </w:r>
      <w:r w:rsidR="003045F8" w:rsidRPr="00BE23C5">
        <w:t xml:space="preserve"> population</w:t>
      </w:r>
      <w:r w:rsidR="00575F33" w:rsidRPr="00BE23C5">
        <w:t xml:space="preserve">, </w:t>
      </w:r>
      <w:proofErr w:type="spellStart"/>
      <w:r w:rsidR="00575F33" w:rsidRPr="00BE23C5">
        <w:t>aITT</w:t>
      </w:r>
      <w:proofErr w:type="spellEnd"/>
      <w:r w:rsidR="003045F8" w:rsidRPr="00BE23C5">
        <w:t xml:space="preserve"> population</w:t>
      </w:r>
      <w:r w:rsidR="00575F33" w:rsidRPr="00BE23C5">
        <w:t xml:space="preserve">, and centrally-confirmed </w:t>
      </w:r>
      <w:r w:rsidR="001E1E71" w:rsidRPr="00BE23C5">
        <w:t>receptor tyrosine-protein kinase erbB-2 (</w:t>
      </w:r>
      <w:r w:rsidR="00575F33" w:rsidRPr="00BE23C5">
        <w:t>ERBB2</w:t>
      </w:r>
      <w:r w:rsidR="001E1E71" w:rsidRPr="00BE23C5">
        <w:t>)</w:t>
      </w:r>
      <w:r w:rsidR="00575F33" w:rsidRPr="00BE23C5">
        <w:t xml:space="preserve"> positive populations</w:t>
      </w:r>
      <w:r w:rsidR="00FA049E" w:rsidRPr="00BE23C5">
        <w:t xml:space="preserve"> (i.e. HER+ population)</w:t>
      </w:r>
      <w:r w:rsidR="00575F33" w:rsidRPr="00BE23C5">
        <w:t xml:space="preserve">, and the sensitivity analyses of the </w:t>
      </w:r>
      <w:proofErr w:type="spellStart"/>
      <w:r w:rsidR="00575F33" w:rsidRPr="00BE23C5">
        <w:t>iDFS</w:t>
      </w:r>
      <w:proofErr w:type="spellEnd"/>
      <w:r w:rsidR="00575F33" w:rsidRPr="00BE23C5">
        <w:t xml:space="preserve"> </w:t>
      </w:r>
      <w:r w:rsidR="003045F8" w:rsidRPr="00BE23C5">
        <w:t xml:space="preserve">for </w:t>
      </w:r>
      <w:r w:rsidR="00575F33" w:rsidRPr="00BE23C5">
        <w:t>the ITT population.</w:t>
      </w:r>
    </w:p>
    <w:p w:rsidR="00575F33" w:rsidRPr="00BE23C5" w:rsidRDefault="00575F33" w:rsidP="00575F33">
      <w:pPr>
        <w:keepNext/>
        <w:widowControl/>
        <w:rPr>
          <w:rFonts w:ascii="Arial Narrow" w:hAnsi="Arial Narrow"/>
          <w:b/>
          <w:sz w:val="20"/>
        </w:rPr>
      </w:pPr>
      <w:r w:rsidRPr="00BE23C5">
        <w:rPr>
          <w:rFonts w:ascii="Arial Narrow" w:hAnsi="Arial Narrow"/>
          <w:b/>
          <w:sz w:val="20"/>
        </w:rPr>
        <w:t xml:space="preserve">Table </w:t>
      </w:r>
      <w:r w:rsidR="004F734A" w:rsidRPr="00BE23C5">
        <w:rPr>
          <w:rFonts w:ascii="Arial Narrow" w:hAnsi="Arial Narrow"/>
          <w:b/>
          <w:sz w:val="20"/>
        </w:rPr>
        <w:t>5</w:t>
      </w:r>
      <w:r w:rsidRPr="00BE23C5">
        <w:rPr>
          <w:rFonts w:ascii="Arial Narrow" w:hAnsi="Arial Narrow"/>
          <w:b/>
          <w:sz w:val="20"/>
        </w:rPr>
        <w:t xml:space="preserve">: Results of </w:t>
      </w:r>
      <w:proofErr w:type="spellStart"/>
      <w:r w:rsidRPr="00BE23C5">
        <w:rPr>
          <w:rFonts w:ascii="Arial Narrow" w:hAnsi="Arial Narrow"/>
          <w:b/>
          <w:sz w:val="20"/>
        </w:rPr>
        <w:t>iDFS</w:t>
      </w:r>
      <w:proofErr w:type="spellEnd"/>
      <w:r w:rsidRPr="00BE23C5">
        <w:rPr>
          <w:rFonts w:ascii="Arial Narrow" w:hAnsi="Arial Narrow"/>
          <w:b/>
          <w:sz w:val="20"/>
        </w:rPr>
        <w:t xml:space="preserve"> of the </w:t>
      </w:r>
      <w:proofErr w:type="spellStart"/>
      <w:r w:rsidRPr="00BE23C5">
        <w:rPr>
          <w:rFonts w:ascii="Arial Narrow" w:hAnsi="Arial Narrow"/>
          <w:b/>
          <w:sz w:val="20"/>
        </w:rPr>
        <w:t>ExteNET</w:t>
      </w:r>
      <w:proofErr w:type="spellEnd"/>
      <w:r w:rsidRPr="00BE23C5">
        <w:rPr>
          <w:rFonts w:ascii="Arial Narrow" w:hAnsi="Arial Narrow"/>
          <w:b/>
          <w:sz w:val="20"/>
        </w:rPr>
        <w:t xml:space="preserve"> trial across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Results of iDFS of the ExteNET trial across the trials"/>
      </w:tblPr>
      <w:tblGrid>
        <w:gridCol w:w="1837"/>
        <w:gridCol w:w="2269"/>
        <w:gridCol w:w="2267"/>
        <w:gridCol w:w="709"/>
        <w:gridCol w:w="848"/>
        <w:gridCol w:w="1087"/>
      </w:tblGrid>
      <w:tr w:rsidR="004B5120" w:rsidRPr="00BE23C5" w:rsidTr="000A577A">
        <w:trPr>
          <w:tblHeader/>
        </w:trPr>
        <w:tc>
          <w:tcPr>
            <w:tcW w:w="1019" w:type="pct"/>
            <w:vMerge w:val="restart"/>
            <w:tcMar>
              <w:left w:w="28" w:type="dxa"/>
              <w:right w:w="28" w:type="dxa"/>
            </w:tcMar>
            <w:vAlign w:val="center"/>
          </w:tcPr>
          <w:p w:rsidR="004B5120" w:rsidRPr="00BE23C5" w:rsidRDefault="004B5120" w:rsidP="00033521">
            <w:pPr>
              <w:pStyle w:val="Tabletext"/>
              <w:keepNext/>
              <w:keepLines/>
              <w:rPr>
                <w:b/>
              </w:rPr>
            </w:pPr>
            <w:r w:rsidRPr="00BE23C5">
              <w:rPr>
                <w:b/>
              </w:rPr>
              <w:t>Population</w:t>
            </w:r>
          </w:p>
        </w:tc>
        <w:tc>
          <w:tcPr>
            <w:tcW w:w="1258" w:type="pct"/>
            <w:tcMar>
              <w:left w:w="28" w:type="dxa"/>
              <w:right w:w="28" w:type="dxa"/>
            </w:tcMar>
            <w:vAlign w:val="center"/>
          </w:tcPr>
          <w:p w:rsidR="004B5120" w:rsidRPr="00BE23C5" w:rsidRDefault="004B5120" w:rsidP="00033521">
            <w:pPr>
              <w:pStyle w:val="Tabletext"/>
              <w:keepNext/>
              <w:keepLines/>
              <w:jc w:val="center"/>
              <w:rPr>
                <w:b/>
              </w:rPr>
            </w:pPr>
            <w:proofErr w:type="spellStart"/>
            <w:r w:rsidRPr="00BE23C5">
              <w:rPr>
                <w:b/>
              </w:rPr>
              <w:t>Neratinib</w:t>
            </w:r>
            <w:proofErr w:type="spellEnd"/>
          </w:p>
        </w:tc>
        <w:tc>
          <w:tcPr>
            <w:tcW w:w="1257" w:type="pct"/>
            <w:tcMar>
              <w:left w:w="28" w:type="dxa"/>
              <w:right w:w="28" w:type="dxa"/>
            </w:tcMar>
            <w:vAlign w:val="center"/>
          </w:tcPr>
          <w:p w:rsidR="004B5120" w:rsidRPr="00BE23C5" w:rsidRDefault="004B5120" w:rsidP="00033521">
            <w:pPr>
              <w:pStyle w:val="Tabletext"/>
              <w:keepNext/>
              <w:keepLines/>
              <w:jc w:val="center"/>
              <w:rPr>
                <w:b/>
              </w:rPr>
            </w:pPr>
            <w:r w:rsidRPr="00BE23C5">
              <w:rPr>
                <w:b/>
              </w:rPr>
              <w:t>Placebo</w:t>
            </w:r>
          </w:p>
        </w:tc>
        <w:tc>
          <w:tcPr>
            <w:tcW w:w="393" w:type="pct"/>
            <w:vMerge w:val="restart"/>
            <w:tcMar>
              <w:left w:w="28" w:type="dxa"/>
              <w:right w:w="28" w:type="dxa"/>
            </w:tcMar>
            <w:vAlign w:val="center"/>
          </w:tcPr>
          <w:p w:rsidR="004B5120" w:rsidRPr="00BE23C5" w:rsidRDefault="004B5120" w:rsidP="00033521">
            <w:pPr>
              <w:pStyle w:val="Tabletext"/>
              <w:keepNext/>
              <w:keepLines/>
              <w:jc w:val="center"/>
              <w:rPr>
                <w:b/>
              </w:rPr>
            </w:pPr>
            <w:r w:rsidRPr="00BE23C5">
              <w:rPr>
                <w:b/>
              </w:rPr>
              <w:t>RD</w:t>
            </w:r>
            <w:r w:rsidR="00C45051" w:rsidRPr="00BE23C5">
              <w:rPr>
                <w:b/>
              </w:rPr>
              <w:t>*</w:t>
            </w:r>
          </w:p>
        </w:tc>
        <w:tc>
          <w:tcPr>
            <w:tcW w:w="470" w:type="pct"/>
            <w:vMerge w:val="restart"/>
            <w:tcMar>
              <w:left w:w="28" w:type="dxa"/>
              <w:right w:w="28" w:type="dxa"/>
            </w:tcMar>
            <w:vAlign w:val="center"/>
          </w:tcPr>
          <w:p w:rsidR="004B5120" w:rsidRPr="00BE23C5" w:rsidRDefault="004B5120" w:rsidP="00033521">
            <w:pPr>
              <w:pStyle w:val="Tabletext"/>
              <w:keepNext/>
              <w:keepLines/>
              <w:jc w:val="center"/>
              <w:rPr>
                <w:b/>
              </w:rPr>
            </w:pPr>
            <w:r w:rsidRPr="00BE23C5">
              <w:rPr>
                <w:b/>
              </w:rPr>
              <w:t>P value</w:t>
            </w:r>
          </w:p>
          <w:p w:rsidR="004B5120" w:rsidRPr="00BE23C5" w:rsidRDefault="004B5120" w:rsidP="00033521">
            <w:pPr>
              <w:pStyle w:val="Tabletext"/>
              <w:keepNext/>
              <w:keepLines/>
              <w:jc w:val="center"/>
              <w:rPr>
                <w:b/>
              </w:rPr>
            </w:pPr>
            <w:r w:rsidRPr="00BE23C5">
              <w:rPr>
                <w:b/>
              </w:rPr>
              <w:t>(log rank test)</w:t>
            </w:r>
          </w:p>
        </w:tc>
        <w:tc>
          <w:tcPr>
            <w:tcW w:w="603" w:type="pct"/>
            <w:vMerge w:val="restart"/>
            <w:tcMar>
              <w:left w:w="28" w:type="dxa"/>
              <w:right w:w="28" w:type="dxa"/>
            </w:tcMar>
            <w:vAlign w:val="center"/>
          </w:tcPr>
          <w:p w:rsidR="004B5120" w:rsidRPr="00BE23C5" w:rsidRDefault="004B5120" w:rsidP="00033521">
            <w:pPr>
              <w:pStyle w:val="Tabletext"/>
              <w:keepNext/>
              <w:keepLines/>
              <w:jc w:val="center"/>
              <w:rPr>
                <w:b/>
              </w:rPr>
            </w:pPr>
            <w:r w:rsidRPr="00BE23C5">
              <w:rPr>
                <w:b/>
              </w:rPr>
              <w:t>Hazard ratio (95% CI)</w:t>
            </w:r>
          </w:p>
        </w:tc>
      </w:tr>
      <w:tr w:rsidR="004B5120" w:rsidRPr="00BE23C5" w:rsidTr="000A577A">
        <w:tc>
          <w:tcPr>
            <w:tcW w:w="1019" w:type="pct"/>
            <w:vMerge/>
            <w:tcMar>
              <w:left w:w="28" w:type="dxa"/>
              <w:right w:w="28" w:type="dxa"/>
            </w:tcMar>
            <w:vAlign w:val="center"/>
          </w:tcPr>
          <w:p w:rsidR="004B5120" w:rsidRPr="00BE23C5" w:rsidRDefault="004B5120" w:rsidP="00033521">
            <w:pPr>
              <w:pStyle w:val="Tabletext"/>
              <w:keepNext/>
              <w:keepLines/>
            </w:pPr>
          </w:p>
        </w:tc>
        <w:tc>
          <w:tcPr>
            <w:tcW w:w="1258" w:type="pct"/>
            <w:tcMar>
              <w:left w:w="28" w:type="dxa"/>
              <w:right w:w="28" w:type="dxa"/>
            </w:tcMar>
            <w:vAlign w:val="center"/>
          </w:tcPr>
          <w:p w:rsidR="004B5120" w:rsidRPr="00BE23C5" w:rsidRDefault="002074BF" w:rsidP="000A577A">
            <w:pPr>
              <w:pStyle w:val="Tabletext"/>
              <w:keepNext/>
              <w:keepLines/>
              <w:jc w:val="center"/>
              <w:rPr>
                <w:b/>
              </w:rPr>
            </w:pPr>
            <w:r w:rsidRPr="00BE23C5">
              <w:rPr>
                <w:b/>
              </w:rPr>
              <w:t xml:space="preserve">Events: </w:t>
            </w:r>
            <w:r w:rsidR="004B5120" w:rsidRPr="00BE23C5">
              <w:rPr>
                <w:b/>
              </w:rPr>
              <w:t>n/N (%)</w:t>
            </w:r>
          </w:p>
          <w:p w:rsidR="002074BF" w:rsidRPr="00BE23C5" w:rsidRDefault="002074BF" w:rsidP="000A577A">
            <w:pPr>
              <w:pStyle w:val="Tabletext"/>
              <w:keepNext/>
              <w:keepLines/>
              <w:jc w:val="center"/>
              <w:rPr>
                <w:b/>
              </w:rPr>
            </w:pPr>
            <w:r w:rsidRPr="00BE23C5">
              <w:rPr>
                <w:b/>
              </w:rPr>
              <w:t xml:space="preserve">% </w:t>
            </w:r>
            <w:proofErr w:type="spellStart"/>
            <w:r w:rsidRPr="00BE23C5">
              <w:rPr>
                <w:b/>
              </w:rPr>
              <w:t>iDFS</w:t>
            </w:r>
            <w:proofErr w:type="spellEnd"/>
            <w:r w:rsidRPr="00BE23C5">
              <w:rPr>
                <w:b/>
              </w:rPr>
              <w:t xml:space="preserve"> (95% CI)</w:t>
            </w:r>
          </w:p>
        </w:tc>
        <w:tc>
          <w:tcPr>
            <w:tcW w:w="1257" w:type="pct"/>
            <w:tcMar>
              <w:left w:w="28" w:type="dxa"/>
              <w:right w:w="28" w:type="dxa"/>
            </w:tcMar>
            <w:vAlign w:val="center"/>
          </w:tcPr>
          <w:p w:rsidR="004B5120" w:rsidRPr="00BE23C5" w:rsidRDefault="004B5120" w:rsidP="000A577A">
            <w:pPr>
              <w:pStyle w:val="Tabletext"/>
              <w:keepNext/>
              <w:keepLines/>
              <w:jc w:val="center"/>
              <w:rPr>
                <w:b/>
              </w:rPr>
            </w:pPr>
            <w:proofErr w:type="gramStart"/>
            <w:r w:rsidRPr="00BE23C5">
              <w:rPr>
                <w:b/>
              </w:rPr>
              <w:t>n/N</w:t>
            </w:r>
            <w:proofErr w:type="gramEnd"/>
            <w:r w:rsidRPr="00BE23C5">
              <w:rPr>
                <w:b/>
              </w:rPr>
              <w:t xml:space="preserve"> (%)</w:t>
            </w:r>
          </w:p>
          <w:p w:rsidR="002074BF" w:rsidRPr="00BE23C5" w:rsidRDefault="002074BF" w:rsidP="000A577A">
            <w:pPr>
              <w:pStyle w:val="Tabletext"/>
              <w:keepNext/>
              <w:keepLines/>
              <w:jc w:val="center"/>
              <w:rPr>
                <w:b/>
              </w:rPr>
            </w:pPr>
            <w:r w:rsidRPr="00BE23C5">
              <w:rPr>
                <w:b/>
              </w:rPr>
              <w:t xml:space="preserve">% </w:t>
            </w:r>
            <w:proofErr w:type="spellStart"/>
            <w:r w:rsidRPr="00BE23C5">
              <w:rPr>
                <w:b/>
              </w:rPr>
              <w:t>iDFS</w:t>
            </w:r>
            <w:proofErr w:type="spellEnd"/>
            <w:r w:rsidRPr="00BE23C5">
              <w:rPr>
                <w:b/>
              </w:rPr>
              <w:t xml:space="preserve"> (95% CI)</w:t>
            </w:r>
          </w:p>
        </w:tc>
        <w:tc>
          <w:tcPr>
            <w:tcW w:w="393" w:type="pct"/>
            <w:vMerge/>
            <w:tcMar>
              <w:left w:w="28" w:type="dxa"/>
              <w:right w:w="28" w:type="dxa"/>
            </w:tcMar>
            <w:vAlign w:val="center"/>
          </w:tcPr>
          <w:p w:rsidR="004B5120" w:rsidRPr="00BE23C5" w:rsidRDefault="004B5120" w:rsidP="00033521">
            <w:pPr>
              <w:pStyle w:val="Tabletext"/>
              <w:keepNext/>
              <w:keepLines/>
              <w:jc w:val="center"/>
            </w:pPr>
          </w:p>
        </w:tc>
        <w:tc>
          <w:tcPr>
            <w:tcW w:w="470" w:type="pct"/>
            <w:vMerge/>
            <w:tcMar>
              <w:left w:w="28" w:type="dxa"/>
              <w:right w:w="28" w:type="dxa"/>
            </w:tcMar>
            <w:vAlign w:val="center"/>
          </w:tcPr>
          <w:p w:rsidR="004B5120" w:rsidRPr="00BE23C5" w:rsidRDefault="004B5120" w:rsidP="00033521">
            <w:pPr>
              <w:pStyle w:val="Tabletext"/>
              <w:keepNext/>
              <w:keepLines/>
              <w:jc w:val="center"/>
              <w:rPr>
                <w:b/>
              </w:rPr>
            </w:pPr>
          </w:p>
        </w:tc>
        <w:tc>
          <w:tcPr>
            <w:tcW w:w="603" w:type="pct"/>
            <w:vMerge/>
            <w:tcMar>
              <w:left w:w="28" w:type="dxa"/>
              <w:right w:w="28" w:type="dxa"/>
            </w:tcMar>
            <w:vAlign w:val="center"/>
          </w:tcPr>
          <w:p w:rsidR="004B5120" w:rsidRPr="00BE23C5" w:rsidRDefault="004B5120" w:rsidP="00033521">
            <w:pPr>
              <w:pStyle w:val="Tabletext"/>
              <w:keepNext/>
              <w:keepLines/>
              <w:jc w:val="center"/>
            </w:pPr>
          </w:p>
        </w:tc>
      </w:tr>
      <w:tr w:rsidR="0002791F" w:rsidRPr="00BE23C5" w:rsidTr="000A577A">
        <w:tc>
          <w:tcPr>
            <w:tcW w:w="5000" w:type="pct"/>
            <w:gridSpan w:val="6"/>
            <w:tcMar>
              <w:left w:w="28" w:type="dxa"/>
              <w:right w:w="28" w:type="dxa"/>
            </w:tcMar>
            <w:vAlign w:val="center"/>
          </w:tcPr>
          <w:p w:rsidR="0002791F" w:rsidRPr="00BE23C5" w:rsidRDefault="0002791F" w:rsidP="00033521">
            <w:pPr>
              <w:pStyle w:val="Tabletext"/>
              <w:keepNext/>
              <w:keepLines/>
              <w:rPr>
                <w:b/>
              </w:rPr>
            </w:pPr>
            <w:r w:rsidRPr="00BE23C5">
              <w:rPr>
                <w:b/>
              </w:rPr>
              <w:t xml:space="preserve">Primary analysis </w:t>
            </w:r>
          </w:p>
        </w:tc>
      </w:tr>
      <w:tr w:rsidR="004B5120" w:rsidRPr="00BE23C5" w:rsidTr="000A577A">
        <w:tc>
          <w:tcPr>
            <w:tcW w:w="1019" w:type="pct"/>
            <w:tcMar>
              <w:left w:w="28" w:type="dxa"/>
              <w:right w:w="28" w:type="dxa"/>
            </w:tcMar>
            <w:vAlign w:val="center"/>
          </w:tcPr>
          <w:p w:rsidR="00253444" w:rsidRPr="00BE23C5" w:rsidRDefault="00253444" w:rsidP="00033521">
            <w:pPr>
              <w:pStyle w:val="Tabletext"/>
              <w:keepNext/>
              <w:keepLines/>
            </w:pPr>
            <w:r w:rsidRPr="00BE23C5">
              <w:t>ITT (7 July 2014) (at 2 years)</w:t>
            </w:r>
          </w:p>
        </w:tc>
        <w:tc>
          <w:tcPr>
            <w:tcW w:w="1258" w:type="pct"/>
            <w:tcMar>
              <w:left w:w="28" w:type="dxa"/>
              <w:right w:w="28" w:type="dxa"/>
            </w:tcMar>
            <w:vAlign w:val="center"/>
          </w:tcPr>
          <w:p w:rsidR="00253444" w:rsidRPr="00BE23C5" w:rsidRDefault="00E179F8" w:rsidP="00033521">
            <w:pPr>
              <w:pStyle w:val="Tabletext"/>
              <w:keepNext/>
              <w:keepLines/>
              <w:jc w:val="center"/>
            </w:pPr>
            <w:r w:rsidRPr="00BE23C5">
              <w:t xml:space="preserve">Events: </w:t>
            </w:r>
            <w:r w:rsidR="00253444" w:rsidRPr="00BE23C5">
              <w:t>67/1420 (4.7%)</w:t>
            </w:r>
          </w:p>
          <w:p w:rsidR="004B5120" w:rsidRPr="00BE23C5" w:rsidRDefault="004B5120" w:rsidP="00033521">
            <w:pPr>
              <w:pStyle w:val="Tabletext"/>
              <w:keepNext/>
              <w:keepLines/>
              <w:jc w:val="center"/>
            </w:pPr>
            <w:r w:rsidRPr="00BE23C5">
              <w:t>KM: 94.2 (92.6, 95.4)</w:t>
            </w:r>
          </w:p>
        </w:tc>
        <w:tc>
          <w:tcPr>
            <w:tcW w:w="1257" w:type="pct"/>
            <w:tcMar>
              <w:left w:w="28" w:type="dxa"/>
              <w:right w:w="28" w:type="dxa"/>
            </w:tcMar>
            <w:vAlign w:val="center"/>
          </w:tcPr>
          <w:p w:rsidR="004B5120" w:rsidRPr="00BE23C5" w:rsidRDefault="00E179F8" w:rsidP="00033521">
            <w:pPr>
              <w:pStyle w:val="Tabletext"/>
              <w:keepNext/>
              <w:keepLines/>
              <w:jc w:val="center"/>
            </w:pPr>
            <w:r w:rsidRPr="00BE23C5">
              <w:t xml:space="preserve">Events: </w:t>
            </w:r>
            <w:r w:rsidR="00253444" w:rsidRPr="00BE23C5">
              <w:t>106/1420 (7.5%)</w:t>
            </w:r>
          </w:p>
          <w:p w:rsidR="004B5120" w:rsidRPr="00BE23C5" w:rsidRDefault="004B5120" w:rsidP="00033521">
            <w:pPr>
              <w:pStyle w:val="Tabletext"/>
              <w:keepNext/>
              <w:keepLines/>
              <w:jc w:val="center"/>
              <w:rPr>
                <w:i/>
              </w:rPr>
            </w:pPr>
            <w:r w:rsidRPr="00BE23C5">
              <w:rPr>
                <w:rStyle w:val="Emphasis"/>
                <w:i w:val="0"/>
              </w:rPr>
              <w:t>KM: 91.</w:t>
            </w:r>
            <w:r w:rsidR="00756999" w:rsidRPr="00BE23C5">
              <w:rPr>
                <w:rStyle w:val="Emphasis"/>
                <w:i w:val="0"/>
              </w:rPr>
              <w:t>9</w:t>
            </w:r>
            <w:r w:rsidRPr="00BE23C5">
              <w:rPr>
                <w:rStyle w:val="Emphasis"/>
                <w:i w:val="0"/>
              </w:rPr>
              <w:t xml:space="preserve"> (90.</w:t>
            </w:r>
            <w:r w:rsidR="00756999" w:rsidRPr="00BE23C5">
              <w:rPr>
                <w:rStyle w:val="Emphasis"/>
                <w:i w:val="0"/>
              </w:rPr>
              <w:t>2</w:t>
            </w:r>
            <w:r w:rsidRPr="00BE23C5">
              <w:rPr>
                <w:rStyle w:val="Emphasis"/>
                <w:i w:val="0"/>
              </w:rPr>
              <w:t>, 93.</w:t>
            </w:r>
            <w:r w:rsidR="00756999" w:rsidRPr="00BE23C5">
              <w:rPr>
                <w:rStyle w:val="Emphasis"/>
                <w:i w:val="0"/>
              </w:rPr>
              <w:t>2</w:t>
            </w:r>
            <w:r w:rsidRPr="00BE23C5">
              <w:rPr>
                <w:rStyle w:val="Emphasis"/>
                <w:i w:val="0"/>
              </w:rPr>
              <w:t>)</w:t>
            </w:r>
          </w:p>
        </w:tc>
        <w:tc>
          <w:tcPr>
            <w:tcW w:w="393" w:type="pct"/>
            <w:tcMar>
              <w:left w:w="28" w:type="dxa"/>
              <w:right w:w="28" w:type="dxa"/>
            </w:tcMar>
            <w:vAlign w:val="center"/>
          </w:tcPr>
          <w:p w:rsidR="00253444" w:rsidRPr="00BE23C5" w:rsidRDefault="00253444" w:rsidP="00033521">
            <w:pPr>
              <w:pStyle w:val="Tabletext"/>
              <w:keepNext/>
              <w:keepLines/>
              <w:jc w:val="center"/>
            </w:pPr>
            <w:r w:rsidRPr="00BE23C5">
              <w:t>2.</w:t>
            </w:r>
            <w:r w:rsidR="009E1976" w:rsidRPr="00BE23C5">
              <w:t>3</w:t>
            </w:r>
            <w:r w:rsidRPr="00BE23C5">
              <w:t>%</w:t>
            </w:r>
          </w:p>
        </w:tc>
        <w:tc>
          <w:tcPr>
            <w:tcW w:w="470" w:type="pct"/>
            <w:tcMar>
              <w:left w:w="28" w:type="dxa"/>
              <w:right w:w="28" w:type="dxa"/>
            </w:tcMar>
            <w:vAlign w:val="center"/>
          </w:tcPr>
          <w:p w:rsidR="00253444" w:rsidRPr="00BE23C5" w:rsidRDefault="00253444" w:rsidP="00033521">
            <w:pPr>
              <w:pStyle w:val="Tabletext"/>
              <w:keepNext/>
              <w:keepLines/>
              <w:jc w:val="center"/>
            </w:pPr>
            <w:r w:rsidRPr="00BE23C5">
              <w:t>0.004</w:t>
            </w:r>
          </w:p>
        </w:tc>
        <w:tc>
          <w:tcPr>
            <w:tcW w:w="603" w:type="pct"/>
            <w:tcMar>
              <w:left w:w="28" w:type="dxa"/>
              <w:right w:w="28" w:type="dxa"/>
            </w:tcMar>
            <w:vAlign w:val="center"/>
          </w:tcPr>
          <w:p w:rsidR="00E179F8" w:rsidRPr="00BE23C5" w:rsidRDefault="00253444" w:rsidP="00033521">
            <w:pPr>
              <w:pStyle w:val="Tabletext"/>
              <w:keepNext/>
              <w:keepLines/>
              <w:jc w:val="center"/>
              <w:rPr>
                <w:b/>
              </w:rPr>
            </w:pPr>
            <w:r w:rsidRPr="00BE23C5">
              <w:rPr>
                <w:b/>
              </w:rPr>
              <w:t>0.66</w:t>
            </w:r>
          </w:p>
          <w:p w:rsidR="00253444" w:rsidRPr="00BE23C5" w:rsidRDefault="00253444" w:rsidP="00033521">
            <w:pPr>
              <w:pStyle w:val="Tabletext"/>
              <w:keepNext/>
              <w:keepLines/>
              <w:jc w:val="center"/>
              <w:rPr>
                <w:b/>
              </w:rPr>
            </w:pPr>
            <w:r w:rsidRPr="00BE23C5">
              <w:rPr>
                <w:b/>
              </w:rPr>
              <w:t>(0.49, 0.90)</w:t>
            </w:r>
          </w:p>
        </w:tc>
      </w:tr>
      <w:tr w:rsidR="00E179F8" w:rsidRPr="00BE23C5" w:rsidTr="000A577A">
        <w:tc>
          <w:tcPr>
            <w:tcW w:w="1019" w:type="pct"/>
            <w:tcMar>
              <w:left w:w="28" w:type="dxa"/>
              <w:right w:w="28" w:type="dxa"/>
            </w:tcMar>
            <w:vAlign w:val="center"/>
          </w:tcPr>
          <w:p w:rsidR="00253444" w:rsidRPr="00BE23C5" w:rsidRDefault="00253444" w:rsidP="00033521">
            <w:pPr>
              <w:pStyle w:val="Tabletext"/>
              <w:keepNext/>
              <w:keepLines/>
            </w:pPr>
            <w:r w:rsidRPr="00BE23C5">
              <w:t>ITT (1 March 2017) (at 2 years)</w:t>
            </w:r>
          </w:p>
        </w:tc>
        <w:tc>
          <w:tcPr>
            <w:tcW w:w="1258" w:type="pct"/>
            <w:tcMar>
              <w:left w:w="28" w:type="dxa"/>
              <w:right w:w="28" w:type="dxa"/>
            </w:tcMar>
            <w:vAlign w:val="center"/>
          </w:tcPr>
          <w:p w:rsidR="00E179F8" w:rsidRPr="00BE23C5" w:rsidRDefault="00E179F8" w:rsidP="00033521">
            <w:pPr>
              <w:pStyle w:val="Tabletext"/>
              <w:keepNext/>
              <w:keepLines/>
              <w:jc w:val="center"/>
            </w:pPr>
            <w:r w:rsidRPr="00BE23C5">
              <w:t xml:space="preserve">Events: </w:t>
            </w:r>
            <w:r w:rsidR="00253444" w:rsidRPr="00BE23C5">
              <w:t>76/1420 (5.4%)</w:t>
            </w:r>
          </w:p>
          <w:p w:rsidR="004B5120" w:rsidRPr="00BE23C5" w:rsidRDefault="004B5120" w:rsidP="00033521">
            <w:pPr>
              <w:pStyle w:val="Tabletext"/>
              <w:keepNext/>
              <w:keepLines/>
              <w:jc w:val="center"/>
            </w:pPr>
            <w:r w:rsidRPr="00BE23C5">
              <w:t>KM: 94.</w:t>
            </w:r>
            <w:r w:rsidR="003D222A" w:rsidRPr="00BE23C5">
              <w:t>3</w:t>
            </w:r>
            <w:r w:rsidRPr="00BE23C5">
              <w:t xml:space="preserve"> (92.</w:t>
            </w:r>
            <w:r w:rsidR="003D222A" w:rsidRPr="00BE23C5">
              <w:t>9</w:t>
            </w:r>
            <w:r w:rsidRPr="00BE23C5">
              <w:t>, 95.4)</w:t>
            </w:r>
          </w:p>
        </w:tc>
        <w:tc>
          <w:tcPr>
            <w:tcW w:w="1257" w:type="pct"/>
            <w:tcMar>
              <w:left w:w="28" w:type="dxa"/>
              <w:right w:w="28" w:type="dxa"/>
            </w:tcMar>
            <w:vAlign w:val="center"/>
          </w:tcPr>
          <w:p w:rsidR="00E179F8" w:rsidRPr="00BE23C5" w:rsidRDefault="00E179F8" w:rsidP="00033521">
            <w:pPr>
              <w:pStyle w:val="Tabletext"/>
              <w:keepNext/>
              <w:keepLines/>
              <w:jc w:val="center"/>
            </w:pPr>
            <w:r w:rsidRPr="00BE23C5">
              <w:t xml:space="preserve">Events: </w:t>
            </w:r>
            <w:r w:rsidR="00253444" w:rsidRPr="00BE23C5">
              <w:t>114/1420 (8.0%)</w:t>
            </w:r>
          </w:p>
          <w:p w:rsidR="003D222A" w:rsidRPr="00BE23C5" w:rsidRDefault="003D222A" w:rsidP="00033521">
            <w:pPr>
              <w:pStyle w:val="Tabletext"/>
              <w:keepNext/>
              <w:keepLines/>
              <w:jc w:val="center"/>
            </w:pPr>
            <w:r w:rsidRPr="00BE23C5">
              <w:t>KM: 91.7 (90.1, 93.1)</w:t>
            </w:r>
          </w:p>
        </w:tc>
        <w:tc>
          <w:tcPr>
            <w:tcW w:w="393" w:type="pct"/>
            <w:tcMar>
              <w:left w:w="28" w:type="dxa"/>
              <w:right w:w="28" w:type="dxa"/>
            </w:tcMar>
            <w:vAlign w:val="center"/>
          </w:tcPr>
          <w:p w:rsidR="00253444" w:rsidRPr="00BE23C5" w:rsidRDefault="00253444" w:rsidP="00033521">
            <w:pPr>
              <w:pStyle w:val="Tabletext"/>
              <w:keepNext/>
              <w:keepLines/>
              <w:jc w:val="center"/>
            </w:pPr>
            <w:r w:rsidRPr="00BE23C5">
              <w:t>2.6%</w:t>
            </w:r>
          </w:p>
        </w:tc>
        <w:tc>
          <w:tcPr>
            <w:tcW w:w="470" w:type="pct"/>
            <w:tcMar>
              <w:left w:w="28" w:type="dxa"/>
              <w:right w:w="28" w:type="dxa"/>
            </w:tcMar>
            <w:vAlign w:val="center"/>
          </w:tcPr>
          <w:p w:rsidR="00253444" w:rsidRPr="00BE23C5" w:rsidRDefault="00253444" w:rsidP="00033521">
            <w:pPr>
              <w:pStyle w:val="Tabletext"/>
              <w:keepNext/>
              <w:keepLines/>
              <w:jc w:val="center"/>
            </w:pPr>
            <w:r w:rsidRPr="00BE23C5">
              <w:t>0.004</w:t>
            </w:r>
          </w:p>
        </w:tc>
        <w:tc>
          <w:tcPr>
            <w:tcW w:w="603" w:type="pct"/>
            <w:tcMar>
              <w:left w:w="28" w:type="dxa"/>
              <w:right w:w="28" w:type="dxa"/>
            </w:tcMar>
            <w:vAlign w:val="center"/>
          </w:tcPr>
          <w:p w:rsidR="00E179F8" w:rsidRPr="00BE23C5" w:rsidRDefault="00253444" w:rsidP="00033521">
            <w:pPr>
              <w:pStyle w:val="Tabletext"/>
              <w:keepNext/>
              <w:keepLines/>
              <w:jc w:val="center"/>
              <w:rPr>
                <w:b/>
              </w:rPr>
            </w:pPr>
            <w:r w:rsidRPr="00BE23C5">
              <w:rPr>
                <w:b/>
              </w:rPr>
              <w:t>0.68</w:t>
            </w:r>
          </w:p>
          <w:p w:rsidR="00253444" w:rsidRPr="00BE23C5" w:rsidRDefault="00253444" w:rsidP="00033521">
            <w:pPr>
              <w:pStyle w:val="Tabletext"/>
              <w:keepNext/>
              <w:keepLines/>
              <w:jc w:val="center"/>
              <w:rPr>
                <w:b/>
              </w:rPr>
            </w:pPr>
            <w:r w:rsidRPr="00BE23C5">
              <w:rPr>
                <w:b/>
              </w:rPr>
              <w:t>(0.51, 0.91)</w:t>
            </w:r>
          </w:p>
        </w:tc>
      </w:tr>
      <w:tr w:rsidR="00E179F8" w:rsidRPr="00BE23C5" w:rsidTr="000A577A">
        <w:tc>
          <w:tcPr>
            <w:tcW w:w="1019" w:type="pct"/>
            <w:tcMar>
              <w:left w:w="28" w:type="dxa"/>
              <w:right w:w="28" w:type="dxa"/>
            </w:tcMar>
            <w:vAlign w:val="center"/>
          </w:tcPr>
          <w:p w:rsidR="00253444" w:rsidRPr="00BE23C5" w:rsidRDefault="00253444" w:rsidP="00033521">
            <w:pPr>
              <w:pStyle w:val="Tabletext"/>
              <w:keepNext/>
              <w:keepLines/>
            </w:pPr>
            <w:r w:rsidRPr="00BE23C5">
              <w:t>ITT (1 March 2017) (at 5 years)</w:t>
            </w:r>
          </w:p>
        </w:tc>
        <w:tc>
          <w:tcPr>
            <w:tcW w:w="1258" w:type="pct"/>
            <w:tcMar>
              <w:left w:w="28" w:type="dxa"/>
              <w:right w:w="28" w:type="dxa"/>
            </w:tcMar>
            <w:vAlign w:val="center"/>
          </w:tcPr>
          <w:p w:rsidR="00253444" w:rsidRPr="00BE23C5" w:rsidRDefault="00E179F8" w:rsidP="00033521">
            <w:pPr>
              <w:pStyle w:val="Tabletext"/>
              <w:keepNext/>
              <w:keepLines/>
              <w:jc w:val="center"/>
            </w:pPr>
            <w:r w:rsidRPr="00BE23C5">
              <w:t xml:space="preserve">Events: </w:t>
            </w:r>
            <w:r w:rsidR="00253444" w:rsidRPr="00BE23C5">
              <w:t>116/1420 (8.2%)</w:t>
            </w:r>
          </w:p>
          <w:p w:rsidR="00E179F8" w:rsidRPr="00BE23C5" w:rsidRDefault="00E179F8" w:rsidP="00033521">
            <w:pPr>
              <w:pStyle w:val="Tabletext"/>
              <w:keepNext/>
              <w:keepLines/>
              <w:jc w:val="center"/>
            </w:pPr>
            <w:r w:rsidRPr="00BE23C5">
              <w:t xml:space="preserve">KM: </w:t>
            </w:r>
            <w:r w:rsidRPr="00BE23C5">
              <w:rPr>
                <w:rStyle w:val="Emphasis"/>
                <w:i w:val="0"/>
              </w:rPr>
              <w:t>90.2 (88.3, 91.8)</w:t>
            </w:r>
          </w:p>
        </w:tc>
        <w:tc>
          <w:tcPr>
            <w:tcW w:w="1257" w:type="pct"/>
            <w:tcMar>
              <w:left w:w="28" w:type="dxa"/>
              <w:right w:w="28" w:type="dxa"/>
            </w:tcMar>
            <w:vAlign w:val="center"/>
          </w:tcPr>
          <w:p w:rsidR="00253444" w:rsidRPr="00BE23C5" w:rsidRDefault="00E179F8" w:rsidP="00033521">
            <w:pPr>
              <w:pStyle w:val="Tabletext"/>
              <w:keepNext/>
              <w:keepLines/>
              <w:jc w:val="center"/>
            </w:pPr>
            <w:r w:rsidRPr="00BE23C5">
              <w:t xml:space="preserve">Events: </w:t>
            </w:r>
            <w:r w:rsidR="00253444" w:rsidRPr="00BE23C5">
              <w:t>163/1420 (11.5%)</w:t>
            </w:r>
          </w:p>
          <w:p w:rsidR="00E179F8" w:rsidRPr="00BE23C5" w:rsidRDefault="00E179F8" w:rsidP="00033521">
            <w:pPr>
              <w:pStyle w:val="Tabletext"/>
              <w:keepNext/>
              <w:keepLines/>
              <w:jc w:val="center"/>
            </w:pPr>
            <w:r w:rsidRPr="00BE23C5">
              <w:rPr>
                <w:rStyle w:val="Emphasis"/>
                <w:i w:val="0"/>
              </w:rPr>
              <w:t>KM: 87.7 (85.7, 89.4)</w:t>
            </w:r>
          </w:p>
        </w:tc>
        <w:tc>
          <w:tcPr>
            <w:tcW w:w="393" w:type="pct"/>
            <w:tcMar>
              <w:left w:w="28" w:type="dxa"/>
              <w:right w:w="28" w:type="dxa"/>
            </w:tcMar>
            <w:vAlign w:val="center"/>
          </w:tcPr>
          <w:p w:rsidR="00253444" w:rsidRPr="00BE23C5" w:rsidRDefault="009E1976" w:rsidP="00033521">
            <w:pPr>
              <w:pStyle w:val="Tabletext"/>
              <w:keepNext/>
              <w:keepLines/>
              <w:jc w:val="center"/>
            </w:pPr>
            <w:r w:rsidRPr="00BE23C5">
              <w:t>2.5</w:t>
            </w:r>
            <w:r w:rsidR="00253444" w:rsidRPr="00BE23C5">
              <w:t>%</w:t>
            </w:r>
          </w:p>
        </w:tc>
        <w:tc>
          <w:tcPr>
            <w:tcW w:w="470" w:type="pct"/>
            <w:tcMar>
              <w:left w:w="28" w:type="dxa"/>
              <w:right w:w="28" w:type="dxa"/>
            </w:tcMar>
            <w:vAlign w:val="center"/>
          </w:tcPr>
          <w:p w:rsidR="00253444" w:rsidRPr="00BE23C5" w:rsidRDefault="00253444" w:rsidP="00033521">
            <w:pPr>
              <w:pStyle w:val="Tabletext"/>
              <w:keepNext/>
              <w:keepLines/>
              <w:jc w:val="center"/>
            </w:pPr>
            <w:r w:rsidRPr="00BE23C5">
              <w:t>0.004</w:t>
            </w:r>
          </w:p>
        </w:tc>
        <w:tc>
          <w:tcPr>
            <w:tcW w:w="603" w:type="pct"/>
            <w:tcMar>
              <w:left w:w="28" w:type="dxa"/>
              <w:right w:w="28" w:type="dxa"/>
            </w:tcMar>
            <w:vAlign w:val="center"/>
          </w:tcPr>
          <w:p w:rsidR="00E179F8" w:rsidRPr="00BE23C5" w:rsidRDefault="00253444" w:rsidP="00033521">
            <w:pPr>
              <w:pStyle w:val="Tabletext"/>
              <w:keepNext/>
              <w:keepLines/>
              <w:jc w:val="center"/>
              <w:rPr>
                <w:b/>
              </w:rPr>
            </w:pPr>
            <w:r w:rsidRPr="00BE23C5">
              <w:rPr>
                <w:b/>
              </w:rPr>
              <w:t>0.73</w:t>
            </w:r>
          </w:p>
          <w:p w:rsidR="00253444" w:rsidRPr="00BE23C5" w:rsidRDefault="00253444" w:rsidP="00033521">
            <w:pPr>
              <w:pStyle w:val="Tabletext"/>
              <w:keepNext/>
              <w:keepLines/>
              <w:jc w:val="center"/>
              <w:rPr>
                <w:b/>
              </w:rPr>
            </w:pPr>
            <w:r w:rsidRPr="00BE23C5">
              <w:rPr>
                <w:b/>
              </w:rPr>
              <w:t>(0.57, 0.92)</w:t>
            </w:r>
          </w:p>
        </w:tc>
      </w:tr>
      <w:tr w:rsidR="00124A4D" w:rsidRPr="00BE23C5" w:rsidTr="000A577A">
        <w:tc>
          <w:tcPr>
            <w:tcW w:w="1019" w:type="pct"/>
            <w:tcMar>
              <w:left w:w="28" w:type="dxa"/>
              <w:right w:w="28" w:type="dxa"/>
            </w:tcMar>
            <w:vAlign w:val="center"/>
          </w:tcPr>
          <w:p w:rsidR="00253444" w:rsidRPr="00BE23C5" w:rsidRDefault="00253444" w:rsidP="00033521">
            <w:pPr>
              <w:pStyle w:val="Tabletext"/>
              <w:keepNext/>
              <w:keepLines/>
            </w:pPr>
            <w:proofErr w:type="spellStart"/>
            <w:r w:rsidRPr="00BE23C5">
              <w:t>aITT</w:t>
            </w:r>
            <w:proofErr w:type="spellEnd"/>
            <w:r w:rsidRPr="00BE23C5">
              <w:t xml:space="preserve"> (7 July 2014) (at 2 years)</w:t>
            </w:r>
          </w:p>
        </w:tc>
        <w:tc>
          <w:tcPr>
            <w:tcW w:w="1258" w:type="pct"/>
            <w:tcMar>
              <w:left w:w="28" w:type="dxa"/>
              <w:right w:w="28" w:type="dxa"/>
            </w:tcMar>
            <w:vAlign w:val="center"/>
          </w:tcPr>
          <w:p w:rsidR="00253444" w:rsidRPr="00BE23C5" w:rsidRDefault="00E62743" w:rsidP="00033521">
            <w:pPr>
              <w:pStyle w:val="Tabletext"/>
              <w:keepNext/>
              <w:keepLines/>
              <w:jc w:val="center"/>
            </w:pPr>
            <w:r w:rsidRPr="00BE23C5">
              <w:t xml:space="preserve">Events: </w:t>
            </w:r>
            <w:r w:rsidR="00253444" w:rsidRPr="00BE23C5">
              <w:t>53/938 (5.7%)</w:t>
            </w:r>
          </w:p>
          <w:p w:rsidR="00124A4D" w:rsidRPr="00BE23C5" w:rsidRDefault="00124A4D" w:rsidP="00033521">
            <w:pPr>
              <w:keepNext/>
              <w:keepLines/>
              <w:widowControl/>
              <w:autoSpaceDE w:val="0"/>
              <w:autoSpaceDN w:val="0"/>
              <w:adjustRightInd w:val="0"/>
              <w:jc w:val="center"/>
            </w:pPr>
            <w:r w:rsidRPr="00BE23C5">
              <w:rPr>
                <w:rFonts w:ascii="Arial Narrow" w:hAnsi="Arial Narrow" w:cs="Times New Roman"/>
                <w:snapToGrid/>
                <w:sz w:val="20"/>
              </w:rPr>
              <w:t>KM: 93.1 (91.1,94.7)</w:t>
            </w:r>
          </w:p>
        </w:tc>
        <w:tc>
          <w:tcPr>
            <w:tcW w:w="1257" w:type="pct"/>
            <w:tcMar>
              <w:left w:w="28" w:type="dxa"/>
              <w:right w:w="28" w:type="dxa"/>
            </w:tcMar>
            <w:vAlign w:val="center"/>
          </w:tcPr>
          <w:p w:rsidR="00253444" w:rsidRPr="00BE23C5" w:rsidRDefault="00E62743" w:rsidP="00033521">
            <w:pPr>
              <w:pStyle w:val="Tabletext"/>
              <w:keepNext/>
              <w:keepLines/>
              <w:jc w:val="center"/>
            </w:pPr>
            <w:r w:rsidRPr="00BE23C5">
              <w:t xml:space="preserve">Events: </w:t>
            </w:r>
            <w:r w:rsidR="00253444" w:rsidRPr="00BE23C5">
              <w:t>84/935 (9.0%)</w:t>
            </w:r>
          </w:p>
          <w:p w:rsidR="00124A4D" w:rsidRPr="00BE23C5" w:rsidRDefault="00124A4D" w:rsidP="00033521">
            <w:pPr>
              <w:keepNext/>
              <w:keepLines/>
              <w:widowControl/>
              <w:autoSpaceDE w:val="0"/>
              <w:autoSpaceDN w:val="0"/>
              <w:adjustRightInd w:val="0"/>
              <w:jc w:val="center"/>
            </w:pPr>
            <w:r w:rsidRPr="00BE23C5">
              <w:rPr>
                <w:rFonts w:ascii="Arial Narrow" w:hAnsi="Arial Narrow" w:cs="Times New Roman"/>
                <w:snapToGrid/>
                <w:sz w:val="20"/>
              </w:rPr>
              <w:t>KM: 90.1 (87.9,92.0)</w:t>
            </w:r>
          </w:p>
        </w:tc>
        <w:tc>
          <w:tcPr>
            <w:tcW w:w="393" w:type="pct"/>
            <w:tcMar>
              <w:left w:w="28" w:type="dxa"/>
              <w:right w:w="28" w:type="dxa"/>
            </w:tcMar>
            <w:vAlign w:val="center"/>
          </w:tcPr>
          <w:p w:rsidR="00253444" w:rsidRPr="00BE23C5" w:rsidRDefault="00253444" w:rsidP="00033521">
            <w:pPr>
              <w:pStyle w:val="Tabletext"/>
              <w:keepNext/>
              <w:keepLines/>
              <w:jc w:val="center"/>
            </w:pPr>
            <w:r w:rsidRPr="00BE23C5">
              <w:t>3.</w:t>
            </w:r>
            <w:r w:rsidR="00124A4D" w:rsidRPr="00BE23C5">
              <w:t>0</w:t>
            </w:r>
            <w:r w:rsidRPr="00BE23C5">
              <w:t>%</w:t>
            </w:r>
          </w:p>
        </w:tc>
        <w:tc>
          <w:tcPr>
            <w:tcW w:w="470" w:type="pct"/>
            <w:tcMar>
              <w:left w:w="28" w:type="dxa"/>
              <w:right w:w="28" w:type="dxa"/>
            </w:tcMar>
            <w:vAlign w:val="center"/>
          </w:tcPr>
          <w:p w:rsidR="00253444" w:rsidRPr="00BE23C5" w:rsidRDefault="00253444" w:rsidP="00033521">
            <w:pPr>
              <w:pStyle w:val="Tabletext"/>
              <w:keepNext/>
              <w:keepLines/>
              <w:jc w:val="center"/>
            </w:pPr>
            <w:r w:rsidRPr="00BE23C5">
              <w:t>0.007</w:t>
            </w:r>
          </w:p>
        </w:tc>
        <w:tc>
          <w:tcPr>
            <w:tcW w:w="603" w:type="pct"/>
            <w:tcMar>
              <w:left w:w="28" w:type="dxa"/>
              <w:right w:w="28" w:type="dxa"/>
            </w:tcMar>
            <w:vAlign w:val="center"/>
          </w:tcPr>
          <w:p w:rsidR="00E179F8" w:rsidRPr="00BE23C5" w:rsidRDefault="00253444" w:rsidP="00033521">
            <w:pPr>
              <w:pStyle w:val="Tabletext"/>
              <w:keepNext/>
              <w:keepLines/>
              <w:jc w:val="center"/>
              <w:rPr>
                <w:b/>
              </w:rPr>
            </w:pPr>
            <w:r w:rsidRPr="00BE23C5">
              <w:rPr>
                <w:b/>
              </w:rPr>
              <w:t>0.65</w:t>
            </w:r>
          </w:p>
          <w:p w:rsidR="00253444" w:rsidRPr="00BE23C5" w:rsidRDefault="00253444" w:rsidP="00033521">
            <w:pPr>
              <w:pStyle w:val="Tabletext"/>
              <w:keepNext/>
              <w:keepLines/>
              <w:jc w:val="center"/>
              <w:rPr>
                <w:b/>
              </w:rPr>
            </w:pPr>
            <w:r w:rsidRPr="00BE23C5">
              <w:rPr>
                <w:b/>
              </w:rPr>
              <w:t>(0.46, 0.92)</w:t>
            </w:r>
          </w:p>
        </w:tc>
      </w:tr>
      <w:tr w:rsidR="00E179F8" w:rsidRPr="00BE23C5" w:rsidTr="000A577A">
        <w:tc>
          <w:tcPr>
            <w:tcW w:w="1019" w:type="pct"/>
            <w:tcMar>
              <w:left w:w="28" w:type="dxa"/>
              <w:right w:w="28" w:type="dxa"/>
            </w:tcMar>
            <w:vAlign w:val="center"/>
          </w:tcPr>
          <w:p w:rsidR="00253444" w:rsidRPr="00BE23C5" w:rsidRDefault="00253444" w:rsidP="002074BF">
            <w:pPr>
              <w:pStyle w:val="Tabletext"/>
              <w:keepNext/>
              <w:keepLines/>
            </w:pPr>
            <w:r w:rsidRPr="00BE23C5">
              <w:t>Centrally confirmed ERBB2-positive (7 July 2014) (</w:t>
            </w:r>
            <w:r w:rsidR="002074BF" w:rsidRPr="00BE23C5">
              <w:t xml:space="preserve">at </w:t>
            </w:r>
            <w:r w:rsidRPr="00BE23C5">
              <w:t>2 year</w:t>
            </w:r>
            <w:r w:rsidR="002074BF" w:rsidRPr="00BE23C5">
              <w:t>s</w:t>
            </w:r>
            <w:r w:rsidRPr="00BE23C5">
              <w:t>)</w:t>
            </w:r>
          </w:p>
        </w:tc>
        <w:tc>
          <w:tcPr>
            <w:tcW w:w="1258" w:type="pct"/>
            <w:tcMar>
              <w:left w:w="28" w:type="dxa"/>
              <w:right w:w="28" w:type="dxa"/>
            </w:tcMar>
            <w:vAlign w:val="center"/>
          </w:tcPr>
          <w:p w:rsidR="00253444" w:rsidRPr="00BE23C5" w:rsidRDefault="00E62743" w:rsidP="00033521">
            <w:pPr>
              <w:pStyle w:val="Tabletext"/>
              <w:keepNext/>
              <w:keepLines/>
              <w:jc w:val="center"/>
            </w:pPr>
            <w:r w:rsidRPr="00BE23C5">
              <w:t xml:space="preserve">Events: </w:t>
            </w:r>
            <w:r w:rsidR="00253444" w:rsidRPr="00BE23C5">
              <w:t>32/741 (4.3%)</w:t>
            </w:r>
          </w:p>
          <w:p w:rsidR="00124A4D" w:rsidRPr="00BE23C5" w:rsidRDefault="00124A4D" w:rsidP="00033521">
            <w:pPr>
              <w:keepNext/>
              <w:keepLines/>
              <w:widowControl/>
              <w:autoSpaceDE w:val="0"/>
              <w:autoSpaceDN w:val="0"/>
              <w:adjustRightInd w:val="0"/>
              <w:jc w:val="center"/>
            </w:pPr>
            <w:r w:rsidRPr="00BE23C5">
              <w:rPr>
                <w:rFonts w:ascii="Arial Narrow" w:hAnsi="Arial Narrow" w:cs="Times New Roman"/>
                <w:snapToGrid/>
                <w:sz w:val="20"/>
              </w:rPr>
              <w:t>KM: 94.9 (92.8,96.3)</w:t>
            </w:r>
          </w:p>
        </w:tc>
        <w:tc>
          <w:tcPr>
            <w:tcW w:w="1257" w:type="pct"/>
            <w:tcMar>
              <w:left w:w="28" w:type="dxa"/>
              <w:right w:w="28" w:type="dxa"/>
            </w:tcMar>
            <w:vAlign w:val="center"/>
          </w:tcPr>
          <w:p w:rsidR="00253444" w:rsidRPr="00BE23C5" w:rsidRDefault="00E62743" w:rsidP="00033521">
            <w:pPr>
              <w:pStyle w:val="Tabletext"/>
              <w:keepNext/>
              <w:keepLines/>
              <w:jc w:val="center"/>
            </w:pPr>
            <w:r w:rsidRPr="00BE23C5">
              <w:t xml:space="preserve">Events: </w:t>
            </w:r>
            <w:r w:rsidR="00253444" w:rsidRPr="00BE23C5">
              <w:t>61/722 (8.4%)</w:t>
            </w:r>
          </w:p>
          <w:p w:rsidR="00124A4D" w:rsidRPr="00BE23C5" w:rsidRDefault="00124A4D" w:rsidP="00033521">
            <w:pPr>
              <w:keepNext/>
              <w:keepLines/>
              <w:widowControl/>
              <w:autoSpaceDE w:val="0"/>
              <w:autoSpaceDN w:val="0"/>
              <w:adjustRightInd w:val="0"/>
              <w:jc w:val="center"/>
            </w:pPr>
            <w:r w:rsidRPr="00BE23C5">
              <w:rPr>
                <w:rFonts w:ascii="Arial Narrow" w:hAnsi="Arial Narrow" w:cs="Times New Roman"/>
                <w:snapToGrid/>
                <w:sz w:val="20"/>
              </w:rPr>
              <w:t>KM: 90.9 (88.5,92.9)</w:t>
            </w:r>
          </w:p>
        </w:tc>
        <w:tc>
          <w:tcPr>
            <w:tcW w:w="393" w:type="pct"/>
            <w:tcMar>
              <w:left w:w="28" w:type="dxa"/>
              <w:right w:w="28" w:type="dxa"/>
            </w:tcMar>
            <w:vAlign w:val="center"/>
          </w:tcPr>
          <w:p w:rsidR="00253444" w:rsidRPr="00BE23C5" w:rsidRDefault="00253444" w:rsidP="00033521">
            <w:pPr>
              <w:pStyle w:val="Tabletext"/>
              <w:keepNext/>
              <w:keepLines/>
              <w:jc w:val="center"/>
            </w:pPr>
            <w:r w:rsidRPr="00BE23C5">
              <w:t>4.</w:t>
            </w:r>
            <w:r w:rsidR="00124A4D" w:rsidRPr="00BE23C5">
              <w:t>0</w:t>
            </w:r>
            <w:r w:rsidRPr="00BE23C5">
              <w:t>%</w:t>
            </w:r>
          </w:p>
        </w:tc>
        <w:tc>
          <w:tcPr>
            <w:tcW w:w="470" w:type="pct"/>
            <w:tcMar>
              <w:left w:w="28" w:type="dxa"/>
              <w:right w:w="28" w:type="dxa"/>
            </w:tcMar>
            <w:vAlign w:val="center"/>
          </w:tcPr>
          <w:p w:rsidR="00253444" w:rsidRPr="00BE23C5" w:rsidRDefault="00253444" w:rsidP="00033521">
            <w:pPr>
              <w:pStyle w:val="Tabletext"/>
              <w:keepNext/>
              <w:keepLines/>
              <w:jc w:val="center"/>
            </w:pPr>
            <w:r w:rsidRPr="00BE23C5">
              <w:t>&lt;0.001</w:t>
            </w:r>
          </w:p>
        </w:tc>
        <w:tc>
          <w:tcPr>
            <w:tcW w:w="603" w:type="pct"/>
            <w:tcMar>
              <w:left w:w="28" w:type="dxa"/>
              <w:right w:w="28" w:type="dxa"/>
            </w:tcMar>
            <w:vAlign w:val="center"/>
          </w:tcPr>
          <w:p w:rsidR="00E179F8" w:rsidRPr="00BE23C5" w:rsidRDefault="00253444" w:rsidP="00033521">
            <w:pPr>
              <w:pStyle w:val="Tabletext"/>
              <w:keepNext/>
              <w:keepLines/>
              <w:jc w:val="center"/>
              <w:rPr>
                <w:b/>
              </w:rPr>
            </w:pPr>
            <w:r w:rsidRPr="00BE23C5">
              <w:rPr>
                <w:b/>
              </w:rPr>
              <w:t>0.51</w:t>
            </w:r>
          </w:p>
          <w:p w:rsidR="00253444" w:rsidRPr="00BE23C5" w:rsidRDefault="00253444" w:rsidP="00033521">
            <w:pPr>
              <w:pStyle w:val="Tabletext"/>
              <w:keepNext/>
              <w:keepLines/>
              <w:jc w:val="center"/>
              <w:rPr>
                <w:b/>
              </w:rPr>
            </w:pPr>
            <w:r w:rsidRPr="00BE23C5">
              <w:rPr>
                <w:b/>
              </w:rPr>
              <w:t>(0.33,0.78)</w:t>
            </w:r>
          </w:p>
        </w:tc>
      </w:tr>
      <w:tr w:rsidR="0002791F" w:rsidRPr="00BE23C5" w:rsidTr="000A577A">
        <w:tc>
          <w:tcPr>
            <w:tcW w:w="5000" w:type="pct"/>
            <w:gridSpan w:val="6"/>
            <w:tcMar>
              <w:left w:w="28" w:type="dxa"/>
              <w:right w:w="28" w:type="dxa"/>
            </w:tcMar>
            <w:vAlign w:val="center"/>
          </w:tcPr>
          <w:p w:rsidR="0002791F" w:rsidRPr="00BE23C5" w:rsidRDefault="0002791F" w:rsidP="00033521">
            <w:pPr>
              <w:pStyle w:val="Tabletext"/>
              <w:keepNext/>
              <w:keepLines/>
              <w:rPr>
                <w:b/>
              </w:rPr>
            </w:pPr>
            <w:r w:rsidRPr="00BE23C5">
              <w:rPr>
                <w:b/>
              </w:rPr>
              <w:t>Sensitivity analyses of ITT</w:t>
            </w:r>
          </w:p>
        </w:tc>
      </w:tr>
      <w:tr w:rsidR="00E179F8" w:rsidRPr="00BE23C5" w:rsidTr="000A577A">
        <w:tc>
          <w:tcPr>
            <w:tcW w:w="1019" w:type="pct"/>
            <w:tcMar>
              <w:left w:w="28" w:type="dxa"/>
              <w:right w:w="28" w:type="dxa"/>
            </w:tcMar>
            <w:vAlign w:val="center"/>
          </w:tcPr>
          <w:p w:rsidR="00253444" w:rsidRPr="00BE23C5" w:rsidRDefault="00253444" w:rsidP="00033521">
            <w:pPr>
              <w:pStyle w:val="Tabletext"/>
              <w:keepNext/>
              <w:keepLines/>
            </w:pPr>
            <w:r w:rsidRPr="00BE23C5">
              <w:t>Effect of Censoring (Site Early</w:t>
            </w:r>
            <w:r w:rsidR="00E179F8" w:rsidRPr="00BE23C5">
              <w:t xml:space="preserve"> </w:t>
            </w:r>
            <w:r w:rsidRPr="00BE23C5">
              <w:t>Dropout Rate</w:t>
            </w:r>
            <w:r w:rsidR="00E179F8" w:rsidRPr="00BE23C5">
              <w:t xml:space="preserve"> </w:t>
            </w:r>
            <w:r w:rsidRPr="00BE23C5">
              <w:t>&lt;10%) (7 July 2014) (at 2 years)</w:t>
            </w:r>
          </w:p>
        </w:tc>
        <w:tc>
          <w:tcPr>
            <w:tcW w:w="1258" w:type="pct"/>
            <w:tcMar>
              <w:left w:w="28" w:type="dxa"/>
              <w:right w:w="28" w:type="dxa"/>
            </w:tcMar>
            <w:vAlign w:val="center"/>
          </w:tcPr>
          <w:p w:rsidR="00253444" w:rsidRPr="00BE23C5" w:rsidRDefault="00E62743" w:rsidP="00033521">
            <w:pPr>
              <w:pStyle w:val="Tabletext"/>
              <w:keepNext/>
              <w:keepLines/>
              <w:jc w:val="center"/>
            </w:pPr>
            <w:r w:rsidRPr="00BE23C5">
              <w:t xml:space="preserve">Events: </w:t>
            </w:r>
            <w:r w:rsidR="00253444" w:rsidRPr="00BE23C5">
              <w:t>57/1420 (4.0%)</w:t>
            </w:r>
          </w:p>
          <w:p w:rsidR="006C3A37" w:rsidRPr="00BE23C5" w:rsidRDefault="006C3A37" w:rsidP="00033521">
            <w:pPr>
              <w:keepNext/>
              <w:keepLines/>
              <w:widowControl/>
              <w:autoSpaceDE w:val="0"/>
              <w:autoSpaceDN w:val="0"/>
              <w:adjustRightInd w:val="0"/>
              <w:jc w:val="center"/>
            </w:pPr>
            <w:r w:rsidRPr="00BE23C5">
              <w:rPr>
                <w:rFonts w:ascii="Arial Narrow" w:hAnsi="Arial Narrow" w:cs="Times New Roman"/>
                <w:snapToGrid/>
                <w:sz w:val="20"/>
              </w:rPr>
              <w:t>KM: 94.1 (92.4,95.4)</w:t>
            </w:r>
          </w:p>
        </w:tc>
        <w:tc>
          <w:tcPr>
            <w:tcW w:w="1257" w:type="pct"/>
            <w:tcMar>
              <w:left w:w="28" w:type="dxa"/>
              <w:right w:w="28" w:type="dxa"/>
            </w:tcMar>
            <w:vAlign w:val="center"/>
          </w:tcPr>
          <w:p w:rsidR="00253444" w:rsidRPr="00BE23C5" w:rsidRDefault="00E62743" w:rsidP="00033521">
            <w:pPr>
              <w:pStyle w:val="Tabletext"/>
              <w:keepNext/>
              <w:keepLines/>
              <w:jc w:val="center"/>
            </w:pPr>
            <w:r w:rsidRPr="00BE23C5">
              <w:t xml:space="preserve">Events: </w:t>
            </w:r>
            <w:r w:rsidR="00253444" w:rsidRPr="00BE23C5">
              <w:t>88/1420 (6.2%)</w:t>
            </w:r>
          </w:p>
          <w:p w:rsidR="006C3A37" w:rsidRPr="00BE23C5" w:rsidRDefault="006C3A37" w:rsidP="00033521">
            <w:pPr>
              <w:keepNext/>
              <w:keepLines/>
              <w:widowControl/>
              <w:autoSpaceDE w:val="0"/>
              <w:autoSpaceDN w:val="0"/>
              <w:adjustRightInd w:val="0"/>
              <w:jc w:val="center"/>
            </w:pPr>
            <w:r w:rsidRPr="00BE23C5">
              <w:rPr>
                <w:rFonts w:ascii="Arial Narrow" w:hAnsi="Arial Narrow" w:cs="Times New Roman"/>
                <w:snapToGrid/>
                <w:sz w:val="20"/>
              </w:rPr>
              <w:t>KM: 91.6 (89.7,93.1)</w:t>
            </w:r>
          </w:p>
        </w:tc>
        <w:tc>
          <w:tcPr>
            <w:tcW w:w="393" w:type="pct"/>
            <w:tcMar>
              <w:left w:w="28" w:type="dxa"/>
              <w:right w:w="28" w:type="dxa"/>
            </w:tcMar>
            <w:vAlign w:val="center"/>
          </w:tcPr>
          <w:p w:rsidR="00253444" w:rsidRPr="00BE23C5" w:rsidRDefault="00253444" w:rsidP="00033521">
            <w:pPr>
              <w:pStyle w:val="Tabletext"/>
              <w:keepNext/>
              <w:keepLines/>
              <w:jc w:val="center"/>
            </w:pPr>
            <w:r w:rsidRPr="00BE23C5">
              <w:t>2.</w:t>
            </w:r>
            <w:r w:rsidR="006C3A37" w:rsidRPr="00BE23C5">
              <w:t>5</w:t>
            </w:r>
            <w:r w:rsidRPr="00BE23C5">
              <w:t>%</w:t>
            </w:r>
          </w:p>
        </w:tc>
        <w:tc>
          <w:tcPr>
            <w:tcW w:w="470" w:type="pct"/>
            <w:tcMar>
              <w:left w:w="28" w:type="dxa"/>
              <w:right w:w="28" w:type="dxa"/>
            </w:tcMar>
            <w:vAlign w:val="center"/>
          </w:tcPr>
          <w:p w:rsidR="00253444" w:rsidRPr="00BE23C5" w:rsidRDefault="00253444" w:rsidP="00033521">
            <w:pPr>
              <w:pStyle w:val="Tabletext"/>
              <w:keepNext/>
              <w:keepLines/>
              <w:jc w:val="center"/>
            </w:pPr>
            <w:r w:rsidRPr="00BE23C5">
              <w:t>0.008</w:t>
            </w:r>
          </w:p>
        </w:tc>
        <w:tc>
          <w:tcPr>
            <w:tcW w:w="603" w:type="pct"/>
            <w:tcMar>
              <w:left w:w="28" w:type="dxa"/>
              <w:right w:w="28" w:type="dxa"/>
            </w:tcMar>
            <w:vAlign w:val="center"/>
          </w:tcPr>
          <w:p w:rsidR="00E179F8" w:rsidRPr="00BE23C5" w:rsidRDefault="00253444" w:rsidP="00033521">
            <w:pPr>
              <w:pStyle w:val="Tabletext"/>
              <w:keepNext/>
              <w:keepLines/>
              <w:jc w:val="center"/>
              <w:rPr>
                <w:b/>
              </w:rPr>
            </w:pPr>
            <w:r w:rsidRPr="00BE23C5">
              <w:rPr>
                <w:b/>
              </w:rPr>
              <w:t>0.66</w:t>
            </w:r>
          </w:p>
          <w:p w:rsidR="00253444" w:rsidRPr="00BE23C5" w:rsidRDefault="00253444" w:rsidP="00033521">
            <w:pPr>
              <w:pStyle w:val="Tabletext"/>
              <w:keepNext/>
              <w:keepLines/>
              <w:jc w:val="center"/>
              <w:rPr>
                <w:b/>
              </w:rPr>
            </w:pPr>
            <w:r w:rsidRPr="00BE23C5">
              <w:rPr>
                <w:b/>
              </w:rPr>
              <w:t>(0.47, 0.93)</w:t>
            </w:r>
          </w:p>
        </w:tc>
      </w:tr>
      <w:tr w:rsidR="00E179F8" w:rsidRPr="00BE23C5" w:rsidTr="000A577A">
        <w:tc>
          <w:tcPr>
            <w:tcW w:w="1019" w:type="pct"/>
            <w:tcMar>
              <w:left w:w="28" w:type="dxa"/>
              <w:right w:w="28" w:type="dxa"/>
            </w:tcMar>
            <w:vAlign w:val="center"/>
          </w:tcPr>
          <w:p w:rsidR="00253444" w:rsidRPr="00BE23C5" w:rsidRDefault="00253444" w:rsidP="00033521">
            <w:pPr>
              <w:pStyle w:val="Tabletext"/>
              <w:keepNext/>
              <w:keepLines/>
            </w:pPr>
            <w:r w:rsidRPr="00BE23C5">
              <w:t>Effect of Censoring (Site Completed</w:t>
            </w:r>
            <w:r w:rsidR="00E179F8" w:rsidRPr="00BE23C5">
              <w:t xml:space="preserve"> </w:t>
            </w:r>
            <w:r w:rsidRPr="00BE23C5">
              <w:t>Follow-up ≥90%)(7 July 2014) (at 2 years)</w:t>
            </w:r>
          </w:p>
        </w:tc>
        <w:tc>
          <w:tcPr>
            <w:tcW w:w="1258" w:type="pct"/>
            <w:tcMar>
              <w:left w:w="28" w:type="dxa"/>
              <w:right w:w="28" w:type="dxa"/>
            </w:tcMar>
            <w:vAlign w:val="center"/>
          </w:tcPr>
          <w:p w:rsidR="00253444" w:rsidRPr="00BE23C5" w:rsidRDefault="00E62743" w:rsidP="00033521">
            <w:pPr>
              <w:pStyle w:val="Tabletext"/>
              <w:keepNext/>
              <w:keepLines/>
              <w:jc w:val="center"/>
            </w:pPr>
            <w:r w:rsidRPr="00BE23C5">
              <w:t xml:space="preserve">Events: </w:t>
            </w:r>
            <w:r w:rsidR="00253444" w:rsidRPr="00BE23C5">
              <w:t>43/1420 (3.0%)</w:t>
            </w:r>
          </w:p>
          <w:p w:rsidR="006C3A37" w:rsidRPr="00BE23C5" w:rsidRDefault="006C3A37" w:rsidP="00033521">
            <w:pPr>
              <w:keepNext/>
              <w:keepLines/>
              <w:widowControl/>
              <w:autoSpaceDE w:val="0"/>
              <w:autoSpaceDN w:val="0"/>
              <w:adjustRightInd w:val="0"/>
              <w:jc w:val="center"/>
            </w:pPr>
            <w:r w:rsidRPr="00BE23C5">
              <w:rPr>
                <w:rFonts w:ascii="Arial Narrow" w:hAnsi="Arial Narrow" w:cs="Times New Roman"/>
                <w:snapToGrid/>
                <w:sz w:val="20"/>
              </w:rPr>
              <w:t>KM: 93.9 (91.8,95.4)</w:t>
            </w:r>
          </w:p>
        </w:tc>
        <w:tc>
          <w:tcPr>
            <w:tcW w:w="1257" w:type="pct"/>
            <w:tcMar>
              <w:left w:w="28" w:type="dxa"/>
              <w:right w:w="28" w:type="dxa"/>
            </w:tcMar>
            <w:vAlign w:val="center"/>
          </w:tcPr>
          <w:p w:rsidR="00253444" w:rsidRPr="00BE23C5" w:rsidRDefault="00E62743" w:rsidP="00033521">
            <w:pPr>
              <w:pStyle w:val="Tabletext"/>
              <w:keepNext/>
              <w:keepLines/>
              <w:jc w:val="center"/>
            </w:pPr>
            <w:r w:rsidRPr="00BE23C5">
              <w:t xml:space="preserve">Events: </w:t>
            </w:r>
            <w:r w:rsidR="00253444" w:rsidRPr="00BE23C5">
              <w:t>67/1420 (4.7%)</w:t>
            </w:r>
          </w:p>
          <w:p w:rsidR="006C3A37" w:rsidRPr="00BE23C5" w:rsidRDefault="006C3A37" w:rsidP="00033521">
            <w:pPr>
              <w:keepNext/>
              <w:keepLines/>
              <w:widowControl/>
              <w:autoSpaceDE w:val="0"/>
              <w:autoSpaceDN w:val="0"/>
              <w:adjustRightInd w:val="0"/>
              <w:jc w:val="center"/>
            </w:pPr>
            <w:r w:rsidRPr="00BE23C5">
              <w:rPr>
                <w:rFonts w:ascii="Arial Narrow" w:hAnsi="Arial Narrow" w:cs="Times New Roman"/>
                <w:snapToGrid/>
                <w:sz w:val="20"/>
              </w:rPr>
              <w:t>KM: 91.3 (89.1,93.1)</w:t>
            </w:r>
          </w:p>
        </w:tc>
        <w:tc>
          <w:tcPr>
            <w:tcW w:w="393" w:type="pct"/>
            <w:tcMar>
              <w:left w:w="28" w:type="dxa"/>
              <w:right w:w="28" w:type="dxa"/>
            </w:tcMar>
            <w:vAlign w:val="center"/>
          </w:tcPr>
          <w:p w:rsidR="00253444" w:rsidRPr="00BE23C5" w:rsidRDefault="006C3A37" w:rsidP="00033521">
            <w:pPr>
              <w:pStyle w:val="Tabletext"/>
              <w:keepNext/>
              <w:keepLines/>
              <w:jc w:val="center"/>
            </w:pPr>
            <w:r w:rsidRPr="00BE23C5">
              <w:t>2.6</w:t>
            </w:r>
            <w:r w:rsidR="00253444" w:rsidRPr="00BE23C5">
              <w:t>%</w:t>
            </w:r>
          </w:p>
        </w:tc>
        <w:tc>
          <w:tcPr>
            <w:tcW w:w="470" w:type="pct"/>
            <w:tcMar>
              <w:left w:w="28" w:type="dxa"/>
              <w:right w:w="28" w:type="dxa"/>
            </w:tcMar>
            <w:vAlign w:val="center"/>
          </w:tcPr>
          <w:p w:rsidR="00253444" w:rsidRPr="00BE23C5" w:rsidRDefault="00253444" w:rsidP="00033521">
            <w:pPr>
              <w:pStyle w:val="Tabletext"/>
              <w:keepNext/>
              <w:keepLines/>
              <w:jc w:val="center"/>
            </w:pPr>
            <w:r w:rsidRPr="00BE23C5">
              <w:t>0.028</w:t>
            </w:r>
          </w:p>
        </w:tc>
        <w:tc>
          <w:tcPr>
            <w:tcW w:w="603" w:type="pct"/>
            <w:tcMar>
              <w:left w:w="28" w:type="dxa"/>
              <w:right w:w="28" w:type="dxa"/>
            </w:tcMar>
            <w:vAlign w:val="center"/>
          </w:tcPr>
          <w:p w:rsidR="00E179F8" w:rsidRPr="00BE23C5" w:rsidRDefault="00253444" w:rsidP="00033521">
            <w:pPr>
              <w:pStyle w:val="Tabletext"/>
              <w:keepNext/>
              <w:keepLines/>
              <w:jc w:val="center"/>
            </w:pPr>
            <w:r w:rsidRPr="00BE23C5">
              <w:t>0.69</w:t>
            </w:r>
          </w:p>
          <w:p w:rsidR="00253444" w:rsidRPr="00BE23C5" w:rsidRDefault="00253444" w:rsidP="00033521">
            <w:pPr>
              <w:pStyle w:val="Tabletext"/>
              <w:keepNext/>
              <w:keepLines/>
              <w:jc w:val="center"/>
            </w:pPr>
            <w:r w:rsidRPr="00BE23C5">
              <w:t>(0.47, 1.01)</w:t>
            </w:r>
          </w:p>
        </w:tc>
      </w:tr>
    </w:tbl>
    <w:p w:rsidR="00A6701D" w:rsidRPr="00BE23C5" w:rsidRDefault="00335A49" w:rsidP="00335A49">
      <w:pPr>
        <w:pStyle w:val="TableFooter"/>
      </w:pPr>
      <w:r w:rsidRPr="00BE23C5">
        <w:t xml:space="preserve">CI: confidence interval; </w:t>
      </w:r>
      <w:r w:rsidR="00575F33" w:rsidRPr="00BE23C5">
        <w:t xml:space="preserve">DFS-DCIS: </w:t>
      </w:r>
      <w:r w:rsidRPr="00BE23C5">
        <w:t xml:space="preserve">disease free survival </w:t>
      </w:r>
      <w:r w:rsidR="00575F33" w:rsidRPr="00BE23C5">
        <w:t>including ductal carcinoma in situ; DDFS: Distant disease-free survival; FACT-B: Breast cancer-specific quality of life – FACT-B (version 4);</w:t>
      </w:r>
      <w:r w:rsidR="00C60287" w:rsidRPr="00BE23C5">
        <w:t xml:space="preserve"> </w:t>
      </w:r>
      <w:proofErr w:type="spellStart"/>
      <w:r w:rsidR="00C60287" w:rsidRPr="00BE23C5">
        <w:t>iDFS</w:t>
      </w:r>
      <w:proofErr w:type="spellEnd"/>
      <w:r w:rsidR="00C60287" w:rsidRPr="00BE23C5">
        <w:t>: invasive disease free survival</w:t>
      </w:r>
      <w:r w:rsidRPr="00BE23C5">
        <w:t xml:space="preserve">; </w:t>
      </w:r>
      <w:r w:rsidR="00253444" w:rsidRPr="00BE23C5">
        <w:t xml:space="preserve">KM: Kaplan-Meier; </w:t>
      </w:r>
      <w:r w:rsidR="00A6701D" w:rsidRPr="00BE23C5">
        <w:t>NA: not available; RD: risk difference; T</w:t>
      </w:r>
      <w:r w:rsidR="00E159DF" w:rsidRPr="00BE23C5">
        <w:t>TDR: Time to distant recurrence.</w:t>
      </w:r>
    </w:p>
    <w:p w:rsidR="00A6701D" w:rsidRPr="00BE23C5" w:rsidRDefault="00C60287" w:rsidP="00335A49">
      <w:pPr>
        <w:pStyle w:val="TableFooter"/>
      </w:pPr>
      <w:r w:rsidRPr="00BE23C5">
        <w:t xml:space="preserve">ITT: </w:t>
      </w:r>
      <w:r w:rsidR="004A2ABD" w:rsidRPr="00BE23C5">
        <w:t>Intent to treat</w:t>
      </w:r>
      <w:r w:rsidR="00A6701D" w:rsidRPr="00BE23C5">
        <w:t xml:space="preserve">: </w:t>
      </w:r>
      <w:r w:rsidR="00A6701D" w:rsidRPr="00BE23C5">
        <w:rPr>
          <w:rFonts w:eastAsia="TimesNewRoman"/>
          <w:szCs w:val="16"/>
          <w:lang w:eastAsia="en-AU"/>
        </w:rPr>
        <w:t xml:space="preserve">The ITT population includes all randomised patients with the exceptions documented in the </w:t>
      </w:r>
      <w:r w:rsidR="00CB1F4F" w:rsidRPr="00BE23C5">
        <w:rPr>
          <w:rFonts w:eastAsia="TimesNewRoman"/>
          <w:szCs w:val="16"/>
          <w:lang w:eastAsia="en-AU"/>
        </w:rPr>
        <w:t>statistical analysis plan (</w:t>
      </w:r>
      <w:r w:rsidR="00A6701D" w:rsidRPr="00BE23C5">
        <w:rPr>
          <w:rFonts w:eastAsia="TimesNewRoman"/>
          <w:szCs w:val="16"/>
          <w:lang w:eastAsia="en-AU"/>
        </w:rPr>
        <w:t>SAP</w:t>
      </w:r>
      <w:r w:rsidR="00CB1F4F" w:rsidRPr="00BE23C5">
        <w:rPr>
          <w:rFonts w:eastAsia="TimesNewRoman"/>
          <w:szCs w:val="16"/>
          <w:lang w:eastAsia="en-AU"/>
        </w:rPr>
        <w:t>)</w:t>
      </w:r>
      <w:r w:rsidR="00A6701D" w:rsidRPr="00BE23C5">
        <w:rPr>
          <w:rFonts w:eastAsia="TimesNewRoman"/>
          <w:szCs w:val="16"/>
          <w:lang w:eastAsia="en-AU"/>
        </w:rPr>
        <w:t>. Patients were analysed by the randomised treatment arms regardless of the actual treatment received</w:t>
      </w:r>
    </w:p>
    <w:p w:rsidR="004F0199" w:rsidRPr="00BE23C5" w:rsidRDefault="00335A49" w:rsidP="00335A49">
      <w:pPr>
        <w:pStyle w:val="TableFooter"/>
      </w:pPr>
      <w:proofErr w:type="spellStart"/>
      <w:proofErr w:type="gramStart"/>
      <w:r w:rsidRPr="00BE23C5">
        <w:t>aITT</w:t>
      </w:r>
      <w:proofErr w:type="spellEnd"/>
      <w:proofErr w:type="gramEnd"/>
      <w:r w:rsidRPr="00BE23C5">
        <w:t>:</w:t>
      </w:r>
      <w:r w:rsidR="00C60287" w:rsidRPr="00BE23C5">
        <w:t xml:space="preserve"> amended </w:t>
      </w:r>
      <w:r w:rsidR="004A2ABD" w:rsidRPr="00BE23C5">
        <w:t>Intent to treat</w:t>
      </w:r>
      <w:r w:rsidR="00A6701D" w:rsidRPr="00BE23C5">
        <w:t xml:space="preserve">: The </w:t>
      </w:r>
      <w:proofErr w:type="spellStart"/>
      <w:r w:rsidR="00A6701D" w:rsidRPr="00BE23C5">
        <w:t>aITT</w:t>
      </w:r>
      <w:proofErr w:type="spellEnd"/>
      <w:r w:rsidR="00A6701D" w:rsidRPr="00BE23C5">
        <w:t xml:space="preserve"> population includes all patients randomised under global amendment 3 or later amendment, or all patients randomised prior to implementation of global amendment 3 if they met the following key criteria: 1. All patients with node-positive disease and 2. All patients randomised within 1 year from completion of prior </w:t>
      </w:r>
      <w:proofErr w:type="spellStart"/>
      <w:r w:rsidR="00A6701D" w:rsidRPr="00BE23C5">
        <w:t>trastuzumab</w:t>
      </w:r>
      <w:proofErr w:type="spellEnd"/>
      <w:r w:rsidR="00A6701D" w:rsidRPr="00BE23C5">
        <w:t xml:space="preserve"> therapy.</w:t>
      </w:r>
    </w:p>
    <w:p w:rsidR="00A6701D" w:rsidRPr="00BE23C5" w:rsidRDefault="00A6701D" w:rsidP="00335A49">
      <w:pPr>
        <w:pStyle w:val="TableFooter"/>
      </w:pPr>
      <w:r w:rsidRPr="00BE23C5">
        <w:t>Centrally confirmed ERBB2-positive: The Centrally Confirmed erbB-2-Positive population includes all patients randomised who were confirmed by central testing to be erbB-2 positive.</w:t>
      </w:r>
    </w:p>
    <w:p w:rsidR="00E62743" w:rsidRPr="00BE23C5" w:rsidRDefault="00E62743" w:rsidP="00E62743">
      <w:pPr>
        <w:pStyle w:val="TableFooter"/>
      </w:pPr>
      <w:r w:rsidRPr="00BE23C5">
        <w:rPr>
          <w:b/>
        </w:rPr>
        <w:t>Bold</w:t>
      </w:r>
      <w:r w:rsidRPr="00BE23C5">
        <w:t xml:space="preserve"> indicates statistically significant results</w:t>
      </w:r>
      <w:r w:rsidR="003644B1" w:rsidRPr="00BE23C5">
        <w:t xml:space="preserve"> at the 5% level</w:t>
      </w:r>
      <w:r w:rsidRPr="00BE23C5">
        <w:t>.</w:t>
      </w:r>
    </w:p>
    <w:p w:rsidR="00DC40DB" w:rsidRPr="00BE23C5" w:rsidRDefault="00C45051" w:rsidP="003F2175">
      <w:pPr>
        <w:pStyle w:val="TableFooter"/>
      </w:pPr>
      <w:r w:rsidRPr="00BE23C5">
        <w:t>*</w:t>
      </w:r>
      <w:r w:rsidR="00575F33" w:rsidRPr="00BE23C5">
        <w:t xml:space="preserve"> </w:t>
      </w:r>
      <w:r w:rsidRPr="00BE23C5">
        <w:t>C</w:t>
      </w:r>
      <w:r w:rsidR="00DC40DB" w:rsidRPr="00BE23C5">
        <w:t>ompiled during the evaluation</w:t>
      </w:r>
    </w:p>
    <w:p w:rsidR="00E179F8" w:rsidRPr="00BE23C5" w:rsidRDefault="00DC40DB" w:rsidP="003F2175">
      <w:pPr>
        <w:pStyle w:val="TableFooter"/>
      </w:pPr>
      <w:r w:rsidRPr="00BE23C5">
        <w:t>Source: compiled during the evaluation based on information provided in Table22, p52 of the submission; p117-118 of the CSR</w:t>
      </w:r>
      <w:r w:rsidR="005D7D22" w:rsidRPr="00BE23C5">
        <w:t xml:space="preserve"> (Clinical Study Report)</w:t>
      </w:r>
      <w:r w:rsidRPr="00BE23C5">
        <w:t>.</w:t>
      </w:r>
    </w:p>
    <w:p w:rsidR="00DC2B80" w:rsidRPr="00BE23C5" w:rsidRDefault="002074BF" w:rsidP="00E1204B">
      <w:pPr>
        <w:pStyle w:val="ListParagraph"/>
        <w:widowControl/>
        <w:numPr>
          <w:ilvl w:val="1"/>
          <w:numId w:val="2"/>
        </w:numPr>
        <w:spacing w:before="120" w:after="120"/>
      </w:pPr>
      <w:r w:rsidRPr="00BE23C5">
        <w:t xml:space="preserve">For the ITT population </w:t>
      </w:r>
      <w:proofErr w:type="spellStart"/>
      <w:r w:rsidR="00E7483E" w:rsidRPr="00BE23C5">
        <w:t>iDFS</w:t>
      </w:r>
      <w:proofErr w:type="spellEnd"/>
      <w:r w:rsidR="00E7483E" w:rsidRPr="00BE23C5">
        <w:t xml:space="preserve"> </w:t>
      </w:r>
      <w:r w:rsidR="00285722" w:rsidRPr="00BE23C5">
        <w:t xml:space="preserve">at 2 years (7 July 2014 analysis) </w:t>
      </w:r>
      <w:r w:rsidR="00E7483E" w:rsidRPr="00BE23C5">
        <w:t>was 94.</w:t>
      </w:r>
      <w:r w:rsidR="00285722" w:rsidRPr="00BE23C5">
        <w:t>2</w:t>
      </w:r>
      <w:r w:rsidR="00E7483E" w:rsidRPr="00BE23C5">
        <w:t xml:space="preserve">% </w:t>
      </w:r>
      <w:r w:rsidR="00DC2B80" w:rsidRPr="00BE23C5">
        <w:t xml:space="preserve">with </w:t>
      </w:r>
      <w:proofErr w:type="spellStart"/>
      <w:r w:rsidR="00DC2B80" w:rsidRPr="00BE23C5">
        <w:t>neratinib</w:t>
      </w:r>
      <w:proofErr w:type="spellEnd"/>
      <w:r w:rsidR="00DC2B80" w:rsidRPr="00BE23C5">
        <w:t xml:space="preserve"> and </w:t>
      </w:r>
      <w:r w:rsidR="00E7483E" w:rsidRPr="00BE23C5">
        <w:t>91.</w:t>
      </w:r>
      <w:r w:rsidR="00285722" w:rsidRPr="00BE23C5">
        <w:t>9</w:t>
      </w:r>
      <w:r w:rsidR="00E7483E" w:rsidRPr="00BE23C5">
        <w:t xml:space="preserve">% with </w:t>
      </w:r>
      <w:r w:rsidR="00DC2B80" w:rsidRPr="00BE23C5">
        <w:t xml:space="preserve">placebo. The HR for </w:t>
      </w:r>
      <w:proofErr w:type="spellStart"/>
      <w:r w:rsidR="00DC2B80" w:rsidRPr="00BE23C5">
        <w:t>iDFS</w:t>
      </w:r>
      <w:proofErr w:type="spellEnd"/>
      <w:r w:rsidR="00DC2B80" w:rsidRPr="00BE23C5">
        <w:t xml:space="preserve"> was statistically significant (HR=0.</w:t>
      </w:r>
      <w:r w:rsidR="00A55A05" w:rsidRPr="00BE23C5">
        <w:t xml:space="preserve">66, 95% CI: </w:t>
      </w:r>
      <w:r w:rsidR="00A55A05" w:rsidRPr="00BE23C5">
        <w:lastRenderedPageBreak/>
        <w:t>0.49, 0.90</w:t>
      </w:r>
      <w:r w:rsidRPr="00BE23C5">
        <w:t>,</w:t>
      </w:r>
      <w:r w:rsidR="00DC2B80" w:rsidRPr="00BE23C5">
        <w:t xml:space="preserve"> P=0.004) but the absolute benefit </w:t>
      </w:r>
      <w:r w:rsidR="00995A78" w:rsidRPr="00BE23C5">
        <w:t xml:space="preserve">in terms of the difference in </w:t>
      </w:r>
      <w:proofErr w:type="spellStart"/>
      <w:r w:rsidR="00995A78" w:rsidRPr="00BE23C5">
        <w:t>iDFS</w:t>
      </w:r>
      <w:proofErr w:type="spellEnd"/>
      <w:r w:rsidR="00995A78" w:rsidRPr="00BE23C5">
        <w:t xml:space="preserve"> </w:t>
      </w:r>
      <w:r w:rsidR="00DC2B80" w:rsidRPr="00BE23C5">
        <w:t>was small (2.3%</w:t>
      </w:r>
      <w:r w:rsidRPr="00BE23C5">
        <w:t xml:space="preserve"> at 2 years</w:t>
      </w:r>
      <w:r w:rsidR="00DC2B80" w:rsidRPr="00BE23C5">
        <w:t xml:space="preserve">). In terms of the ESMO </w:t>
      </w:r>
      <w:r w:rsidR="0092042D" w:rsidRPr="00BE23C5">
        <w:t>MCBS</w:t>
      </w:r>
      <w:r w:rsidR="00DC2B80" w:rsidRPr="00BE23C5">
        <w:t xml:space="preserve">, this would equate to a Grade </w:t>
      </w:r>
      <w:proofErr w:type="gramStart"/>
      <w:r w:rsidR="00335A49" w:rsidRPr="00BE23C5">
        <w:t>A</w:t>
      </w:r>
      <w:proofErr w:type="gramEnd"/>
      <w:r w:rsidR="00335A49" w:rsidRPr="00BE23C5">
        <w:t xml:space="preserve"> </w:t>
      </w:r>
      <w:r w:rsidR="00DC2B80" w:rsidRPr="00BE23C5">
        <w:t>clinical benefit</w:t>
      </w:r>
      <w:r w:rsidR="00CA54EC" w:rsidRPr="00BE23C5">
        <w:rPr>
          <w:rStyle w:val="FootnoteReference"/>
        </w:rPr>
        <w:footnoteReference w:id="4"/>
      </w:r>
      <w:r w:rsidR="00DC2B80" w:rsidRPr="00BE23C5">
        <w:t xml:space="preserve">. </w:t>
      </w:r>
      <w:r w:rsidR="00CA54EC" w:rsidRPr="00BE23C5">
        <w:t xml:space="preserve">However, this may fall to Grade C with the availability of OS data if the absolute difference in OS is similar to </w:t>
      </w:r>
      <w:proofErr w:type="spellStart"/>
      <w:r w:rsidR="00CA54EC" w:rsidRPr="00BE23C5">
        <w:t>iDF</w:t>
      </w:r>
      <w:r w:rsidR="002A3855" w:rsidRPr="00BE23C5">
        <w:t>S</w:t>
      </w:r>
      <w:proofErr w:type="spellEnd"/>
      <w:r w:rsidR="00CA54EC" w:rsidRPr="00BE23C5">
        <w:rPr>
          <w:rStyle w:val="FootnoteReference"/>
        </w:rPr>
        <w:footnoteReference w:id="5"/>
      </w:r>
      <w:r w:rsidR="00CA54EC" w:rsidRPr="00BE23C5">
        <w:t xml:space="preserve">. </w:t>
      </w:r>
    </w:p>
    <w:p w:rsidR="00285722" w:rsidRPr="00BE23C5" w:rsidRDefault="00DC2B80" w:rsidP="00E1204B">
      <w:pPr>
        <w:pStyle w:val="ListParagraph"/>
        <w:widowControl/>
        <w:numPr>
          <w:ilvl w:val="1"/>
          <w:numId w:val="2"/>
        </w:numPr>
        <w:spacing w:before="120" w:after="120"/>
      </w:pPr>
      <w:r w:rsidRPr="00BE23C5">
        <w:t xml:space="preserve">Figure </w:t>
      </w:r>
      <w:r w:rsidR="00C6263D" w:rsidRPr="00BE23C5">
        <w:t>1</w:t>
      </w:r>
      <w:r w:rsidRPr="00BE23C5">
        <w:t xml:space="preserve"> shows the Kaplan-</w:t>
      </w:r>
      <w:r w:rsidR="001839D5" w:rsidRPr="00BE23C5">
        <w:t>Meier plot</w:t>
      </w:r>
      <w:r w:rsidRPr="00BE23C5">
        <w:t xml:space="preserve"> of the </w:t>
      </w:r>
      <w:proofErr w:type="spellStart"/>
      <w:r w:rsidRPr="00BE23C5">
        <w:t>iDFS</w:t>
      </w:r>
      <w:proofErr w:type="spellEnd"/>
      <w:r w:rsidRPr="00BE23C5">
        <w:t xml:space="preserve"> analyses for the ITT population</w:t>
      </w:r>
      <w:r w:rsidR="00827BCA" w:rsidRPr="00BE23C5">
        <w:t xml:space="preserve"> </w:t>
      </w:r>
      <w:r w:rsidR="002074BF" w:rsidRPr="00BE23C5">
        <w:t>(</w:t>
      </w:r>
      <w:r w:rsidR="00A55A05" w:rsidRPr="00BE23C5">
        <w:t>7</w:t>
      </w:r>
      <w:r w:rsidR="00846C3F" w:rsidRPr="00BE23C5">
        <w:t> </w:t>
      </w:r>
      <w:r w:rsidR="00A55A05" w:rsidRPr="00BE23C5">
        <w:t>July 2014</w:t>
      </w:r>
      <w:r w:rsidR="002074BF" w:rsidRPr="00BE23C5">
        <w:t xml:space="preserve"> analysis)</w:t>
      </w:r>
      <w:r w:rsidR="00846C3F" w:rsidRPr="00BE23C5">
        <w:t xml:space="preserve"> </w:t>
      </w:r>
      <w:r w:rsidR="00827BCA" w:rsidRPr="00BE23C5">
        <w:t xml:space="preserve">and Figure 2 shows the </w:t>
      </w:r>
      <w:r w:rsidR="002074BF" w:rsidRPr="00BE23C5">
        <w:t>corresponding data for the</w:t>
      </w:r>
      <w:r w:rsidR="00827BCA" w:rsidRPr="00BE23C5">
        <w:t xml:space="preserve"> </w:t>
      </w:r>
      <w:r w:rsidR="00A55A05" w:rsidRPr="00BE23C5">
        <w:t>1 March 2017</w:t>
      </w:r>
      <w:r w:rsidR="002074BF" w:rsidRPr="00BE23C5">
        <w:t xml:space="preserve"> analysis</w:t>
      </w:r>
      <w:r w:rsidR="00827BCA" w:rsidRPr="00BE23C5">
        <w:t>, following re-consenting of patients</w:t>
      </w:r>
      <w:r w:rsidR="00D42F55" w:rsidRPr="00BE23C5">
        <w:t xml:space="preserve"> (and thus high levels of censoring)</w:t>
      </w:r>
      <w:r w:rsidRPr="00BE23C5">
        <w:t xml:space="preserve">. The </w:t>
      </w:r>
      <w:r w:rsidR="002074BF" w:rsidRPr="00BE23C5">
        <w:t xml:space="preserve">difference in </w:t>
      </w:r>
      <w:proofErr w:type="spellStart"/>
      <w:r w:rsidRPr="00BE23C5">
        <w:t>iDFS</w:t>
      </w:r>
      <w:proofErr w:type="spellEnd"/>
      <w:r w:rsidRPr="00BE23C5">
        <w:t xml:space="preserve"> </w:t>
      </w:r>
      <w:r w:rsidR="002074BF" w:rsidRPr="00BE23C5">
        <w:t>at 2 years was similar for</w:t>
      </w:r>
      <w:r w:rsidR="00555A8B" w:rsidRPr="00BE23C5">
        <w:t xml:space="preserve"> both </w:t>
      </w:r>
      <w:r w:rsidR="002074BF" w:rsidRPr="00BE23C5">
        <w:t>analyses</w:t>
      </w:r>
      <w:r w:rsidR="00555A8B" w:rsidRPr="00BE23C5">
        <w:t>.</w:t>
      </w:r>
    </w:p>
    <w:p w:rsidR="002A3855" w:rsidRPr="00BE23C5" w:rsidRDefault="00DC2B80" w:rsidP="00E1204B">
      <w:pPr>
        <w:pStyle w:val="ListParagraph"/>
        <w:widowControl/>
        <w:numPr>
          <w:ilvl w:val="1"/>
          <w:numId w:val="2"/>
        </w:numPr>
        <w:spacing w:before="120" w:after="120"/>
      </w:pPr>
      <w:r w:rsidRPr="00BE23C5">
        <w:t xml:space="preserve">The HR for </w:t>
      </w:r>
      <w:proofErr w:type="spellStart"/>
      <w:r w:rsidRPr="00BE23C5">
        <w:t>iDFS</w:t>
      </w:r>
      <w:proofErr w:type="spellEnd"/>
      <w:r w:rsidRPr="00BE23C5">
        <w:t xml:space="preserve"> </w:t>
      </w:r>
      <w:r w:rsidR="006F5B50" w:rsidRPr="00BE23C5">
        <w:t xml:space="preserve">based on the 1 March 2017 </w:t>
      </w:r>
      <w:r w:rsidR="002A3855" w:rsidRPr="00BE23C5">
        <w:t xml:space="preserve">analysis </w:t>
      </w:r>
      <w:r w:rsidRPr="00BE23C5">
        <w:t xml:space="preserve">was </w:t>
      </w:r>
      <w:r w:rsidR="00801EA5" w:rsidRPr="00BE23C5">
        <w:t xml:space="preserve">less favourable (closer to 1) </w:t>
      </w:r>
      <w:r w:rsidR="00285722" w:rsidRPr="00BE23C5">
        <w:t xml:space="preserve">than </w:t>
      </w:r>
      <w:r w:rsidR="006F5B50" w:rsidRPr="00BE23C5">
        <w:t xml:space="preserve">for </w:t>
      </w:r>
      <w:r w:rsidR="00285722" w:rsidRPr="00BE23C5">
        <w:t xml:space="preserve">the </w:t>
      </w:r>
      <w:r w:rsidR="006F5B50" w:rsidRPr="00BE23C5">
        <w:t>7 July 2014</w:t>
      </w:r>
      <w:r w:rsidR="00285722" w:rsidRPr="00BE23C5">
        <w:t xml:space="preserve"> analysis </w:t>
      </w:r>
      <w:r w:rsidR="002A3855" w:rsidRPr="00BE23C5">
        <w:t xml:space="preserve">but still </w:t>
      </w:r>
      <w:r w:rsidRPr="00BE23C5">
        <w:t>statistically significant (HR=0.73</w:t>
      </w:r>
      <w:r w:rsidR="00A55A05" w:rsidRPr="00BE23C5">
        <w:t>, 95% CI: 0.57, 0.92</w:t>
      </w:r>
      <w:r w:rsidRPr="00BE23C5">
        <w:t>, p=0.004</w:t>
      </w:r>
      <w:r w:rsidR="002A4F8C" w:rsidRPr="00BE23C5">
        <w:t xml:space="preserve"> as reported in the CSR and p=0.0083 as reported in Martin et al. 2017</w:t>
      </w:r>
      <w:r w:rsidRPr="00BE23C5">
        <w:t>)</w:t>
      </w:r>
      <w:r w:rsidR="002A3855" w:rsidRPr="00BE23C5">
        <w:t xml:space="preserve">. The </w:t>
      </w:r>
      <w:r w:rsidRPr="00BE23C5">
        <w:t>absolute benefit</w:t>
      </w:r>
      <w:r w:rsidR="002A3855" w:rsidRPr="00BE23C5">
        <w:t xml:space="preserve"> </w:t>
      </w:r>
      <w:r w:rsidR="00995A78" w:rsidRPr="00BE23C5">
        <w:t xml:space="preserve">in terms of the difference </w:t>
      </w:r>
      <w:proofErr w:type="spellStart"/>
      <w:r w:rsidR="00995A78" w:rsidRPr="00BE23C5">
        <w:t>iDFS</w:t>
      </w:r>
      <w:proofErr w:type="spellEnd"/>
      <w:r w:rsidR="00995A78" w:rsidRPr="00BE23C5">
        <w:t xml:space="preserve"> </w:t>
      </w:r>
      <w:r w:rsidR="00555A8B" w:rsidRPr="00BE23C5">
        <w:t xml:space="preserve">at 5 years </w:t>
      </w:r>
      <w:r w:rsidR="002A3855" w:rsidRPr="00BE23C5">
        <w:t>remained</w:t>
      </w:r>
      <w:r w:rsidRPr="00BE23C5">
        <w:t xml:space="preserve"> small (2.5%).</w:t>
      </w:r>
      <w:r w:rsidR="00A9499F" w:rsidRPr="00BE23C5">
        <w:t xml:space="preserve"> The ESC considered that the absolute benefit</w:t>
      </w:r>
      <w:r w:rsidR="006F5B50" w:rsidRPr="00BE23C5">
        <w:t xml:space="preserve"> of </w:t>
      </w:r>
      <w:proofErr w:type="spellStart"/>
      <w:r w:rsidR="006F5B50" w:rsidRPr="00BE23C5">
        <w:t>neratinib</w:t>
      </w:r>
      <w:proofErr w:type="spellEnd"/>
      <w:r w:rsidR="006F5B50" w:rsidRPr="00BE23C5">
        <w:t xml:space="preserve"> in terms of </w:t>
      </w:r>
      <w:proofErr w:type="spellStart"/>
      <w:r w:rsidR="006F5B50" w:rsidRPr="00BE23C5">
        <w:t>iDFS</w:t>
      </w:r>
      <w:proofErr w:type="spellEnd"/>
      <w:r w:rsidR="00A9499F" w:rsidRPr="00BE23C5">
        <w:t xml:space="preserve"> was </w:t>
      </w:r>
      <w:r w:rsidR="002A4F8C" w:rsidRPr="00BE23C5">
        <w:t>small</w:t>
      </w:r>
      <w:r w:rsidR="00A9499F" w:rsidRPr="00BE23C5">
        <w:t>.</w:t>
      </w:r>
    </w:p>
    <w:p w:rsidR="00DC2B80" w:rsidRPr="00BE23C5" w:rsidRDefault="002A3855" w:rsidP="00E1204B">
      <w:pPr>
        <w:pStyle w:val="ListParagraph"/>
        <w:widowControl/>
        <w:numPr>
          <w:ilvl w:val="1"/>
          <w:numId w:val="2"/>
        </w:numPr>
        <w:spacing w:before="120" w:after="120"/>
      </w:pPr>
      <w:r w:rsidRPr="00BE23C5">
        <w:t xml:space="preserve">The </w:t>
      </w:r>
      <w:proofErr w:type="spellStart"/>
      <w:r w:rsidRPr="00BE23C5">
        <w:t>iDFS</w:t>
      </w:r>
      <w:proofErr w:type="spellEnd"/>
      <w:r w:rsidRPr="00BE23C5">
        <w:t xml:space="preserve"> results </w:t>
      </w:r>
      <w:r w:rsidR="00C801F3" w:rsidRPr="00BE23C5">
        <w:t xml:space="preserve">based </w:t>
      </w:r>
      <w:r w:rsidRPr="00BE23C5">
        <w:t xml:space="preserve">on 1 March 2017 </w:t>
      </w:r>
      <w:r w:rsidR="00C801F3" w:rsidRPr="00BE23C5">
        <w:t>analys</w:t>
      </w:r>
      <w:r w:rsidR="006F5B50" w:rsidRPr="00BE23C5">
        <w:t>i</w:t>
      </w:r>
      <w:r w:rsidR="00C801F3" w:rsidRPr="00BE23C5">
        <w:t xml:space="preserve">s </w:t>
      </w:r>
      <w:r w:rsidRPr="00BE23C5">
        <w:t xml:space="preserve">should be interpreted with caution as the baseline characteristics and survival outcome of the patients who re-consented </w:t>
      </w:r>
      <w:r w:rsidR="00E071DE" w:rsidRPr="00BE23C5">
        <w:t xml:space="preserve">compared with those who did </w:t>
      </w:r>
      <w:r w:rsidRPr="00BE23C5">
        <w:t xml:space="preserve">not re-consent </w:t>
      </w:r>
      <w:r w:rsidR="001E1E71" w:rsidRPr="00BE23C5">
        <w:t>were not provided</w:t>
      </w:r>
      <w:r w:rsidRPr="00BE23C5">
        <w:t xml:space="preserve">. The results may have favoured </w:t>
      </w:r>
      <w:proofErr w:type="spellStart"/>
      <w:r w:rsidRPr="00BE23C5">
        <w:t>neratinib</w:t>
      </w:r>
      <w:proofErr w:type="spellEnd"/>
      <w:r w:rsidRPr="00BE23C5">
        <w:t xml:space="preserve"> if patients who </w:t>
      </w:r>
      <w:r w:rsidR="00E071DE" w:rsidRPr="00BE23C5">
        <w:t xml:space="preserve">did </w:t>
      </w:r>
      <w:r w:rsidRPr="00BE23C5">
        <w:t>not re-consent had worse survival outcome</w:t>
      </w:r>
      <w:r w:rsidR="00E071DE" w:rsidRPr="00BE23C5">
        <w:t>s than those</w:t>
      </w:r>
      <w:r w:rsidRPr="00BE23C5">
        <w:t xml:space="preserve"> who</w:t>
      </w:r>
      <w:r w:rsidR="00E071DE" w:rsidRPr="00BE23C5">
        <w:t xml:space="preserve"> did</w:t>
      </w:r>
      <w:r w:rsidRPr="00BE23C5">
        <w:t xml:space="preserve"> re-consent.</w:t>
      </w:r>
    </w:p>
    <w:p w:rsidR="00C6263D" w:rsidRPr="00BE23C5" w:rsidRDefault="00C6263D" w:rsidP="00F14B87">
      <w:pPr>
        <w:keepNext/>
        <w:widowControl/>
        <w:rPr>
          <w:rFonts w:ascii="Arial Narrow" w:hAnsi="Arial Narrow"/>
          <w:b/>
          <w:sz w:val="20"/>
        </w:rPr>
      </w:pPr>
      <w:r w:rsidRPr="00BE23C5">
        <w:rPr>
          <w:rFonts w:ascii="Arial Narrow" w:hAnsi="Arial Narrow"/>
          <w:b/>
          <w:sz w:val="20"/>
        </w:rPr>
        <w:lastRenderedPageBreak/>
        <w:t>Figure 1</w:t>
      </w:r>
      <w:r w:rsidR="00CA54EC" w:rsidRPr="00BE23C5">
        <w:rPr>
          <w:rFonts w:ascii="Arial Narrow" w:hAnsi="Arial Narrow"/>
          <w:b/>
          <w:sz w:val="20"/>
        </w:rPr>
        <w:t>:</w:t>
      </w:r>
      <w:r w:rsidRPr="00BE23C5">
        <w:rPr>
          <w:rFonts w:ascii="Arial Narrow" w:hAnsi="Arial Narrow"/>
          <w:b/>
          <w:sz w:val="20"/>
        </w:rPr>
        <w:t xml:space="preserve"> Kaplan</w:t>
      </w:r>
      <w:r w:rsidR="00F14B87" w:rsidRPr="00BE23C5">
        <w:rPr>
          <w:rFonts w:ascii="Arial Narrow" w:hAnsi="Arial Narrow"/>
          <w:b/>
          <w:sz w:val="20"/>
        </w:rPr>
        <w:t>-</w:t>
      </w:r>
      <w:r w:rsidRPr="00BE23C5">
        <w:rPr>
          <w:rFonts w:ascii="Arial Narrow" w:hAnsi="Arial Narrow"/>
          <w:b/>
          <w:sz w:val="20"/>
        </w:rPr>
        <w:t xml:space="preserve">Meier </w:t>
      </w:r>
      <w:r w:rsidR="00F14B87" w:rsidRPr="00BE23C5">
        <w:rPr>
          <w:rFonts w:ascii="Arial Narrow" w:hAnsi="Arial Narrow"/>
          <w:b/>
          <w:sz w:val="20"/>
        </w:rPr>
        <w:t>Plot of</w:t>
      </w:r>
      <w:r w:rsidRPr="00BE23C5">
        <w:rPr>
          <w:rFonts w:ascii="Arial Narrow" w:hAnsi="Arial Narrow"/>
          <w:b/>
          <w:sz w:val="20"/>
        </w:rPr>
        <w:t xml:space="preserve"> Disease free su</w:t>
      </w:r>
      <w:r w:rsidR="00A45762" w:rsidRPr="00BE23C5">
        <w:rPr>
          <w:rFonts w:ascii="Arial Narrow" w:hAnsi="Arial Narrow"/>
          <w:b/>
          <w:sz w:val="20"/>
        </w:rPr>
        <w:t>rvival-ITT population (</w:t>
      </w:r>
      <w:r w:rsidRPr="00BE23C5">
        <w:rPr>
          <w:rFonts w:ascii="Arial Narrow" w:hAnsi="Arial Narrow"/>
          <w:b/>
          <w:sz w:val="20"/>
        </w:rPr>
        <w:t>July 2014</w:t>
      </w:r>
      <w:r w:rsidR="00A45762" w:rsidRPr="00BE23C5">
        <w:rPr>
          <w:rFonts w:ascii="Arial Narrow" w:hAnsi="Arial Narrow"/>
          <w:b/>
          <w:sz w:val="20"/>
        </w:rPr>
        <w:t xml:space="preserve"> analysis</w:t>
      </w:r>
      <w:r w:rsidRPr="00BE23C5">
        <w:rPr>
          <w:rFonts w:ascii="Arial Narrow" w:hAnsi="Arial Narrow"/>
          <w:b/>
          <w:sz w:val="20"/>
        </w:rPr>
        <w:t>)</w:t>
      </w:r>
    </w:p>
    <w:p w:rsidR="00C6263D" w:rsidRPr="00BE23C5" w:rsidRDefault="00C6263D" w:rsidP="00C6263D">
      <w:pPr>
        <w:widowControl/>
        <w:rPr>
          <w:rFonts w:ascii="Arial Narrow" w:hAnsi="Arial Narrow"/>
          <w:b/>
          <w:sz w:val="20"/>
        </w:rPr>
      </w:pPr>
      <w:r w:rsidRPr="00BE23C5">
        <w:rPr>
          <w:noProof/>
          <w:lang w:eastAsia="en-AU"/>
        </w:rPr>
        <w:drawing>
          <wp:inline distT="0" distB="0" distL="0" distR="0" wp14:anchorId="73E36AA1" wp14:editId="4445C092">
            <wp:extent cx="5732145" cy="3215640"/>
            <wp:effectExtent l="0" t="0" r="1905" b="3810"/>
            <wp:docPr id="21" name="Picture 21" title="Figure 1: Kaplan-Meier Plot of Disease free survival-ITT population (July 2014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3215640"/>
                    </a:xfrm>
                    <a:prstGeom prst="rect">
                      <a:avLst/>
                    </a:prstGeom>
                    <a:noFill/>
                    <a:ln>
                      <a:noFill/>
                    </a:ln>
                  </pic:spPr>
                </pic:pic>
              </a:graphicData>
            </a:graphic>
          </wp:inline>
        </w:drawing>
      </w:r>
    </w:p>
    <w:p w:rsidR="00C6263D" w:rsidRPr="00BE23C5" w:rsidRDefault="00C6263D" w:rsidP="00C6263D">
      <w:pPr>
        <w:rPr>
          <w:rFonts w:ascii="Arial Narrow" w:hAnsi="Arial Narrow"/>
          <w:sz w:val="18"/>
        </w:rPr>
      </w:pPr>
      <w:r w:rsidRPr="00BE23C5">
        <w:rPr>
          <w:rFonts w:ascii="Arial Narrow" w:hAnsi="Arial Narrow"/>
          <w:sz w:val="18"/>
        </w:rPr>
        <w:t xml:space="preserve">Source: Figure 4, p52 of the submission </w:t>
      </w:r>
    </w:p>
    <w:p w:rsidR="00C6263D" w:rsidRPr="00BE23C5" w:rsidRDefault="00C6263D" w:rsidP="00C6263D">
      <w:pPr>
        <w:widowControl/>
        <w:rPr>
          <w:rFonts w:ascii="Arial Narrow" w:hAnsi="Arial Narrow"/>
          <w:b/>
          <w:sz w:val="20"/>
        </w:rPr>
      </w:pPr>
    </w:p>
    <w:p w:rsidR="00C6263D" w:rsidRPr="00BE23C5" w:rsidRDefault="00C6263D" w:rsidP="00C6263D">
      <w:pPr>
        <w:keepNext/>
        <w:rPr>
          <w:rFonts w:ascii="Arial Narrow" w:hAnsi="Arial Narrow"/>
          <w:b/>
          <w:sz w:val="20"/>
        </w:rPr>
      </w:pPr>
      <w:r w:rsidRPr="00BE23C5">
        <w:rPr>
          <w:rFonts w:ascii="Arial Narrow" w:hAnsi="Arial Narrow"/>
          <w:b/>
          <w:sz w:val="20"/>
        </w:rPr>
        <w:t>Figure 2: Kaplan-Meier Plot of 5-year Disease-free Survival (All Data for</w:t>
      </w:r>
      <w:r w:rsidR="00A45762" w:rsidRPr="00BE23C5">
        <w:rPr>
          <w:rFonts w:ascii="Arial Narrow" w:hAnsi="Arial Narrow"/>
          <w:b/>
          <w:sz w:val="20"/>
        </w:rPr>
        <w:t xml:space="preserve"> Censoring), ITT Population (</w:t>
      </w:r>
      <w:r w:rsidRPr="00BE23C5">
        <w:rPr>
          <w:rFonts w:ascii="Arial Narrow" w:hAnsi="Arial Narrow"/>
          <w:b/>
          <w:sz w:val="20"/>
        </w:rPr>
        <w:t>March 2017</w:t>
      </w:r>
      <w:r w:rsidR="00A45762" w:rsidRPr="00BE23C5">
        <w:rPr>
          <w:rFonts w:ascii="Arial Narrow" w:hAnsi="Arial Narrow"/>
          <w:b/>
          <w:sz w:val="20"/>
        </w:rPr>
        <w:t xml:space="preserve"> analysis)</w:t>
      </w:r>
    </w:p>
    <w:p w:rsidR="00C6263D" w:rsidRPr="00BE23C5" w:rsidRDefault="00C6263D" w:rsidP="00C6263D">
      <w:pPr>
        <w:widowControl/>
        <w:rPr>
          <w:rFonts w:ascii="Arial Narrow" w:hAnsi="Arial Narrow"/>
          <w:b/>
          <w:sz w:val="20"/>
        </w:rPr>
      </w:pPr>
      <w:r w:rsidRPr="00BE23C5">
        <w:rPr>
          <w:noProof/>
          <w:lang w:eastAsia="en-AU"/>
        </w:rPr>
        <w:drawing>
          <wp:inline distT="0" distB="0" distL="0" distR="0" wp14:anchorId="55F50D5C" wp14:editId="3D5968E8">
            <wp:extent cx="5732145" cy="2673350"/>
            <wp:effectExtent l="0" t="0" r="1905" b="0"/>
            <wp:docPr id="22" name="Picture 22" title="Figure 2: Kaplan-Meier Plot of 5-year Disease-free Survival (All Data for Censoring), ITT Population (March 2017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2673350"/>
                    </a:xfrm>
                    <a:prstGeom prst="rect">
                      <a:avLst/>
                    </a:prstGeom>
                    <a:noFill/>
                    <a:ln>
                      <a:noFill/>
                    </a:ln>
                  </pic:spPr>
                </pic:pic>
              </a:graphicData>
            </a:graphic>
          </wp:inline>
        </w:drawing>
      </w:r>
    </w:p>
    <w:p w:rsidR="00C6263D" w:rsidRPr="00BE23C5" w:rsidRDefault="00C6263D" w:rsidP="00C6263D">
      <w:pPr>
        <w:rPr>
          <w:rFonts w:ascii="Arial Narrow" w:hAnsi="Arial Narrow"/>
          <w:sz w:val="18"/>
        </w:rPr>
      </w:pPr>
      <w:r w:rsidRPr="00BE23C5">
        <w:rPr>
          <w:rFonts w:ascii="Arial Narrow" w:hAnsi="Arial Narrow"/>
          <w:sz w:val="18"/>
        </w:rPr>
        <w:t xml:space="preserve">Source: Figure 5, p53 of the submission </w:t>
      </w:r>
    </w:p>
    <w:p w:rsidR="00C6263D" w:rsidRPr="00BE23C5" w:rsidRDefault="00C6263D" w:rsidP="00C6263D">
      <w:pPr>
        <w:widowControl/>
        <w:rPr>
          <w:rFonts w:ascii="Arial Narrow" w:hAnsi="Arial Narrow"/>
          <w:b/>
          <w:sz w:val="20"/>
        </w:rPr>
      </w:pPr>
    </w:p>
    <w:p w:rsidR="00575F33" w:rsidRPr="00BE23C5" w:rsidRDefault="00995A78" w:rsidP="00DE4F2E">
      <w:pPr>
        <w:pStyle w:val="ListParagraph"/>
        <w:widowControl/>
        <w:numPr>
          <w:ilvl w:val="1"/>
          <w:numId w:val="2"/>
        </w:numPr>
        <w:spacing w:after="120"/>
      </w:pPr>
      <w:r w:rsidRPr="00BE23C5">
        <w:t xml:space="preserve">The difference in </w:t>
      </w:r>
      <w:proofErr w:type="spellStart"/>
      <w:r w:rsidRPr="00BE23C5">
        <w:t>iDFS</w:t>
      </w:r>
      <w:proofErr w:type="spellEnd"/>
      <w:r w:rsidRPr="00BE23C5">
        <w:t xml:space="preserve"> at 2 years (7 July 2014 analysis) </w:t>
      </w:r>
      <w:r w:rsidR="00DC2B80" w:rsidRPr="00BE23C5">
        <w:t xml:space="preserve">in the </w:t>
      </w:r>
      <w:proofErr w:type="spellStart"/>
      <w:r w:rsidR="00DC2B80" w:rsidRPr="00BE23C5">
        <w:t>aITT</w:t>
      </w:r>
      <w:proofErr w:type="spellEnd"/>
      <w:r w:rsidR="00DC2B80" w:rsidRPr="00BE23C5">
        <w:t xml:space="preserve"> population (</w:t>
      </w:r>
      <w:r w:rsidRPr="00BE23C5">
        <w:t>3</w:t>
      </w:r>
      <w:r w:rsidR="00DC2B80" w:rsidRPr="00BE23C5">
        <w:t xml:space="preserve">.0%) </w:t>
      </w:r>
      <w:r w:rsidRPr="00BE23C5">
        <w:t xml:space="preserve">was </w:t>
      </w:r>
      <w:r w:rsidR="006F5B50" w:rsidRPr="00BE23C5">
        <w:t xml:space="preserve">larger </w:t>
      </w:r>
      <w:r w:rsidR="00DC2B80" w:rsidRPr="00BE23C5">
        <w:t>compared with the ITT population (</w:t>
      </w:r>
      <w:r w:rsidRPr="00BE23C5">
        <w:t>2.3</w:t>
      </w:r>
      <w:r w:rsidR="00DC2B80" w:rsidRPr="00BE23C5">
        <w:t>%). This is expected</w:t>
      </w:r>
      <w:r w:rsidR="00E071DE" w:rsidRPr="00BE23C5">
        <w:t>,</w:t>
      </w:r>
      <w:r w:rsidR="00DC2B80" w:rsidRPr="00BE23C5">
        <w:t xml:space="preserve"> as the </w:t>
      </w:r>
      <w:proofErr w:type="spellStart"/>
      <w:r w:rsidR="00DC2B80" w:rsidRPr="00BE23C5">
        <w:t>aITT</w:t>
      </w:r>
      <w:proofErr w:type="spellEnd"/>
      <w:r w:rsidR="00DC2B80" w:rsidRPr="00BE23C5">
        <w:t xml:space="preserve"> population is a higher risk population and</w:t>
      </w:r>
      <w:r w:rsidR="00E071DE" w:rsidRPr="00BE23C5">
        <w:t xml:space="preserve"> </w:t>
      </w:r>
      <w:r w:rsidR="006F5B50" w:rsidRPr="00BE23C5">
        <w:t xml:space="preserve">hence </w:t>
      </w:r>
      <w:r w:rsidR="00E071DE" w:rsidRPr="00BE23C5">
        <w:t>patients were</w:t>
      </w:r>
      <w:r w:rsidR="00DC2B80" w:rsidRPr="00BE23C5">
        <w:t xml:space="preserve"> more likely to experience an event. The HR</w:t>
      </w:r>
      <w:r w:rsidR="007039A2" w:rsidRPr="00BE23C5">
        <w:t xml:space="preserve"> (</w:t>
      </w:r>
      <w:r w:rsidR="00DC2B80" w:rsidRPr="00BE23C5">
        <w:t xml:space="preserve">0.65, </w:t>
      </w:r>
      <w:r w:rsidR="007039A2" w:rsidRPr="00BE23C5">
        <w:t xml:space="preserve">95% CI: 0.46, 0.92, </w:t>
      </w:r>
      <w:r w:rsidR="00DC2B80" w:rsidRPr="00BE23C5">
        <w:t xml:space="preserve">p=0.007) </w:t>
      </w:r>
      <w:r w:rsidR="006F5B50" w:rsidRPr="00BE23C5">
        <w:t xml:space="preserve">for the </w:t>
      </w:r>
      <w:proofErr w:type="spellStart"/>
      <w:r w:rsidR="006F5B50" w:rsidRPr="00BE23C5">
        <w:t>aITT</w:t>
      </w:r>
      <w:proofErr w:type="spellEnd"/>
      <w:r w:rsidR="006F5B50" w:rsidRPr="00BE23C5">
        <w:t xml:space="preserve"> population </w:t>
      </w:r>
      <w:r w:rsidR="002A3855" w:rsidRPr="00BE23C5">
        <w:t>was similar to</w:t>
      </w:r>
      <w:r w:rsidR="00DC2B80" w:rsidRPr="00BE23C5">
        <w:t xml:space="preserve"> </w:t>
      </w:r>
      <w:r w:rsidR="006F5B50" w:rsidRPr="00BE23C5">
        <w:t xml:space="preserve">that for </w:t>
      </w:r>
      <w:r w:rsidR="00DC2B80" w:rsidRPr="00BE23C5">
        <w:t>the ITT population (HR= 0.66,</w:t>
      </w:r>
      <w:r w:rsidR="00D57D86" w:rsidRPr="00BE23C5">
        <w:t xml:space="preserve"> 95% CI: 0.49,</w:t>
      </w:r>
      <w:r w:rsidR="000A577A" w:rsidRPr="00BE23C5">
        <w:t xml:space="preserve"> </w:t>
      </w:r>
      <w:r w:rsidR="00D57D86" w:rsidRPr="00BE23C5">
        <w:t>0.90,</w:t>
      </w:r>
      <w:r w:rsidR="00DC2B80" w:rsidRPr="00BE23C5">
        <w:t xml:space="preserve"> p=0.004)</w:t>
      </w:r>
      <w:r w:rsidR="00FC23A1" w:rsidRPr="00BE23C5">
        <w:t xml:space="preserve">. </w:t>
      </w:r>
      <w:r w:rsidR="00DC2B80" w:rsidRPr="00BE23C5">
        <w:t xml:space="preserve">The </w:t>
      </w:r>
      <w:r w:rsidR="00DC2B80" w:rsidRPr="00BE23C5">
        <w:lastRenderedPageBreak/>
        <w:t xml:space="preserve">HR (0.51, </w:t>
      </w:r>
      <w:r w:rsidR="006B0BD5" w:rsidRPr="00BE23C5">
        <w:t xml:space="preserve">95% CI: 0.33, 0.78, </w:t>
      </w:r>
      <w:r w:rsidR="00DC2B80" w:rsidRPr="00BE23C5">
        <w:t xml:space="preserve">p&lt;0.001) </w:t>
      </w:r>
      <w:r w:rsidR="00E5102B" w:rsidRPr="00BE23C5">
        <w:t xml:space="preserve">was lower </w:t>
      </w:r>
      <w:r w:rsidR="00DC2B80" w:rsidRPr="00BE23C5">
        <w:t xml:space="preserve">for centrally confirmed ERBB2-positive </w:t>
      </w:r>
      <w:r w:rsidR="008C4EC2" w:rsidRPr="00BE23C5">
        <w:t xml:space="preserve">(i.e. HER2+) </w:t>
      </w:r>
      <w:r w:rsidR="00DC2B80" w:rsidRPr="00BE23C5">
        <w:t>patients</w:t>
      </w:r>
      <w:r w:rsidR="00002599" w:rsidRPr="00BE23C5">
        <w:t xml:space="preserve"> than for the full ITT population</w:t>
      </w:r>
      <w:r w:rsidR="006B0BD5" w:rsidRPr="00BE23C5">
        <w:t>.</w:t>
      </w:r>
    </w:p>
    <w:p w:rsidR="00DC2B80" w:rsidRPr="00BE23C5" w:rsidRDefault="00DC2B80" w:rsidP="00DE4F2E">
      <w:pPr>
        <w:pStyle w:val="ListParagraph"/>
        <w:widowControl/>
        <w:numPr>
          <w:ilvl w:val="1"/>
          <w:numId w:val="2"/>
        </w:numPr>
        <w:spacing w:after="120"/>
      </w:pPr>
      <w:r w:rsidRPr="00BE23C5">
        <w:t xml:space="preserve">There were 130 (10%) patients in the </w:t>
      </w:r>
      <w:proofErr w:type="spellStart"/>
      <w:r w:rsidRPr="00BE23C5">
        <w:t>neratinib</w:t>
      </w:r>
      <w:proofErr w:type="spellEnd"/>
      <w:r w:rsidRPr="00BE23C5">
        <w:t xml:space="preserve"> arm who dropped out</w:t>
      </w:r>
      <w:r w:rsidR="003823A4" w:rsidRPr="00BE23C5">
        <w:t xml:space="preserve"> of the trial</w:t>
      </w:r>
      <w:r w:rsidRPr="00BE23C5">
        <w:t xml:space="preserve"> within three months of </w:t>
      </w:r>
      <w:r w:rsidR="006B3550" w:rsidRPr="00BE23C5">
        <w:t xml:space="preserve">commencing </w:t>
      </w:r>
      <w:r w:rsidRPr="00BE23C5">
        <w:t xml:space="preserve">treatment for reasons other than recurrent disease compared to 44 (3%) patients in the placebo arm. </w:t>
      </w:r>
    </w:p>
    <w:p w:rsidR="00DC2B80" w:rsidRPr="00BE23C5" w:rsidRDefault="00DC2B80" w:rsidP="00DE4F2E">
      <w:pPr>
        <w:pStyle w:val="ListParagraph"/>
        <w:widowControl/>
        <w:numPr>
          <w:ilvl w:val="1"/>
          <w:numId w:val="2"/>
        </w:numPr>
        <w:spacing w:after="120"/>
      </w:pPr>
      <w:r w:rsidRPr="00BE23C5">
        <w:t xml:space="preserve">The submission stated that OS data </w:t>
      </w:r>
      <w:r w:rsidR="003823A4" w:rsidRPr="00BE23C5">
        <w:t xml:space="preserve">are to remain blinded until the requisite 248 deaths are reported and </w:t>
      </w:r>
      <w:r w:rsidR="009E18E4" w:rsidRPr="00BE23C5">
        <w:t>are</w:t>
      </w:r>
      <w:r w:rsidRPr="00BE23C5">
        <w:t xml:space="preserve"> not expected until late 2019. </w:t>
      </w:r>
      <w:r w:rsidR="003644B1" w:rsidRPr="00BE23C5">
        <w:rPr>
          <w:rFonts w:asciiTheme="minorHAnsi" w:hAnsiTheme="minorHAnsi" w:cstheme="minorHAnsi"/>
        </w:rPr>
        <w:t xml:space="preserve">However, </w:t>
      </w:r>
      <w:r w:rsidR="003823A4" w:rsidRPr="00BE23C5">
        <w:rPr>
          <w:rFonts w:asciiTheme="minorHAnsi" w:hAnsiTheme="minorHAnsi" w:cstheme="minorHAnsi"/>
        </w:rPr>
        <w:t xml:space="preserve">it appeared that </w:t>
      </w:r>
      <w:r w:rsidR="003644B1" w:rsidRPr="00BE23C5">
        <w:rPr>
          <w:rFonts w:asciiTheme="minorHAnsi" w:hAnsiTheme="minorHAnsi" w:cstheme="minorHAnsi"/>
        </w:rPr>
        <w:t xml:space="preserve">OS data for the ITT population </w:t>
      </w:r>
      <w:r w:rsidR="003823A4" w:rsidRPr="00BE23C5">
        <w:rPr>
          <w:rFonts w:asciiTheme="minorHAnsi" w:hAnsiTheme="minorHAnsi" w:cstheme="minorHAnsi"/>
        </w:rPr>
        <w:t xml:space="preserve">were </w:t>
      </w:r>
      <w:r w:rsidR="003644B1" w:rsidRPr="00BE23C5">
        <w:rPr>
          <w:rFonts w:asciiTheme="minorHAnsi" w:hAnsiTheme="minorHAnsi" w:cstheme="minorHAnsi"/>
        </w:rPr>
        <w:t>included in the economic model.</w:t>
      </w:r>
      <w:r w:rsidR="00A9499F" w:rsidRPr="00BE23C5">
        <w:rPr>
          <w:rFonts w:asciiTheme="minorHAnsi" w:hAnsiTheme="minorHAnsi" w:cstheme="minorHAnsi"/>
        </w:rPr>
        <w:t xml:space="preserve"> </w:t>
      </w:r>
    </w:p>
    <w:p w:rsidR="00DC2B80" w:rsidRPr="00BE23C5" w:rsidRDefault="00DC2B80" w:rsidP="00DE4F2E">
      <w:pPr>
        <w:pStyle w:val="ListParagraph"/>
        <w:widowControl/>
        <w:numPr>
          <w:ilvl w:val="1"/>
          <w:numId w:val="2"/>
        </w:numPr>
        <w:spacing w:after="120"/>
      </w:pPr>
      <w:r w:rsidRPr="00BE23C5">
        <w:t xml:space="preserve">The average FACT-B total score over time is shown in Figure </w:t>
      </w:r>
      <w:r w:rsidR="00C6263D" w:rsidRPr="00BE23C5">
        <w:t>3</w:t>
      </w:r>
      <w:r w:rsidR="00F86D74" w:rsidRPr="00BE23C5">
        <w:t xml:space="preserve"> and the average EQ-5D Health State over time is shown in Figure 4</w:t>
      </w:r>
      <w:r w:rsidRPr="00BE23C5">
        <w:t xml:space="preserve">. </w:t>
      </w:r>
    </w:p>
    <w:p w:rsidR="00BE2686" w:rsidRPr="00BE23C5" w:rsidRDefault="00C6263D" w:rsidP="000C5886">
      <w:pPr>
        <w:pStyle w:val="ListParagraph"/>
        <w:keepNext/>
        <w:widowControl/>
        <w:ind w:left="0"/>
        <w:jc w:val="left"/>
        <w:rPr>
          <w:rFonts w:ascii="Arial Narrow" w:hAnsi="Arial Narrow"/>
          <w:b/>
          <w:sz w:val="20"/>
        </w:rPr>
      </w:pPr>
      <w:r w:rsidRPr="00BE23C5">
        <w:rPr>
          <w:rFonts w:ascii="Arial Narrow" w:hAnsi="Arial Narrow"/>
          <w:b/>
          <w:sz w:val="20"/>
        </w:rPr>
        <w:t>Figure 3</w:t>
      </w:r>
      <w:r w:rsidR="00BE2686" w:rsidRPr="00BE23C5">
        <w:rPr>
          <w:rFonts w:ascii="Arial Narrow" w:hAnsi="Arial Narrow"/>
          <w:b/>
          <w:sz w:val="20"/>
        </w:rPr>
        <w:t>:</w:t>
      </w:r>
      <w:r w:rsidR="00E0278D" w:rsidRPr="00BE23C5">
        <w:rPr>
          <w:rFonts w:ascii="Arial Narrow" w:hAnsi="Arial Narrow"/>
          <w:b/>
          <w:sz w:val="20"/>
        </w:rPr>
        <w:t xml:space="preserve"> </w:t>
      </w:r>
      <w:r w:rsidR="00BE2686" w:rsidRPr="00BE23C5">
        <w:rPr>
          <w:rFonts w:ascii="Arial Narrow" w:hAnsi="Arial Narrow"/>
          <w:b/>
          <w:sz w:val="20"/>
        </w:rPr>
        <w:t>Average FACT-B Total Scores Over Time, ITT Population</w:t>
      </w:r>
    </w:p>
    <w:p w:rsidR="00BE2686" w:rsidRPr="00BE23C5" w:rsidRDefault="00BE2686" w:rsidP="00BE2686">
      <w:pPr>
        <w:pStyle w:val="ListParagraph"/>
        <w:widowControl/>
      </w:pPr>
      <w:r w:rsidRPr="00BE23C5">
        <w:rPr>
          <w:noProof/>
          <w:lang w:eastAsia="en-AU"/>
        </w:rPr>
        <w:drawing>
          <wp:inline distT="0" distB="0" distL="0" distR="0" wp14:anchorId="26C541FB" wp14:editId="7881002A">
            <wp:extent cx="5440395" cy="3291840"/>
            <wp:effectExtent l="0" t="0" r="8255" b="3810"/>
            <wp:docPr id="14" name="Picture 14" title="Figure 3: Average FACT-B Total Scores Over Time,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4160" cy="3294118"/>
                    </a:xfrm>
                    <a:prstGeom prst="rect">
                      <a:avLst/>
                    </a:prstGeom>
                    <a:noFill/>
                    <a:ln>
                      <a:noFill/>
                    </a:ln>
                  </pic:spPr>
                </pic:pic>
              </a:graphicData>
            </a:graphic>
          </wp:inline>
        </w:drawing>
      </w:r>
    </w:p>
    <w:p w:rsidR="00BE2686" w:rsidRPr="00BE23C5" w:rsidRDefault="00BE2686" w:rsidP="000A577A">
      <w:pPr>
        <w:widowControl/>
        <w:rPr>
          <w:rFonts w:ascii="Arial Narrow" w:hAnsi="Arial Narrow"/>
          <w:sz w:val="18"/>
          <w:szCs w:val="18"/>
        </w:rPr>
      </w:pPr>
      <w:r w:rsidRPr="00BE23C5">
        <w:rPr>
          <w:rFonts w:ascii="Arial Narrow" w:hAnsi="Arial Narrow"/>
          <w:sz w:val="18"/>
          <w:szCs w:val="18"/>
        </w:rPr>
        <w:t>Source: Figure 8, p61 of the submission</w:t>
      </w:r>
    </w:p>
    <w:p w:rsidR="00BE2686" w:rsidRPr="00BE23C5" w:rsidRDefault="00BE2686" w:rsidP="000C5886">
      <w:pPr>
        <w:pStyle w:val="ListParagraph"/>
        <w:keepNext/>
        <w:widowControl/>
        <w:ind w:left="0"/>
        <w:rPr>
          <w:rFonts w:ascii="Arial Narrow" w:hAnsi="Arial Narrow"/>
          <w:b/>
          <w:sz w:val="20"/>
        </w:rPr>
      </w:pPr>
      <w:r w:rsidRPr="00BE23C5">
        <w:rPr>
          <w:rFonts w:ascii="Arial Narrow" w:hAnsi="Arial Narrow"/>
          <w:b/>
          <w:sz w:val="20"/>
        </w:rPr>
        <w:lastRenderedPageBreak/>
        <w:t xml:space="preserve">Figure </w:t>
      </w:r>
      <w:r w:rsidR="00C6263D" w:rsidRPr="00BE23C5">
        <w:rPr>
          <w:rFonts w:ascii="Arial Narrow" w:hAnsi="Arial Narrow"/>
          <w:b/>
          <w:sz w:val="20"/>
        </w:rPr>
        <w:t>4:</w:t>
      </w:r>
      <w:r w:rsidRPr="00BE23C5">
        <w:rPr>
          <w:rFonts w:ascii="Arial Narrow" w:hAnsi="Arial Narrow"/>
          <w:b/>
          <w:sz w:val="20"/>
        </w:rPr>
        <w:t xml:space="preserve"> Average EQ-5D Health State Summary Scores Over Time, ITT Population</w:t>
      </w:r>
    </w:p>
    <w:p w:rsidR="00BE2686" w:rsidRPr="00BE23C5" w:rsidRDefault="002365B2" w:rsidP="00BE2686">
      <w:pPr>
        <w:pStyle w:val="ListParagraph"/>
        <w:widowControl/>
        <w:rPr>
          <w:rFonts w:ascii="Arial Narrow" w:hAnsi="Arial Narrow"/>
          <w:sz w:val="20"/>
        </w:rPr>
      </w:pPr>
      <w:r w:rsidRPr="00BE23C5">
        <w:rPr>
          <w:noProof/>
          <w:lang w:eastAsia="en-AU"/>
        </w:rPr>
        <w:drawing>
          <wp:inline distT="0" distB="0" distL="0" distR="0" wp14:anchorId="6E29EC45" wp14:editId="4605BA27">
            <wp:extent cx="5732145" cy="3405505"/>
            <wp:effectExtent l="0" t="0" r="1905" b="4445"/>
            <wp:docPr id="17" name="Picture 17" title="Figure 4: Average EQ-5D Health State Summary Scores Over Time,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3405505"/>
                    </a:xfrm>
                    <a:prstGeom prst="rect">
                      <a:avLst/>
                    </a:prstGeom>
                    <a:noFill/>
                    <a:ln>
                      <a:noFill/>
                    </a:ln>
                  </pic:spPr>
                </pic:pic>
              </a:graphicData>
            </a:graphic>
          </wp:inline>
        </w:drawing>
      </w:r>
    </w:p>
    <w:p w:rsidR="002365B2" w:rsidRPr="00BE23C5" w:rsidRDefault="002365B2" w:rsidP="00C91339">
      <w:pPr>
        <w:widowControl/>
        <w:rPr>
          <w:rFonts w:ascii="Arial Narrow" w:hAnsi="Arial Narrow"/>
          <w:sz w:val="18"/>
          <w:szCs w:val="18"/>
        </w:rPr>
      </w:pPr>
      <w:r w:rsidRPr="00BE23C5">
        <w:rPr>
          <w:rFonts w:ascii="Arial Narrow" w:hAnsi="Arial Narrow"/>
          <w:sz w:val="18"/>
          <w:szCs w:val="18"/>
        </w:rPr>
        <w:t>Source: Figure 8, p61 of the submission</w:t>
      </w:r>
    </w:p>
    <w:p w:rsidR="00C91339" w:rsidRPr="00BE23C5" w:rsidRDefault="00C91339" w:rsidP="00C91339"/>
    <w:p w:rsidR="00575F33" w:rsidRPr="00BE23C5" w:rsidRDefault="00DC2B80" w:rsidP="00DE4F2E">
      <w:pPr>
        <w:pStyle w:val="ListParagraph"/>
        <w:widowControl/>
        <w:numPr>
          <w:ilvl w:val="1"/>
          <w:numId w:val="2"/>
        </w:numPr>
        <w:spacing w:after="120"/>
      </w:pPr>
      <w:r w:rsidRPr="00BE23C5">
        <w:t>The</w:t>
      </w:r>
      <w:r w:rsidR="00E159DF" w:rsidRPr="00BE23C5">
        <w:t xml:space="preserve"> health-related</w:t>
      </w:r>
      <w:r w:rsidRPr="00BE23C5">
        <w:t xml:space="preserve"> quality of life </w:t>
      </w:r>
      <w:r w:rsidR="00F9725F" w:rsidRPr="00BE23C5">
        <w:t xml:space="preserve">results over time </w:t>
      </w:r>
      <w:r w:rsidRPr="00BE23C5">
        <w:t xml:space="preserve">derived from the EQ-5D instrument </w:t>
      </w:r>
      <w:r w:rsidR="00F9725F" w:rsidRPr="00BE23C5">
        <w:t xml:space="preserve">were </w:t>
      </w:r>
      <w:r w:rsidRPr="00BE23C5">
        <w:t xml:space="preserve">similar </w:t>
      </w:r>
      <w:r w:rsidR="00F9725F" w:rsidRPr="00BE23C5">
        <w:t>to those</w:t>
      </w:r>
      <w:r w:rsidRPr="00BE23C5">
        <w:t xml:space="preserve"> using the FACT-B instrument. The quality of life results suggested </w:t>
      </w:r>
      <w:r w:rsidR="00F9725F" w:rsidRPr="00BE23C5">
        <w:t xml:space="preserve">that </w:t>
      </w:r>
      <w:r w:rsidRPr="00BE23C5">
        <w:t>within the first month after randomisation the quality of life score decrease</w:t>
      </w:r>
      <w:r w:rsidR="008A3BC8" w:rsidRPr="00BE23C5">
        <w:t>d</w:t>
      </w:r>
      <w:r w:rsidRPr="00BE23C5">
        <w:t xml:space="preserve"> more </w:t>
      </w:r>
      <w:r w:rsidR="00E159DF" w:rsidRPr="00BE23C5">
        <w:t>with</w:t>
      </w:r>
      <w:r w:rsidRPr="00BE23C5">
        <w:t xml:space="preserve"> </w:t>
      </w:r>
      <w:proofErr w:type="spellStart"/>
      <w:r w:rsidRPr="00BE23C5">
        <w:t>neratinib</w:t>
      </w:r>
      <w:proofErr w:type="spellEnd"/>
      <w:r w:rsidR="00E159DF" w:rsidRPr="00BE23C5">
        <w:t xml:space="preserve"> </w:t>
      </w:r>
      <w:r w:rsidR="008A3BC8" w:rsidRPr="00BE23C5">
        <w:t xml:space="preserve">than with </w:t>
      </w:r>
      <w:r w:rsidR="00E159DF" w:rsidRPr="00BE23C5">
        <w:t>placebo</w:t>
      </w:r>
      <w:r w:rsidRPr="00BE23C5">
        <w:t xml:space="preserve">. This may be due to the onset of diarrhoea. After the first month, the quality of life scores </w:t>
      </w:r>
      <w:r w:rsidR="008A3BC8" w:rsidRPr="00BE23C5">
        <w:t xml:space="preserve">were </w:t>
      </w:r>
      <w:r w:rsidRPr="00BE23C5">
        <w:t xml:space="preserve">similar </w:t>
      </w:r>
      <w:r w:rsidR="008A3BC8" w:rsidRPr="00BE23C5">
        <w:t xml:space="preserve">for </w:t>
      </w:r>
      <w:r w:rsidRPr="00BE23C5">
        <w:t xml:space="preserve">the two arms. </w:t>
      </w:r>
    </w:p>
    <w:p w:rsidR="00F86D74" w:rsidRPr="00BE23C5" w:rsidRDefault="00F86D74" w:rsidP="00DE4F2E">
      <w:pPr>
        <w:pStyle w:val="ListParagraph"/>
        <w:widowControl/>
        <w:numPr>
          <w:ilvl w:val="1"/>
          <w:numId w:val="2"/>
        </w:numPr>
        <w:spacing w:after="120"/>
        <w:rPr>
          <w:i/>
        </w:rPr>
      </w:pPr>
      <w:r w:rsidRPr="00BE23C5">
        <w:t>The submission stated that the decrease</w:t>
      </w:r>
      <w:r w:rsidR="00F9725F" w:rsidRPr="00BE23C5">
        <w:t>s</w:t>
      </w:r>
      <w:r w:rsidRPr="00BE23C5">
        <w:t xml:space="preserve"> in FACT-B mean total score (Brady et al, 1997) and in the EQ-5D Health State or Index scores </w:t>
      </w:r>
      <w:r w:rsidR="00F9725F" w:rsidRPr="00BE23C5">
        <w:t xml:space="preserve">in the first month </w:t>
      </w:r>
      <w:r w:rsidRPr="00BE23C5">
        <w:t>were not clinically significant.</w:t>
      </w:r>
      <w:r w:rsidR="0033236E" w:rsidRPr="00BE23C5">
        <w:t xml:space="preserve"> </w:t>
      </w:r>
    </w:p>
    <w:p w:rsidR="00804284" w:rsidRPr="00BE23C5" w:rsidRDefault="00804284" w:rsidP="00DE4F2E">
      <w:pPr>
        <w:pStyle w:val="ListParagraph"/>
        <w:widowControl/>
        <w:numPr>
          <w:ilvl w:val="1"/>
          <w:numId w:val="2"/>
        </w:numPr>
        <w:spacing w:after="120"/>
        <w:rPr>
          <w:rFonts w:cs="Calibri"/>
          <w:snapToGrid/>
          <w:szCs w:val="24"/>
          <w:lang w:eastAsia="en-AU"/>
        </w:rPr>
      </w:pPr>
      <w:r w:rsidRPr="00BE23C5">
        <w:rPr>
          <w:rFonts w:asciiTheme="minorHAnsi" w:hAnsiTheme="minorHAnsi" w:cstheme="minorHAnsi"/>
        </w:rPr>
        <w:t xml:space="preserve">The submission </w:t>
      </w:r>
      <w:r w:rsidR="00F9725F" w:rsidRPr="00BE23C5">
        <w:rPr>
          <w:rFonts w:asciiTheme="minorHAnsi" w:hAnsiTheme="minorHAnsi" w:cstheme="minorHAnsi"/>
        </w:rPr>
        <w:t xml:space="preserve">proposed </w:t>
      </w:r>
      <w:r w:rsidRPr="00BE23C5">
        <w:rPr>
          <w:rFonts w:asciiTheme="minorHAnsi" w:hAnsiTheme="minorHAnsi" w:cstheme="minorHAnsi"/>
        </w:rPr>
        <w:t xml:space="preserve">PBS listing </w:t>
      </w:r>
      <w:r w:rsidR="00F9725F" w:rsidRPr="00BE23C5">
        <w:rPr>
          <w:rFonts w:asciiTheme="minorHAnsi" w:hAnsiTheme="minorHAnsi" w:cstheme="minorHAnsi"/>
        </w:rPr>
        <w:t>for HR+ patients.</w:t>
      </w:r>
      <w:r w:rsidRPr="00BE23C5">
        <w:rPr>
          <w:rFonts w:asciiTheme="minorHAnsi" w:hAnsiTheme="minorHAnsi" w:cstheme="minorHAnsi"/>
        </w:rPr>
        <w:t xml:space="preserve"> </w:t>
      </w:r>
      <w:r w:rsidR="00F9725F" w:rsidRPr="00BE23C5">
        <w:rPr>
          <w:rFonts w:asciiTheme="minorHAnsi" w:hAnsiTheme="minorHAnsi" w:cstheme="minorHAnsi"/>
        </w:rPr>
        <w:t>A</w:t>
      </w:r>
      <w:r w:rsidRPr="00BE23C5">
        <w:rPr>
          <w:rFonts w:asciiTheme="minorHAnsi" w:hAnsiTheme="minorHAnsi" w:cstheme="minorHAnsi"/>
        </w:rPr>
        <w:t xml:space="preserve"> pre-specified analysis of the HR+ sub-group of the ITT population of the </w:t>
      </w:r>
      <w:proofErr w:type="spellStart"/>
      <w:r w:rsidRPr="00BE23C5">
        <w:rPr>
          <w:rFonts w:asciiTheme="minorHAnsi" w:hAnsiTheme="minorHAnsi" w:cstheme="minorHAnsi"/>
        </w:rPr>
        <w:t>ExteNET</w:t>
      </w:r>
      <w:proofErr w:type="spellEnd"/>
      <w:r w:rsidRPr="00BE23C5">
        <w:rPr>
          <w:rFonts w:asciiTheme="minorHAnsi" w:hAnsiTheme="minorHAnsi" w:cstheme="minorHAnsi"/>
        </w:rPr>
        <w:t xml:space="preserve"> trial</w:t>
      </w:r>
      <w:r w:rsidR="00F9725F" w:rsidRPr="00BE23C5">
        <w:rPr>
          <w:rFonts w:asciiTheme="minorHAnsi" w:hAnsiTheme="minorHAnsi" w:cstheme="minorHAnsi"/>
        </w:rPr>
        <w:t xml:space="preserve"> was presented to support this</w:t>
      </w:r>
      <w:r w:rsidRPr="00BE23C5">
        <w:rPr>
          <w:rFonts w:asciiTheme="minorHAnsi" w:hAnsiTheme="minorHAnsi" w:cstheme="minorHAnsi"/>
        </w:rPr>
        <w:t>.</w:t>
      </w:r>
      <w:r w:rsidRPr="00BE23C5">
        <w:rPr>
          <w:rFonts w:asciiTheme="minorHAnsi" w:hAnsiTheme="minorHAnsi" w:cstheme="minorHAnsi"/>
          <w:i/>
        </w:rPr>
        <w:t xml:space="preserve"> </w:t>
      </w:r>
      <w:r w:rsidRPr="00BE23C5">
        <w:rPr>
          <w:rFonts w:cs="Calibri"/>
          <w:snapToGrid/>
          <w:szCs w:val="24"/>
          <w:lang w:eastAsia="en-AU"/>
        </w:rPr>
        <w:t>The submission argued that several factors may contribute to the superior outcome for HR+ patients:</w:t>
      </w:r>
    </w:p>
    <w:p w:rsidR="00804284" w:rsidRPr="00BE23C5" w:rsidRDefault="00804284" w:rsidP="00DE4F2E">
      <w:pPr>
        <w:pStyle w:val="ListParagraph"/>
        <w:widowControl/>
        <w:numPr>
          <w:ilvl w:val="1"/>
          <w:numId w:val="11"/>
        </w:numPr>
        <w:spacing w:after="120"/>
        <w:ind w:left="1077" w:hanging="357"/>
      </w:pPr>
      <w:r w:rsidRPr="00BE23C5">
        <w:t>The enhanced treatment effect with tyrosine kinase receptors in HR+ can be explained by dual-blockade of bi-directional signalling (</w:t>
      </w:r>
      <w:r w:rsidR="00C53198" w:rsidRPr="00BE23C5">
        <w:t>c</w:t>
      </w:r>
      <w:r w:rsidRPr="00BE23C5">
        <w:t>ross-talk) between oestrogen receptors (ER) and the HER receptor;</w:t>
      </w:r>
    </w:p>
    <w:p w:rsidR="00804284" w:rsidRPr="00BE23C5" w:rsidRDefault="00804284" w:rsidP="00DE4F2E">
      <w:pPr>
        <w:pStyle w:val="ListParagraph"/>
        <w:widowControl/>
        <w:numPr>
          <w:ilvl w:val="1"/>
          <w:numId w:val="11"/>
        </w:numPr>
        <w:spacing w:after="120"/>
        <w:ind w:left="1077" w:hanging="357"/>
      </w:pPr>
      <w:r w:rsidRPr="00BE23C5">
        <w:lastRenderedPageBreak/>
        <w:t>Clinical data from HR+ subset the “</w:t>
      </w:r>
      <w:proofErr w:type="spellStart"/>
      <w:r w:rsidRPr="00BE23C5">
        <w:t>GeparQuinto</w:t>
      </w:r>
      <w:proofErr w:type="spellEnd"/>
      <w:r w:rsidRPr="00BE23C5">
        <w:t>”</w:t>
      </w:r>
      <w:r w:rsidRPr="00BE23C5">
        <w:rPr>
          <w:rStyle w:val="FootnoteReference"/>
        </w:rPr>
        <w:footnoteReference w:id="6"/>
      </w:r>
      <w:r w:rsidRPr="00BE23C5">
        <w:t xml:space="preserve"> and ALTERNATIVE</w:t>
      </w:r>
      <w:r w:rsidRPr="00BE23C5">
        <w:rPr>
          <w:rStyle w:val="FootnoteReference"/>
        </w:rPr>
        <w:footnoteReference w:id="7"/>
      </w:r>
      <w:r w:rsidRPr="00BE23C5">
        <w:t xml:space="preserve"> studies externally validates the outcomes observed in Study 3004; and</w:t>
      </w:r>
    </w:p>
    <w:p w:rsidR="00804284" w:rsidRPr="00BE23C5" w:rsidRDefault="00804284" w:rsidP="00DE4F2E">
      <w:pPr>
        <w:pStyle w:val="ListParagraph"/>
        <w:widowControl/>
        <w:numPr>
          <w:ilvl w:val="1"/>
          <w:numId w:val="11"/>
        </w:numPr>
        <w:spacing w:after="120"/>
        <w:ind w:left="1077" w:hanging="357"/>
      </w:pPr>
      <w:r w:rsidRPr="00BE23C5">
        <w:t xml:space="preserve">Differential efficacy seen in the HR- subgroup may be due to </w:t>
      </w:r>
      <w:r w:rsidR="00EF2B2A" w:rsidRPr="00BE23C5">
        <w:t xml:space="preserve">the </w:t>
      </w:r>
      <w:r w:rsidRPr="00BE23C5">
        <w:t>natural history of disease.</w:t>
      </w:r>
    </w:p>
    <w:p w:rsidR="002365B2" w:rsidRPr="00BE23C5" w:rsidRDefault="002365B2" w:rsidP="00DE4F2E">
      <w:pPr>
        <w:pStyle w:val="ListParagraph"/>
        <w:widowControl/>
        <w:numPr>
          <w:ilvl w:val="1"/>
          <w:numId w:val="2"/>
        </w:numPr>
        <w:spacing w:after="120"/>
      </w:pPr>
      <w:r w:rsidRPr="00BE23C5">
        <w:rPr>
          <w:rFonts w:cs="Calibri"/>
          <w:snapToGrid/>
          <w:szCs w:val="24"/>
          <w:lang w:eastAsia="en-AU"/>
        </w:rPr>
        <w:t xml:space="preserve">Table </w:t>
      </w:r>
      <w:r w:rsidR="00C41CD3" w:rsidRPr="00BE23C5">
        <w:rPr>
          <w:rFonts w:cs="Calibri"/>
          <w:snapToGrid/>
          <w:szCs w:val="24"/>
          <w:lang w:eastAsia="en-AU"/>
        </w:rPr>
        <w:t>6</w:t>
      </w:r>
      <w:r w:rsidR="00CB021A" w:rsidRPr="00BE23C5">
        <w:rPr>
          <w:rFonts w:cs="Calibri"/>
          <w:snapToGrid/>
          <w:szCs w:val="24"/>
          <w:lang w:eastAsia="en-AU"/>
        </w:rPr>
        <w:t xml:space="preserve"> </w:t>
      </w:r>
      <w:r w:rsidR="00C6263D" w:rsidRPr="00BE23C5">
        <w:rPr>
          <w:rFonts w:cs="Calibri"/>
          <w:snapToGrid/>
          <w:szCs w:val="24"/>
          <w:lang w:eastAsia="en-AU"/>
        </w:rPr>
        <w:t>present</w:t>
      </w:r>
      <w:r w:rsidR="00EB79DB" w:rsidRPr="00BE23C5">
        <w:rPr>
          <w:rFonts w:cs="Calibri"/>
          <w:snapToGrid/>
          <w:szCs w:val="24"/>
          <w:lang w:eastAsia="en-AU"/>
        </w:rPr>
        <w:t>s</w:t>
      </w:r>
      <w:r w:rsidRPr="00BE23C5">
        <w:rPr>
          <w:rFonts w:cs="Calibri"/>
          <w:snapToGrid/>
          <w:szCs w:val="24"/>
          <w:lang w:eastAsia="en-AU"/>
        </w:rPr>
        <w:t xml:space="preserve"> the results </w:t>
      </w:r>
      <w:r w:rsidR="00F9725F" w:rsidRPr="00BE23C5">
        <w:rPr>
          <w:rFonts w:cs="Calibri"/>
          <w:snapToGrid/>
          <w:szCs w:val="24"/>
          <w:lang w:eastAsia="en-AU"/>
        </w:rPr>
        <w:t xml:space="preserve">for </w:t>
      </w:r>
      <w:r w:rsidRPr="00BE23C5">
        <w:rPr>
          <w:rFonts w:cs="Calibri"/>
          <w:snapToGrid/>
          <w:szCs w:val="24"/>
          <w:lang w:eastAsia="en-AU"/>
        </w:rPr>
        <w:t xml:space="preserve">the </w:t>
      </w:r>
      <w:r w:rsidR="00F9725F" w:rsidRPr="00BE23C5">
        <w:rPr>
          <w:rFonts w:cs="Calibri"/>
          <w:snapToGrid/>
          <w:szCs w:val="24"/>
          <w:lang w:eastAsia="en-AU"/>
        </w:rPr>
        <w:t xml:space="preserve">HR+ </w:t>
      </w:r>
      <w:r w:rsidRPr="00BE23C5">
        <w:rPr>
          <w:rFonts w:cs="Calibri"/>
          <w:snapToGrid/>
          <w:szCs w:val="24"/>
          <w:lang w:eastAsia="en-AU"/>
        </w:rPr>
        <w:t>subgroup analysis.</w:t>
      </w:r>
    </w:p>
    <w:p w:rsidR="002365B2" w:rsidRPr="00BE23C5" w:rsidRDefault="002365B2" w:rsidP="00C6263D">
      <w:pPr>
        <w:keepNext/>
        <w:widowControl/>
        <w:rPr>
          <w:rFonts w:ascii="Arial Narrow" w:hAnsi="Arial Narrow"/>
          <w:b/>
          <w:sz w:val="20"/>
        </w:rPr>
      </w:pPr>
      <w:r w:rsidRPr="00BE23C5">
        <w:rPr>
          <w:rFonts w:ascii="Arial Narrow" w:hAnsi="Arial Narrow"/>
          <w:b/>
          <w:sz w:val="20"/>
        </w:rPr>
        <w:t xml:space="preserve">Table </w:t>
      </w:r>
      <w:r w:rsidR="004F734A" w:rsidRPr="00BE23C5">
        <w:rPr>
          <w:rFonts w:ascii="Arial Narrow" w:hAnsi="Arial Narrow"/>
          <w:b/>
          <w:sz w:val="20"/>
        </w:rPr>
        <w:t>6</w:t>
      </w:r>
      <w:r w:rsidRPr="00BE23C5">
        <w:rPr>
          <w:rFonts w:ascii="Arial Narrow" w:hAnsi="Arial Narrow"/>
          <w:b/>
          <w:sz w:val="20"/>
        </w:rPr>
        <w:t xml:space="preserve">: </w:t>
      </w:r>
      <w:proofErr w:type="spellStart"/>
      <w:r w:rsidR="00F9725F" w:rsidRPr="00BE23C5">
        <w:rPr>
          <w:rFonts w:ascii="Arial Narrow" w:hAnsi="Arial Narrow"/>
          <w:b/>
          <w:sz w:val="20"/>
        </w:rPr>
        <w:t>iDFS</w:t>
      </w:r>
      <w:proofErr w:type="spellEnd"/>
      <w:r w:rsidR="00F9725F" w:rsidRPr="00BE23C5">
        <w:rPr>
          <w:rFonts w:ascii="Arial Narrow" w:hAnsi="Arial Narrow"/>
          <w:b/>
          <w:sz w:val="20"/>
        </w:rPr>
        <w:t xml:space="preserve"> </w:t>
      </w:r>
      <w:r w:rsidR="00F9725F" w:rsidRPr="00BE23C5">
        <w:rPr>
          <w:rStyle w:val="CommentReference"/>
        </w:rPr>
        <w:t>r</w:t>
      </w:r>
      <w:r w:rsidR="00190926" w:rsidRPr="00BE23C5">
        <w:rPr>
          <w:rStyle w:val="CommentReference"/>
        </w:rPr>
        <w:t>esults</w:t>
      </w:r>
      <w:r w:rsidR="00F9725F" w:rsidRPr="00BE23C5">
        <w:rPr>
          <w:rStyle w:val="CommentReference"/>
        </w:rPr>
        <w:t xml:space="preserve"> for</w:t>
      </w:r>
      <w:r w:rsidR="00190926" w:rsidRPr="00BE23C5">
        <w:rPr>
          <w:rStyle w:val="CommentReference"/>
        </w:rPr>
        <w:t xml:space="preserve"> subgroup</w:t>
      </w:r>
      <w:r w:rsidR="00F9725F" w:rsidRPr="00BE23C5">
        <w:rPr>
          <w:rStyle w:val="CommentReference"/>
        </w:rPr>
        <w:t>s based on HR status</w:t>
      </w:r>
      <w:r w:rsidR="00190926" w:rsidRPr="00BE23C5">
        <w:rPr>
          <w:rStyle w:val="CommentReference"/>
        </w:rPr>
        <w:t xml:space="preserve"> (7 July 2014</w:t>
      </w:r>
      <w:r w:rsidR="00F9725F" w:rsidRPr="00BE23C5">
        <w:rPr>
          <w:rStyle w:val="CommentReference"/>
        </w:rPr>
        <w:t xml:space="preserve"> analysis</w:t>
      </w:r>
      <w:r w:rsidR="00190926" w:rsidRPr="00BE23C5">
        <w:rPr>
          <w:rStyle w:val="CommentReferenc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iDFS results for subgroups based on HR status (7 July 2014 analysis)"/>
      </w:tblPr>
      <w:tblGrid>
        <w:gridCol w:w="988"/>
        <w:gridCol w:w="1134"/>
        <w:gridCol w:w="1133"/>
        <w:gridCol w:w="1708"/>
        <w:gridCol w:w="1695"/>
        <w:gridCol w:w="1275"/>
        <w:gridCol w:w="1084"/>
      </w:tblGrid>
      <w:tr w:rsidR="002D5747" w:rsidRPr="00BE23C5" w:rsidTr="00C91339">
        <w:trPr>
          <w:tblHeader/>
        </w:trPr>
        <w:tc>
          <w:tcPr>
            <w:tcW w:w="548" w:type="pct"/>
            <w:tcMar>
              <w:left w:w="28" w:type="dxa"/>
              <w:right w:w="28" w:type="dxa"/>
            </w:tcMar>
            <w:vAlign w:val="center"/>
          </w:tcPr>
          <w:p w:rsidR="002365B2" w:rsidRPr="00BE23C5" w:rsidRDefault="002365B2" w:rsidP="009A56EF">
            <w:pPr>
              <w:pStyle w:val="Tabletext"/>
              <w:rPr>
                <w:b/>
              </w:rPr>
            </w:pPr>
            <w:r w:rsidRPr="00BE23C5">
              <w:rPr>
                <w:b/>
              </w:rPr>
              <w:t>Population</w:t>
            </w:r>
          </w:p>
        </w:tc>
        <w:tc>
          <w:tcPr>
            <w:tcW w:w="629" w:type="pct"/>
            <w:tcMar>
              <w:left w:w="28" w:type="dxa"/>
              <w:right w:w="28" w:type="dxa"/>
            </w:tcMar>
            <w:vAlign w:val="center"/>
          </w:tcPr>
          <w:p w:rsidR="002365B2" w:rsidRPr="00BE23C5" w:rsidRDefault="002365B2" w:rsidP="009A56EF">
            <w:pPr>
              <w:pStyle w:val="Tabletext"/>
              <w:jc w:val="center"/>
              <w:rPr>
                <w:b/>
              </w:rPr>
            </w:pPr>
            <w:proofErr w:type="spellStart"/>
            <w:r w:rsidRPr="00BE23C5">
              <w:rPr>
                <w:b/>
              </w:rPr>
              <w:t>Neratinib</w:t>
            </w:r>
            <w:proofErr w:type="spellEnd"/>
          </w:p>
          <w:p w:rsidR="002365B2" w:rsidRPr="00BE23C5" w:rsidRDefault="00C91339" w:rsidP="00C91339">
            <w:pPr>
              <w:pStyle w:val="Tabletext"/>
              <w:jc w:val="center"/>
              <w:rPr>
                <w:b/>
              </w:rPr>
            </w:pPr>
            <w:r w:rsidRPr="00BE23C5">
              <w:rPr>
                <w:b/>
              </w:rPr>
              <w:t xml:space="preserve"> </w:t>
            </w:r>
            <w:proofErr w:type="gramStart"/>
            <w:r w:rsidRPr="00BE23C5">
              <w:rPr>
                <w:b/>
              </w:rPr>
              <w:t>n</w:t>
            </w:r>
            <w:r w:rsidR="002365B2" w:rsidRPr="00BE23C5">
              <w:rPr>
                <w:b/>
              </w:rPr>
              <w:t>/N</w:t>
            </w:r>
            <w:proofErr w:type="gramEnd"/>
            <w:r w:rsidR="002365B2" w:rsidRPr="00BE23C5">
              <w:rPr>
                <w:b/>
              </w:rPr>
              <w:t xml:space="preserve"> (%)</w:t>
            </w:r>
          </w:p>
        </w:tc>
        <w:tc>
          <w:tcPr>
            <w:tcW w:w="628" w:type="pct"/>
            <w:tcMar>
              <w:left w:w="28" w:type="dxa"/>
              <w:right w:w="28" w:type="dxa"/>
            </w:tcMar>
            <w:vAlign w:val="center"/>
          </w:tcPr>
          <w:p w:rsidR="002365B2" w:rsidRPr="00BE23C5" w:rsidRDefault="002365B2" w:rsidP="009A56EF">
            <w:pPr>
              <w:pStyle w:val="Tabletext"/>
              <w:jc w:val="center"/>
              <w:rPr>
                <w:b/>
              </w:rPr>
            </w:pPr>
            <w:r w:rsidRPr="00BE23C5">
              <w:rPr>
                <w:b/>
              </w:rPr>
              <w:t>Placebo</w:t>
            </w:r>
          </w:p>
          <w:p w:rsidR="002365B2" w:rsidRPr="00BE23C5" w:rsidRDefault="00C91339" w:rsidP="00C91339">
            <w:pPr>
              <w:pStyle w:val="Tabletext"/>
              <w:jc w:val="center"/>
              <w:rPr>
                <w:b/>
              </w:rPr>
            </w:pPr>
            <w:proofErr w:type="gramStart"/>
            <w:r w:rsidRPr="00BE23C5">
              <w:rPr>
                <w:b/>
              </w:rPr>
              <w:t>n</w:t>
            </w:r>
            <w:r w:rsidR="002365B2" w:rsidRPr="00BE23C5">
              <w:rPr>
                <w:b/>
              </w:rPr>
              <w:t>/N</w:t>
            </w:r>
            <w:proofErr w:type="gramEnd"/>
            <w:r w:rsidR="002365B2" w:rsidRPr="00BE23C5">
              <w:rPr>
                <w:b/>
              </w:rPr>
              <w:t xml:space="preserve"> (%)</w:t>
            </w:r>
          </w:p>
        </w:tc>
        <w:tc>
          <w:tcPr>
            <w:tcW w:w="947" w:type="pct"/>
            <w:tcMar>
              <w:left w:w="28" w:type="dxa"/>
              <w:right w:w="28" w:type="dxa"/>
            </w:tcMar>
          </w:tcPr>
          <w:p w:rsidR="002365B2" w:rsidRPr="00BE23C5" w:rsidRDefault="002365B2" w:rsidP="009A56EF">
            <w:pPr>
              <w:pStyle w:val="Tabletext"/>
              <w:jc w:val="center"/>
              <w:rPr>
                <w:b/>
              </w:rPr>
            </w:pPr>
            <w:proofErr w:type="spellStart"/>
            <w:r w:rsidRPr="00BE23C5">
              <w:rPr>
                <w:b/>
              </w:rPr>
              <w:t>Neratinib</w:t>
            </w:r>
            <w:proofErr w:type="spellEnd"/>
          </w:p>
          <w:p w:rsidR="002365B2" w:rsidRPr="00BE23C5" w:rsidRDefault="00195A4B" w:rsidP="00C91339">
            <w:pPr>
              <w:pStyle w:val="Tabletext"/>
              <w:jc w:val="center"/>
              <w:rPr>
                <w:b/>
              </w:rPr>
            </w:pPr>
            <w:r w:rsidRPr="00BE23C5">
              <w:rPr>
                <w:b/>
              </w:rPr>
              <w:t>24</w:t>
            </w:r>
            <w:r w:rsidR="00C91339" w:rsidRPr="00BE23C5">
              <w:rPr>
                <w:b/>
              </w:rPr>
              <w:t>-</w:t>
            </w:r>
            <w:r w:rsidRPr="00BE23C5">
              <w:rPr>
                <w:b/>
              </w:rPr>
              <w:t xml:space="preserve">month </w:t>
            </w:r>
            <w:proofErr w:type="spellStart"/>
            <w:r w:rsidRPr="00BE23C5">
              <w:rPr>
                <w:b/>
              </w:rPr>
              <w:t>i</w:t>
            </w:r>
            <w:r w:rsidR="002365B2" w:rsidRPr="00BE23C5">
              <w:rPr>
                <w:b/>
              </w:rPr>
              <w:t>DFS</w:t>
            </w:r>
            <w:proofErr w:type="spellEnd"/>
            <w:r w:rsidR="002365B2" w:rsidRPr="00BE23C5">
              <w:rPr>
                <w:b/>
              </w:rPr>
              <w:t xml:space="preserve"> rate</w:t>
            </w:r>
            <w:r w:rsidR="00C91339" w:rsidRPr="00BE23C5">
              <w:rPr>
                <w:b/>
              </w:rPr>
              <w:t>,</w:t>
            </w:r>
            <w:r w:rsidR="002365B2" w:rsidRPr="00BE23C5">
              <w:rPr>
                <w:b/>
              </w:rPr>
              <w:t xml:space="preserve"> %</w:t>
            </w:r>
            <w:r w:rsidR="00C91339" w:rsidRPr="00BE23C5">
              <w:rPr>
                <w:b/>
              </w:rPr>
              <w:t xml:space="preserve"> </w:t>
            </w:r>
            <w:r w:rsidR="002365B2" w:rsidRPr="00BE23C5">
              <w:rPr>
                <w:b/>
              </w:rPr>
              <w:t>(95% CI)</w:t>
            </w:r>
          </w:p>
        </w:tc>
        <w:tc>
          <w:tcPr>
            <w:tcW w:w="940" w:type="pct"/>
            <w:tcMar>
              <w:left w:w="28" w:type="dxa"/>
              <w:right w:w="28" w:type="dxa"/>
            </w:tcMar>
          </w:tcPr>
          <w:p w:rsidR="002365B2" w:rsidRPr="00BE23C5" w:rsidRDefault="002365B2" w:rsidP="009A56EF">
            <w:pPr>
              <w:pStyle w:val="Tabletext"/>
              <w:jc w:val="center"/>
              <w:rPr>
                <w:b/>
              </w:rPr>
            </w:pPr>
            <w:r w:rsidRPr="00BE23C5">
              <w:rPr>
                <w:b/>
              </w:rPr>
              <w:t>Placebo</w:t>
            </w:r>
          </w:p>
          <w:p w:rsidR="002365B2" w:rsidRPr="00BE23C5" w:rsidRDefault="002365B2" w:rsidP="00C91339">
            <w:pPr>
              <w:pStyle w:val="Tabletext"/>
              <w:jc w:val="center"/>
              <w:rPr>
                <w:b/>
              </w:rPr>
            </w:pPr>
            <w:r w:rsidRPr="00BE23C5">
              <w:rPr>
                <w:b/>
              </w:rPr>
              <w:t>24</w:t>
            </w:r>
            <w:r w:rsidR="00C91339" w:rsidRPr="00BE23C5">
              <w:rPr>
                <w:b/>
              </w:rPr>
              <w:t>-</w:t>
            </w:r>
            <w:r w:rsidRPr="00BE23C5">
              <w:rPr>
                <w:b/>
              </w:rPr>
              <w:t xml:space="preserve">month </w:t>
            </w:r>
            <w:proofErr w:type="spellStart"/>
            <w:r w:rsidR="00917E15" w:rsidRPr="00BE23C5">
              <w:rPr>
                <w:b/>
              </w:rPr>
              <w:t>i</w:t>
            </w:r>
            <w:r w:rsidRPr="00BE23C5">
              <w:rPr>
                <w:b/>
              </w:rPr>
              <w:t>DFS</w:t>
            </w:r>
            <w:proofErr w:type="spellEnd"/>
            <w:r w:rsidRPr="00BE23C5">
              <w:rPr>
                <w:b/>
              </w:rPr>
              <w:t xml:space="preserve"> rate</w:t>
            </w:r>
            <w:r w:rsidR="00C91339" w:rsidRPr="00BE23C5">
              <w:rPr>
                <w:b/>
              </w:rPr>
              <w:t>,</w:t>
            </w:r>
            <w:r w:rsidRPr="00BE23C5">
              <w:rPr>
                <w:b/>
              </w:rPr>
              <w:t xml:space="preserve"> %</w:t>
            </w:r>
            <w:r w:rsidR="00C91339" w:rsidRPr="00BE23C5">
              <w:rPr>
                <w:b/>
              </w:rPr>
              <w:t xml:space="preserve"> </w:t>
            </w:r>
            <w:r w:rsidRPr="00BE23C5">
              <w:rPr>
                <w:b/>
              </w:rPr>
              <w:t>(95% CI)</w:t>
            </w:r>
          </w:p>
        </w:tc>
        <w:tc>
          <w:tcPr>
            <w:tcW w:w="707" w:type="pct"/>
            <w:tcMar>
              <w:left w:w="28" w:type="dxa"/>
              <w:right w:w="28" w:type="dxa"/>
            </w:tcMar>
            <w:vAlign w:val="center"/>
          </w:tcPr>
          <w:p w:rsidR="002365B2" w:rsidRPr="00BE23C5" w:rsidRDefault="002365B2" w:rsidP="009A56EF">
            <w:pPr>
              <w:pStyle w:val="Tabletext"/>
              <w:jc w:val="center"/>
              <w:rPr>
                <w:b/>
              </w:rPr>
            </w:pPr>
            <w:r w:rsidRPr="00BE23C5">
              <w:rPr>
                <w:b/>
              </w:rPr>
              <w:t>P value</w:t>
            </w:r>
          </w:p>
          <w:p w:rsidR="002365B2" w:rsidRPr="00BE23C5" w:rsidRDefault="002365B2" w:rsidP="009A56EF">
            <w:pPr>
              <w:pStyle w:val="Tabletext"/>
              <w:jc w:val="center"/>
              <w:rPr>
                <w:b/>
              </w:rPr>
            </w:pPr>
            <w:r w:rsidRPr="00BE23C5">
              <w:rPr>
                <w:b/>
              </w:rPr>
              <w:t>(log rank test)</w:t>
            </w:r>
          </w:p>
        </w:tc>
        <w:tc>
          <w:tcPr>
            <w:tcW w:w="601" w:type="pct"/>
            <w:tcMar>
              <w:left w:w="28" w:type="dxa"/>
              <w:right w:w="28" w:type="dxa"/>
            </w:tcMar>
            <w:vAlign w:val="center"/>
          </w:tcPr>
          <w:p w:rsidR="002365B2" w:rsidRPr="00BE23C5" w:rsidRDefault="002365B2" w:rsidP="009A56EF">
            <w:pPr>
              <w:pStyle w:val="Tabletext"/>
              <w:jc w:val="center"/>
              <w:rPr>
                <w:b/>
              </w:rPr>
            </w:pPr>
            <w:r w:rsidRPr="00BE23C5">
              <w:rPr>
                <w:b/>
              </w:rPr>
              <w:t>Hazard ratio (95% CI)</w:t>
            </w:r>
          </w:p>
        </w:tc>
      </w:tr>
      <w:tr w:rsidR="002D5747" w:rsidRPr="00BE23C5" w:rsidTr="00C91339">
        <w:tc>
          <w:tcPr>
            <w:tcW w:w="548" w:type="pct"/>
            <w:tcBorders>
              <w:bottom w:val="double" w:sz="4" w:space="0" w:color="auto"/>
            </w:tcBorders>
            <w:tcMar>
              <w:left w:w="28" w:type="dxa"/>
              <w:right w:w="28" w:type="dxa"/>
            </w:tcMar>
            <w:vAlign w:val="center"/>
          </w:tcPr>
          <w:p w:rsidR="002365B2" w:rsidRPr="00BE23C5" w:rsidRDefault="002365B2" w:rsidP="009A56EF">
            <w:pPr>
              <w:pStyle w:val="Tabletext"/>
            </w:pPr>
            <w:r w:rsidRPr="00BE23C5">
              <w:t>ITT</w:t>
            </w:r>
          </w:p>
        </w:tc>
        <w:tc>
          <w:tcPr>
            <w:tcW w:w="629" w:type="pct"/>
            <w:tcBorders>
              <w:bottom w:val="double" w:sz="4" w:space="0" w:color="auto"/>
            </w:tcBorders>
            <w:tcMar>
              <w:left w:w="28" w:type="dxa"/>
              <w:right w:w="28" w:type="dxa"/>
            </w:tcMar>
            <w:vAlign w:val="center"/>
          </w:tcPr>
          <w:p w:rsidR="002365B2" w:rsidRPr="00BE23C5" w:rsidRDefault="002365B2" w:rsidP="009A56EF">
            <w:pPr>
              <w:pStyle w:val="Tabletext"/>
              <w:jc w:val="center"/>
            </w:pPr>
            <w:r w:rsidRPr="00BE23C5">
              <w:t>67/1</w:t>
            </w:r>
            <w:r w:rsidR="00C91339" w:rsidRPr="00BE23C5">
              <w:t>,</w:t>
            </w:r>
            <w:r w:rsidRPr="00BE23C5">
              <w:t>420 (4.7%)</w:t>
            </w:r>
          </w:p>
        </w:tc>
        <w:tc>
          <w:tcPr>
            <w:tcW w:w="628" w:type="pct"/>
            <w:tcBorders>
              <w:bottom w:val="double" w:sz="4" w:space="0" w:color="auto"/>
            </w:tcBorders>
            <w:tcMar>
              <w:left w:w="28" w:type="dxa"/>
              <w:right w:w="28" w:type="dxa"/>
            </w:tcMar>
            <w:vAlign w:val="center"/>
          </w:tcPr>
          <w:p w:rsidR="002365B2" w:rsidRPr="00BE23C5" w:rsidRDefault="002365B2" w:rsidP="009A56EF">
            <w:pPr>
              <w:pStyle w:val="Tabletext"/>
              <w:jc w:val="center"/>
            </w:pPr>
            <w:r w:rsidRPr="00BE23C5">
              <w:t>106/1</w:t>
            </w:r>
            <w:r w:rsidR="00C91339" w:rsidRPr="00BE23C5">
              <w:t>,</w:t>
            </w:r>
            <w:r w:rsidRPr="00BE23C5">
              <w:t>420</w:t>
            </w:r>
          </w:p>
          <w:p w:rsidR="002365B2" w:rsidRPr="00BE23C5" w:rsidRDefault="002365B2" w:rsidP="009A56EF">
            <w:pPr>
              <w:pStyle w:val="Tabletext"/>
              <w:jc w:val="center"/>
            </w:pPr>
            <w:r w:rsidRPr="00BE23C5">
              <w:t>(7.5%)</w:t>
            </w:r>
          </w:p>
        </w:tc>
        <w:tc>
          <w:tcPr>
            <w:tcW w:w="947" w:type="pct"/>
            <w:tcBorders>
              <w:bottom w:val="double" w:sz="4" w:space="0" w:color="auto"/>
            </w:tcBorders>
            <w:tcMar>
              <w:left w:w="28" w:type="dxa"/>
              <w:right w:w="28" w:type="dxa"/>
            </w:tcMar>
            <w:vAlign w:val="center"/>
          </w:tcPr>
          <w:p w:rsidR="002365B2" w:rsidRPr="00BE23C5" w:rsidRDefault="002365B2" w:rsidP="009A56EF">
            <w:pPr>
              <w:widowControl/>
              <w:autoSpaceDE w:val="0"/>
              <w:autoSpaceDN w:val="0"/>
              <w:adjustRightInd w:val="0"/>
              <w:jc w:val="center"/>
              <w:rPr>
                <w:rFonts w:ascii="Arial Narrow" w:hAnsi="Arial Narrow" w:cs="Times New Roman"/>
                <w:snapToGrid/>
                <w:sz w:val="20"/>
              </w:rPr>
            </w:pPr>
            <w:r w:rsidRPr="00BE23C5">
              <w:rPr>
                <w:rFonts w:ascii="Arial Narrow" w:hAnsi="Arial Narrow" w:cs="Times New Roman"/>
                <w:snapToGrid/>
                <w:sz w:val="20"/>
              </w:rPr>
              <w:t>94.2</w:t>
            </w:r>
          </w:p>
          <w:p w:rsidR="002365B2" w:rsidRPr="00BE23C5" w:rsidRDefault="002365B2" w:rsidP="009A56EF">
            <w:pPr>
              <w:pStyle w:val="Tabletext"/>
              <w:jc w:val="center"/>
            </w:pPr>
            <w:r w:rsidRPr="00BE23C5">
              <w:t>(92.6,</w:t>
            </w:r>
            <w:r w:rsidR="00C91339" w:rsidRPr="00BE23C5">
              <w:t xml:space="preserve"> </w:t>
            </w:r>
            <w:r w:rsidRPr="00BE23C5">
              <w:t>95.4)</w:t>
            </w:r>
          </w:p>
        </w:tc>
        <w:tc>
          <w:tcPr>
            <w:tcW w:w="940" w:type="pct"/>
            <w:tcBorders>
              <w:bottom w:val="double" w:sz="4" w:space="0" w:color="auto"/>
            </w:tcBorders>
            <w:tcMar>
              <w:left w:w="28" w:type="dxa"/>
              <w:right w:w="28" w:type="dxa"/>
            </w:tcMar>
            <w:vAlign w:val="center"/>
          </w:tcPr>
          <w:p w:rsidR="002365B2" w:rsidRPr="00BE23C5" w:rsidRDefault="002365B2" w:rsidP="009A56EF">
            <w:pPr>
              <w:widowControl/>
              <w:autoSpaceDE w:val="0"/>
              <w:autoSpaceDN w:val="0"/>
              <w:adjustRightInd w:val="0"/>
              <w:jc w:val="center"/>
              <w:rPr>
                <w:rFonts w:ascii="Arial Narrow" w:hAnsi="Arial Narrow" w:cs="Times New Roman"/>
                <w:snapToGrid/>
                <w:sz w:val="20"/>
              </w:rPr>
            </w:pPr>
            <w:r w:rsidRPr="00BE23C5">
              <w:rPr>
                <w:rFonts w:ascii="Arial Narrow" w:hAnsi="Arial Narrow" w:cs="Times New Roman"/>
                <w:snapToGrid/>
                <w:sz w:val="20"/>
              </w:rPr>
              <w:t>91.9</w:t>
            </w:r>
          </w:p>
          <w:p w:rsidR="002365B2" w:rsidRPr="00BE23C5" w:rsidRDefault="002365B2" w:rsidP="009A56EF">
            <w:pPr>
              <w:pStyle w:val="Tabletext"/>
              <w:jc w:val="center"/>
            </w:pPr>
            <w:r w:rsidRPr="00BE23C5">
              <w:t>(90.2,</w:t>
            </w:r>
            <w:r w:rsidR="00C91339" w:rsidRPr="00BE23C5">
              <w:t xml:space="preserve"> </w:t>
            </w:r>
            <w:r w:rsidRPr="00BE23C5">
              <w:t>93.2)</w:t>
            </w:r>
          </w:p>
        </w:tc>
        <w:tc>
          <w:tcPr>
            <w:tcW w:w="707" w:type="pct"/>
            <w:tcBorders>
              <w:bottom w:val="double" w:sz="4" w:space="0" w:color="auto"/>
            </w:tcBorders>
            <w:tcMar>
              <w:left w:w="28" w:type="dxa"/>
              <w:right w:w="28" w:type="dxa"/>
            </w:tcMar>
            <w:vAlign w:val="center"/>
          </w:tcPr>
          <w:p w:rsidR="002365B2" w:rsidRPr="00BE23C5" w:rsidRDefault="002365B2" w:rsidP="009A56EF">
            <w:pPr>
              <w:pStyle w:val="Tabletext"/>
              <w:jc w:val="center"/>
            </w:pPr>
            <w:r w:rsidRPr="00BE23C5">
              <w:t>0.004</w:t>
            </w:r>
          </w:p>
        </w:tc>
        <w:tc>
          <w:tcPr>
            <w:tcW w:w="601" w:type="pct"/>
            <w:tcBorders>
              <w:bottom w:val="double" w:sz="4" w:space="0" w:color="auto"/>
            </w:tcBorders>
            <w:tcMar>
              <w:left w:w="28" w:type="dxa"/>
              <w:right w:w="28" w:type="dxa"/>
            </w:tcMar>
            <w:vAlign w:val="center"/>
          </w:tcPr>
          <w:p w:rsidR="002365B2" w:rsidRPr="00BE23C5" w:rsidRDefault="002365B2" w:rsidP="009A56EF">
            <w:pPr>
              <w:widowControl/>
              <w:autoSpaceDE w:val="0"/>
              <w:autoSpaceDN w:val="0"/>
              <w:adjustRightInd w:val="0"/>
              <w:jc w:val="center"/>
              <w:rPr>
                <w:rFonts w:ascii="Arial Narrow" w:hAnsi="Arial Narrow" w:cs="Times New Roman"/>
                <w:b/>
                <w:snapToGrid/>
                <w:sz w:val="20"/>
              </w:rPr>
            </w:pPr>
            <w:r w:rsidRPr="00BE23C5">
              <w:rPr>
                <w:rFonts w:ascii="Arial Narrow" w:hAnsi="Arial Narrow" w:cs="Times New Roman"/>
                <w:b/>
                <w:snapToGrid/>
                <w:sz w:val="20"/>
              </w:rPr>
              <w:t>0.66</w:t>
            </w:r>
          </w:p>
          <w:p w:rsidR="002365B2" w:rsidRPr="00BE23C5" w:rsidRDefault="002365B2" w:rsidP="009A56EF">
            <w:pPr>
              <w:pStyle w:val="Tabletext"/>
              <w:jc w:val="center"/>
            </w:pPr>
            <w:r w:rsidRPr="00BE23C5">
              <w:rPr>
                <w:b/>
              </w:rPr>
              <w:t>(0.49,</w:t>
            </w:r>
            <w:r w:rsidR="00463015" w:rsidRPr="00BE23C5">
              <w:rPr>
                <w:b/>
              </w:rPr>
              <w:t xml:space="preserve"> </w:t>
            </w:r>
            <w:r w:rsidRPr="00BE23C5">
              <w:rPr>
                <w:b/>
              </w:rPr>
              <w:t>0.90)</w:t>
            </w:r>
          </w:p>
        </w:tc>
      </w:tr>
      <w:tr w:rsidR="002D5747" w:rsidRPr="00BE23C5" w:rsidTr="00C91339">
        <w:tc>
          <w:tcPr>
            <w:tcW w:w="548" w:type="pct"/>
            <w:tcBorders>
              <w:top w:val="double" w:sz="4" w:space="0" w:color="auto"/>
              <w:bottom w:val="single" w:sz="4" w:space="0" w:color="auto"/>
            </w:tcBorders>
            <w:tcMar>
              <w:left w:w="28" w:type="dxa"/>
              <w:right w:w="28" w:type="dxa"/>
            </w:tcMar>
            <w:vAlign w:val="center"/>
          </w:tcPr>
          <w:p w:rsidR="002365B2" w:rsidRPr="00BE23C5" w:rsidRDefault="002365B2" w:rsidP="009A56EF">
            <w:pPr>
              <w:pStyle w:val="Tabletext"/>
            </w:pPr>
            <w:r w:rsidRPr="00BE23C5">
              <w:t>HR+</w:t>
            </w:r>
          </w:p>
        </w:tc>
        <w:tc>
          <w:tcPr>
            <w:tcW w:w="629" w:type="pct"/>
            <w:tcBorders>
              <w:top w:val="double" w:sz="4" w:space="0" w:color="auto"/>
              <w:bottom w:val="single" w:sz="4" w:space="0" w:color="auto"/>
            </w:tcBorders>
            <w:tcMar>
              <w:left w:w="28" w:type="dxa"/>
              <w:right w:w="28" w:type="dxa"/>
            </w:tcMar>
            <w:vAlign w:val="center"/>
          </w:tcPr>
          <w:p w:rsidR="002365B2" w:rsidRPr="00BE23C5" w:rsidRDefault="002365B2" w:rsidP="009A56EF">
            <w:pPr>
              <w:pStyle w:val="Tabletext"/>
              <w:jc w:val="center"/>
            </w:pPr>
            <w:r w:rsidRPr="00BE23C5">
              <w:t xml:space="preserve">29/816 </w:t>
            </w:r>
            <w:r w:rsidR="00C91339" w:rsidRPr="00BE23C5">
              <w:br/>
            </w:r>
            <w:r w:rsidRPr="00BE23C5">
              <w:t>(3.6%)</w:t>
            </w:r>
          </w:p>
        </w:tc>
        <w:tc>
          <w:tcPr>
            <w:tcW w:w="628" w:type="pct"/>
            <w:tcBorders>
              <w:top w:val="double" w:sz="4" w:space="0" w:color="auto"/>
              <w:bottom w:val="single" w:sz="4" w:space="0" w:color="auto"/>
            </w:tcBorders>
            <w:tcMar>
              <w:left w:w="28" w:type="dxa"/>
              <w:right w:w="28" w:type="dxa"/>
            </w:tcMar>
            <w:vAlign w:val="center"/>
          </w:tcPr>
          <w:p w:rsidR="002365B2" w:rsidRPr="00BE23C5" w:rsidRDefault="002365B2" w:rsidP="009A56EF">
            <w:pPr>
              <w:pStyle w:val="Tabletext"/>
              <w:jc w:val="center"/>
            </w:pPr>
            <w:r w:rsidRPr="00BE23C5">
              <w:t xml:space="preserve">63/815 </w:t>
            </w:r>
            <w:r w:rsidR="00C91339" w:rsidRPr="00BE23C5">
              <w:br/>
            </w:r>
            <w:r w:rsidRPr="00BE23C5">
              <w:t>(7.7%)</w:t>
            </w:r>
          </w:p>
        </w:tc>
        <w:tc>
          <w:tcPr>
            <w:tcW w:w="947" w:type="pct"/>
            <w:tcBorders>
              <w:top w:val="double" w:sz="4" w:space="0" w:color="auto"/>
              <w:bottom w:val="single" w:sz="4" w:space="0" w:color="auto"/>
            </w:tcBorders>
            <w:tcMar>
              <w:left w:w="28" w:type="dxa"/>
              <w:right w:w="28" w:type="dxa"/>
            </w:tcMar>
            <w:vAlign w:val="center"/>
          </w:tcPr>
          <w:p w:rsidR="002365B2" w:rsidRPr="00BE23C5" w:rsidRDefault="002365B2" w:rsidP="009A56EF">
            <w:pPr>
              <w:widowControl/>
              <w:autoSpaceDE w:val="0"/>
              <w:autoSpaceDN w:val="0"/>
              <w:adjustRightInd w:val="0"/>
              <w:jc w:val="center"/>
              <w:rPr>
                <w:rFonts w:ascii="Arial Narrow" w:hAnsi="Arial Narrow" w:cs="Times New Roman"/>
                <w:snapToGrid/>
                <w:sz w:val="20"/>
              </w:rPr>
            </w:pPr>
            <w:r w:rsidRPr="00BE23C5">
              <w:rPr>
                <w:rFonts w:ascii="Arial Narrow" w:hAnsi="Arial Narrow" w:cs="Times New Roman"/>
                <w:snapToGrid/>
                <w:sz w:val="20"/>
              </w:rPr>
              <w:t>95.6</w:t>
            </w:r>
          </w:p>
          <w:p w:rsidR="002365B2" w:rsidRPr="00BE23C5" w:rsidRDefault="002365B2" w:rsidP="009A56EF">
            <w:pPr>
              <w:pStyle w:val="Tabletext"/>
              <w:jc w:val="center"/>
            </w:pPr>
            <w:r w:rsidRPr="00BE23C5">
              <w:t>(93.8,</w:t>
            </w:r>
            <w:r w:rsidR="00C91339" w:rsidRPr="00BE23C5">
              <w:t xml:space="preserve"> </w:t>
            </w:r>
            <w:r w:rsidRPr="00BE23C5">
              <w:t>96.9)</w:t>
            </w:r>
          </w:p>
        </w:tc>
        <w:tc>
          <w:tcPr>
            <w:tcW w:w="940" w:type="pct"/>
            <w:tcBorders>
              <w:top w:val="double" w:sz="4" w:space="0" w:color="auto"/>
              <w:bottom w:val="single" w:sz="4" w:space="0" w:color="auto"/>
            </w:tcBorders>
            <w:tcMar>
              <w:left w:w="28" w:type="dxa"/>
              <w:right w:w="28" w:type="dxa"/>
            </w:tcMar>
            <w:vAlign w:val="center"/>
          </w:tcPr>
          <w:p w:rsidR="002365B2" w:rsidRPr="00BE23C5" w:rsidRDefault="002365B2" w:rsidP="009A56EF">
            <w:pPr>
              <w:widowControl/>
              <w:autoSpaceDE w:val="0"/>
              <w:autoSpaceDN w:val="0"/>
              <w:adjustRightInd w:val="0"/>
              <w:jc w:val="center"/>
              <w:rPr>
                <w:rFonts w:ascii="Arial Narrow" w:hAnsi="Arial Narrow" w:cs="Times New Roman"/>
                <w:snapToGrid/>
                <w:sz w:val="20"/>
              </w:rPr>
            </w:pPr>
            <w:r w:rsidRPr="00BE23C5">
              <w:rPr>
                <w:rFonts w:ascii="Arial Narrow" w:hAnsi="Arial Narrow" w:cs="Times New Roman"/>
                <w:snapToGrid/>
                <w:sz w:val="20"/>
              </w:rPr>
              <w:t>91.5</w:t>
            </w:r>
          </w:p>
          <w:p w:rsidR="002365B2" w:rsidRPr="00BE23C5" w:rsidRDefault="002365B2" w:rsidP="009A56EF">
            <w:pPr>
              <w:pStyle w:val="Tabletext"/>
              <w:jc w:val="center"/>
            </w:pPr>
            <w:r w:rsidRPr="00BE23C5">
              <w:t>(89.2,</w:t>
            </w:r>
            <w:r w:rsidR="00C91339" w:rsidRPr="00BE23C5">
              <w:t xml:space="preserve"> </w:t>
            </w:r>
            <w:r w:rsidRPr="00BE23C5">
              <w:t>93.3)</w:t>
            </w:r>
          </w:p>
        </w:tc>
        <w:tc>
          <w:tcPr>
            <w:tcW w:w="707" w:type="pct"/>
            <w:tcBorders>
              <w:top w:val="double" w:sz="4" w:space="0" w:color="auto"/>
              <w:bottom w:val="single" w:sz="4" w:space="0" w:color="auto"/>
            </w:tcBorders>
            <w:tcMar>
              <w:left w:w="28" w:type="dxa"/>
              <w:right w:w="28" w:type="dxa"/>
            </w:tcMar>
            <w:vAlign w:val="center"/>
          </w:tcPr>
          <w:p w:rsidR="002365B2" w:rsidRPr="00BE23C5" w:rsidRDefault="002365B2" w:rsidP="009A56EF">
            <w:pPr>
              <w:pStyle w:val="Tabletext"/>
              <w:jc w:val="center"/>
            </w:pPr>
            <w:r w:rsidRPr="00BE23C5">
              <w:t>&lt;0.001</w:t>
            </w:r>
          </w:p>
        </w:tc>
        <w:tc>
          <w:tcPr>
            <w:tcW w:w="601" w:type="pct"/>
            <w:tcBorders>
              <w:top w:val="double" w:sz="4" w:space="0" w:color="auto"/>
              <w:bottom w:val="single" w:sz="4" w:space="0" w:color="auto"/>
            </w:tcBorders>
            <w:tcMar>
              <w:left w:w="28" w:type="dxa"/>
              <w:right w:w="28" w:type="dxa"/>
            </w:tcMar>
            <w:vAlign w:val="center"/>
          </w:tcPr>
          <w:p w:rsidR="002365B2" w:rsidRPr="00BE23C5" w:rsidRDefault="002365B2" w:rsidP="009A56EF">
            <w:pPr>
              <w:widowControl/>
              <w:autoSpaceDE w:val="0"/>
              <w:autoSpaceDN w:val="0"/>
              <w:adjustRightInd w:val="0"/>
              <w:jc w:val="center"/>
              <w:rPr>
                <w:rFonts w:ascii="Arial Narrow" w:hAnsi="Arial Narrow" w:cs="Times New Roman"/>
                <w:b/>
                <w:snapToGrid/>
                <w:sz w:val="20"/>
              </w:rPr>
            </w:pPr>
            <w:r w:rsidRPr="00BE23C5">
              <w:rPr>
                <w:rFonts w:ascii="Arial Narrow" w:hAnsi="Arial Narrow" w:cs="Times New Roman"/>
                <w:b/>
                <w:snapToGrid/>
                <w:sz w:val="20"/>
              </w:rPr>
              <w:t>0.49</w:t>
            </w:r>
          </w:p>
          <w:p w:rsidR="002365B2" w:rsidRPr="00BE23C5" w:rsidRDefault="002365B2" w:rsidP="009A56EF">
            <w:pPr>
              <w:pStyle w:val="Tabletext"/>
              <w:jc w:val="center"/>
            </w:pPr>
            <w:r w:rsidRPr="00BE23C5">
              <w:rPr>
                <w:b/>
              </w:rPr>
              <w:t>(0.31,</w:t>
            </w:r>
            <w:r w:rsidR="00463015" w:rsidRPr="00BE23C5">
              <w:rPr>
                <w:b/>
              </w:rPr>
              <w:t xml:space="preserve"> </w:t>
            </w:r>
            <w:r w:rsidRPr="00BE23C5">
              <w:rPr>
                <w:b/>
              </w:rPr>
              <w:t>0.75)</w:t>
            </w:r>
          </w:p>
        </w:tc>
      </w:tr>
      <w:tr w:rsidR="002D5747" w:rsidRPr="00BE23C5" w:rsidTr="00C91339">
        <w:trPr>
          <w:trHeight w:val="403"/>
        </w:trPr>
        <w:tc>
          <w:tcPr>
            <w:tcW w:w="548" w:type="pct"/>
            <w:tcBorders>
              <w:bottom w:val="single" w:sz="4" w:space="0" w:color="000000" w:themeColor="text1"/>
            </w:tcBorders>
            <w:tcMar>
              <w:left w:w="28" w:type="dxa"/>
              <w:right w:w="28" w:type="dxa"/>
            </w:tcMar>
            <w:vAlign w:val="center"/>
          </w:tcPr>
          <w:p w:rsidR="002365B2" w:rsidRPr="00BE23C5" w:rsidRDefault="002365B2" w:rsidP="009A56EF">
            <w:pPr>
              <w:pStyle w:val="Tabletext"/>
            </w:pPr>
            <w:r w:rsidRPr="00BE23C5">
              <w:t>HR-</w:t>
            </w:r>
          </w:p>
        </w:tc>
        <w:tc>
          <w:tcPr>
            <w:tcW w:w="629" w:type="pct"/>
            <w:tcBorders>
              <w:bottom w:val="single" w:sz="4" w:space="0" w:color="000000" w:themeColor="text1"/>
            </w:tcBorders>
            <w:tcMar>
              <w:left w:w="28" w:type="dxa"/>
              <w:right w:w="28" w:type="dxa"/>
            </w:tcMar>
            <w:vAlign w:val="center"/>
          </w:tcPr>
          <w:p w:rsidR="002365B2" w:rsidRPr="00BE23C5" w:rsidRDefault="002365B2" w:rsidP="00C91339">
            <w:pPr>
              <w:pStyle w:val="Tabletext"/>
              <w:jc w:val="center"/>
            </w:pPr>
            <w:r w:rsidRPr="00BE23C5">
              <w:t xml:space="preserve">38/604 </w:t>
            </w:r>
            <w:r w:rsidR="00C91339" w:rsidRPr="00BE23C5">
              <w:br/>
              <w:t>(</w:t>
            </w:r>
            <w:r w:rsidRPr="00BE23C5">
              <w:t>6.3%)</w:t>
            </w:r>
          </w:p>
        </w:tc>
        <w:tc>
          <w:tcPr>
            <w:tcW w:w="628" w:type="pct"/>
            <w:tcBorders>
              <w:bottom w:val="single" w:sz="4" w:space="0" w:color="000000" w:themeColor="text1"/>
            </w:tcBorders>
            <w:tcMar>
              <w:left w:w="28" w:type="dxa"/>
              <w:right w:w="28" w:type="dxa"/>
            </w:tcMar>
            <w:vAlign w:val="center"/>
          </w:tcPr>
          <w:p w:rsidR="002365B2" w:rsidRPr="00BE23C5" w:rsidRDefault="002365B2" w:rsidP="009A56EF">
            <w:pPr>
              <w:pStyle w:val="Tabletext"/>
              <w:jc w:val="center"/>
            </w:pPr>
            <w:r w:rsidRPr="00BE23C5">
              <w:t xml:space="preserve">43/605 </w:t>
            </w:r>
            <w:r w:rsidR="00C91339" w:rsidRPr="00BE23C5">
              <w:br/>
            </w:r>
            <w:r w:rsidRPr="00BE23C5">
              <w:t>(7.1%)</w:t>
            </w:r>
          </w:p>
        </w:tc>
        <w:tc>
          <w:tcPr>
            <w:tcW w:w="947" w:type="pct"/>
            <w:tcBorders>
              <w:bottom w:val="single" w:sz="4" w:space="0" w:color="000000" w:themeColor="text1"/>
            </w:tcBorders>
            <w:tcMar>
              <w:left w:w="28" w:type="dxa"/>
              <w:right w:w="28" w:type="dxa"/>
            </w:tcMar>
            <w:vAlign w:val="center"/>
          </w:tcPr>
          <w:p w:rsidR="002365B2" w:rsidRPr="00BE23C5" w:rsidRDefault="002365B2" w:rsidP="009A56EF">
            <w:pPr>
              <w:widowControl/>
              <w:autoSpaceDE w:val="0"/>
              <w:autoSpaceDN w:val="0"/>
              <w:adjustRightInd w:val="0"/>
              <w:jc w:val="center"/>
              <w:rPr>
                <w:rFonts w:ascii="Arial Narrow" w:hAnsi="Arial Narrow" w:cs="Times New Roman"/>
                <w:snapToGrid/>
                <w:sz w:val="20"/>
              </w:rPr>
            </w:pPr>
            <w:r w:rsidRPr="00BE23C5">
              <w:rPr>
                <w:rFonts w:ascii="Arial Narrow" w:hAnsi="Arial Narrow" w:cs="Times New Roman"/>
                <w:snapToGrid/>
                <w:sz w:val="20"/>
              </w:rPr>
              <w:t>92.2</w:t>
            </w:r>
          </w:p>
          <w:p w:rsidR="002365B2" w:rsidRPr="00BE23C5" w:rsidRDefault="002365B2" w:rsidP="009A56EF">
            <w:pPr>
              <w:pStyle w:val="Tabletext"/>
              <w:jc w:val="center"/>
            </w:pPr>
            <w:r w:rsidRPr="00BE23C5">
              <w:t>(89.4,</w:t>
            </w:r>
            <w:r w:rsidR="00C91339" w:rsidRPr="00BE23C5">
              <w:t xml:space="preserve"> </w:t>
            </w:r>
            <w:r w:rsidRPr="00BE23C5">
              <w:t>94.3)</w:t>
            </w:r>
          </w:p>
        </w:tc>
        <w:tc>
          <w:tcPr>
            <w:tcW w:w="940" w:type="pct"/>
            <w:tcBorders>
              <w:bottom w:val="single" w:sz="4" w:space="0" w:color="000000" w:themeColor="text1"/>
            </w:tcBorders>
            <w:tcMar>
              <w:left w:w="28" w:type="dxa"/>
              <w:right w:w="28" w:type="dxa"/>
            </w:tcMar>
            <w:vAlign w:val="center"/>
          </w:tcPr>
          <w:p w:rsidR="002365B2" w:rsidRPr="00BE23C5" w:rsidRDefault="002365B2" w:rsidP="009A56EF">
            <w:pPr>
              <w:widowControl/>
              <w:autoSpaceDE w:val="0"/>
              <w:autoSpaceDN w:val="0"/>
              <w:adjustRightInd w:val="0"/>
              <w:jc w:val="center"/>
              <w:rPr>
                <w:rFonts w:ascii="Arial Narrow" w:hAnsi="Arial Narrow" w:cs="Times New Roman"/>
                <w:snapToGrid/>
                <w:sz w:val="20"/>
              </w:rPr>
            </w:pPr>
            <w:r w:rsidRPr="00BE23C5">
              <w:rPr>
                <w:rFonts w:ascii="Arial Narrow" w:hAnsi="Arial Narrow" w:cs="Times New Roman"/>
                <w:snapToGrid/>
                <w:sz w:val="20"/>
              </w:rPr>
              <w:t>92.4</w:t>
            </w:r>
          </w:p>
          <w:p w:rsidR="002365B2" w:rsidRPr="00BE23C5" w:rsidRDefault="002365B2" w:rsidP="009A56EF">
            <w:pPr>
              <w:pStyle w:val="Tabletext"/>
              <w:jc w:val="center"/>
            </w:pPr>
            <w:r w:rsidRPr="00BE23C5">
              <w:t>(89.8,</w:t>
            </w:r>
            <w:r w:rsidR="00C91339" w:rsidRPr="00BE23C5">
              <w:t xml:space="preserve"> </w:t>
            </w:r>
            <w:r w:rsidRPr="00BE23C5">
              <w:t>94.3)</w:t>
            </w:r>
          </w:p>
        </w:tc>
        <w:tc>
          <w:tcPr>
            <w:tcW w:w="707" w:type="pct"/>
            <w:tcBorders>
              <w:bottom w:val="single" w:sz="4" w:space="0" w:color="000000" w:themeColor="text1"/>
            </w:tcBorders>
            <w:tcMar>
              <w:left w:w="28" w:type="dxa"/>
              <w:right w:w="28" w:type="dxa"/>
            </w:tcMar>
            <w:vAlign w:val="center"/>
          </w:tcPr>
          <w:p w:rsidR="002365B2" w:rsidRPr="00BE23C5" w:rsidRDefault="002365B2" w:rsidP="009A56EF">
            <w:pPr>
              <w:pStyle w:val="Tabletext"/>
              <w:jc w:val="center"/>
            </w:pPr>
            <w:r w:rsidRPr="00BE23C5">
              <w:t>0.365</w:t>
            </w:r>
          </w:p>
        </w:tc>
        <w:tc>
          <w:tcPr>
            <w:tcW w:w="601" w:type="pct"/>
            <w:tcBorders>
              <w:bottom w:val="single" w:sz="4" w:space="0" w:color="000000" w:themeColor="text1"/>
            </w:tcBorders>
            <w:tcMar>
              <w:left w:w="28" w:type="dxa"/>
              <w:right w:w="28" w:type="dxa"/>
            </w:tcMar>
            <w:vAlign w:val="center"/>
          </w:tcPr>
          <w:p w:rsidR="002365B2" w:rsidRPr="00BE23C5" w:rsidRDefault="002365B2" w:rsidP="009A56EF">
            <w:pPr>
              <w:widowControl/>
              <w:autoSpaceDE w:val="0"/>
              <w:autoSpaceDN w:val="0"/>
              <w:adjustRightInd w:val="0"/>
              <w:jc w:val="center"/>
              <w:rPr>
                <w:rFonts w:ascii="Arial Narrow" w:hAnsi="Arial Narrow" w:cs="Times New Roman"/>
                <w:snapToGrid/>
                <w:sz w:val="20"/>
              </w:rPr>
            </w:pPr>
            <w:r w:rsidRPr="00BE23C5">
              <w:rPr>
                <w:rFonts w:ascii="Arial Narrow" w:hAnsi="Arial Narrow" w:cs="Times New Roman"/>
                <w:snapToGrid/>
                <w:sz w:val="20"/>
              </w:rPr>
              <w:t>0.93</w:t>
            </w:r>
          </w:p>
          <w:p w:rsidR="002365B2" w:rsidRPr="00BE23C5" w:rsidRDefault="002365B2" w:rsidP="009A56EF">
            <w:pPr>
              <w:pStyle w:val="Tabletext"/>
              <w:jc w:val="center"/>
            </w:pPr>
            <w:r w:rsidRPr="00BE23C5">
              <w:t>(0.60,</w:t>
            </w:r>
            <w:r w:rsidR="00463015" w:rsidRPr="00BE23C5">
              <w:t xml:space="preserve"> </w:t>
            </w:r>
            <w:r w:rsidRPr="00BE23C5">
              <w:t>1.43)</w:t>
            </w:r>
          </w:p>
        </w:tc>
      </w:tr>
    </w:tbl>
    <w:p w:rsidR="002365B2" w:rsidRPr="00BE23C5" w:rsidRDefault="002365B2" w:rsidP="002365B2">
      <w:pPr>
        <w:pStyle w:val="TableFooter"/>
        <w:rPr>
          <w:rFonts w:eastAsia="Calibri"/>
        </w:rPr>
      </w:pPr>
      <w:r w:rsidRPr="00BE23C5">
        <w:rPr>
          <w:rFonts w:eastAsia="Calibri"/>
        </w:rPr>
        <w:t>CI</w:t>
      </w:r>
      <w:r w:rsidR="002A4F8C" w:rsidRPr="00BE23C5">
        <w:rPr>
          <w:rFonts w:eastAsia="Calibri"/>
        </w:rPr>
        <w:t xml:space="preserve">: </w:t>
      </w:r>
      <w:r w:rsidRPr="00BE23C5">
        <w:rPr>
          <w:rFonts w:eastAsia="Calibri"/>
        </w:rPr>
        <w:t>confidence interval; n</w:t>
      </w:r>
      <w:r w:rsidR="002A4F8C" w:rsidRPr="00BE23C5">
        <w:rPr>
          <w:rFonts w:eastAsia="Calibri"/>
        </w:rPr>
        <w:t>:</w:t>
      </w:r>
      <w:r w:rsidRPr="00BE23C5">
        <w:rPr>
          <w:rFonts w:eastAsia="Calibri"/>
        </w:rPr>
        <w:t xml:space="preserve"> number of participants reporting data; N</w:t>
      </w:r>
      <w:r w:rsidR="002A4F8C" w:rsidRPr="00BE23C5">
        <w:rPr>
          <w:rFonts w:eastAsia="Calibri"/>
        </w:rPr>
        <w:t xml:space="preserve">: </w:t>
      </w:r>
      <w:r w:rsidRPr="00BE23C5">
        <w:rPr>
          <w:rFonts w:eastAsia="Calibri"/>
        </w:rPr>
        <w:t>total participants in group</w:t>
      </w:r>
      <w:proofErr w:type="gramStart"/>
      <w:r w:rsidRPr="00BE23C5">
        <w:rPr>
          <w:rFonts w:eastAsia="Calibri"/>
        </w:rPr>
        <w:t>;</w:t>
      </w:r>
      <w:r w:rsidR="002A4F8C" w:rsidRPr="00BE23C5">
        <w:rPr>
          <w:rFonts w:eastAsia="Calibri"/>
        </w:rPr>
        <w:t>;</w:t>
      </w:r>
      <w:proofErr w:type="gramEnd"/>
      <w:r w:rsidR="002A4F8C" w:rsidRPr="00BE23C5">
        <w:rPr>
          <w:rFonts w:eastAsia="Calibri"/>
        </w:rPr>
        <w:t xml:space="preserve"> ITT: intent to treat; </w:t>
      </w:r>
      <w:proofErr w:type="spellStart"/>
      <w:r w:rsidR="002A4F8C" w:rsidRPr="00BE23C5">
        <w:rPr>
          <w:rFonts w:eastAsia="Calibri"/>
        </w:rPr>
        <w:t>iDFS</w:t>
      </w:r>
      <w:proofErr w:type="spellEnd"/>
      <w:r w:rsidR="002A4F8C" w:rsidRPr="00BE23C5">
        <w:rPr>
          <w:rFonts w:eastAsia="Calibri"/>
        </w:rPr>
        <w:t xml:space="preserve">: </w:t>
      </w:r>
      <w:r w:rsidR="002A4F8C" w:rsidRPr="00BE23C5">
        <w:rPr>
          <w:rFonts w:eastAsia="Calibri"/>
          <w:szCs w:val="18"/>
        </w:rPr>
        <w:t xml:space="preserve">; </w:t>
      </w:r>
      <w:proofErr w:type="spellStart"/>
      <w:r w:rsidR="002A4F8C" w:rsidRPr="00BE23C5">
        <w:rPr>
          <w:szCs w:val="18"/>
        </w:rPr>
        <w:t>iDFS</w:t>
      </w:r>
      <w:proofErr w:type="spellEnd"/>
      <w:r w:rsidR="002A4F8C" w:rsidRPr="00BE23C5">
        <w:rPr>
          <w:szCs w:val="18"/>
        </w:rPr>
        <w:t>: invasive disease free survival; HR+: hormone receptor positive; HR-: hormone receptor negative.</w:t>
      </w:r>
    </w:p>
    <w:p w:rsidR="00463015" w:rsidRPr="00BE23C5" w:rsidRDefault="00463015" w:rsidP="002365B2">
      <w:pPr>
        <w:pStyle w:val="TableFooter"/>
      </w:pPr>
      <w:r w:rsidRPr="00BE23C5">
        <w:rPr>
          <w:b/>
        </w:rPr>
        <w:t>Bold</w:t>
      </w:r>
      <w:r w:rsidRPr="00BE23C5">
        <w:t xml:space="preserve"> indicates statistically significant at the 5% level.</w:t>
      </w:r>
    </w:p>
    <w:p w:rsidR="002365B2" w:rsidRPr="00BE23C5" w:rsidRDefault="002365B2" w:rsidP="002365B2">
      <w:pPr>
        <w:pStyle w:val="TableFooter"/>
      </w:pPr>
      <w:r w:rsidRPr="00BE23C5">
        <w:t>Source: compiled during the evaluation, based on Table 19, p121 of the CSR</w:t>
      </w:r>
    </w:p>
    <w:p w:rsidR="002365B2" w:rsidRPr="00BE23C5" w:rsidRDefault="002365B2" w:rsidP="00190926">
      <w:pPr>
        <w:widowControl/>
        <w:rPr>
          <w:rFonts w:ascii="Arial Narrow" w:hAnsi="Arial Narrow"/>
          <w:sz w:val="20"/>
        </w:rPr>
      </w:pPr>
    </w:p>
    <w:p w:rsidR="00B13C9C" w:rsidRPr="00BE23C5" w:rsidRDefault="00943AFD" w:rsidP="00135CF6">
      <w:pPr>
        <w:pStyle w:val="ListParagraph"/>
        <w:widowControl/>
        <w:numPr>
          <w:ilvl w:val="1"/>
          <w:numId w:val="2"/>
        </w:numPr>
        <w:spacing w:after="120"/>
        <w:rPr>
          <w:rFonts w:asciiTheme="minorHAnsi" w:hAnsiTheme="minorHAnsi" w:cstheme="minorHAnsi"/>
        </w:rPr>
      </w:pPr>
      <w:r w:rsidRPr="00BE23C5">
        <w:rPr>
          <w:rFonts w:cs="Calibri"/>
          <w:snapToGrid/>
          <w:szCs w:val="24"/>
          <w:lang w:eastAsia="en-AU"/>
        </w:rPr>
        <w:t xml:space="preserve">Results from </w:t>
      </w:r>
      <w:r w:rsidR="00804284" w:rsidRPr="00BE23C5">
        <w:rPr>
          <w:rFonts w:cs="Calibri"/>
          <w:snapToGrid/>
          <w:szCs w:val="24"/>
          <w:lang w:eastAsia="en-AU"/>
        </w:rPr>
        <w:t xml:space="preserve">the pre-specified </w:t>
      </w:r>
      <w:r w:rsidRPr="00BE23C5">
        <w:rPr>
          <w:rFonts w:cs="Calibri"/>
          <w:snapToGrid/>
          <w:szCs w:val="24"/>
          <w:lang w:eastAsia="en-AU"/>
        </w:rPr>
        <w:t xml:space="preserve">subgroup analysis by HR status showed that </w:t>
      </w:r>
      <w:r w:rsidR="00783140" w:rsidRPr="00BE23C5">
        <w:rPr>
          <w:rFonts w:cs="Calibri"/>
          <w:snapToGrid/>
          <w:szCs w:val="24"/>
          <w:lang w:eastAsia="en-AU"/>
        </w:rPr>
        <w:t xml:space="preserve">the improvement in </w:t>
      </w:r>
      <w:proofErr w:type="spellStart"/>
      <w:r w:rsidR="00783140" w:rsidRPr="00BE23C5">
        <w:rPr>
          <w:rFonts w:cs="Calibri"/>
          <w:snapToGrid/>
          <w:szCs w:val="24"/>
          <w:lang w:eastAsia="en-AU"/>
        </w:rPr>
        <w:t>iDFS</w:t>
      </w:r>
      <w:proofErr w:type="spellEnd"/>
      <w:r w:rsidR="00783140" w:rsidRPr="00BE23C5">
        <w:rPr>
          <w:rFonts w:cs="Calibri"/>
          <w:snapToGrid/>
          <w:szCs w:val="24"/>
          <w:lang w:eastAsia="en-AU"/>
        </w:rPr>
        <w:t xml:space="preserve"> </w:t>
      </w:r>
      <w:r w:rsidRPr="00BE23C5">
        <w:rPr>
          <w:rFonts w:cs="Calibri"/>
          <w:snapToGrid/>
          <w:szCs w:val="24"/>
          <w:lang w:eastAsia="en-AU"/>
        </w:rPr>
        <w:t xml:space="preserve">was greater among patients with HR+ disease (2-year </w:t>
      </w:r>
      <w:proofErr w:type="spellStart"/>
      <w:r w:rsidRPr="00BE23C5">
        <w:rPr>
          <w:rFonts w:cs="Calibri"/>
          <w:snapToGrid/>
          <w:szCs w:val="24"/>
          <w:lang w:eastAsia="en-AU"/>
        </w:rPr>
        <w:t>iDFS</w:t>
      </w:r>
      <w:proofErr w:type="spellEnd"/>
      <w:r w:rsidRPr="00BE23C5">
        <w:rPr>
          <w:rFonts w:cs="Calibri"/>
          <w:snapToGrid/>
          <w:szCs w:val="24"/>
          <w:lang w:eastAsia="en-AU"/>
        </w:rPr>
        <w:t xml:space="preserve"> rate: </w:t>
      </w:r>
      <w:proofErr w:type="spellStart"/>
      <w:r w:rsidRPr="00BE23C5">
        <w:rPr>
          <w:rFonts w:cs="Calibri"/>
          <w:snapToGrid/>
          <w:szCs w:val="24"/>
          <w:lang w:eastAsia="en-AU"/>
        </w:rPr>
        <w:t>neratinib</w:t>
      </w:r>
      <w:proofErr w:type="spellEnd"/>
      <w:r w:rsidRPr="00BE23C5">
        <w:rPr>
          <w:rFonts w:cs="Calibri"/>
          <w:snapToGrid/>
          <w:szCs w:val="24"/>
          <w:lang w:eastAsia="en-AU"/>
        </w:rPr>
        <w:t xml:space="preserve"> arm=95.6%, placebo arm=91.5%, HR=0.49, P&lt;0.001) compared with patients with HR- disease (2-year </w:t>
      </w:r>
      <w:proofErr w:type="spellStart"/>
      <w:r w:rsidRPr="00BE23C5">
        <w:rPr>
          <w:rFonts w:cs="Calibri"/>
          <w:snapToGrid/>
          <w:szCs w:val="24"/>
          <w:lang w:eastAsia="en-AU"/>
        </w:rPr>
        <w:t>iDFS</w:t>
      </w:r>
      <w:proofErr w:type="spellEnd"/>
      <w:r w:rsidRPr="00BE23C5">
        <w:rPr>
          <w:rFonts w:cs="Calibri"/>
          <w:snapToGrid/>
          <w:szCs w:val="24"/>
          <w:lang w:eastAsia="en-AU"/>
        </w:rPr>
        <w:t xml:space="preserve"> rate: </w:t>
      </w:r>
      <w:proofErr w:type="spellStart"/>
      <w:r w:rsidRPr="00BE23C5">
        <w:rPr>
          <w:rFonts w:cs="Calibri"/>
          <w:snapToGrid/>
          <w:szCs w:val="24"/>
          <w:lang w:eastAsia="en-AU"/>
        </w:rPr>
        <w:t>neratinib</w:t>
      </w:r>
      <w:proofErr w:type="spellEnd"/>
      <w:r w:rsidRPr="00BE23C5">
        <w:rPr>
          <w:rFonts w:cs="Calibri"/>
          <w:snapToGrid/>
          <w:szCs w:val="24"/>
          <w:lang w:eastAsia="en-AU"/>
        </w:rPr>
        <w:t xml:space="preserve"> arm=92.2%, placebo arm= 92.4%, HR=0.93, P=0.365). The results for </w:t>
      </w:r>
      <w:r w:rsidR="00706A1B" w:rsidRPr="00BE23C5">
        <w:rPr>
          <w:rFonts w:cs="Calibri"/>
          <w:snapToGrid/>
          <w:szCs w:val="24"/>
          <w:lang w:eastAsia="en-AU"/>
        </w:rPr>
        <w:t xml:space="preserve">HR- </w:t>
      </w:r>
      <w:r w:rsidRPr="00BE23C5">
        <w:rPr>
          <w:rFonts w:cs="Calibri"/>
          <w:snapToGrid/>
          <w:szCs w:val="24"/>
          <w:lang w:eastAsia="en-AU"/>
        </w:rPr>
        <w:t xml:space="preserve">disease were not </w:t>
      </w:r>
      <w:r w:rsidR="00D06801" w:rsidRPr="00BE23C5">
        <w:rPr>
          <w:rFonts w:cs="Calibri"/>
          <w:snapToGrid/>
          <w:szCs w:val="24"/>
          <w:lang w:eastAsia="en-AU"/>
        </w:rPr>
        <w:t xml:space="preserve">statistically </w:t>
      </w:r>
      <w:r w:rsidRPr="00BE23C5">
        <w:rPr>
          <w:rFonts w:cs="Calibri"/>
          <w:snapToGrid/>
          <w:szCs w:val="24"/>
          <w:lang w:eastAsia="en-AU"/>
        </w:rPr>
        <w:t xml:space="preserve">significant. </w:t>
      </w:r>
      <w:r w:rsidR="004F1EB9" w:rsidRPr="00BE23C5">
        <w:rPr>
          <w:rFonts w:cs="Calibri"/>
          <w:snapToGrid/>
          <w:szCs w:val="24"/>
          <w:lang w:eastAsia="en-AU"/>
        </w:rPr>
        <w:t xml:space="preserve">The ESC noted that there were nine pre-specified sub-group analyses and questioned whether the significance level for the HR status sub-group analysis should have been adjusted to account for the multiple analyses. </w:t>
      </w:r>
      <w:r w:rsidR="004D7D79" w:rsidRPr="00BE23C5">
        <w:rPr>
          <w:rFonts w:cs="Calibri"/>
          <w:snapToGrid/>
          <w:szCs w:val="24"/>
          <w:lang w:eastAsia="en-AU"/>
        </w:rPr>
        <w:t>The ESC noted t</w:t>
      </w:r>
      <w:r w:rsidRPr="00BE23C5">
        <w:rPr>
          <w:rFonts w:cs="Calibri"/>
          <w:snapToGrid/>
          <w:szCs w:val="24"/>
          <w:lang w:eastAsia="en-AU"/>
        </w:rPr>
        <w:t>he submission did not test whether the treatment effect variation was statistically significant</w:t>
      </w:r>
      <w:r w:rsidR="00226D62" w:rsidRPr="00BE23C5">
        <w:rPr>
          <w:rFonts w:cs="Calibri"/>
          <w:snapToGrid/>
          <w:szCs w:val="24"/>
          <w:lang w:eastAsia="en-AU"/>
        </w:rPr>
        <w:t xml:space="preserve"> and</w:t>
      </w:r>
      <w:r w:rsidR="00AD58F4" w:rsidRPr="00BE23C5">
        <w:rPr>
          <w:rFonts w:cs="Calibri"/>
          <w:snapToGrid/>
          <w:szCs w:val="24"/>
          <w:lang w:eastAsia="en-AU"/>
        </w:rPr>
        <w:t xml:space="preserve"> that</w:t>
      </w:r>
      <w:r w:rsidR="008D44D5" w:rsidRPr="00BE23C5">
        <w:rPr>
          <w:rFonts w:cs="Calibri"/>
          <w:snapToGrid/>
          <w:szCs w:val="24"/>
          <w:lang w:eastAsia="en-AU"/>
        </w:rPr>
        <w:t xml:space="preserve"> </w:t>
      </w:r>
      <w:r w:rsidR="00226D62" w:rsidRPr="00BE23C5">
        <w:rPr>
          <w:rFonts w:cs="Calibri"/>
          <w:snapToGrid/>
          <w:szCs w:val="24"/>
          <w:lang w:eastAsia="en-AU"/>
        </w:rPr>
        <w:t>t</w:t>
      </w:r>
      <w:r w:rsidR="005B4319" w:rsidRPr="00BE23C5">
        <w:rPr>
          <w:rFonts w:cs="Calibri"/>
          <w:snapToGrid/>
          <w:szCs w:val="24"/>
          <w:lang w:eastAsia="en-AU"/>
        </w:rPr>
        <w:t>he trial was not powered to demonstrate a difference between these subgroups</w:t>
      </w:r>
      <w:r w:rsidR="008D44D5" w:rsidRPr="00BE23C5">
        <w:rPr>
          <w:rFonts w:cs="Calibri"/>
          <w:snapToGrid/>
          <w:szCs w:val="24"/>
          <w:lang w:eastAsia="en-AU"/>
        </w:rPr>
        <w:t xml:space="preserve">. </w:t>
      </w:r>
      <w:r w:rsidR="001C168C" w:rsidRPr="00BE23C5">
        <w:rPr>
          <w:rFonts w:asciiTheme="minorHAnsi" w:hAnsiTheme="minorHAnsi" w:cstheme="minorHAnsi"/>
        </w:rPr>
        <w:t xml:space="preserve">The PSCR provided results of tests of treatment effect variation which suggested that there was a statistically significant variation by HR status. </w:t>
      </w:r>
      <w:r w:rsidR="008D44D5" w:rsidRPr="00BE23C5">
        <w:rPr>
          <w:rFonts w:cs="Calibri"/>
          <w:snapToGrid/>
          <w:szCs w:val="24"/>
          <w:lang w:eastAsia="en-AU"/>
        </w:rPr>
        <w:t>The ESC also noted that</w:t>
      </w:r>
      <w:r w:rsidR="00B13C9C" w:rsidRPr="00BE23C5">
        <w:rPr>
          <w:rFonts w:cs="Calibri"/>
          <w:snapToGrid/>
          <w:szCs w:val="24"/>
          <w:lang w:eastAsia="en-AU"/>
        </w:rPr>
        <w:t xml:space="preserve"> measurement of HR status was not protocol-driven but </w:t>
      </w:r>
      <w:r w:rsidR="00F17817" w:rsidRPr="00BE23C5">
        <w:rPr>
          <w:rFonts w:cs="Calibri"/>
          <w:snapToGrid/>
          <w:szCs w:val="24"/>
          <w:lang w:eastAsia="en-AU"/>
        </w:rPr>
        <w:t>locally determined</w:t>
      </w:r>
      <w:r w:rsidR="005B4319" w:rsidRPr="00BE23C5">
        <w:rPr>
          <w:rFonts w:cs="Calibri"/>
          <w:snapToGrid/>
          <w:szCs w:val="24"/>
          <w:lang w:eastAsia="en-AU"/>
        </w:rPr>
        <w:t>.</w:t>
      </w:r>
      <w:r w:rsidR="00B83E69" w:rsidRPr="00BE23C5">
        <w:rPr>
          <w:rFonts w:cs="Calibri"/>
          <w:snapToGrid/>
          <w:szCs w:val="24"/>
          <w:lang w:eastAsia="en-AU"/>
        </w:rPr>
        <w:t xml:space="preserve"> </w:t>
      </w:r>
      <w:r w:rsidR="008D44D5" w:rsidRPr="00BE23C5">
        <w:rPr>
          <w:rFonts w:asciiTheme="minorHAnsi" w:hAnsiTheme="minorHAnsi" w:cstheme="minorHAnsi"/>
        </w:rPr>
        <w:t xml:space="preserve">The ESC noted the results </w:t>
      </w:r>
      <w:r w:rsidR="00352661" w:rsidRPr="00BE23C5">
        <w:rPr>
          <w:rFonts w:asciiTheme="minorHAnsi" w:hAnsiTheme="minorHAnsi" w:cstheme="minorHAnsi"/>
        </w:rPr>
        <w:t>indicated</w:t>
      </w:r>
      <w:r w:rsidR="008D44D5" w:rsidRPr="00BE23C5">
        <w:rPr>
          <w:rFonts w:asciiTheme="minorHAnsi" w:hAnsiTheme="minorHAnsi" w:cstheme="minorHAnsi"/>
        </w:rPr>
        <w:t xml:space="preserve"> that the clinical outcomes were significantly improved for HR+ patients compared to HR- patients. </w:t>
      </w:r>
    </w:p>
    <w:p w:rsidR="002A4F8C" w:rsidRPr="00BE23C5" w:rsidRDefault="002A4F8C" w:rsidP="00135CF6">
      <w:pPr>
        <w:numPr>
          <w:ilvl w:val="1"/>
          <w:numId w:val="2"/>
        </w:numPr>
        <w:spacing w:after="120"/>
        <w:rPr>
          <w:rFonts w:asciiTheme="minorHAnsi" w:hAnsiTheme="minorHAnsi"/>
          <w:bCs/>
        </w:rPr>
      </w:pPr>
      <w:r w:rsidRPr="00BE23C5">
        <w:rPr>
          <w:rFonts w:asciiTheme="minorHAnsi" w:hAnsiTheme="minorHAnsi"/>
          <w:bCs/>
        </w:rPr>
        <w:t xml:space="preserve">The PBAC noted with a median follow-up of 5.3 years the benefit in the HR+ subgroup was greater than that in the HR- subgroup (difference in </w:t>
      </w:r>
      <w:proofErr w:type="spellStart"/>
      <w:r w:rsidRPr="00BE23C5">
        <w:rPr>
          <w:rFonts w:asciiTheme="minorHAnsi" w:hAnsiTheme="minorHAnsi"/>
          <w:bCs/>
        </w:rPr>
        <w:t>iDFS</w:t>
      </w:r>
      <w:proofErr w:type="spellEnd"/>
      <w:r w:rsidRPr="00BE23C5">
        <w:rPr>
          <w:rFonts w:asciiTheme="minorHAnsi" w:hAnsiTheme="minorHAnsi"/>
          <w:bCs/>
        </w:rPr>
        <w:t xml:space="preserve"> at 4 years of 4.1%, HR=0.60 (95% CI: 0.43, 0.83) versus 0.6%, HR=0.95 (95% CI: 0.66, 1.35)), although the test for interaction across the subgroups was not statistically significant (p=0.063).</w:t>
      </w:r>
    </w:p>
    <w:p w:rsidR="00943AFD" w:rsidRPr="005E0BDE" w:rsidRDefault="0008054F" w:rsidP="00135CF6">
      <w:pPr>
        <w:pStyle w:val="ListParagraph"/>
        <w:widowControl/>
        <w:numPr>
          <w:ilvl w:val="1"/>
          <w:numId w:val="2"/>
        </w:numPr>
        <w:spacing w:after="120"/>
        <w:rPr>
          <w:rStyle w:val="CommentReference"/>
          <w:rFonts w:ascii="Calibri" w:hAnsi="Calibri"/>
          <w:b w:val="0"/>
          <w:i/>
          <w:sz w:val="24"/>
          <w:szCs w:val="22"/>
        </w:rPr>
      </w:pPr>
      <w:r w:rsidRPr="005E0BDE">
        <w:rPr>
          <w:rFonts w:asciiTheme="minorHAnsi" w:hAnsiTheme="minorHAnsi"/>
          <w:bCs/>
        </w:rPr>
        <w:t xml:space="preserve">The pre-PBAC response noted that the absolute benefit in the patient population who were HR+ and randomised within 1 year from the end of their adjuvant </w:t>
      </w:r>
      <w:proofErr w:type="spellStart"/>
      <w:r w:rsidRPr="005E0BDE">
        <w:rPr>
          <w:rFonts w:asciiTheme="minorHAnsi" w:hAnsiTheme="minorHAnsi"/>
          <w:bCs/>
        </w:rPr>
        <w:t>trastuzumab</w:t>
      </w:r>
      <w:proofErr w:type="spellEnd"/>
      <w:r w:rsidRPr="005E0BDE">
        <w:rPr>
          <w:rFonts w:asciiTheme="minorHAnsi" w:hAnsiTheme="minorHAnsi"/>
          <w:bCs/>
        </w:rPr>
        <w:t xml:space="preserve"> </w:t>
      </w:r>
      <w:r w:rsidRPr="005E0BDE">
        <w:rPr>
          <w:rFonts w:asciiTheme="minorHAnsi" w:hAnsiTheme="minorHAnsi"/>
          <w:bCs/>
        </w:rPr>
        <w:lastRenderedPageBreak/>
        <w:t xml:space="preserve">therapy had an absolute benefit of 4.5% </w:t>
      </w:r>
      <w:r w:rsidR="000F0274" w:rsidRPr="005E0BDE">
        <w:rPr>
          <w:rFonts w:asciiTheme="minorHAnsi" w:hAnsiTheme="minorHAnsi"/>
          <w:bCs/>
        </w:rPr>
        <w:t xml:space="preserve">at 2 years </w:t>
      </w:r>
      <w:r w:rsidRPr="005E0BDE">
        <w:rPr>
          <w:rFonts w:asciiTheme="minorHAnsi" w:hAnsiTheme="minorHAnsi"/>
          <w:bCs/>
        </w:rPr>
        <w:t>and HR of 0.49 (95% CI: 0.31, 0.75) after 2 years of follow-up.</w:t>
      </w:r>
    </w:p>
    <w:p w:rsidR="00575F33" w:rsidRPr="00BE23C5" w:rsidRDefault="00575F33" w:rsidP="00135CF6">
      <w:pPr>
        <w:pStyle w:val="Heading2"/>
        <w:keepNext/>
        <w:spacing w:after="120"/>
      </w:pPr>
      <w:bookmarkStart w:id="11" w:name="_Toc535857351"/>
      <w:r w:rsidRPr="00BE23C5">
        <w:t>Comparative harms</w:t>
      </w:r>
      <w:bookmarkEnd w:id="11"/>
    </w:p>
    <w:p w:rsidR="004032D3" w:rsidRPr="00BE23C5" w:rsidRDefault="00C6263D" w:rsidP="00135CF6">
      <w:pPr>
        <w:pStyle w:val="ListParagraph"/>
        <w:widowControl/>
        <w:numPr>
          <w:ilvl w:val="1"/>
          <w:numId w:val="2"/>
        </w:numPr>
        <w:spacing w:after="120"/>
      </w:pPr>
      <w:r w:rsidRPr="00BE23C5">
        <w:t xml:space="preserve">Table </w:t>
      </w:r>
      <w:r w:rsidR="00C41CD3" w:rsidRPr="00BE23C5">
        <w:t>7</w:t>
      </w:r>
      <w:r w:rsidR="004032D3" w:rsidRPr="00BE23C5">
        <w:t xml:space="preserve"> presents a summary of patient-relevant harms, based on the </w:t>
      </w:r>
      <w:proofErr w:type="spellStart"/>
      <w:r w:rsidR="004032D3" w:rsidRPr="00BE23C5">
        <w:t>ExteNET</w:t>
      </w:r>
      <w:proofErr w:type="spellEnd"/>
      <w:r w:rsidR="004032D3" w:rsidRPr="00BE23C5">
        <w:t xml:space="preserve"> trial.</w:t>
      </w:r>
    </w:p>
    <w:p w:rsidR="00807A78" w:rsidRDefault="004032D3" w:rsidP="00135CF6">
      <w:pPr>
        <w:pStyle w:val="ListParagraph"/>
        <w:widowControl/>
        <w:numPr>
          <w:ilvl w:val="1"/>
          <w:numId w:val="2"/>
        </w:numPr>
        <w:spacing w:after="120"/>
      </w:pPr>
      <w:r w:rsidRPr="00BE23C5">
        <w:t xml:space="preserve">The incidence of diarrhoea (any grade) was higher </w:t>
      </w:r>
      <w:r w:rsidR="004A2ABD" w:rsidRPr="00BE23C5">
        <w:t>with</w:t>
      </w:r>
      <w:r w:rsidRPr="00BE23C5">
        <w:t xml:space="preserve"> </w:t>
      </w:r>
      <w:proofErr w:type="spellStart"/>
      <w:r w:rsidRPr="00BE23C5">
        <w:t>neratinib</w:t>
      </w:r>
      <w:proofErr w:type="spellEnd"/>
      <w:r w:rsidRPr="00BE23C5">
        <w:t xml:space="preserve"> </w:t>
      </w:r>
      <w:r w:rsidR="004A2ABD" w:rsidRPr="00BE23C5">
        <w:t xml:space="preserve">versus </w:t>
      </w:r>
      <w:r w:rsidRPr="00BE23C5">
        <w:t>placebo</w:t>
      </w:r>
      <w:r w:rsidR="004A2ABD" w:rsidRPr="00BE23C5">
        <w:t xml:space="preserve"> (</w:t>
      </w:r>
      <w:r w:rsidRPr="00BE23C5">
        <w:t>95.4% vs. 35.4%</w:t>
      </w:r>
      <w:r w:rsidR="004A2ABD" w:rsidRPr="00BE23C5">
        <w:t>)</w:t>
      </w:r>
      <w:r w:rsidRPr="00BE23C5">
        <w:t xml:space="preserve">. The incidence of </w:t>
      </w:r>
      <w:r w:rsidR="00493C81" w:rsidRPr="00BE23C5">
        <w:t>grade </w:t>
      </w:r>
      <w:r w:rsidRPr="00BE23C5">
        <w:t xml:space="preserve">3 or 4 diarrhoea was </w:t>
      </w:r>
      <w:r w:rsidR="007328F5" w:rsidRPr="00BE23C5">
        <w:t xml:space="preserve">also </w:t>
      </w:r>
      <w:r w:rsidRPr="00BE23C5">
        <w:t xml:space="preserve">higher </w:t>
      </w:r>
      <w:r w:rsidR="004A2ABD" w:rsidRPr="00BE23C5">
        <w:t>with</w:t>
      </w:r>
      <w:r w:rsidRPr="00BE23C5">
        <w:t xml:space="preserve"> </w:t>
      </w:r>
      <w:proofErr w:type="spellStart"/>
      <w:r w:rsidRPr="00BE23C5">
        <w:t>neratinib</w:t>
      </w:r>
      <w:proofErr w:type="spellEnd"/>
      <w:r w:rsidRPr="00BE23C5">
        <w:t xml:space="preserve"> </w:t>
      </w:r>
      <w:r w:rsidR="004A2ABD" w:rsidRPr="00BE23C5">
        <w:t>versus</w:t>
      </w:r>
      <w:r w:rsidRPr="00BE23C5">
        <w:t xml:space="preserve"> placebo </w:t>
      </w:r>
      <w:r w:rsidR="004A2ABD" w:rsidRPr="00BE23C5">
        <w:t>(</w:t>
      </w:r>
      <w:r w:rsidRPr="00BE23C5">
        <w:t>39.9% vs. 1.6%</w:t>
      </w:r>
      <w:r w:rsidR="004A2ABD" w:rsidRPr="00BE23C5">
        <w:t>)</w:t>
      </w:r>
      <w:r w:rsidRPr="00BE23C5">
        <w:t>. Diarrhoea was the most common adverse event leading to study discontinuation, o</w:t>
      </w:r>
      <w:r w:rsidR="004A2ABD" w:rsidRPr="00BE23C5">
        <w:t>b</w:t>
      </w:r>
      <w:r w:rsidRPr="00BE23C5">
        <w:t xml:space="preserve">served in 16.8% of </w:t>
      </w:r>
      <w:r w:rsidR="00021DB5" w:rsidRPr="00BE23C5">
        <w:t xml:space="preserve">patients in </w:t>
      </w:r>
      <w:r w:rsidRPr="00BE23C5">
        <w:t xml:space="preserve">the </w:t>
      </w:r>
      <w:proofErr w:type="spellStart"/>
      <w:r w:rsidRPr="00BE23C5">
        <w:t>neratinib</w:t>
      </w:r>
      <w:proofErr w:type="spellEnd"/>
      <w:r w:rsidRPr="00BE23C5">
        <w:t xml:space="preserve"> arm.</w:t>
      </w:r>
      <w:r w:rsidR="00E0278D" w:rsidRPr="00BE23C5">
        <w:t xml:space="preserve"> </w:t>
      </w:r>
      <w:r w:rsidR="009C3C3B" w:rsidRPr="00BE23C5">
        <w:t xml:space="preserve">The ESC </w:t>
      </w:r>
      <w:r w:rsidR="00FD3015" w:rsidRPr="00BE23C5">
        <w:t xml:space="preserve">noted </w:t>
      </w:r>
      <w:r w:rsidR="009C3C3B" w:rsidRPr="00BE23C5">
        <w:t>that the AE data show a clear pattern of increased risk of serious treatment related TEAE, including those leading to withdrawal/dose reduction.</w:t>
      </w:r>
      <w:r w:rsidR="00B74C0B" w:rsidRPr="00BE23C5">
        <w:t xml:space="preserve"> The ESC noted that the toxicity level of </w:t>
      </w:r>
      <w:proofErr w:type="spellStart"/>
      <w:r w:rsidR="00B74C0B" w:rsidRPr="00BE23C5">
        <w:t>neratinib</w:t>
      </w:r>
      <w:proofErr w:type="spellEnd"/>
      <w:r w:rsidR="00B74C0B" w:rsidRPr="00BE23C5">
        <w:t xml:space="preserve"> was high, especially in terms of diarrhoea. The PSCR stated that diarrhoeal prophylaxis was not included in the </w:t>
      </w:r>
      <w:proofErr w:type="spellStart"/>
      <w:r w:rsidR="00B74C0B" w:rsidRPr="00BE23C5">
        <w:t>ExteNET</w:t>
      </w:r>
      <w:proofErr w:type="spellEnd"/>
      <w:r w:rsidR="00B74C0B" w:rsidRPr="00BE23C5">
        <w:t xml:space="preserve"> trial, however the CONTROL trial showed that </w:t>
      </w:r>
      <w:proofErr w:type="spellStart"/>
      <w:r w:rsidR="00B74C0B" w:rsidRPr="00BE23C5">
        <w:t>loperamide</w:t>
      </w:r>
      <w:proofErr w:type="spellEnd"/>
      <w:r w:rsidR="00B74C0B" w:rsidRPr="00BE23C5">
        <w:t xml:space="preserve"> prophylaxis resulted in a significant reduction </w:t>
      </w:r>
      <w:r w:rsidR="007328F5" w:rsidRPr="00BE23C5">
        <w:t xml:space="preserve">in </w:t>
      </w:r>
      <w:r w:rsidR="00C53198" w:rsidRPr="00BE23C5">
        <w:t xml:space="preserve">the </w:t>
      </w:r>
      <w:r w:rsidR="00B74C0B" w:rsidRPr="00BE23C5">
        <w:t xml:space="preserve">incidence, severity and cumulative duration </w:t>
      </w:r>
      <w:r w:rsidR="00EA1CEB" w:rsidRPr="00BE23C5">
        <w:t xml:space="preserve">of diarrhoea </w:t>
      </w:r>
      <w:r w:rsidR="00B74C0B" w:rsidRPr="00BE23C5">
        <w:t>when compared to</w:t>
      </w:r>
      <w:r w:rsidR="00C53198" w:rsidRPr="00BE23C5">
        <w:t xml:space="preserve"> that observed in</w:t>
      </w:r>
      <w:r w:rsidR="00B74C0B" w:rsidRPr="00BE23C5">
        <w:t xml:space="preserve"> the </w:t>
      </w:r>
      <w:proofErr w:type="spellStart"/>
      <w:r w:rsidR="00B74C0B" w:rsidRPr="00BE23C5">
        <w:t>ExteNET</w:t>
      </w:r>
      <w:proofErr w:type="spellEnd"/>
      <w:r w:rsidR="00B74C0B" w:rsidRPr="00BE23C5">
        <w:t xml:space="preserve"> trial. </w:t>
      </w:r>
      <w:r w:rsidR="00B74C0B" w:rsidRPr="00BE23C5">
        <w:rPr>
          <w:rFonts w:asciiTheme="minorHAnsi" w:hAnsiTheme="minorHAnsi" w:cstheme="minorHAnsi"/>
        </w:rPr>
        <w:t xml:space="preserve">The ESC </w:t>
      </w:r>
      <w:r w:rsidR="00CE3788" w:rsidRPr="00BE23C5">
        <w:rPr>
          <w:rFonts w:asciiTheme="minorHAnsi" w:hAnsiTheme="minorHAnsi" w:cstheme="minorHAnsi"/>
        </w:rPr>
        <w:t>noted that the CONTROL trial indicated that</w:t>
      </w:r>
      <w:r w:rsidR="00B74C0B" w:rsidRPr="00BE23C5">
        <w:rPr>
          <w:rFonts w:asciiTheme="minorHAnsi" w:hAnsiTheme="minorHAnsi" w:cstheme="minorHAnsi"/>
        </w:rPr>
        <w:t xml:space="preserve"> </w:t>
      </w:r>
      <w:proofErr w:type="spellStart"/>
      <w:r w:rsidR="00B74C0B" w:rsidRPr="00BE23C5">
        <w:rPr>
          <w:rFonts w:asciiTheme="minorHAnsi" w:hAnsiTheme="minorHAnsi" w:cstheme="minorHAnsi"/>
        </w:rPr>
        <w:t>loperamide</w:t>
      </w:r>
      <w:proofErr w:type="spellEnd"/>
      <w:r w:rsidR="00B74C0B" w:rsidRPr="00BE23C5">
        <w:rPr>
          <w:rFonts w:asciiTheme="minorHAnsi" w:hAnsiTheme="minorHAnsi" w:cstheme="minorHAnsi"/>
        </w:rPr>
        <w:t xml:space="preserve"> as prophylaxis </w:t>
      </w:r>
      <w:r w:rsidR="00CE3788" w:rsidRPr="00BE23C5">
        <w:rPr>
          <w:rFonts w:asciiTheme="minorHAnsi" w:hAnsiTheme="minorHAnsi" w:cstheme="minorHAnsi"/>
        </w:rPr>
        <w:t>had limited impact on the number of</w:t>
      </w:r>
      <w:r w:rsidR="00B74C0B" w:rsidRPr="00BE23C5">
        <w:rPr>
          <w:rFonts w:asciiTheme="minorHAnsi" w:hAnsiTheme="minorHAnsi" w:cstheme="minorHAnsi"/>
        </w:rPr>
        <w:t xml:space="preserve"> patients with grade 3 </w:t>
      </w:r>
      <w:r w:rsidR="00CE3788" w:rsidRPr="00BE23C5">
        <w:rPr>
          <w:rFonts w:asciiTheme="minorHAnsi" w:hAnsiTheme="minorHAnsi" w:cstheme="minorHAnsi"/>
        </w:rPr>
        <w:t xml:space="preserve">or 4 </w:t>
      </w:r>
      <w:r w:rsidR="00B74C0B" w:rsidRPr="00BE23C5">
        <w:rPr>
          <w:rFonts w:asciiTheme="minorHAnsi" w:hAnsiTheme="minorHAnsi" w:cstheme="minorHAnsi"/>
        </w:rPr>
        <w:t xml:space="preserve">diarrhoea (30.7% </w:t>
      </w:r>
      <w:r w:rsidR="00CE3788" w:rsidRPr="00BE23C5">
        <w:rPr>
          <w:rFonts w:asciiTheme="minorHAnsi" w:hAnsiTheme="minorHAnsi" w:cstheme="minorHAnsi"/>
        </w:rPr>
        <w:t xml:space="preserve">compared with 39.3% in the </w:t>
      </w:r>
      <w:proofErr w:type="spellStart"/>
      <w:r w:rsidR="00CE3788" w:rsidRPr="00BE23C5">
        <w:rPr>
          <w:rFonts w:asciiTheme="minorHAnsi" w:hAnsiTheme="minorHAnsi" w:cstheme="minorHAnsi"/>
        </w:rPr>
        <w:t>ExteNET</w:t>
      </w:r>
      <w:proofErr w:type="spellEnd"/>
      <w:r w:rsidR="00CE3788" w:rsidRPr="00BE23C5">
        <w:rPr>
          <w:rFonts w:asciiTheme="minorHAnsi" w:hAnsiTheme="minorHAnsi" w:cstheme="minorHAnsi"/>
        </w:rPr>
        <w:t xml:space="preserve"> trial</w:t>
      </w:r>
      <w:r w:rsidR="00B74C0B" w:rsidRPr="00BE23C5">
        <w:rPr>
          <w:rFonts w:asciiTheme="minorHAnsi" w:hAnsiTheme="minorHAnsi" w:cstheme="minorHAnsi"/>
        </w:rPr>
        <w:t xml:space="preserve">). </w:t>
      </w:r>
      <w:r w:rsidR="00B74C0B" w:rsidRPr="00BE23C5">
        <w:t>The ESC</w:t>
      </w:r>
      <w:r w:rsidR="00CE3788" w:rsidRPr="00BE23C5">
        <w:t xml:space="preserve"> also</w:t>
      </w:r>
      <w:r w:rsidR="00B74C0B" w:rsidRPr="00BE23C5">
        <w:t xml:space="preserve"> noted the </w:t>
      </w:r>
      <w:proofErr w:type="spellStart"/>
      <w:r w:rsidR="00B74C0B" w:rsidRPr="00BE23C5">
        <w:t>ExteNET</w:t>
      </w:r>
      <w:proofErr w:type="spellEnd"/>
      <w:r w:rsidR="00B74C0B" w:rsidRPr="00BE23C5">
        <w:t xml:space="preserve"> trial excluded patients with significant </w:t>
      </w:r>
      <w:r w:rsidR="00EF2B2A" w:rsidRPr="00BE23C5">
        <w:t>gastroenterological</w:t>
      </w:r>
      <w:r w:rsidR="00B74C0B" w:rsidRPr="00BE23C5">
        <w:t xml:space="preserve"> conditions</w:t>
      </w:r>
      <w:r w:rsidR="00B74C0B" w:rsidRPr="00BE23C5">
        <w:rPr>
          <w:rFonts w:asciiTheme="minorHAnsi" w:hAnsiTheme="minorHAnsi" w:cstheme="minorHAnsi"/>
        </w:rPr>
        <w:t xml:space="preserve"> with a primary symptom of diarrhoea, including any Grade </w:t>
      </w:r>
      <w:r w:rsidR="00B74C0B" w:rsidRPr="00BE23C5">
        <w:rPr>
          <w:rStyle w:val="ilfuvd"/>
          <w:rFonts w:asciiTheme="minorHAnsi" w:hAnsiTheme="minorHAnsi" w:cstheme="minorHAnsi"/>
          <w:color w:val="222222"/>
        </w:rPr>
        <w:t xml:space="preserve">≥2 </w:t>
      </w:r>
      <w:r w:rsidR="00B74C0B" w:rsidRPr="00BE23C5">
        <w:rPr>
          <w:rFonts w:asciiTheme="minorHAnsi" w:hAnsiTheme="minorHAnsi" w:cstheme="minorHAnsi"/>
        </w:rPr>
        <w:t>diarrhoea.</w:t>
      </w:r>
      <w:r w:rsidR="00B74C0B" w:rsidRPr="00BE23C5">
        <w:t xml:space="preserve"> Although diarrhoea is an adverse event for other </w:t>
      </w:r>
      <w:r w:rsidR="000F0274" w:rsidRPr="00BE23C5">
        <w:t xml:space="preserve">used in </w:t>
      </w:r>
      <w:proofErr w:type="spellStart"/>
      <w:r w:rsidR="000F0274" w:rsidRPr="00BE23C5">
        <w:t>eBC</w:t>
      </w:r>
      <w:proofErr w:type="spellEnd"/>
      <w:r w:rsidR="00CE3788" w:rsidRPr="00BE23C5">
        <w:t>,</w:t>
      </w:r>
      <w:r w:rsidR="00B74C0B" w:rsidRPr="00BE23C5">
        <w:t xml:space="preserve"> such as </w:t>
      </w:r>
      <w:proofErr w:type="spellStart"/>
      <w:r w:rsidR="00B74C0B" w:rsidRPr="00BE23C5">
        <w:t>pertuzumab</w:t>
      </w:r>
      <w:proofErr w:type="spellEnd"/>
      <w:r w:rsidR="00B74C0B" w:rsidRPr="00BE23C5">
        <w:t xml:space="preserve"> and </w:t>
      </w:r>
      <w:proofErr w:type="spellStart"/>
      <w:r w:rsidR="00B74C0B" w:rsidRPr="00BE23C5">
        <w:t>trastuzumab</w:t>
      </w:r>
      <w:proofErr w:type="spellEnd"/>
      <w:r w:rsidR="00B74C0B" w:rsidRPr="00BE23C5">
        <w:t xml:space="preserve">, the ESC considered that the severe diarrhoea experienced by patients </w:t>
      </w:r>
      <w:r w:rsidR="00EE46CD" w:rsidRPr="00BE23C5">
        <w:t xml:space="preserve">treated with </w:t>
      </w:r>
      <w:proofErr w:type="spellStart"/>
      <w:r w:rsidR="00EE46CD" w:rsidRPr="00BE23C5">
        <w:t>neratinib</w:t>
      </w:r>
      <w:proofErr w:type="spellEnd"/>
      <w:r w:rsidR="00B74C0B" w:rsidRPr="00BE23C5">
        <w:t xml:space="preserve"> trial will impact on the </w:t>
      </w:r>
      <w:r w:rsidR="00CE3788" w:rsidRPr="00BE23C5">
        <w:t xml:space="preserve">attrition levels in clinical practice and therefore on </w:t>
      </w:r>
      <w:r w:rsidR="00B74C0B" w:rsidRPr="00BE23C5">
        <w:t>treatment effectiveness.</w:t>
      </w:r>
      <w:r w:rsidR="00EF2B2A" w:rsidRPr="00BE23C5">
        <w:t xml:space="preserve"> The PBAC noted that for patients treated with </w:t>
      </w:r>
      <w:proofErr w:type="spellStart"/>
      <w:r w:rsidR="00EF2B2A" w:rsidRPr="00BE23C5">
        <w:t>neratinib</w:t>
      </w:r>
      <w:proofErr w:type="spellEnd"/>
      <w:r w:rsidR="00EF2B2A" w:rsidRPr="00BE23C5">
        <w:t xml:space="preserve"> 30% had a dose reduction, 44% had a dose hold and 27% discontinued treatment. </w:t>
      </w:r>
      <w:r w:rsidR="00245DAE" w:rsidRPr="00BE23C5">
        <w:t xml:space="preserve">The PBAC considered that there would be some reduction in diarrhoea with </w:t>
      </w:r>
      <w:proofErr w:type="spellStart"/>
      <w:r w:rsidR="00245DAE" w:rsidRPr="00BE23C5">
        <w:t>loperamide</w:t>
      </w:r>
      <w:proofErr w:type="spellEnd"/>
      <w:r w:rsidR="00245DAE" w:rsidRPr="00BE23C5">
        <w:t xml:space="preserve"> prophylaxis, however </w:t>
      </w:r>
      <w:proofErr w:type="spellStart"/>
      <w:r w:rsidR="00EE46CD" w:rsidRPr="00BE23C5">
        <w:t>neratinib</w:t>
      </w:r>
      <w:proofErr w:type="spellEnd"/>
      <w:r w:rsidR="00245DAE" w:rsidRPr="00BE23C5">
        <w:t xml:space="preserve"> would remain a difficult drug to manage in practice due to its toxicity.</w:t>
      </w:r>
    </w:p>
    <w:p w:rsidR="004032D3" w:rsidRPr="00BE23C5" w:rsidRDefault="00807A78" w:rsidP="00807A78">
      <w:pPr>
        <w:widowControl/>
        <w:jc w:val="left"/>
      </w:pPr>
      <w:r>
        <w:br w:type="page"/>
      </w:r>
    </w:p>
    <w:p w:rsidR="004032D3" w:rsidRPr="00BE23C5" w:rsidRDefault="004032D3" w:rsidP="007F5EE0">
      <w:pPr>
        <w:pStyle w:val="Tabletext"/>
        <w:keepNext/>
        <w:rPr>
          <w:b/>
        </w:rPr>
      </w:pPr>
      <w:r w:rsidRPr="00BE23C5">
        <w:rPr>
          <w:b/>
        </w:rPr>
        <w:lastRenderedPageBreak/>
        <w:t xml:space="preserve">Table </w:t>
      </w:r>
      <w:r w:rsidR="004F734A" w:rsidRPr="00BE23C5">
        <w:rPr>
          <w:b/>
        </w:rPr>
        <w:t>7</w:t>
      </w:r>
      <w:r w:rsidRPr="00BE23C5">
        <w:rPr>
          <w:b/>
        </w:rPr>
        <w:t>:</w:t>
      </w:r>
      <w:r w:rsidR="00E0278D" w:rsidRPr="00BE23C5">
        <w:rPr>
          <w:b/>
        </w:rPr>
        <w:t xml:space="preserve"> </w:t>
      </w:r>
      <w:r w:rsidRPr="00BE23C5">
        <w:rPr>
          <w:b/>
        </w:rPr>
        <w:t xml:space="preserve">Summary of key adverse events in </w:t>
      </w:r>
      <w:proofErr w:type="spellStart"/>
      <w:r w:rsidRPr="00BE23C5">
        <w:rPr>
          <w:b/>
        </w:rPr>
        <w:t>ExteNET</w:t>
      </w:r>
      <w:proofErr w:type="spellEnd"/>
      <w:r w:rsidRPr="00BE23C5">
        <w:rPr>
          <w:b/>
        </w:rPr>
        <w:t xml:space="preserve"> trial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key adverse events in ExteNET trial "/>
      </w:tblPr>
      <w:tblGrid>
        <w:gridCol w:w="2830"/>
        <w:gridCol w:w="1729"/>
        <w:gridCol w:w="2234"/>
        <w:gridCol w:w="2224"/>
      </w:tblGrid>
      <w:tr w:rsidR="004032D3" w:rsidRPr="00BE23C5" w:rsidTr="008B14B8">
        <w:trPr>
          <w:tblHeader/>
        </w:trPr>
        <w:tc>
          <w:tcPr>
            <w:tcW w:w="1569" w:type="pct"/>
            <w:tcBorders>
              <w:top w:val="single" w:sz="4" w:space="0" w:color="auto"/>
              <w:left w:val="single" w:sz="4" w:space="0" w:color="auto"/>
              <w:bottom w:val="single" w:sz="4" w:space="0" w:color="auto"/>
              <w:right w:val="single" w:sz="4" w:space="0" w:color="auto"/>
            </w:tcBorders>
            <w:vAlign w:val="center"/>
          </w:tcPr>
          <w:p w:rsidR="004032D3" w:rsidRPr="00BE23C5" w:rsidRDefault="004032D3" w:rsidP="007F5EE0">
            <w:pPr>
              <w:pStyle w:val="Tabletext"/>
              <w:keepNext/>
              <w:rPr>
                <w:b/>
              </w:rPr>
            </w:pPr>
            <w:r w:rsidRPr="00BE23C5">
              <w:rPr>
                <w:b/>
              </w:rPr>
              <w:t>Trial ID</w:t>
            </w:r>
          </w:p>
        </w:tc>
        <w:tc>
          <w:tcPr>
            <w:tcW w:w="959" w:type="pct"/>
            <w:tcBorders>
              <w:top w:val="single" w:sz="4" w:space="0" w:color="auto"/>
              <w:left w:val="single" w:sz="4" w:space="0" w:color="auto"/>
              <w:bottom w:val="single" w:sz="4" w:space="0" w:color="auto"/>
              <w:right w:val="single" w:sz="4" w:space="0" w:color="auto"/>
            </w:tcBorders>
            <w:vAlign w:val="center"/>
          </w:tcPr>
          <w:p w:rsidR="004032D3" w:rsidRPr="00BE23C5" w:rsidRDefault="004032D3" w:rsidP="007F5EE0">
            <w:pPr>
              <w:pStyle w:val="Tabletext"/>
              <w:keepNext/>
              <w:jc w:val="center"/>
              <w:rPr>
                <w:b/>
              </w:rPr>
            </w:pPr>
            <w:proofErr w:type="spellStart"/>
            <w:r w:rsidRPr="00BE23C5">
              <w:rPr>
                <w:b/>
              </w:rPr>
              <w:t>Neratinib</w:t>
            </w:r>
            <w:proofErr w:type="spellEnd"/>
          </w:p>
          <w:p w:rsidR="004032D3" w:rsidRPr="00BE23C5" w:rsidRDefault="00C91339" w:rsidP="007F5EE0">
            <w:pPr>
              <w:pStyle w:val="Tabletext"/>
              <w:keepNext/>
              <w:jc w:val="center"/>
              <w:rPr>
                <w:b/>
              </w:rPr>
            </w:pPr>
            <w:proofErr w:type="gramStart"/>
            <w:r w:rsidRPr="00BE23C5">
              <w:rPr>
                <w:b/>
              </w:rPr>
              <w:t>n</w:t>
            </w:r>
            <w:r w:rsidR="004032D3" w:rsidRPr="00BE23C5">
              <w:rPr>
                <w:b/>
              </w:rPr>
              <w:t>/N</w:t>
            </w:r>
            <w:proofErr w:type="gramEnd"/>
            <w:r w:rsidR="004032D3" w:rsidRPr="00BE23C5">
              <w:rPr>
                <w:b/>
              </w:rPr>
              <w:t xml:space="preserve"> (%)</w:t>
            </w:r>
          </w:p>
        </w:tc>
        <w:tc>
          <w:tcPr>
            <w:tcW w:w="1239" w:type="pct"/>
            <w:tcBorders>
              <w:top w:val="single" w:sz="4" w:space="0" w:color="auto"/>
              <w:left w:val="single" w:sz="4" w:space="0" w:color="auto"/>
              <w:bottom w:val="single" w:sz="4" w:space="0" w:color="auto"/>
              <w:right w:val="single" w:sz="4" w:space="0" w:color="auto"/>
            </w:tcBorders>
            <w:vAlign w:val="center"/>
          </w:tcPr>
          <w:p w:rsidR="004032D3" w:rsidRPr="00BE23C5" w:rsidRDefault="004032D3" w:rsidP="007F5EE0">
            <w:pPr>
              <w:pStyle w:val="Tabletext"/>
              <w:keepNext/>
              <w:jc w:val="center"/>
              <w:rPr>
                <w:b/>
              </w:rPr>
            </w:pPr>
            <w:r w:rsidRPr="00BE23C5">
              <w:rPr>
                <w:b/>
              </w:rPr>
              <w:t>Placebo</w:t>
            </w:r>
          </w:p>
          <w:p w:rsidR="004032D3" w:rsidRPr="00BE23C5" w:rsidRDefault="00C91339" w:rsidP="007F5EE0">
            <w:pPr>
              <w:pStyle w:val="Tabletext"/>
              <w:keepNext/>
              <w:jc w:val="center"/>
              <w:rPr>
                <w:b/>
              </w:rPr>
            </w:pPr>
            <w:proofErr w:type="gramStart"/>
            <w:r w:rsidRPr="00BE23C5">
              <w:rPr>
                <w:b/>
              </w:rPr>
              <w:t>n</w:t>
            </w:r>
            <w:r w:rsidR="004032D3" w:rsidRPr="00BE23C5">
              <w:rPr>
                <w:b/>
              </w:rPr>
              <w:t>/N</w:t>
            </w:r>
            <w:proofErr w:type="gramEnd"/>
            <w:r w:rsidR="004032D3" w:rsidRPr="00BE23C5">
              <w:rPr>
                <w:b/>
              </w:rPr>
              <w:t xml:space="preserve"> (%)</w:t>
            </w:r>
          </w:p>
        </w:tc>
        <w:tc>
          <w:tcPr>
            <w:tcW w:w="1233" w:type="pct"/>
            <w:tcBorders>
              <w:top w:val="single" w:sz="4" w:space="0" w:color="auto"/>
              <w:left w:val="single" w:sz="4" w:space="0" w:color="auto"/>
              <w:bottom w:val="single" w:sz="4" w:space="0" w:color="auto"/>
              <w:right w:val="single" w:sz="4" w:space="0" w:color="auto"/>
            </w:tcBorders>
            <w:vAlign w:val="center"/>
          </w:tcPr>
          <w:p w:rsidR="004032D3" w:rsidRPr="00BE23C5" w:rsidRDefault="004032D3" w:rsidP="007F5EE0">
            <w:pPr>
              <w:pStyle w:val="Tabletext"/>
              <w:keepNext/>
              <w:jc w:val="center"/>
              <w:rPr>
                <w:b/>
              </w:rPr>
            </w:pPr>
            <w:r w:rsidRPr="00BE23C5">
              <w:rPr>
                <w:b/>
              </w:rPr>
              <w:t>RR (95% CI)</w:t>
            </w:r>
            <w:r w:rsidR="001000D4" w:rsidRPr="00BE23C5">
              <w:rPr>
                <w:b/>
              </w:rPr>
              <w:t>*</w:t>
            </w:r>
          </w:p>
        </w:tc>
      </w:tr>
      <w:tr w:rsidR="004032D3" w:rsidRPr="00BE23C5" w:rsidTr="008B14B8">
        <w:tc>
          <w:tcPr>
            <w:tcW w:w="1569" w:type="pct"/>
            <w:tcBorders>
              <w:top w:val="single" w:sz="4" w:space="0" w:color="auto"/>
            </w:tcBorders>
          </w:tcPr>
          <w:p w:rsidR="004032D3" w:rsidRPr="00BE23C5" w:rsidRDefault="004032D3" w:rsidP="007F5EE0">
            <w:pPr>
              <w:pStyle w:val="Tabletext"/>
              <w:keepNext/>
            </w:pPr>
            <w:r w:rsidRPr="00BE23C5">
              <w:t>Any TEAE – n (%)</w:t>
            </w:r>
          </w:p>
        </w:tc>
        <w:tc>
          <w:tcPr>
            <w:tcW w:w="959" w:type="pct"/>
            <w:tcBorders>
              <w:top w:val="single" w:sz="4" w:space="0" w:color="auto"/>
            </w:tcBorders>
            <w:vAlign w:val="center"/>
          </w:tcPr>
          <w:p w:rsidR="004032D3" w:rsidRPr="00BE23C5" w:rsidRDefault="004032D3" w:rsidP="007F5EE0">
            <w:pPr>
              <w:pStyle w:val="Tabletext"/>
              <w:keepNext/>
              <w:jc w:val="center"/>
            </w:pPr>
            <w:r w:rsidRPr="00BE23C5">
              <w:t>1</w:t>
            </w:r>
            <w:r w:rsidR="00C91339" w:rsidRPr="00BE23C5">
              <w:t>,</w:t>
            </w:r>
            <w:r w:rsidRPr="00BE23C5">
              <w:t>387/1</w:t>
            </w:r>
            <w:r w:rsidR="00C91339" w:rsidRPr="00BE23C5">
              <w:t>,</w:t>
            </w:r>
            <w:r w:rsidRPr="00BE23C5">
              <w:t>408 (98.5</w:t>
            </w:r>
            <w:r w:rsidR="00C91339" w:rsidRPr="00BE23C5">
              <w:t>%</w:t>
            </w:r>
            <w:r w:rsidRPr="00BE23C5">
              <w:t>)</w:t>
            </w:r>
          </w:p>
        </w:tc>
        <w:tc>
          <w:tcPr>
            <w:tcW w:w="1239" w:type="pct"/>
            <w:tcBorders>
              <w:top w:val="single" w:sz="4" w:space="0" w:color="auto"/>
            </w:tcBorders>
            <w:vAlign w:val="center"/>
          </w:tcPr>
          <w:p w:rsidR="004032D3" w:rsidRPr="00BE23C5" w:rsidRDefault="004032D3" w:rsidP="007F5EE0">
            <w:pPr>
              <w:pStyle w:val="Tabletext"/>
              <w:keepNext/>
              <w:jc w:val="center"/>
            </w:pPr>
            <w:r w:rsidRPr="00BE23C5">
              <w:t>1</w:t>
            </w:r>
            <w:r w:rsidR="00C91339" w:rsidRPr="00BE23C5">
              <w:t>,</w:t>
            </w:r>
            <w:r w:rsidRPr="00BE23C5">
              <w:t>240/1</w:t>
            </w:r>
            <w:r w:rsidR="00C91339" w:rsidRPr="00BE23C5">
              <w:t>,</w:t>
            </w:r>
            <w:r w:rsidRPr="00BE23C5">
              <w:t>408 (88.1</w:t>
            </w:r>
            <w:r w:rsidR="00C91339" w:rsidRPr="00BE23C5">
              <w:t>%</w:t>
            </w:r>
            <w:r w:rsidRPr="00BE23C5">
              <w:t>)</w:t>
            </w:r>
          </w:p>
        </w:tc>
        <w:tc>
          <w:tcPr>
            <w:tcW w:w="1233" w:type="pct"/>
            <w:tcBorders>
              <w:top w:val="single" w:sz="4" w:space="0" w:color="auto"/>
            </w:tcBorders>
            <w:vAlign w:val="center"/>
          </w:tcPr>
          <w:p w:rsidR="004032D3" w:rsidRPr="00BE23C5" w:rsidRDefault="004032D3" w:rsidP="007F5EE0">
            <w:pPr>
              <w:pStyle w:val="Tabletext"/>
              <w:keepNext/>
              <w:jc w:val="center"/>
              <w:rPr>
                <w:b/>
              </w:rPr>
            </w:pPr>
            <w:r w:rsidRPr="00BE23C5">
              <w:rPr>
                <w:b/>
              </w:rPr>
              <w:t>1</w:t>
            </w:r>
            <w:r w:rsidR="00C91339" w:rsidRPr="00BE23C5">
              <w:rPr>
                <w:b/>
              </w:rPr>
              <w:t>.12</w:t>
            </w:r>
            <w:r w:rsidRPr="00BE23C5">
              <w:rPr>
                <w:b/>
              </w:rPr>
              <w:t xml:space="preserve"> (1.</w:t>
            </w:r>
            <w:r w:rsidR="00C91339" w:rsidRPr="00BE23C5">
              <w:rPr>
                <w:b/>
              </w:rPr>
              <w:t>10</w:t>
            </w:r>
            <w:r w:rsidRPr="00BE23C5">
              <w:rPr>
                <w:b/>
              </w:rPr>
              <w:t>,</w:t>
            </w:r>
            <w:r w:rsidR="00493C81" w:rsidRPr="00BE23C5">
              <w:rPr>
                <w:b/>
              </w:rPr>
              <w:t xml:space="preserve"> </w:t>
            </w:r>
            <w:r w:rsidRPr="00BE23C5">
              <w:rPr>
                <w:b/>
              </w:rPr>
              <w:t>1.14)</w:t>
            </w:r>
          </w:p>
        </w:tc>
      </w:tr>
      <w:tr w:rsidR="004032D3" w:rsidRPr="00BE23C5" w:rsidTr="00033521">
        <w:tc>
          <w:tcPr>
            <w:tcW w:w="1569" w:type="pct"/>
          </w:tcPr>
          <w:p w:rsidR="004032D3" w:rsidRPr="00BE23C5" w:rsidRDefault="004032D3" w:rsidP="007F5EE0">
            <w:pPr>
              <w:pStyle w:val="Tabletext"/>
              <w:keepNext/>
            </w:pPr>
            <w:r w:rsidRPr="00BE23C5">
              <w:t xml:space="preserve">Grade 3 or 4 TEAE </w:t>
            </w:r>
          </w:p>
        </w:tc>
        <w:tc>
          <w:tcPr>
            <w:tcW w:w="959" w:type="pct"/>
            <w:vAlign w:val="center"/>
          </w:tcPr>
          <w:p w:rsidR="004032D3" w:rsidRPr="00BE23C5" w:rsidRDefault="004032D3" w:rsidP="007F5EE0">
            <w:pPr>
              <w:pStyle w:val="Tabletext"/>
              <w:keepNext/>
              <w:jc w:val="center"/>
            </w:pPr>
            <w:r w:rsidRPr="00BE23C5">
              <w:t>700</w:t>
            </w:r>
            <w:r w:rsidR="00C91339" w:rsidRPr="00BE23C5">
              <w:t>/</w:t>
            </w:r>
            <w:r w:rsidRPr="00BE23C5">
              <w:t>1</w:t>
            </w:r>
            <w:r w:rsidR="00C91339" w:rsidRPr="00BE23C5">
              <w:t>,</w:t>
            </w:r>
            <w:r w:rsidRPr="00BE23C5">
              <w:t>408 (49.7</w:t>
            </w:r>
            <w:r w:rsidR="00C91339" w:rsidRPr="00BE23C5">
              <w:t>%</w:t>
            </w:r>
            <w:r w:rsidRPr="00BE23C5">
              <w:t>)</w:t>
            </w:r>
          </w:p>
        </w:tc>
        <w:tc>
          <w:tcPr>
            <w:tcW w:w="1239" w:type="pct"/>
            <w:vAlign w:val="center"/>
          </w:tcPr>
          <w:p w:rsidR="004032D3" w:rsidRPr="00BE23C5" w:rsidRDefault="004032D3" w:rsidP="007F5EE0">
            <w:pPr>
              <w:pStyle w:val="Tabletext"/>
              <w:keepNext/>
              <w:jc w:val="center"/>
            </w:pPr>
            <w:r w:rsidRPr="00BE23C5">
              <w:t>184</w:t>
            </w:r>
            <w:r w:rsidR="00C91339" w:rsidRPr="00BE23C5">
              <w:t>/</w:t>
            </w:r>
            <w:r w:rsidRPr="00BE23C5">
              <w:t>1</w:t>
            </w:r>
            <w:r w:rsidR="00C91339" w:rsidRPr="00BE23C5">
              <w:t>,</w:t>
            </w:r>
            <w:r w:rsidRPr="00BE23C5">
              <w:t>408 (13.1</w:t>
            </w:r>
            <w:r w:rsidR="00C91339" w:rsidRPr="00BE23C5">
              <w:t>%</w:t>
            </w:r>
            <w:r w:rsidRPr="00BE23C5">
              <w:t>)</w:t>
            </w:r>
          </w:p>
        </w:tc>
        <w:tc>
          <w:tcPr>
            <w:tcW w:w="1233" w:type="pct"/>
            <w:vAlign w:val="center"/>
          </w:tcPr>
          <w:p w:rsidR="004032D3" w:rsidRPr="00BE23C5" w:rsidRDefault="00C91339" w:rsidP="007F5EE0">
            <w:pPr>
              <w:pStyle w:val="Tabletext"/>
              <w:keepNext/>
              <w:jc w:val="center"/>
              <w:rPr>
                <w:b/>
              </w:rPr>
            </w:pPr>
            <w:r w:rsidRPr="00BE23C5">
              <w:rPr>
                <w:b/>
              </w:rPr>
              <w:t>3.80</w:t>
            </w:r>
            <w:r w:rsidR="004032D3" w:rsidRPr="00BE23C5">
              <w:rPr>
                <w:b/>
              </w:rPr>
              <w:t xml:space="preserve"> (3.</w:t>
            </w:r>
            <w:r w:rsidRPr="00BE23C5">
              <w:rPr>
                <w:b/>
              </w:rPr>
              <w:t>29</w:t>
            </w:r>
            <w:r w:rsidR="004032D3" w:rsidRPr="00BE23C5">
              <w:rPr>
                <w:b/>
              </w:rPr>
              <w:t>,</w:t>
            </w:r>
            <w:r w:rsidR="00493C81" w:rsidRPr="00BE23C5">
              <w:rPr>
                <w:b/>
              </w:rPr>
              <w:t xml:space="preserve"> </w:t>
            </w:r>
            <w:r w:rsidR="004032D3" w:rsidRPr="00BE23C5">
              <w:rPr>
                <w:b/>
              </w:rPr>
              <w:t>4.</w:t>
            </w:r>
            <w:r w:rsidRPr="00BE23C5">
              <w:rPr>
                <w:b/>
              </w:rPr>
              <w:t>40</w:t>
            </w:r>
            <w:r w:rsidR="004032D3" w:rsidRPr="00BE23C5">
              <w:rPr>
                <w:b/>
              </w:rPr>
              <w:t>)</w:t>
            </w:r>
          </w:p>
        </w:tc>
      </w:tr>
      <w:tr w:rsidR="004032D3" w:rsidRPr="00BE23C5" w:rsidTr="00033521">
        <w:tc>
          <w:tcPr>
            <w:tcW w:w="1569" w:type="pct"/>
          </w:tcPr>
          <w:p w:rsidR="004032D3" w:rsidRPr="00BE23C5" w:rsidRDefault="004032D3" w:rsidP="007F5EE0">
            <w:pPr>
              <w:pStyle w:val="Tabletext"/>
              <w:keepNext/>
            </w:pPr>
            <w:r w:rsidRPr="00BE23C5">
              <w:t xml:space="preserve">Fatal TEAE </w:t>
            </w:r>
          </w:p>
        </w:tc>
        <w:tc>
          <w:tcPr>
            <w:tcW w:w="959" w:type="pct"/>
            <w:vAlign w:val="center"/>
          </w:tcPr>
          <w:p w:rsidR="004032D3" w:rsidRPr="00BE23C5" w:rsidRDefault="004032D3" w:rsidP="007F5EE0">
            <w:pPr>
              <w:pStyle w:val="Tabletext"/>
              <w:keepNext/>
              <w:jc w:val="center"/>
            </w:pPr>
            <w:r w:rsidRPr="00BE23C5">
              <w:t>2</w:t>
            </w:r>
            <w:r w:rsidR="00C91339" w:rsidRPr="00BE23C5">
              <w:t>/</w:t>
            </w:r>
            <w:r w:rsidRPr="00BE23C5">
              <w:t>1</w:t>
            </w:r>
            <w:r w:rsidR="00C91339" w:rsidRPr="00BE23C5">
              <w:t>,</w:t>
            </w:r>
            <w:r w:rsidRPr="00BE23C5">
              <w:t>408 (0.1</w:t>
            </w:r>
            <w:r w:rsidR="00C91339" w:rsidRPr="00BE23C5">
              <w:t>%</w:t>
            </w:r>
            <w:r w:rsidRPr="00BE23C5">
              <w:t>)</w:t>
            </w:r>
          </w:p>
        </w:tc>
        <w:tc>
          <w:tcPr>
            <w:tcW w:w="1239" w:type="pct"/>
            <w:vAlign w:val="center"/>
          </w:tcPr>
          <w:p w:rsidR="004032D3" w:rsidRPr="00BE23C5" w:rsidRDefault="004032D3" w:rsidP="007F5EE0">
            <w:pPr>
              <w:pStyle w:val="Tabletext"/>
              <w:keepNext/>
              <w:jc w:val="center"/>
            </w:pPr>
            <w:r w:rsidRPr="00BE23C5">
              <w:t>1</w:t>
            </w:r>
            <w:r w:rsidR="00C91339" w:rsidRPr="00BE23C5">
              <w:t>/</w:t>
            </w:r>
            <w:r w:rsidRPr="00BE23C5">
              <w:t>1</w:t>
            </w:r>
            <w:r w:rsidR="00C91339" w:rsidRPr="00BE23C5">
              <w:t>,</w:t>
            </w:r>
            <w:r w:rsidRPr="00BE23C5">
              <w:t>408 (0.1</w:t>
            </w:r>
            <w:r w:rsidR="00C91339" w:rsidRPr="00BE23C5">
              <w:t>%</w:t>
            </w:r>
            <w:r w:rsidRPr="00BE23C5">
              <w:t>)</w:t>
            </w:r>
          </w:p>
        </w:tc>
        <w:tc>
          <w:tcPr>
            <w:tcW w:w="1233" w:type="pct"/>
            <w:vAlign w:val="center"/>
          </w:tcPr>
          <w:p w:rsidR="004032D3" w:rsidRPr="00BE23C5" w:rsidRDefault="004032D3" w:rsidP="007F5EE0">
            <w:pPr>
              <w:pStyle w:val="Tabletext"/>
              <w:keepNext/>
              <w:jc w:val="center"/>
            </w:pPr>
            <w:r w:rsidRPr="00BE23C5">
              <w:t>2.00 (0.18, 22.03)</w:t>
            </w:r>
          </w:p>
        </w:tc>
      </w:tr>
      <w:tr w:rsidR="004032D3" w:rsidRPr="00BE23C5" w:rsidTr="00033521">
        <w:tc>
          <w:tcPr>
            <w:tcW w:w="1569" w:type="pct"/>
          </w:tcPr>
          <w:p w:rsidR="004032D3" w:rsidRPr="00BE23C5" w:rsidRDefault="004032D3" w:rsidP="007F5EE0">
            <w:pPr>
              <w:pStyle w:val="Tabletext"/>
              <w:keepNext/>
            </w:pPr>
            <w:r w:rsidRPr="00BE23C5">
              <w:t xml:space="preserve">Serious TEAE (SAE) </w:t>
            </w:r>
          </w:p>
        </w:tc>
        <w:tc>
          <w:tcPr>
            <w:tcW w:w="959" w:type="pct"/>
            <w:vAlign w:val="center"/>
          </w:tcPr>
          <w:p w:rsidR="004032D3" w:rsidRPr="00BE23C5" w:rsidRDefault="004032D3" w:rsidP="007F5EE0">
            <w:pPr>
              <w:pStyle w:val="Tabletext"/>
              <w:keepNext/>
              <w:jc w:val="center"/>
            </w:pPr>
            <w:r w:rsidRPr="00BE23C5">
              <w:t>103</w:t>
            </w:r>
            <w:r w:rsidR="00C91339" w:rsidRPr="00BE23C5">
              <w:t>/</w:t>
            </w:r>
            <w:r w:rsidRPr="00BE23C5">
              <w:t>1</w:t>
            </w:r>
            <w:r w:rsidR="00C91339" w:rsidRPr="00BE23C5">
              <w:t>,</w:t>
            </w:r>
            <w:r w:rsidRPr="00BE23C5">
              <w:t>408 (7.3</w:t>
            </w:r>
            <w:r w:rsidR="00C91339" w:rsidRPr="00BE23C5">
              <w:t>%</w:t>
            </w:r>
            <w:r w:rsidRPr="00BE23C5">
              <w:t>)</w:t>
            </w:r>
          </w:p>
        </w:tc>
        <w:tc>
          <w:tcPr>
            <w:tcW w:w="1239" w:type="pct"/>
            <w:vAlign w:val="center"/>
          </w:tcPr>
          <w:p w:rsidR="004032D3" w:rsidRPr="00BE23C5" w:rsidRDefault="004032D3" w:rsidP="007F5EE0">
            <w:pPr>
              <w:pStyle w:val="Tabletext"/>
              <w:keepNext/>
              <w:jc w:val="center"/>
            </w:pPr>
            <w:r w:rsidRPr="00BE23C5">
              <w:t>85</w:t>
            </w:r>
            <w:r w:rsidR="00C91339" w:rsidRPr="00BE23C5">
              <w:t>/</w:t>
            </w:r>
            <w:r w:rsidRPr="00BE23C5">
              <w:t>1</w:t>
            </w:r>
            <w:r w:rsidR="00C91339" w:rsidRPr="00BE23C5">
              <w:t>,</w:t>
            </w:r>
            <w:r w:rsidRPr="00BE23C5">
              <w:t>408 (6.0</w:t>
            </w:r>
            <w:r w:rsidR="00C91339" w:rsidRPr="00BE23C5">
              <w:t>%</w:t>
            </w:r>
            <w:r w:rsidRPr="00BE23C5">
              <w:t>)</w:t>
            </w:r>
          </w:p>
        </w:tc>
        <w:tc>
          <w:tcPr>
            <w:tcW w:w="1233" w:type="pct"/>
            <w:vAlign w:val="center"/>
          </w:tcPr>
          <w:p w:rsidR="004032D3" w:rsidRPr="00BE23C5" w:rsidRDefault="004032D3" w:rsidP="007F5EE0">
            <w:pPr>
              <w:pStyle w:val="Tabletext"/>
              <w:keepNext/>
              <w:jc w:val="center"/>
            </w:pPr>
            <w:r w:rsidRPr="00BE23C5">
              <w:t>1.21 (0.9</w:t>
            </w:r>
            <w:r w:rsidR="00C91339" w:rsidRPr="00BE23C5">
              <w:t>2</w:t>
            </w:r>
            <w:r w:rsidRPr="00BE23C5">
              <w:t>, 1.</w:t>
            </w:r>
            <w:r w:rsidR="00C91339" w:rsidRPr="00BE23C5">
              <w:t>60</w:t>
            </w:r>
            <w:r w:rsidRPr="00BE23C5">
              <w:t>)</w:t>
            </w:r>
          </w:p>
        </w:tc>
      </w:tr>
      <w:tr w:rsidR="004032D3" w:rsidRPr="00BE23C5" w:rsidTr="00033521">
        <w:tc>
          <w:tcPr>
            <w:tcW w:w="1569" w:type="pct"/>
          </w:tcPr>
          <w:p w:rsidR="004032D3" w:rsidRPr="00BE23C5" w:rsidRDefault="004032D3" w:rsidP="007F5EE0">
            <w:pPr>
              <w:pStyle w:val="Tabletext"/>
              <w:keepNext/>
            </w:pPr>
            <w:r w:rsidRPr="00BE23C5">
              <w:t xml:space="preserve">Treatment-related TEAE </w:t>
            </w:r>
          </w:p>
        </w:tc>
        <w:tc>
          <w:tcPr>
            <w:tcW w:w="959" w:type="pct"/>
            <w:vAlign w:val="center"/>
          </w:tcPr>
          <w:p w:rsidR="004032D3" w:rsidRPr="00BE23C5" w:rsidRDefault="004032D3" w:rsidP="007F5EE0">
            <w:pPr>
              <w:pStyle w:val="Tabletext"/>
              <w:keepNext/>
              <w:jc w:val="center"/>
            </w:pPr>
            <w:r w:rsidRPr="00BE23C5">
              <w:t>1353</w:t>
            </w:r>
            <w:r w:rsidR="00C91339" w:rsidRPr="00BE23C5">
              <w:t>/</w:t>
            </w:r>
            <w:r w:rsidRPr="00BE23C5">
              <w:t>1</w:t>
            </w:r>
            <w:r w:rsidR="00C91339" w:rsidRPr="00BE23C5">
              <w:t>,</w:t>
            </w:r>
            <w:r w:rsidRPr="00BE23C5">
              <w:t>408 (96.1</w:t>
            </w:r>
            <w:r w:rsidR="00C91339" w:rsidRPr="00BE23C5">
              <w:t>%</w:t>
            </w:r>
            <w:r w:rsidRPr="00BE23C5">
              <w:t>)</w:t>
            </w:r>
          </w:p>
        </w:tc>
        <w:tc>
          <w:tcPr>
            <w:tcW w:w="1239" w:type="pct"/>
            <w:vAlign w:val="center"/>
          </w:tcPr>
          <w:p w:rsidR="004032D3" w:rsidRPr="00BE23C5" w:rsidRDefault="004032D3" w:rsidP="007F5EE0">
            <w:pPr>
              <w:pStyle w:val="Tabletext"/>
              <w:keepNext/>
              <w:jc w:val="center"/>
            </w:pPr>
            <w:r w:rsidRPr="00BE23C5">
              <w:t>805</w:t>
            </w:r>
            <w:r w:rsidR="00C91339" w:rsidRPr="00BE23C5">
              <w:t>/</w:t>
            </w:r>
            <w:r w:rsidRPr="00BE23C5">
              <w:t>1</w:t>
            </w:r>
            <w:r w:rsidR="00C91339" w:rsidRPr="00BE23C5">
              <w:t>,</w:t>
            </w:r>
            <w:r w:rsidRPr="00BE23C5">
              <w:t>408 (57.2</w:t>
            </w:r>
            <w:r w:rsidR="00C91339" w:rsidRPr="00BE23C5">
              <w:t>%</w:t>
            </w:r>
            <w:r w:rsidRPr="00BE23C5">
              <w:t>)</w:t>
            </w:r>
          </w:p>
        </w:tc>
        <w:tc>
          <w:tcPr>
            <w:tcW w:w="1233" w:type="pct"/>
            <w:vAlign w:val="center"/>
          </w:tcPr>
          <w:p w:rsidR="004032D3" w:rsidRPr="00BE23C5" w:rsidRDefault="004032D3" w:rsidP="007F5EE0">
            <w:pPr>
              <w:pStyle w:val="Tabletext"/>
              <w:keepNext/>
              <w:jc w:val="center"/>
              <w:rPr>
                <w:b/>
              </w:rPr>
            </w:pPr>
            <w:r w:rsidRPr="00BE23C5">
              <w:rPr>
                <w:b/>
              </w:rPr>
              <w:t>1.68 (1.6</w:t>
            </w:r>
            <w:r w:rsidR="00C91339" w:rsidRPr="00BE23C5">
              <w:rPr>
                <w:b/>
              </w:rPr>
              <w:t>1</w:t>
            </w:r>
            <w:r w:rsidRPr="00BE23C5">
              <w:rPr>
                <w:b/>
              </w:rPr>
              <w:t>, 1.76)</w:t>
            </w:r>
          </w:p>
        </w:tc>
      </w:tr>
      <w:tr w:rsidR="004032D3" w:rsidRPr="00BE23C5" w:rsidTr="00033521">
        <w:tc>
          <w:tcPr>
            <w:tcW w:w="1569" w:type="pct"/>
          </w:tcPr>
          <w:p w:rsidR="004032D3" w:rsidRPr="00BE23C5" w:rsidRDefault="004032D3" w:rsidP="007F5EE0">
            <w:pPr>
              <w:pStyle w:val="Tabletext"/>
              <w:keepNext/>
            </w:pPr>
            <w:r w:rsidRPr="00BE23C5">
              <w:t xml:space="preserve">Serious Treatment-related TEAE </w:t>
            </w:r>
          </w:p>
        </w:tc>
        <w:tc>
          <w:tcPr>
            <w:tcW w:w="959" w:type="pct"/>
            <w:vAlign w:val="center"/>
          </w:tcPr>
          <w:p w:rsidR="004032D3" w:rsidRPr="00BE23C5" w:rsidRDefault="004032D3" w:rsidP="007F5EE0">
            <w:pPr>
              <w:pStyle w:val="Tabletext"/>
              <w:keepNext/>
              <w:jc w:val="center"/>
            </w:pPr>
            <w:r w:rsidRPr="00BE23C5">
              <w:t>42</w:t>
            </w:r>
            <w:r w:rsidR="00C91339" w:rsidRPr="00BE23C5">
              <w:t>/</w:t>
            </w:r>
            <w:r w:rsidRPr="00BE23C5">
              <w:t>1</w:t>
            </w:r>
            <w:r w:rsidR="00C91339" w:rsidRPr="00BE23C5">
              <w:t>,</w:t>
            </w:r>
            <w:r w:rsidRPr="00BE23C5">
              <w:t>408 (3.0</w:t>
            </w:r>
            <w:r w:rsidR="00C91339" w:rsidRPr="00BE23C5">
              <w:t>%</w:t>
            </w:r>
            <w:r w:rsidRPr="00BE23C5">
              <w:t>)</w:t>
            </w:r>
          </w:p>
        </w:tc>
        <w:tc>
          <w:tcPr>
            <w:tcW w:w="1239" w:type="pct"/>
            <w:vAlign w:val="center"/>
          </w:tcPr>
          <w:p w:rsidR="004032D3" w:rsidRPr="00BE23C5" w:rsidRDefault="004032D3" w:rsidP="007F5EE0">
            <w:pPr>
              <w:pStyle w:val="Tabletext"/>
              <w:keepNext/>
              <w:jc w:val="center"/>
            </w:pPr>
            <w:r w:rsidRPr="00BE23C5">
              <w:t>8</w:t>
            </w:r>
            <w:r w:rsidR="00C91339" w:rsidRPr="00BE23C5">
              <w:t>/</w:t>
            </w:r>
            <w:r w:rsidRPr="00BE23C5">
              <w:t>1</w:t>
            </w:r>
            <w:r w:rsidR="00C91339" w:rsidRPr="00BE23C5">
              <w:t>,</w:t>
            </w:r>
            <w:r w:rsidRPr="00BE23C5">
              <w:t>408 (0.6</w:t>
            </w:r>
            <w:r w:rsidR="00C91339" w:rsidRPr="00BE23C5">
              <w:t>%</w:t>
            </w:r>
            <w:r w:rsidRPr="00BE23C5">
              <w:t>)</w:t>
            </w:r>
          </w:p>
        </w:tc>
        <w:tc>
          <w:tcPr>
            <w:tcW w:w="1233" w:type="pct"/>
            <w:vAlign w:val="center"/>
          </w:tcPr>
          <w:p w:rsidR="004032D3" w:rsidRPr="00BE23C5" w:rsidRDefault="004032D3" w:rsidP="007F5EE0">
            <w:pPr>
              <w:pStyle w:val="Tabletext"/>
              <w:keepNext/>
              <w:jc w:val="center"/>
              <w:rPr>
                <w:b/>
              </w:rPr>
            </w:pPr>
            <w:r w:rsidRPr="00BE23C5">
              <w:rPr>
                <w:b/>
              </w:rPr>
              <w:t>5.25 (2.47, 11.14)</w:t>
            </w:r>
          </w:p>
        </w:tc>
      </w:tr>
      <w:tr w:rsidR="004032D3" w:rsidRPr="00BE23C5" w:rsidTr="00033521">
        <w:tc>
          <w:tcPr>
            <w:tcW w:w="1569" w:type="pct"/>
          </w:tcPr>
          <w:p w:rsidR="004032D3" w:rsidRPr="00BE23C5" w:rsidRDefault="004032D3" w:rsidP="007F5EE0">
            <w:pPr>
              <w:pStyle w:val="Tabletext"/>
              <w:keepNext/>
            </w:pPr>
            <w:r w:rsidRPr="00BE23C5">
              <w:t xml:space="preserve">TEAE Leading to Treatment Discontinuation </w:t>
            </w:r>
          </w:p>
        </w:tc>
        <w:tc>
          <w:tcPr>
            <w:tcW w:w="959" w:type="pct"/>
            <w:vAlign w:val="center"/>
          </w:tcPr>
          <w:p w:rsidR="004032D3" w:rsidRPr="00BE23C5" w:rsidRDefault="004032D3" w:rsidP="007F5EE0">
            <w:pPr>
              <w:pStyle w:val="Tabletext"/>
              <w:keepNext/>
              <w:jc w:val="center"/>
            </w:pPr>
            <w:r w:rsidRPr="00BE23C5">
              <w:t>388/1</w:t>
            </w:r>
            <w:r w:rsidR="00C91339" w:rsidRPr="00BE23C5">
              <w:t>,</w:t>
            </w:r>
            <w:r w:rsidRPr="00BE23C5">
              <w:t>408 (27.6</w:t>
            </w:r>
            <w:r w:rsidR="00C91339" w:rsidRPr="00BE23C5">
              <w:t>%</w:t>
            </w:r>
            <w:r w:rsidRPr="00BE23C5">
              <w:t>)</w:t>
            </w:r>
          </w:p>
        </w:tc>
        <w:tc>
          <w:tcPr>
            <w:tcW w:w="1239" w:type="pct"/>
            <w:vAlign w:val="center"/>
          </w:tcPr>
          <w:p w:rsidR="004032D3" w:rsidRPr="00BE23C5" w:rsidRDefault="004032D3" w:rsidP="007F5EE0">
            <w:pPr>
              <w:pStyle w:val="Tabletext"/>
              <w:keepNext/>
              <w:jc w:val="center"/>
            </w:pPr>
            <w:r w:rsidRPr="00BE23C5">
              <w:t>76/1</w:t>
            </w:r>
            <w:r w:rsidR="00C91339" w:rsidRPr="00BE23C5">
              <w:t>,</w:t>
            </w:r>
            <w:r w:rsidRPr="00BE23C5">
              <w:t>408 (5.4</w:t>
            </w:r>
            <w:r w:rsidR="00C91339" w:rsidRPr="00BE23C5">
              <w:t>%</w:t>
            </w:r>
            <w:r w:rsidRPr="00BE23C5">
              <w:t>)</w:t>
            </w:r>
          </w:p>
        </w:tc>
        <w:tc>
          <w:tcPr>
            <w:tcW w:w="1233" w:type="pct"/>
            <w:vAlign w:val="center"/>
          </w:tcPr>
          <w:p w:rsidR="004032D3" w:rsidRPr="00BE23C5" w:rsidRDefault="004032D3" w:rsidP="007F5EE0">
            <w:pPr>
              <w:pStyle w:val="Tabletext"/>
              <w:keepNext/>
              <w:jc w:val="center"/>
              <w:rPr>
                <w:b/>
              </w:rPr>
            </w:pPr>
            <w:r w:rsidRPr="00BE23C5">
              <w:rPr>
                <w:b/>
              </w:rPr>
              <w:t>5.1</w:t>
            </w:r>
            <w:r w:rsidR="00C91339" w:rsidRPr="00BE23C5">
              <w:rPr>
                <w:b/>
              </w:rPr>
              <w:t>1</w:t>
            </w:r>
            <w:r w:rsidRPr="00BE23C5">
              <w:rPr>
                <w:b/>
              </w:rPr>
              <w:t xml:space="preserve"> (4.0</w:t>
            </w:r>
            <w:r w:rsidR="00C91339" w:rsidRPr="00BE23C5">
              <w:rPr>
                <w:b/>
              </w:rPr>
              <w:t>4</w:t>
            </w:r>
            <w:r w:rsidRPr="00BE23C5">
              <w:rPr>
                <w:b/>
              </w:rPr>
              <w:t>, 6.45)</w:t>
            </w:r>
          </w:p>
        </w:tc>
      </w:tr>
      <w:tr w:rsidR="004032D3" w:rsidRPr="00BE23C5" w:rsidTr="00033521">
        <w:tc>
          <w:tcPr>
            <w:tcW w:w="1569" w:type="pct"/>
          </w:tcPr>
          <w:p w:rsidR="004032D3" w:rsidRPr="00BE23C5" w:rsidRDefault="004032D3" w:rsidP="007F5EE0">
            <w:pPr>
              <w:pStyle w:val="Tabletext"/>
              <w:keepNext/>
            </w:pPr>
            <w:r w:rsidRPr="00BE23C5">
              <w:t xml:space="preserve">TEAE Leading to Study Withdrawal </w:t>
            </w:r>
          </w:p>
        </w:tc>
        <w:tc>
          <w:tcPr>
            <w:tcW w:w="959" w:type="pct"/>
            <w:vAlign w:val="center"/>
          </w:tcPr>
          <w:p w:rsidR="004032D3" w:rsidRPr="00BE23C5" w:rsidRDefault="004032D3" w:rsidP="007F5EE0">
            <w:pPr>
              <w:pStyle w:val="Tabletext"/>
              <w:keepNext/>
              <w:jc w:val="center"/>
            </w:pPr>
            <w:r w:rsidRPr="00BE23C5">
              <w:t>32</w:t>
            </w:r>
            <w:r w:rsidR="00C91339" w:rsidRPr="00BE23C5">
              <w:t>/</w:t>
            </w:r>
            <w:r w:rsidRPr="00BE23C5">
              <w:t>1</w:t>
            </w:r>
            <w:r w:rsidR="00C91339" w:rsidRPr="00BE23C5">
              <w:t>,</w:t>
            </w:r>
            <w:r w:rsidRPr="00BE23C5">
              <w:t>408 (2.3</w:t>
            </w:r>
            <w:r w:rsidR="00C91339" w:rsidRPr="00BE23C5">
              <w:t>%</w:t>
            </w:r>
            <w:r w:rsidRPr="00BE23C5">
              <w:t>)</w:t>
            </w:r>
          </w:p>
        </w:tc>
        <w:tc>
          <w:tcPr>
            <w:tcW w:w="1239" w:type="pct"/>
            <w:vAlign w:val="center"/>
          </w:tcPr>
          <w:p w:rsidR="004032D3" w:rsidRPr="00BE23C5" w:rsidRDefault="004032D3" w:rsidP="007F5EE0">
            <w:pPr>
              <w:pStyle w:val="Tabletext"/>
              <w:keepNext/>
              <w:jc w:val="center"/>
            </w:pPr>
            <w:r w:rsidRPr="00BE23C5">
              <w:t>7</w:t>
            </w:r>
            <w:r w:rsidR="00C91339" w:rsidRPr="00BE23C5">
              <w:t>/</w:t>
            </w:r>
            <w:r w:rsidRPr="00BE23C5">
              <w:t>1</w:t>
            </w:r>
            <w:r w:rsidR="00C91339" w:rsidRPr="00BE23C5">
              <w:t>,</w:t>
            </w:r>
            <w:r w:rsidRPr="00BE23C5">
              <w:t>408 (0.5</w:t>
            </w:r>
            <w:r w:rsidR="00C91339" w:rsidRPr="00BE23C5">
              <w:t>%</w:t>
            </w:r>
            <w:r w:rsidRPr="00BE23C5">
              <w:t>)</w:t>
            </w:r>
          </w:p>
        </w:tc>
        <w:tc>
          <w:tcPr>
            <w:tcW w:w="1233" w:type="pct"/>
            <w:vAlign w:val="center"/>
          </w:tcPr>
          <w:p w:rsidR="004032D3" w:rsidRPr="00BE23C5" w:rsidRDefault="00C91339" w:rsidP="007F5EE0">
            <w:pPr>
              <w:pStyle w:val="Tabletext"/>
              <w:keepNext/>
              <w:jc w:val="center"/>
              <w:rPr>
                <w:b/>
              </w:rPr>
            </w:pPr>
            <w:r w:rsidRPr="00BE23C5">
              <w:rPr>
                <w:b/>
              </w:rPr>
              <w:t>4.57 (2.03, 10.32</w:t>
            </w:r>
            <w:r w:rsidR="004032D3" w:rsidRPr="00BE23C5">
              <w:rPr>
                <w:b/>
              </w:rPr>
              <w:t>)</w:t>
            </w:r>
          </w:p>
        </w:tc>
      </w:tr>
      <w:tr w:rsidR="004032D3" w:rsidRPr="00BE23C5" w:rsidTr="00033521">
        <w:tc>
          <w:tcPr>
            <w:tcW w:w="1569" w:type="pct"/>
          </w:tcPr>
          <w:p w:rsidR="004032D3" w:rsidRPr="00BE23C5" w:rsidRDefault="004032D3" w:rsidP="007F5EE0">
            <w:pPr>
              <w:pStyle w:val="Tabletext"/>
              <w:keepNext/>
            </w:pPr>
            <w:r w:rsidRPr="00BE23C5">
              <w:t xml:space="preserve">TEAE Leading to Dose Reduction </w:t>
            </w:r>
          </w:p>
        </w:tc>
        <w:tc>
          <w:tcPr>
            <w:tcW w:w="959" w:type="pct"/>
            <w:vAlign w:val="center"/>
          </w:tcPr>
          <w:p w:rsidR="004032D3" w:rsidRPr="00BE23C5" w:rsidRDefault="004032D3" w:rsidP="007F5EE0">
            <w:pPr>
              <w:pStyle w:val="Tabletext"/>
              <w:keepNext/>
              <w:jc w:val="center"/>
            </w:pPr>
            <w:r w:rsidRPr="00BE23C5">
              <w:t>440/1</w:t>
            </w:r>
            <w:r w:rsidR="00C91339" w:rsidRPr="00BE23C5">
              <w:t>,</w:t>
            </w:r>
            <w:r w:rsidRPr="00BE23C5">
              <w:t>408 (31.3</w:t>
            </w:r>
            <w:r w:rsidR="00C91339" w:rsidRPr="00BE23C5">
              <w:t>%</w:t>
            </w:r>
            <w:r w:rsidRPr="00BE23C5">
              <w:t>)</w:t>
            </w:r>
          </w:p>
        </w:tc>
        <w:tc>
          <w:tcPr>
            <w:tcW w:w="1239" w:type="pct"/>
            <w:vAlign w:val="center"/>
          </w:tcPr>
          <w:p w:rsidR="004032D3" w:rsidRPr="00BE23C5" w:rsidRDefault="004032D3" w:rsidP="007F5EE0">
            <w:pPr>
              <w:pStyle w:val="Tabletext"/>
              <w:keepNext/>
              <w:jc w:val="center"/>
            </w:pPr>
            <w:r w:rsidRPr="00BE23C5">
              <w:t>35/1</w:t>
            </w:r>
            <w:r w:rsidR="00C91339" w:rsidRPr="00BE23C5">
              <w:t>,</w:t>
            </w:r>
            <w:r w:rsidRPr="00BE23C5">
              <w:t>408 (2.5</w:t>
            </w:r>
            <w:r w:rsidR="00C91339" w:rsidRPr="00BE23C5">
              <w:t>%</w:t>
            </w:r>
            <w:r w:rsidRPr="00BE23C5">
              <w:t>)</w:t>
            </w:r>
          </w:p>
        </w:tc>
        <w:tc>
          <w:tcPr>
            <w:tcW w:w="1233" w:type="pct"/>
            <w:vAlign w:val="center"/>
          </w:tcPr>
          <w:p w:rsidR="004032D3" w:rsidRPr="00BE23C5" w:rsidRDefault="004032D3" w:rsidP="007F5EE0">
            <w:pPr>
              <w:pStyle w:val="Tabletext"/>
              <w:keepNext/>
              <w:jc w:val="center"/>
              <w:rPr>
                <w:b/>
              </w:rPr>
            </w:pPr>
            <w:r w:rsidRPr="00BE23C5">
              <w:rPr>
                <w:b/>
              </w:rPr>
              <w:t>1</w:t>
            </w:r>
            <w:r w:rsidR="00C91339" w:rsidRPr="00BE23C5">
              <w:rPr>
                <w:b/>
              </w:rPr>
              <w:t>2.57</w:t>
            </w:r>
            <w:r w:rsidRPr="00BE23C5">
              <w:rPr>
                <w:b/>
              </w:rPr>
              <w:t xml:space="preserve"> (8.98, 17.</w:t>
            </w:r>
            <w:r w:rsidR="00C91339" w:rsidRPr="00BE23C5">
              <w:rPr>
                <w:b/>
              </w:rPr>
              <w:t>60</w:t>
            </w:r>
            <w:r w:rsidRPr="00BE23C5">
              <w:rPr>
                <w:b/>
              </w:rPr>
              <w:t>)</w:t>
            </w:r>
          </w:p>
        </w:tc>
      </w:tr>
      <w:tr w:rsidR="004032D3" w:rsidRPr="00BE23C5" w:rsidTr="00033521">
        <w:tc>
          <w:tcPr>
            <w:tcW w:w="1569" w:type="pct"/>
          </w:tcPr>
          <w:p w:rsidR="004032D3" w:rsidRPr="00BE23C5" w:rsidRDefault="004032D3" w:rsidP="007F5EE0">
            <w:pPr>
              <w:pStyle w:val="Tabletext"/>
              <w:keepNext/>
            </w:pPr>
            <w:r w:rsidRPr="00BE23C5">
              <w:t xml:space="preserve">TEAE Leading to Hospitalisation </w:t>
            </w:r>
          </w:p>
        </w:tc>
        <w:tc>
          <w:tcPr>
            <w:tcW w:w="959" w:type="pct"/>
            <w:vAlign w:val="center"/>
          </w:tcPr>
          <w:p w:rsidR="004032D3" w:rsidRPr="00BE23C5" w:rsidRDefault="004032D3" w:rsidP="007F5EE0">
            <w:pPr>
              <w:pStyle w:val="Tabletext"/>
              <w:keepNext/>
              <w:jc w:val="center"/>
            </w:pPr>
            <w:r w:rsidRPr="00BE23C5">
              <w:t>93</w:t>
            </w:r>
            <w:r w:rsidR="00C91339" w:rsidRPr="00BE23C5">
              <w:t>/</w:t>
            </w:r>
            <w:r w:rsidRPr="00BE23C5">
              <w:t>1</w:t>
            </w:r>
            <w:r w:rsidR="00C91339" w:rsidRPr="00BE23C5">
              <w:t>,</w:t>
            </w:r>
            <w:r w:rsidRPr="00BE23C5">
              <w:t>408 (6.6</w:t>
            </w:r>
            <w:r w:rsidR="00C91339" w:rsidRPr="00BE23C5">
              <w:t>%</w:t>
            </w:r>
            <w:r w:rsidRPr="00BE23C5">
              <w:t>)</w:t>
            </w:r>
          </w:p>
        </w:tc>
        <w:tc>
          <w:tcPr>
            <w:tcW w:w="1239" w:type="pct"/>
            <w:vAlign w:val="center"/>
          </w:tcPr>
          <w:p w:rsidR="004032D3" w:rsidRPr="00BE23C5" w:rsidRDefault="004032D3" w:rsidP="007F5EE0">
            <w:pPr>
              <w:pStyle w:val="Tabletext"/>
              <w:keepNext/>
              <w:jc w:val="center"/>
            </w:pPr>
            <w:r w:rsidRPr="00BE23C5">
              <w:t>75</w:t>
            </w:r>
            <w:r w:rsidR="00C91339" w:rsidRPr="00BE23C5">
              <w:t>/</w:t>
            </w:r>
            <w:r w:rsidRPr="00BE23C5">
              <w:t>1</w:t>
            </w:r>
            <w:r w:rsidR="00C91339" w:rsidRPr="00BE23C5">
              <w:t>,</w:t>
            </w:r>
            <w:r w:rsidRPr="00BE23C5">
              <w:t>408 (5.3</w:t>
            </w:r>
            <w:r w:rsidR="00C91339" w:rsidRPr="00BE23C5">
              <w:t>%</w:t>
            </w:r>
            <w:r w:rsidRPr="00BE23C5">
              <w:t>)</w:t>
            </w:r>
          </w:p>
        </w:tc>
        <w:tc>
          <w:tcPr>
            <w:tcW w:w="1233" w:type="pct"/>
            <w:vAlign w:val="center"/>
          </w:tcPr>
          <w:p w:rsidR="004032D3" w:rsidRPr="00BE23C5" w:rsidRDefault="004032D3" w:rsidP="007F5EE0">
            <w:pPr>
              <w:pStyle w:val="Tabletext"/>
              <w:keepNext/>
              <w:jc w:val="center"/>
            </w:pPr>
            <w:r w:rsidRPr="00BE23C5">
              <w:t>1.24 (0.5</w:t>
            </w:r>
            <w:r w:rsidR="00C91339" w:rsidRPr="00BE23C5">
              <w:t>6</w:t>
            </w:r>
            <w:r w:rsidRPr="00BE23C5">
              <w:t>, 0.</w:t>
            </w:r>
            <w:r w:rsidR="00C91339" w:rsidRPr="00BE23C5">
              <w:t>80</w:t>
            </w:r>
            <w:r w:rsidRPr="00BE23C5">
              <w:t>)</w:t>
            </w:r>
          </w:p>
        </w:tc>
      </w:tr>
      <w:tr w:rsidR="004032D3" w:rsidRPr="00BE23C5" w:rsidTr="00033521">
        <w:tc>
          <w:tcPr>
            <w:tcW w:w="1569" w:type="pct"/>
          </w:tcPr>
          <w:p w:rsidR="004032D3" w:rsidRPr="00BE23C5" w:rsidRDefault="004032D3" w:rsidP="007F5EE0">
            <w:pPr>
              <w:pStyle w:val="Tabletext"/>
              <w:keepNext/>
            </w:pPr>
            <w:r w:rsidRPr="00BE23C5">
              <w:t xml:space="preserve">TEAE Leading to Dose Hold </w:t>
            </w:r>
          </w:p>
        </w:tc>
        <w:tc>
          <w:tcPr>
            <w:tcW w:w="959" w:type="pct"/>
            <w:vAlign w:val="center"/>
          </w:tcPr>
          <w:p w:rsidR="004032D3" w:rsidRPr="00BE23C5" w:rsidRDefault="004032D3" w:rsidP="007F5EE0">
            <w:pPr>
              <w:pStyle w:val="Tabletext"/>
              <w:keepNext/>
              <w:jc w:val="center"/>
            </w:pPr>
            <w:r w:rsidRPr="00BE23C5">
              <w:t>629/1</w:t>
            </w:r>
            <w:r w:rsidR="00C91339" w:rsidRPr="00BE23C5">
              <w:t>,</w:t>
            </w:r>
            <w:r w:rsidRPr="00BE23C5">
              <w:t>408 (44.7</w:t>
            </w:r>
            <w:r w:rsidR="00C91339" w:rsidRPr="00BE23C5">
              <w:t>%</w:t>
            </w:r>
            <w:r w:rsidRPr="00BE23C5">
              <w:t>)</w:t>
            </w:r>
          </w:p>
        </w:tc>
        <w:tc>
          <w:tcPr>
            <w:tcW w:w="1239" w:type="pct"/>
            <w:vAlign w:val="center"/>
          </w:tcPr>
          <w:p w:rsidR="004032D3" w:rsidRPr="00BE23C5" w:rsidRDefault="004032D3" w:rsidP="007F5EE0">
            <w:pPr>
              <w:pStyle w:val="Tabletext"/>
              <w:keepNext/>
              <w:jc w:val="center"/>
            </w:pPr>
            <w:r w:rsidRPr="00BE23C5">
              <w:t>187/1</w:t>
            </w:r>
            <w:r w:rsidR="00C91339" w:rsidRPr="00BE23C5">
              <w:t>,</w:t>
            </w:r>
            <w:r w:rsidRPr="00BE23C5">
              <w:t>408 (13.3</w:t>
            </w:r>
            <w:r w:rsidR="00C91339" w:rsidRPr="00BE23C5">
              <w:t>%</w:t>
            </w:r>
            <w:r w:rsidRPr="00BE23C5">
              <w:t>)</w:t>
            </w:r>
          </w:p>
        </w:tc>
        <w:tc>
          <w:tcPr>
            <w:tcW w:w="1233" w:type="pct"/>
            <w:vAlign w:val="center"/>
          </w:tcPr>
          <w:p w:rsidR="004032D3" w:rsidRPr="00BE23C5" w:rsidRDefault="004032D3" w:rsidP="007F5EE0">
            <w:pPr>
              <w:pStyle w:val="Tabletext"/>
              <w:keepNext/>
              <w:jc w:val="center"/>
              <w:rPr>
                <w:b/>
              </w:rPr>
            </w:pPr>
            <w:r w:rsidRPr="00BE23C5">
              <w:rPr>
                <w:b/>
              </w:rPr>
              <w:t>3.36 (2.9</w:t>
            </w:r>
            <w:r w:rsidR="00C91339" w:rsidRPr="00BE23C5">
              <w:rPr>
                <w:b/>
              </w:rPr>
              <w:t>1</w:t>
            </w:r>
            <w:r w:rsidRPr="00BE23C5">
              <w:rPr>
                <w:b/>
              </w:rPr>
              <w:t>, 3.89)</w:t>
            </w:r>
          </w:p>
        </w:tc>
      </w:tr>
    </w:tbl>
    <w:p w:rsidR="004032D3" w:rsidRPr="00BE23C5" w:rsidRDefault="004032D3" w:rsidP="007F5EE0">
      <w:pPr>
        <w:pStyle w:val="TableFooter"/>
        <w:keepNext/>
      </w:pPr>
      <w:r w:rsidRPr="00BE23C5">
        <w:rPr>
          <w:rFonts w:eastAsia="Calibri"/>
        </w:rPr>
        <w:t>CI</w:t>
      </w:r>
      <w:r w:rsidR="002A4F8C" w:rsidRPr="00BE23C5">
        <w:rPr>
          <w:rFonts w:eastAsia="Calibri"/>
        </w:rPr>
        <w:t>:</w:t>
      </w:r>
      <w:r w:rsidRPr="00BE23C5">
        <w:rPr>
          <w:rFonts w:eastAsia="Calibri"/>
        </w:rPr>
        <w:t xml:space="preserve"> confidence interval; n</w:t>
      </w:r>
      <w:r w:rsidR="002A4F8C" w:rsidRPr="00BE23C5">
        <w:rPr>
          <w:rFonts w:eastAsia="Calibri"/>
        </w:rPr>
        <w:t>:</w:t>
      </w:r>
      <w:r w:rsidRPr="00BE23C5">
        <w:rPr>
          <w:rFonts w:eastAsia="Calibri"/>
        </w:rPr>
        <w:t xml:space="preserve"> number of participants reporting data; N</w:t>
      </w:r>
      <w:r w:rsidR="002A4F8C" w:rsidRPr="00BE23C5">
        <w:rPr>
          <w:rFonts w:eastAsia="Calibri"/>
        </w:rPr>
        <w:t xml:space="preserve">: </w:t>
      </w:r>
      <w:r w:rsidRPr="00BE23C5">
        <w:rPr>
          <w:rFonts w:eastAsia="Calibri"/>
        </w:rPr>
        <w:t xml:space="preserve">total participants in </w:t>
      </w:r>
      <w:proofErr w:type="spellStart"/>
      <w:r w:rsidRPr="00BE23C5">
        <w:rPr>
          <w:rFonts w:eastAsia="Calibri"/>
        </w:rPr>
        <w:t>group</w:t>
      </w:r>
      <w:proofErr w:type="gramStart"/>
      <w:r w:rsidRPr="00BE23C5">
        <w:rPr>
          <w:rFonts w:eastAsia="Calibri"/>
        </w:rPr>
        <w:t>;RR</w:t>
      </w:r>
      <w:proofErr w:type="spellEnd"/>
      <w:proofErr w:type="gramEnd"/>
      <w:r w:rsidR="002A4F8C" w:rsidRPr="00BE23C5">
        <w:rPr>
          <w:rFonts w:eastAsia="Calibri"/>
        </w:rPr>
        <w:t>:</w:t>
      </w:r>
      <w:r w:rsidRPr="00BE23C5">
        <w:rPr>
          <w:rFonts w:eastAsia="Calibri"/>
        </w:rPr>
        <w:t xml:space="preserve"> relative risk</w:t>
      </w:r>
      <w:r w:rsidR="00493C81" w:rsidRPr="00BE23C5">
        <w:rPr>
          <w:rFonts w:eastAsia="Calibri"/>
        </w:rPr>
        <w:t xml:space="preserve">; SAE: </w:t>
      </w:r>
      <w:r w:rsidR="00462E32" w:rsidRPr="00BE23C5">
        <w:rPr>
          <w:rFonts w:eastAsia="Calibri"/>
        </w:rPr>
        <w:t xml:space="preserve">Serious </w:t>
      </w:r>
      <w:r w:rsidR="00462E32" w:rsidRPr="00BE23C5">
        <w:t xml:space="preserve">Treatment-emergent adverse events; </w:t>
      </w:r>
      <w:r w:rsidR="00462E32" w:rsidRPr="00BE23C5">
        <w:rPr>
          <w:rFonts w:eastAsia="Calibri"/>
        </w:rPr>
        <w:t xml:space="preserve">TEAE: </w:t>
      </w:r>
      <w:r w:rsidR="00462E32" w:rsidRPr="00BE23C5">
        <w:t>Treatment-emergent adverse events</w:t>
      </w:r>
    </w:p>
    <w:p w:rsidR="00783140" w:rsidRPr="00BE23C5" w:rsidRDefault="00783140" w:rsidP="007F5EE0">
      <w:pPr>
        <w:pStyle w:val="TableFooter"/>
        <w:keepNext/>
      </w:pPr>
      <w:r w:rsidRPr="00BE23C5">
        <w:rPr>
          <w:b/>
        </w:rPr>
        <w:t>Bold</w:t>
      </w:r>
      <w:r w:rsidRPr="00BE23C5">
        <w:t xml:space="preserve"> indicates statistically significant at the 5% level.</w:t>
      </w:r>
    </w:p>
    <w:p w:rsidR="001000D4" w:rsidRPr="00BE23C5" w:rsidRDefault="004032D3" w:rsidP="007F5EE0">
      <w:pPr>
        <w:pStyle w:val="TableFooter"/>
        <w:keepNext/>
      </w:pPr>
      <w:r w:rsidRPr="00BE23C5">
        <w:t>Source: Table 30, p67 of the submission</w:t>
      </w:r>
    </w:p>
    <w:p w:rsidR="004032D3" w:rsidRPr="00BE23C5" w:rsidRDefault="001000D4" w:rsidP="007F5EE0">
      <w:pPr>
        <w:pStyle w:val="TableFooter"/>
        <w:keepNext/>
        <w:rPr>
          <w:sz w:val="20"/>
        </w:rPr>
      </w:pPr>
      <w:r w:rsidRPr="00BE23C5">
        <w:t>* Estimated during the</w:t>
      </w:r>
      <w:r w:rsidR="00493C81" w:rsidRPr="00BE23C5">
        <w:t xml:space="preserve"> evaluation</w:t>
      </w:r>
    </w:p>
    <w:p w:rsidR="00575F33" w:rsidRPr="00BE23C5" w:rsidRDefault="00575F33" w:rsidP="00C005E6">
      <w:pPr>
        <w:pStyle w:val="Heading2"/>
        <w:spacing w:before="120" w:after="120"/>
      </w:pPr>
      <w:bookmarkStart w:id="12" w:name="_Toc535857352"/>
      <w:r w:rsidRPr="00BE23C5">
        <w:t>Benefits/harms</w:t>
      </w:r>
      <w:bookmarkEnd w:id="12"/>
    </w:p>
    <w:p w:rsidR="00575F33" w:rsidRPr="00BE23C5" w:rsidRDefault="00CC414A" w:rsidP="00C005E6">
      <w:pPr>
        <w:pStyle w:val="ListParagraph"/>
        <w:widowControl/>
        <w:numPr>
          <w:ilvl w:val="1"/>
          <w:numId w:val="2"/>
        </w:numPr>
        <w:spacing w:before="120" w:after="120"/>
      </w:pPr>
      <w:r w:rsidRPr="00BE23C5">
        <w:t xml:space="preserve">A summary of the comparative benefits and harms for </w:t>
      </w:r>
      <w:proofErr w:type="spellStart"/>
      <w:r w:rsidRPr="00BE23C5">
        <w:t>neratinib</w:t>
      </w:r>
      <w:proofErr w:type="spellEnd"/>
      <w:r w:rsidRPr="00BE23C5">
        <w:t xml:space="preserve"> versus placebo is presented in Table </w:t>
      </w:r>
      <w:r w:rsidR="00C41CD3" w:rsidRPr="00BE23C5">
        <w:t>8</w:t>
      </w:r>
      <w:r w:rsidRPr="00BE23C5">
        <w:t>.</w:t>
      </w:r>
    </w:p>
    <w:p w:rsidR="00575F33" w:rsidRPr="00BE23C5" w:rsidRDefault="00C6263D" w:rsidP="007F5EE0">
      <w:pPr>
        <w:keepNext/>
        <w:keepLines/>
        <w:widowControl/>
        <w:jc w:val="left"/>
        <w:rPr>
          <w:rFonts w:ascii="Arial Narrow" w:hAnsi="Arial Narrow"/>
          <w:b/>
          <w:sz w:val="20"/>
          <w:szCs w:val="16"/>
        </w:rPr>
      </w:pPr>
      <w:r w:rsidRPr="00BE23C5">
        <w:rPr>
          <w:rFonts w:ascii="Arial Narrow" w:hAnsi="Arial Narrow"/>
          <w:b/>
          <w:sz w:val="20"/>
          <w:szCs w:val="16"/>
        </w:rPr>
        <w:lastRenderedPageBreak/>
        <w:t xml:space="preserve">Table </w:t>
      </w:r>
      <w:r w:rsidR="004F734A" w:rsidRPr="00BE23C5">
        <w:rPr>
          <w:rFonts w:ascii="Arial Narrow" w:hAnsi="Arial Narrow"/>
          <w:b/>
          <w:sz w:val="20"/>
          <w:szCs w:val="16"/>
        </w:rPr>
        <w:t>8</w:t>
      </w:r>
      <w:r w:rsidR="006371CA" w:rsidRPr="00BE23C5">
        <w:rPr>
          <w:rFonts w:ascii="Arial Narrow" w:hAnsi="Arial Narrow"/>
          <w:b/>
          <w:sz w:val="20"/>
          <w:szCs w:val="16"/>
        </w:rPr>
        <w:t xml:space="preserve">: Summary of comparative benefits and harms for </w:t>
      </w:r>
      <w:proofErr w:type="spellStart"/>
      <w:r w:rsidR="006371CA" w:rsidRPr="00BE23C5">
        <w:rPr>
          <w:rFonts w:ascii="Arial Narrow" w:hAnsi="Arial Narrow"/>
          <w:b/>
          <w:sz w:val="20"/>
          <w:szCs w:val="16"/>
        </w:rPr>
        <w:t>neratinib</w:t>
      </w:r>
      <w:proofErr w:type="spellEnd"/>
      <w:r w:rsidR="006371CA" w:rsidRPr="00BE23C5">
        <w:rPr>
          <w:rFonts w:ascii="Arial Narrow" w:hAnsi="Arial Narrow"/>
          <w:b/>
          <w:sz w:val="20"/>
          <w:szCs w:val="16"/>
        </w:rPr>
        <w:t xml:space="preserve"> and placebo</w:t>
      </w:r>
    </w:p>
    <w:tbl>
      <w:tblPr>
        <w:tblW w:w="4982" w:type="pct"/>
        <w:tblInd w:w="15" w:type="dxa"/>
        <w:tblCellMar>
          <w:left w:w="28" w:type="dxa"/>
          <w:right w:w="28" w:type="dxa"/>
        </w:tblCellMar>
        <w:tblLook w:val="04A0" w:firstRow="1" w:lastRow="0" w:firstColumn="1" w:lastColumn="0" w:noHBand="0" w:noVBand="1"/>
        <w:tblCaption w:val="Table 8: Summary of comparative benefits and harms for neratinib and placebo"/>
      </w:tblPr>
      <w:tblGrid>
        <w:gridCol w:w="1818"/>
        <w:gridCol w:w="1322"/>
        <w:gridCol w:w="469"/>
        <w:gridCol w:w="854"/>
        <w:gridCol w:w="938"/>
        <w:gridCol w:w="385"/>
        <w:gridCol w:w="911"/>
        <w:gridCol w:w="496"/>
        <w:gridCol w:w="559"/>
        <w:gridCol w:w="1233"/>
      </w:tblGrid>
      <w:tr w:rsidR="00306F9F" w:rsidRPr="00BE23C5" w:rsidTr="00F72191">
        <w:tc>
          <w:tcPr>
            <w:tcW w:w="5000" w:type="pct"/>
            <w:gridSpan w:val="10"/>
            <w:tcBorders>
              <w:top w:val="double" w:sz="4" w:space="0" w:color="auto"/>
              <w:left w:val="single" w:sz="4" w:space="0" w:color="auto"/>
              <w:bottom w:val="single" w:sz="4" w:space="0" w:color="auto"/>
              <w:right w:val="single" w:sz="4" w:space="0" w:color="auto"/>
            </w:tcBorders>
            <w:shd w:val="clear" w:color="auto" w:fill="auto"/>
            <w:vAlign w:val="center"/>
          </w:tcPr>
          <w:p w:rsidR="00306F9F" w:rsidRPr="00BE23C5" w:rsidRDefault="00493C81" w:rsidP="007F5EE0">
            <w:pPr>
              <w:keepNext/>
              <w:keepLines/>
              <w:rPr>
                <w:rFonts w:ascii="Arial Narrow" w:hAnsi="Arial Narrow"/>
                <w:b/>
                <w:color w:val="000000"/>
                <w:sz w:val="20"/>
                <w:szCs w:val="20"/>
              </w:rPr>
            </w:pPr>
            <w:proofErr w:type="spellStart"/>
            <w:r w:rsidRPr="00BE23C5">
              <w:rPr>
                <w:rFonts w:ascii="Arial Narrow" w:hAnsi="Arial Narrow"/>
                <w:b/>
                <w:color w:val="000000"/>
                <w:sz w:val="20"/>
                <w:szCs w:val="20"/>
              </w:rPr>
              <w:t>iDFS</w:t>
            </w:r>
            <w:proofErr w:type="spellEnd"/>
            <w:r w:rsidRPr="00BE23C5">
              <w:rPr>
                <w:rFonts w:ascii="Arial Narrow" w:hAnsi="Arial Narrow"/>
                <w:b/>
                <w:color w:val="000000"/>
                <w:sz w:val="20"/>
                <w:szCs w:val="20"/>
              </w:rPr>
              <w:t xml:space="preserve"> at 2 years (</w:t>
            </w:r>
            <w:r w:rsidR="00574929" w:rsidRPr="00BE23C5">
              <w:rPr>
                <w:rFonts w:ascii="Arial Narrow" w:hAnsi="Arial Narrow"/>
                <w:b/>
                <w:color w:val="000000"/>
                <w:sz w:val="20"/>
                <w:szCs w:val="20"/>
              </w:rPr>
              <w:t>7 July 2014</w:t>
            </w:r>
            <w:r w:rsidR="00373F04" w:rsidRPr="00BE23C5">
              <w:rPr>
                <w:rFonts w:ascii="Arial Narrow" w:hAnsi="Arial Narrow"/>
                <w:b/>
                <w:color w:val="000000"/>
                <w:sz w:val="20"/>
                <w:szCs w:val="20"/>
              </w:rPr>
              <w:t xml:space="preserve"> analysis</w:t>
            </w:r>
            <w:r w:rsidR="00574929" w:rsidRPr="00BE23C5">
              <w:rPr>
                <w:rFonts w:ascii="Arial Narrow" w:hAnsi="Arial Narrow"/>
                <w:b/>
                <w:color w:val="000000"/>
                <w:sz w:val="20"/>
                <w:szCs w:val="20"/>
              </w:rPr>
              <w:t xml:space="preserve">) </w:t>
            </w:r>
          </w:p>
        </w:tc>
      </w:tr>
      <w:tr w:rsidR="00611C72" w:rsidRPr="00BE23C5" w:rsidTr="002A4F8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306F9F" w:rsidRPr="00BE23C5" w:rsidRDefault="00306F9F" w:rsidP="007F5EE0">
            <w:pPr>
              <w:keepNext/>
              <w:keepLines/>
              <w:jc w:val="center"/>
              <w:rPr>
                <w:rFonts w:ascii="Arial Narrow" w:hAnsi="Arial Narrow"/>
                <w:color w:val="000000"/>
                <w:sz w:val="20"/>
                <w:szCs w:val="20"/>
              </w:rPr>
            </w:pPr>
          </w:p>
        </w:tc>
        <w:tc>
          <w:tcPr>
            <w:tcW w:w="997" w:type="pct"/>
            <w:gridSpan w:val="2"/>
            <w:tcBorders>
              <w:top w:val="single" w:sz="4" w:space="0" w:color="auto"/>
              <w:left w:val="single" w:sz="4" w:space="0" w:color="auto"/>
              <w:bottom w:val="single" w:sz="4" w:space="0" w:color="auto"/>
              <w:right w:val="single" w:sz="4" w:space="0" w:color="auto"/>
            </w:tcBorders>
            <w:vAlign w:val="center"/>
          </w:tcPr>
          <w:p w:rsidR="00306F9F" w:rsidRPr="00BE23C5" w:rsidRDefault="00306F9F" w:rsidP="007F5EE0">
            <w:pPr>
              <w:keepNext/>
              <w:keepLines/>
              <w:jc w:val="center"/>
              <w:rPr>
                <w:rFonts w:ascii="Arial Narrow" w:hAnsi="Arial Narrow"/>
                <w:b/>
                <w:color w:val="000000"/>
                <w:sz w:val="20"/>
                <w:szCs w:val="20"/>
              </w:rPr>
            </w:pPr>
            <w:proofErr w:type="spellStart"/>
            <w:r w:rsidRPr="00BE23C5">
              <w:rPr>
                <w:rFonts w:ascii="Arial Narrow" w:hAnsi="Arial Narrow"/>
                <w:b/>
                <w:color w:val="000000"/>
                <w:sz w:val="20"/>
                <w:szCs w:val="20"/>
              </w:rPr>
              <w:t>Neratinib</w:t>
            </w:r>
            <w:proofErr w:type="spellEnd"/>
          </w:p>
        </w:tc>
        <w:tc>
          <w:tcPr>
            <w:tcW w:w="997" w:type="pct"/>
            <w:gridSpan w:val="2"/>
            <w:tcBorders>
              <w:top w:val="single" w:sz="4" w:space="0" w:color="auto"/>
              <w:left w:val="single" w:sz="4" w:space="0" w:color="auto"/>
              <w:bottom w:val="single" w:sz="4" w:space="0" w:color="auto"/>
              <w:right w:val="single" w:sz="4" w:space="0" w:color="auto"/>
            </w:tcBorders>
            <w:vAlign w:val="center"/>
          </w:tcPr>
          <w:p w:rsidR="00306F9F" w:rsidRPr="00BE23C5" w:rsidRDefault="00306F9F" w:rsidP="007F5EE0">
            <w:pPr>
              <w:keepNext/>
              <w:keepLines/>
              <w:jc w:val="center"/>
              <w:rPr>
                <w:rFonts w:ascii="Arial Narrow" w:hAnsi="Arial Narrow"/>
                <w:b/>
                <w:color w:val="000000"/>
                <w:sz w:val="20"/>
                <w:szCs w:val="20"/>
              </w:rPr>
            </w:pPr>
            <w:r w:rsidRPr="00BE23C5">
              <w:rPr>
                <w:rFonts w:ascii="Arial Narrow" w:hAnsi="Arial Narrow"/>
                <w:b/>
                <w:color w:val="000000"/>
                <w:sz w:val="20"/>
                <w:szCs w:val="20"/>
              </w:rPr>
              <w:t>Placebo</w:t>
            </w:r>
          </w:p>
        </w:tc>
        <w:tc>
          <w:tcPr>
            <w:tcW w:w="997" w:type="pct"/>
            <w:gridSpan w:val="3"/>
            <w:tcBorders>
              <w:top w:val="single" w:sz="4" w:space="0" w:color="auto"/>
              <w:left w:val="single" w:sz="4" w:space="0" w:color="auto"/>
              <w:bottom w:val="single" w:sz="4" w:space="0" w:color="auto"/>
              <w:right w:val="single" w:sz="4" w:space="0" w:color="auto"/>
            </w:tcBorders>
            <w:vAlign w:val="center"/>
          </w:tcPr>
          <w:p w:rsidR="00306F9F" w:rsidRPr="00BE23C5" w:rsidRDefault="00306F9F" w:rsidP="007F5EE0">
            <w:pPr>
              <w:keepNext/>
              <w:keepLines/>
              <w:jc w:val="center"/>
              <w:rPr>
                <w:rFonts w:ascii="Arial Narrow" w:hAnsi="Arial Narrow"/>
                <w:b/>
                <w:color w:val="000000"/>
                <w:sz w:val="20"/>
                <w:szCs w:val="20"/>
              </w:rPr>
            </w:pPr>
            <w:r w:rsidRPr="00BE23C5">
              <w:rPr>
                <w:rFonts w:ascii="Arial Narrow" w:hAnsi="Arial Narrow"/>
                <w:b/>
                <w:color w:val="000000"/>
                <w:sz w:val="20"/>
                <w:szCs w:val="20"/>
              </w:rPr>
              <w:t>Absolute difference</w:t>
            </w:r>
          </w:p>
        </w:tc>
        <w:tc>
          <w:tcPr>
            <w:tcW w:w="997" w:type="pct"/>
            <w:gridSpan w:val="2"/>
            <w:tcBorders>
              <w:top w:val="single" w:sz="4" w:space="0" w:color="auto"/>
              <w:left w:val="single" w:sz="4" w:space="0" w:color="auto"/>
              <w:bottom w:val="single" w:sz="4" w:space="0" w:color="auto"/>
              <w:right w:val="single" w:sz="4" w:space="0" w:color="auto"/>
            </w:tcBorders>
            <w:vAlign w:val="center"/>
          </w:tcPr>
          <w:p w:rsidR="00306F9F" w:rsidRPr="00BE23C5" w:rsidRDefault="00306F9F" w:rsidP="007F5EE0">
            <w:pPr>
              <w:keepNext/>
              <w:keepLines/>
              <w:jc w:val="center"/>
              <w:rPr>
                <w:rFonts w:ascii="Arial Narrow" w:hAnsi="Arial Narrow"/>
                <w:b/>
                <w:color w:val="000000"/>
                <w:sz w:val="20"/>
                <w:szCs w:val="20"/>
              </w:rPr>
            </w:pPr>
            <w:r w:rsidRPr="00BE23C5">
              <w:rPr>
                <w:rFonts w:ascii="Arial Narrow" w:hAnsi="Arial Narrow"/>
                <w:b/>
                <w:color w:val="000000"/>
                <w:sz w:val="20"/>
                <w:szCs w:val="20"/>
              </w:rPr>
              <w:t>HR (95% CI)</w:t>
            </w:r>
          </w:p>
        </w:tc>
      </w:tr>
      <w:tr w:rsidR="00611C72" w:rsidRPr="00BE23C5" w:rsidTr="002A4F8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2A4F8C" w:rsidRPr="00BE23C5" w:rsidRDefault="003644B1" w:rsidP="007F5EE0">
            <w:pPr>
              <w:keepNext/>
              <w:keepLines/>
              <w:rPr>
                <w:rFonts w:ascii="Arial Narrow" w:hAnsi="Arial Narrow"/>
                <w:color w:val="000000"/>
                <w:sz w:val="20"/>
                <w:szCs w:val="20"/>
              </w:rPr>
            </w:pPr>
            <w:proofErr w:type="spellStart"/>
            <w:r w:rsidRPr="00BE23C5">
              <w:rPr>
                <w:rFonts w:ascii="Arial Narrow" w:hAnsi="Arial Narrow"/>
                <w:color w:val="000000"/>
                <w:sz w:val="20"/>
                <w:szCs w:val="20"/>
              </w:rPr>
              <w:t>iDFS</w:t>
            </w:r>
            <w:proofErr w:type="spellEnd"/>
            <w:r w:rsidR="00306F9F" w:rsidRPr="00BE23C5">
              <w:rPr>
                <w:rFonts w:ascii="Arial Narrow" w:hAnsi="Arial Narrow"/>
                <w:color w:val="000000"/>
                <w:sz w:val="20"/>
                <w:szCs w:val="20"/>
              </w:rPr>
              <w:t xml:space="preserve">, </w:t>
            </w:r>
            <w:r w:rsidR="002A4F8C" w:rsidRPr="00BE23C5">
              <w:rPr>
                <w:rFonts w:ascii="Arial Narrow" w:hAnsi="Arial Narrow"/>
                <w:color w:val="000000"/>
                <w:sz w:val="20"/>
                <w:szCs w:val="20"/>
              </w:rPr>
              <w:t xml:space="preserve">ITT population </w:t>
            </w:r>
          </w:p>
          <w:p w:rsidR="00306F9F" w:rsidRPr="00BE23C5" w:rsidRDefault="00CE184E" w:rsidP="007F5EE0">
            <w:pPr>
              <w:keepNext/>
              <w:keepLines/>
              <w:rPr>
                <w:rFonts w:ascii="Arial Narrow" w:hAnsi="Arial Narrow"/>
                <w:color w:val="000000"/>
                <w:sz w:val="20"/>
                <w:szCs w:val="20"/>
              </w:rPr>
            </w:pPr>
            <w:r w:rsidRPr="00BE23C5">
              <w:rPr>
                <w:rFonts w:ascii="Arial Narrow" w:hAnsi="Arial Narrow"/>
                <w:color w:val="000000"/>
                <w:sz w:val="20"/>
                <w:szCs w:val="20"/>
              </w:rPr>
              <w:t>% (95% CI)</w:t>
            </w:r>
          </w:p>
        </w:tc>
        <w:tc>
          <w:tcPr>
            <w:tcW w:w="997" w:type="pct"/>
            <w:gridSpan w:val="2"/>
            <w:tcBorders>
              <w:top w:val="single" w:sz="4" w:space="0" w:color="auto"/>
              <w:left w:val="single" w:sz="4" w:space="0" w:color="auto"/>
              <w:bottom w:val="single" w:sz="4" w:space="0" w:color="auto"/>
              <w:right w:val="single" w:sz="4" w:space="0" w:color="auto"/>
            </w:tcBorders>
            <w:vAlign w:val="center"/>
          </w:tcPr>
          <w:p w:rsidR="00306F9F" w:rsidRPr="00BE23C5" w:rsidRDefault="00CE184E" w:rsidP="007F5EE0">
            <w:pPr>
              <w:pStyle w:val="Tabletext"/>
              <w:keepNext/>
              <w:keepLines/>
              <w:jc w:val="center"/>
              <w:rPr>
                <w:szCs w:val="20"/>
              </w:rPr>
            </w:pPr>
            <w:r w:rsidRPr="00BE23C5">
              <w:t>94.2</w:t>
            </w:r>
            <w:r w:rsidR="00C91339" w:rsidRPr="00BE23C5">
              <w:t>%</w:t>
            </w:r>
            <w:r w:rsidRPr="00BE23C5">
              <w:t xml:space="preserve"> (92.6, 95.4)</w:t>
            </w:r>
          </w:p>
        </w:tc>
        <w:tc>
          <w:tcPr>
            <w:tcW w:w="997" w:type="pct"/>
            <w:gridSpan w:val="2"/>
            <w:tcBorders>
              <w:top w:val="single" w:sz="4" w:space="0" w:color="auto"/>
              <w:left w:val="single" w:sz="4" w:space="0" w:color="auto"/>
              <w:bottom w:val="single" w:sz="4" w:space="0" w:color="auto"/>
              <w:right w:val="single" w:sz="4" w:space="0" w:color="auto"/>
            </w:tcBorders>
            <w:vAlign w:val="center"/>
          </w:tcPr>
          <w:p w:rsidR="00306F9F" w:rsidRPr="00BE23C5" w:rsidRDefault="00CE184E" w:rsidP="007F5EE0">
            <w:pPr>
              <w:pStyle w:val="Tabletext"/>
              <w:keepNext/>
              <w:keepLines/>
              <w:jc w:val="center"/>
              <w:rPr>
                <w:szCs w:val="20"/>
              </w:rPr>
            </w:pPr>
            <w:r w:rsidRPr="00BE23C5">
              <w:rPr>
                <w:rStyle w:val="Emphasis"/>
                <w:i w:val="0"/>
              </w:rPr>
              <w:t>91.9</w:t>
            </w:r>
            <w:r w:rsidR="00C91339" w:rsidRPr="00BE23C5">
              <w:rPr>
                <w:rStyle w:val="Emphasis"/>
                <w:i w:val="0"/>
              </w:rPr>
              <w:t>%</w:t>
            </w:r>
            <w:r w:rsidRPr="00BE23C5">
              <w:rPr>
                <w:rStyle w:val="Emphasis"/>
                <w:i w:val="0"/>
              </w:rPr>
              <w:t xml:space="preserve"> (90.2, 93.2)</w:t>
            </w:r>
          </w:p>
        </w:tc>
        <w:tc>
          <w:tcPr>
            <w:tcW w:w="997" w:type="pct"/>
            <w:gridSpan w:val="3"/>
            <w:tcBorders>
              <w:top w:val="single" w:sz="4" w:space="0" w:color="auto"/>
              <w:left w:val="single" w:sz="4" w:space="0" w:color="auto"/>
              <w:bottom w:val="single" w:sz="4" w:space="0" w:color="auto"/>
              <w:right w:val="single" w:sz="4" w:space="0" w:color="auto"/>
            </w:tcBorders>
            <w:vAlign w:val="center"/>
          </w:tcPr>
          <w:p w:rsidR="00306F9F" w:rsidRPr="00BE23C5" w:rsidRDefault="00891B6B" w:rsidP="007F5EE0">
            <w:pPr>
              <w:keepNext/>
              <w:keepLines/>
              <w:jc w:val="center"/>
              <w:rPr>
                <w:rFonts w:ascii="Arial Narrow" w:hAnsi="Arial Narrow"/>
                <w:sz w:val="20"/>
                <w:szCs w:val="20"/>
              </w:rPr>
            </w:pPr>
            <w:r w:rsidRPr="00BE23C5">
              <w:rPr>
                <w:rFonts w:ascii="Arial Narrow" w:hAnsi="Arial Narrow"/>
                <w:sz w:val="20"/>
                <w:szCs w:val="20"/>
              </w:rPr>
              <w:t>2.</w:t>
            </w:r>
            <w:r w:rsidR="00CE184E" w:rsidRPr="00BE23C5">
              <w:rPr>
                <w:rFonts w:ascii="Arial Narrow" w:hAnsi="Arial Narrow"/>
                <w:sz w:val="20"/>
                <w:szCs w:val="20"/>
              </w:rPr>
              <w:t>3</w:t>
            </w:r>
            <w:r w:rsidRPr="00BE23C5">
              <w:rPr>
                <w:rFonts w:ascii="Arial Narrow" w:hAnsi="Arial Narrow"/>
                <w:sz w:val="20"/>
                <w:szCs w:val="20"/>
              </w:rPr>
              <w:t>%</w:t>
            </w:r>
          </w:p>
        </w:tc>
        <w:tc>
          <w:tcPr>
            <w:tcW w:w="997" w:type="pct"/>
            <w:gridSpan w:val="2"/>
            <w:tcBorders>
              <w:top w:val="single" w:sz="4" w:space="0" w:color="auto"/>
              <w:left w:val="single" w:sz="4" w:space="0" w:color="auto"/>
              <w:right w:val="single" w:sz="4" w:space="0" w:color="auto"/>
            </w:tcBorders>
            <w:vAlign w:val="center"/>
          </w:tcPr>
          <w:p w:rsidR="00306F9F" w:rsidRPr="00BE23C5" w:rsidRDefault="00891B6B" w:rsidP="007F5EE0">
            <w:pPr>
              <w:pStyle w:val="Tabletext"/>
              <w:keepNext/>
              <w:keepLines/>
              <w:jc w:val="center"/>
              <w:rPr>
                <w:szCs w:val="20"/>
              </w:rPr>
            </w:pPr>
            <w:r w:rsidRPr="00BE23C5">
              <w:rPr>
                <w:szCs w:val="20"/>
              </w:rPr>
              <w:t>0.66</w:t>
            </w:r>
            <w:r w:rsidR="00011E78" w:rsidRPr="00BE23C5">
              <w:rPr>
                <w:szCs w:val="20"/>
              </w:rPr>
              <w:t xml:space="preserve"> </w:t>
            </w:r>
            <w:r w:rsidRPr="00BE23C5">
              <w:rPr>
                <w:szCs w:val="20"/>
              </w:rPr>
              <w:t>(0.49,0.90)</w:t>
            </w:r>
          </w:p>
        </w:tc>
      </w:tr>
      <w:tr w:rsidR="00611C72" w:rsidRPr="00BE23C5" w:rsidTr="002A4F8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2A4F8C" w:rsidRPr="00BE23C5" w:rsidRDefault="00CE184E" w:rsidP="007F5EE0">
            <w:pPr>
              <w:keepNext/>
              <w:keepLines/>
              <w:rPr>
                <w:rFonts w:ascii="Arial Narrow" w:hAnsi="Arial Narrow"/>
                <w:color w:val="000000"/>
                <w:sz w:val="20"/>
                <w:szCs w:val="20"/>
              </w:rPr>
            </w:pPr>
            <w:proofErr w:type="spellStart"/>
            <w:r w:rsidRPr="00BE23C5">
              <w:rPr>
                <w:rFonts w:ascii="Arial Narrow" w:hAnsi="Arial Narrow"/>
                <w:color w:val="000000"/>
                <w:sz w:val="20"/>
                <w:szCs w:val="20"/>
              </w:rPr>
              <w:t>iDFS</w:t>
            </w:r>
            <w:proofErr w:type="spellEnd"/>
            <w:r w:rsidR="00306F9F" w:rsidRPr="00BE23C5">
              <w:rPr>
                <w:rFonts w:ascii="Arial Narrow" w:hAnsi="Arial Narrow"/>
                <w:color w:val="000000"/>
                <w:sz w:val="20"/>
                <w:szCs w:val="20"/>
              </w:rPr>
              <w:t xml:space="preserve">, </w:t>
            </w:r>
            <w:proofErr w:type="spellStart"/>
            <w:r w:rsidR="002A4F8C" w:rsidRPr="00BE23C5">
              <w:rPr>
                <w:rFonts w:ascii="Arial Narrow" w:hAnsi="Arial Narrow"/>
                <w:color w:val="000000"/>
                <w:sz w:val="20"/>
                <w:szCs w:val="20"/>
              </w:rPr>
              <w:t>aITT</w:t>
            </w:r>
            <w:proofErr w:type="spellEnd"/>
            <w:r w:rsidR="002A4F8C" w:rsidRPr="00BE23C5">
              <w:rPr>
                <w:rFonts w:ascii="Arial Narrow" w:hAnsi="Arial Narrow"/>
                <w:color w:val="000000"/>
                <w:sz w:val="20"/>
                <w:szCs w:val="20"/>
              </w:rPr>
              <w:t xml:space="preserve"> population </w:t>
            </w:r>
          </w:p>
          <w:p w:rsidR="00306F9F" w:rsidRPr="00BE23C5" w:rsidRDefault="00CE184E" w:rsidP="007F5EE0">
            <w:pPr>
              <w:keepNext/>
              <w:keepLines/>
              <w:rPr>
                <w:rFonts w:ascii="Arial Narrow" w:hAnsi="Arial Narrow"/>
                <w:color w:val="000000"/>
                <w:sz w:val="20"/>
                <w:szCs w:val="20"/>
              </w:rPr>
            </w:pPr>
            <w:r w:rsidRPr="00BE23C5">
              <w:rPr>
                <w:rFonts w:ascii="Arial Narrow" w:hAnsi="Arial Narrow"/>
                <w:color w:val="000000"/>
                <w:sz w:val="20"/>
                <w:szCs w:val="20"/>
              </w:rPr>
              <w:t>% (95% CI)</w:t>
            </w:r>
          </w:p>
        </w:tc>
        <w:tc>
          <w:tcPr>
            <w:tcW w:w="997" w:type="pct"/>
            <w:gridSpan w:val="2"/>
            <w:tcBorders>
              <w:top w:val="single" w:sz="4" w:space="0" w:color="auto"/>
              <w:left w:val="single" w:sz="4" w:space="0" w:color="auto"/>
              <w:bottom w:val="single" w:sz="4" w:space="0" w:color="auto"/>
              <w:right w:val="single" w:sz="4" w:space="0" w:color="auto"/>
            </w:tcBorders>
            <w:vAlign w:val="center"/>
          </w:tcPr>
          <w:p w:rsidR="00306F9F" w:rsidRPr="00BE23C5" w:rsidRDefault="00CE184E" w:rsidP="007F5EE0">
            <w:pPr>
              <w:pStyle w:val="Tabletext"/>
              <w:keepNext/>
              <w:keepLines/>
              <w:jc w:val="center"/>
              <w:rPr>
                <w:szCs w:val="20"/>
              </w:rPr>
            </w:pPr>
            <w:r w:rsidRPr="00BE23C5">
              <w:t>93.1</w:t>
            </w:r>
            <w:r w:rsidR="00C91339" w:rsidRPr="00BE23C5">
              <w:t>%</w:t>
            </w:r>
            <w:r w:rsidRPr="00BE23C5">
              <w:t xml:space="preserve"> (91.1,94.7)</w:t>
            </w:r>
          </w:p>
        </w:tc>
        <w:tc>
          <w:tcPr>
            <w:tcW w:w="997" w:type="pct"/>
            <w:gridSpan w:val="2"/>
            <w:tcBorders>
              <w:top w:val="single" w:sz="4" w:space="0" w:color="auto"/>
              <w:left w:val="single" w:sz="4" w:space="0" w:color="auto"/>
              <w:bottom w:val="single" w:sz="4" w:space="0" w:color="auto"/>
              <w:right w:val="single" w:sz="4" w:space="0" w:color="auto"/>
            </w:tcBorders>
            <w:vAlign w:val="center"/>
          </w:tcPr>
          <w:p w:rsidR="00306F9F" w:rsidRPr="00BE23C5" w:rsidRDefault="00CE184E" w:rsidP="007F5EE0">
            <w:pPr>
              <w:pStyle w:val="Tabletext"/>
              <w:keepNext/>
              <w:keepLines/>
              <w:jc w:val="center"/>
              <w:rPr>
                <w:szCs w:val="20"/>
              </w:rPr>
            </w:pPr>
            <w:r w:rsidRPr="00BE23C5">
              <w:t>90.1</w:t>
            </w:r>
            <w:r w:rsidR="00C91339" w:rsidRPr="00BE23C5">
              <w:t>%</w:t>
            </w:r>
            <w:r w:rsidRPr="00BE23C5">
              <w:t xml:space="preserve"> (87.9,92.0)</w:t>
            </w:r>
          </w:p>
        </w:tc>
        <w:tc>
          <w:tcPr>
            <w:tcW w:w="997" w:type="pct"/>
            <w:gridSpan w:val="3"/>
            <w:tcBorders>
              <w:top w:val="single" w:sz="4" w:space="0" w:color="auto"/>
              <w:left w:val="single" w:sz="4" w:space="0" w:color="auto"/>
              <w:bottom w:val="single" w:sz="4" w:space="0" w:color="auto"/>
              <w:right w:val="single" w:sz="4" w:space="0" w:color="auto"/>
            </w:tcBorders>
            <w:vAlign w:val="center"/>
          </w:tcPr>
          <w:p w:rsidR="00306F9F" w:rsidRPr="00BE23C5" w:rsidRDefault="00891B6B" w:rsidP="007F5EE0">
            <w:pPr>
              <w:keepNext/>
              <w:keepLines/>
              <w:jc w:val="center"/>
              <w:rPr>
                <w:rFonts w:ascii="Arial Narrow" w:hAnsi="Arial Narrow"/>
                <w:sz w:val="20"/>
                <w:szCs w:val="20"/>
              </w:rPr>
            </w:pPr>
            <w:r w:rsidRPr="00BE23C5">
              <w:rPr>
                <w:rFonts w:ascii="Arial Narrow" w:hAnsi="Arial Narrow"/>
                <w:sz w:val="20"/>
                <w:szCs w:val="20"/>
              </w:rPr>
              <w:t>3.</w:t>
            </w:r>
            <w:r w:rsidR="00CE184E" w:rsidRPr="00BE23C5">
              <w:rPr>
                <w:rFonts w:ascii="Arial Narrow" w:hAnsi="Arial Narrow"/>
                <w:sz w:val="20"/>
                <w:szCs w:val="20"/>
              </w:rPr>
              <w:t>0</w:t>
            </w:r>
            <w:r w:rsidRPr="00BE23C5">
              <w:rPr>
                <w:rFonts w:ascii="Arial Narrow" w:hAnsi="Arial Narrow"/>
                <w:sz w:val="20"/>
                <w:szCs w:val="20"/>
              </w:rPr>
              <w:t>%</w:t>
            </w:r>
          </w:p>
        </w:tc>
        <w:tc>
          <w:tcPr>
            <w:tcW w:w="997" w:type="pct"/>
            <w:gridSpan w:val="2"/>
            <w:tcBorders>
              <w:top w:val="single" w:sz="4" w:space="0" w:color="auto"/>
              <w:left w:val="single" w:sz="4" w:space="0" w:color="auto"/>
              <w:bottom w:val="single" w:sz="4" w:space="0" w:color="auto"/>
              <w:right w:val="single" w:sz="4" w:space="0" w:color="auto"/>
            </w:tcBorders>
            <w:vAlign w:val="center"/>
          </w:tcPr>
          <w:p w:rsidR="00306F9F" w:rsidRPr="00BE23C5" w:rsidRDefault="00891B6B" w:rsidP="007F5EE0">
            <w:pPr>
              <w:pStyle w:val="Tabletext"/>
              <w:keepNext/>
              <w:keepLines/>
              <w:jc w:val="center"/>
              <w:rPr>
                <w:szCs w:val="20"/>
              </w:rPr>
            </w:pPr>
            <w:r w:rsidRPr="00BE23C5">
              <w:rPr>
                <w:szCs w:val="20"/>
              </w:rPr>
              <w:t>0.65</w:t>
            </w:r>
            <w:r w:rsidR="00011E78" w:rsidRPr="00BE23C5">
              <w:rPr>
                <w:szCs w:val="20"/>
              </w:rPr>
              <w:t xml:space="preserve"> </w:t>
            </w:r>
            <w:r w:rsidRPr="00BE23C5">
              <w:rPr>
                <w:szCs w:val="20"/>
              </w:rPr>
              <w:t>(0.46, 0.92)</w:t>
            </w:r>
          </w:p>
        </w:tc>
      </w:tr>
      <w:tr w:rsidR="00611C72" w:rsidRPr="00BE23C5" w:rsidTr="002A4F8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306F9F" w:rsidRPr="00BE23C5" w:rsidRDefault="00CE184E" w:rsidP="007F5EE0">
            <w:pPr>
              <w:keepNext/>
              <w:keepLines/>
              <w:jc w:val="left"/>
              <w:rPr>
                <w:rFonts w:ascii="Arial Narrow" w:hAnsi="Arial Narrow"/>
                <w:color w:val="000000"/>
                <w:sz w:val="20"/>
                <w:szCs w:val="20"/>
              </w:rPr>
            </w:pPr>
            <w:proofErr w:type="spellStart"/>
            <w:r w:rsidRPr="00BE23C5">
              <w:rPr>
                <w:rFonts w:ascii="Arial Narrow" w:hAnsi="Arial Narrow"/>
                <w:color w:val="000000"/>
                <w:sz w:val="20"/>
                <w:szCs w:val="20"/>
              </w:rPr>
              <w:t>iDFS</w:t>
            </w:r>
            <w:proofErr w:type="spellEnd"/>
            <w:r w:rsidR="00891B6B" w:rsidRPr="00BE23C5">
              <w:rPr>
                <w:rFonts w:ascii="Arial Narrow" w:hAnsi="Arial Narrow"/>
                <w:color w:val="000000"/>
                <w:sz w:val="20"/>
                <w:szCs w:val="20"/>
              </w:rPr>
              <w:t xml:space="preserve">, </w:t>
            </w:r>
            <w:r w:rsidR="002A4F8C" w:rsidRPr="00BE23C5">
              <w:rPr>
                <w:rFonts w:ascii="Arial Narrow" w:hAnsi="Arial Narrow"/>
                <w:color w:val="000000"/>
                <w:sz w:val="20"/>
                <w:szCs w:val="20"/>
              </w:rPr>
              <w:t xml:space="preserve">centrally confirmed ERBB2-positive </w:t>
            </w:r>
            <w:r w:rsidRPr="00BE23C5">
              <w:rPr>
                <w:rFonts w:ascii="Arial Narrow" w:hAnsi="Arial Narrow"/>
                <w:color w:val="000000"/>
                <w:sz w:val="20"/>
                <w:szCs w:val="20"/>
              </w:rPr>
              <w:t>% (95% CI)</w:t>
            </w:r>
          </w:p>
        </w:tc>
        <w:tc>
          <w:tcPr>
            <w:tcW w:w="997" w:type="pct"/>
            <w:gridSpan w:val="2"/>
            <w:tcBorders>
              <w:top w:val="single" w:sz="4" w:space="0" w:color="auto"/>
              <w:left w:val="single" w:sz="4" w:space="0" w:color="auto"/>
              <w:bottom w:val="single" w:sz="4" w:space="0" w:color="auto"/>
              <w:right w:val="single" w:sz="4" w:space="0" w:color="auto"/>
            </w:tcBorders>
            <w:vAlign w:val="center"/>
          </w:tcPr>
          <w:p w:rsidR="00306F9F" w:rsidRPr="00BE23C5" w:rsidRDefault="00CE184E" w:rsidP="007F5EE0">
            <w:pPr>
              <w:pStyle w:val="Tabletext"/>
              <w:keepNext/>
              <w:keepLines/>
              <w:jc w:val="center"/>
              <w:rPr>
                <w:szCs w:val="20"/>
              </w:rPr>
            </w:pPr>
            <w:r w:rsidRPr="00BE23C5">
              <w:t>94.9</w:t>
            </w:r>
            <w:r w:rsidR="00C91339" w:rsidRPr="00BE23C5">
              <w:t>%</w:t>
            </w:r>
            <w:r w:rsidRPr="00BE23C5">
              <w:t xml:space="preserve"> (92.8,96.3)</w:t>
            </w:r>
          </w:p>
        </w:tc>
        <w:tc>
          <w:tcPr>
            <w:tcW w:w="997" w:type="pct"/>
            <w:gridSpan w:val="2"/>
            <w:tcBorders>
              <w:top w:val="single" w:sz="4" w:space="0" w:color="auto"/>
              <w:left w:val="single" w:sz="4" w:space="0" w:color="auto"/>
              <w:bottom w:val="single" w:sz="4" w:space="0" w:color="auto"/>
              <w:right w:val="single" w:sz="4" w:space="0" w:color="auto"/>
            </w:tcBorders>
            <w:vAlign w:val="center"/>
          </w:tcPr>
          <w:p w:rsidR="00306F9F" w:rsidRPr="00BE23C5" w:rsidRDefault="00CE184E" w:rsidP="007F5EE0">
            <w:pPr>
              <w:pStyle w:val="Tabletext"/>
              <w:keepNext/>
              <w:keepLines/>
              <w:jc w:val="center"/>
              <w:rPr>
                <w:szCs w:val="20"/>
              </w:rPr>
            </w:pPr>
            <w:r w:rsidRPr="00BE23C5">
              <w:t>90.9</w:t>
            </w:r>
            <w:r w:rsidR="00C91339" w:rsidRPr="00BE23C5">
              <w:t>%</w:t>
            </w:r>
            <w:r w:rsidRPr="00BE23C5">
              <w:t xml:space="preserve"> (88.5,92.9)</w:t>
            </w:r>
          </w:p>
        </w:tc>
        <w:tc>
          <w:tcPr>
            <w:tcW w:w="997" w:type="pct"/>
            <w:gridSpan w:val="3"/>
            <w:tcBorders>
              <w:top w:val="single" w:sz="4" w:space="0" w:color="auto"/>
              <w:left w:val="single" w:sz="4" w:space="0" w:color="auto"/>
              <w:bottom w:val="single" w:sz="4" w:space="0" w:color="auto"/>
              <w:right w:val="single" w:sz="4" w:space="0" w:color="auto"/>
            </w:tcBorders>
            <w:vAlign w:val="center"/>
          </w:tcPr>
          <w:p w:rsidR="00306F9F" w:rsidRPr="00BE23C5" w:rsidRDefault="00891B6B" w:rsidP="007F5EE0">
            <w:pPr>
              <w:keepNext/>
              <w:keepLines/>
              <w:jc w:val="center"/>
              <w:rPr>
                <w:rFonts w:ascii="Arial Narrow" w:hAnsi="Arial Narrow"/>
                <w:sz w:val="20"/>
                <w:szCs w:val="20"/>
              </w:rPr>
            </w:pPr>
            <w:r w:rsidRPr="00BE23C5">
              <w:rPr>
                <w:rFonts w:ascii="Arial Narrow" w:hAnsi="Arial Narrow"/>
                <w:sz w:val="20"/>
                <w:szCs w:val="20"/>
              </w:rPr>
              <w:t>4.</w:t>
            </w:r>
            <w:r w:rsidR="00CE184E" w:rsidRPr="00BE23C5">
              <w:rPr>
                <w:rFonts w:ascii="Arial Narrow" w:hAnsi="Arial Narrow"/>
                <w:sz w:val="20"/>
                <w:szCs w:val="20"/>
              </w:rPr>
              <w:t>0</w:t>
            </w:r>
            <w:r w:rsidRPr="00BE23C5">
              <w:rPr>
                <w:rFonts w:ascii="Arial Narrow" w:hAnsi="Arial Narrow"/>
                <w:sz w:val="20"/>
                <w:szCs w:val="20"/>
              </w:rPr>
              <w:t>%</w:t>
            </w:r>
          </w:p>
        </w:tc>
        <w:tc>
          <w:tcPr>
            <w:tcW w:w="997" w:type="pct"/>
            <w:gridSpan w:val="2"/>
            <w:tcBorders>
              <w:top w:val="single" w:sz="4" w:space="0" w:color="auto"/>
              <w:left w:val="single" w:sz="4" w:space="0" w:color="auto"/>
              <w:right w:val="single" w:sz="4" w:space="0" w:color="auto"/>
            </w:tcBorders>
            <w:vAlign w:val="center"/>
          </w:tcPr>
          <w:p w:rsidR="00306F9F" w:rsidRPr="00BE23C5" w:rsidRDefault="00891B6B" w:rsidP="007F5EE0">
            <w:pPr>
              <w:pStyle w:val="Tabletext"/>
              <w:keepNext/>
              <w:keepLines/>
              <w:jc w:val="center"/>
              <w:rPr>
                <w:szCs w:val="20"/>
              </w:rPr>
            </w:pPr>
            <w:r w:rsidRPr="00BE23C5">
              <w:rPr>
                <w:szCs w:val="20"/>
              </w:rPr>
              <w:t>0.51</w:t>
            </w:r>
            <w:r w:rsidR="00011E78" w:rsidRPr="00BE23C5">
              <w:rPr>
                <w:szCs w:val="20"/>
              </w:rPr>
              <w:t xml:space="preserve"> </w:t>
            </w:r>
            <w:r w:rsidRPr="00BE23C5">
              <w:rPr>
                <w:szCs w:val="20"/>
              </w:rPr>
              <w:t>(0.33,0.78)</w:t>
            </w:r>
          </w:p>
        </w:tc>
      </w:tr>
      <w:tr w:rsidR="009C01D8" w:rsidRPr="00BE23C5" w:rsidTr="002A4F8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2A4F8C" w:rsidRPr="00BE23C5" w:rsidRDefault="00CE184E" w:rsidP="007F5EE0">
            <w:pPr>
              <w:keepNext/>
              <w:keepLines/>
              <w:rPr>
                <w:rFonts w:ascii="Arial Narrow" w:hAnsi="Arial Narrow"/>
                <w:color w:val="000000"/>
                <w:sz w:val="20"/>
                <w:szCs w:val="20"/>
              </w:rPr>
            </w:pPr>
            <w:proofErr w:type="spellStart"/>
            <w:r w:rsidRPr="00BE23C5">
              <w:rPr>
                <w:rFonts w:ascii="Arial Narrow" w:hAnsi="Arial Narrow"/>
                <w:color w:val="000000"/>
                <w:sz w:val="20"/>
                <w:szCs w:val="20"/>
              </w:rPr>
              <w:t>iDFS</w:t>
            </w:r>
            <w:proofErr w:type="spellEnd"/>
            <w:r w:rsidR="009C01D8" w:rsidRPr="00BE23C5">
              <w:rPr>
                <w:rFonts w:ascii="Arial Narrow" w:hAnsi="Arial Narrow"/>
                <w:color w:val="000000"/>
                <w:sz w:val="20"/>
                <w:szCs w:val="20"/>
              </w:rPr>
              <w:t xml:space="preserve">, </w:t>
            </w:r>
            <w:r w:rsidR="002A4F8C" w:rsidRPr="00BE23C5">
              <w:rPr>
                <w:rFonts w:ascii="Arial Narrow" w:hAnsi="Arial Narrow"/>
                <w:color w:val="000000"/>
                <w:sz w:val="20"/>
                <w:szCs w:val="20"/>
              </w:rPr>
              <w:t xml:space="preserve">HR+ </w:t>
            </w:r>
          </w:p>
          <w:p w:rsidR="009C01D8" w:rsidRPr="00BE23C5" w:rsidRDefault="00CE184E" w:rsidP="007F5EE0">
            <w:pPr>
              <w:keepNext/>
              <w:keepLines/>
              <w:rPr>
                <w:rFonts w:ascii="Arial Narrow" w:hAnsi="Arial Narrow"/>
                <w:color w:val="000000"/>
                <w:sz w:val="20"/>
                <w:szCs w:val="20"/>
              </w:rPr>
            </w:pPr>
            <w:r w:rsidRPr="00BE23C5">
              <w:rPr>
                <w:rFonts w:ascii="Arial Narrow" w:hAnsi="Arial Narrow"/>
                <w:color w:val="000000"/>
                <w:sz w:val="20"/>
                <w:szCs w:val="20"/>
              </w:rPr>
              <w:t>% (95% CI)</w:t>
            </w:r>
          </w:p>
        </w:tc>
        <w:tc>
          <w:tcPr>
            <w:tcW w:w="997" w:type="pct"/>
            <w:gridSpan w:val="2"/>
            <w:tcBorders>
              <w:top w:val="single" w:sz="4" w:space="0" w:color="auto"/>
              <w:left w:val="single" w:sz="4" w:space="0" w:color="auto"/>
              <w:bottom w:val="single" w:sz="4" w:space="0" w:color="auto"/>
              <w:right w:val="single" w:sz="4" w:space="0" w:color="auto"/>
            </w:tcBorders>
            <w:vAlign w:val="center"/>
          </w:tcPr>
          <w:p w:rsidR="009C01D8" w:rsidRPr="00BE23C5" w:rsidRDefault="00CE184E" w:rsidP="007F5EE0">
            <w:pPr>
              <w:pStyle w:val="Tabletext"/>
              <w:keepNext/>
              <w:keepLines/>
              <w:jc w:val="center"/>
            </w:pPr>
            <w:r w:rsidRPr="00BE23C5">
              <w:t>95.6</w:t>
            </w:r>
            <w:r w:rsidR="00C91339" w:rsidRPr="00BE23C5">
              <w:t>%</w:t>
            </w:r>
            <w:r w:rsidRPr="00BE23C5">
              <w:t xml:space="preserve"> (93.8,96.9)</w:t>
            </w:r>
          </w:p>
        </w:tc>
        <w:tc>
          <w:tcPr>
            <w:tcW w:w="997" w:type="pct"/>
            <w:gridSpan w:val="2"/>
            <w:tcBorders>
              <w:top w:val="single" w:sz="4" w:space="0" w:color="auto"/>
              <w:left w:val="single" w:sz="4" w:space="0" w:color="auto"/>
              <w:bottom w:val="single" w:sz="4" w:space="0" w:color="auto"/>
              <w:right w:val="single" w:sz="4" w:space="0" w:color="auto"/>
            </w:tcBorders>
            <w:vAlign w:val="center"/>
          </w:tcPr>
          <w:p w:rsidR="009C01D8" w:rsidRPr="00BE23C5" w:rsidRDefault="00CE184E" w:rsidP="007F5EE0">
            <w:pPr>
              <w:pStyle w:val="Tabletext"/>
              <w:keepNext/>
              <w:keepLines/>
              <w:jc w:val="center"/>
            </w:pPr>
            <w:r w:rsidRPr="00BE23C5">
              <w:t>91.5</w:t>
            </w:r>
            <w:r w:rsidR="00C91339" w:rsidRPr="00BE23C5">
              <w:t>%</w:t>
            </w:r>
            <w:r w:rsidRPr="00BE23C5">
              <w:t xml:space="preserve"> (89.2,93.3)</w:t>
            </w:r>
          </w:p>
        </w:tc>
        <w:tc>
          <w:tcPr>
            <w:tcW w:w="997" w:type="pct"/>
            <w:gridSpan w:val="3"/>
            <w:tcBorders>
              <w:top w:val="single" w:sz="4" w:space="0" w:color="auto"/>
              <w:left w:val="single" w:sz="4" w:space="0" w:color="auto"/>
              <w:bottom w:val="single" w:sz="4" w:space="0" w:color="auto"/>
              <w:right w:val="single" w:sz="4" w:space="0" w:color="auto"/>
            </w:tcBorders>
            <w:vAlign w:val="center"/>
          </w:tcPr>
          <w:p w:rsidR="009C01D8" w:rsidRPr="00BE23C5" w:rsidRDefault="009C01D8" w:rsidP="007F5EE0">
            <w:pPr>
              <w:keepNext/>
              <w:keepLines/>
              <w:jc w:val="center"/>
              <w:rPr>
                <w:rFonts w:ascii="Arial Narrow" w:hAnsi="Arial Narrow"/>
                <w:sz w:val="20"/>
                <w:szCs w:val="20"/>
              </w:rPr>
            </w:pPr>
            <w:r w:rsidRPr="00BE23C5">
              <w:rPr>
                <w:rFonts w:ascii="Arial Narrow" w:hAnsi="Arial Narrow"/>
                <w:sz w:val="20"/>
                <w:szCs w:val="20"/>
              </w:rPr>
              <w:t>4.1%</w:t>
            </w:r>
          </w:p>
        </w:tc>
        <w:tc>
          <w:tcPr>
            <w:tcW w:w="997" w:type="pct"/>
            <w:gridSpan w:val="2"/>
            <w:tcBorders>
              <w:top w:val="single" w:sz="4" w:space="0" w:color="auto"/>
              <w:left w:val="single" w:sz="4" w:space="0" w:color="auto"/>
              <w:bottom w:val="single" w:sz="4" w:space="0" w:color="auto"/>
              <w:right w:val="single" w:sz="4" w:space="0" w:color="auto"/>
            </w:tcBorders>
            <w:vAlign w:val="center"/>
          </w:tcPr>
          <w:p w:rsidR="009C01D8" w:rsidRPr="00BE23C5" w:rsidRDefault="009C01D8" w:rsidP="007F5EE0">
            <w:pPr>
              <w:keepNext/>
              <w:keepLines/>
              <w:widowControl/>
              <w:autoSpaceDE w:val="0"/>
              <w:autoSpaceDN w:val="0"/>
              <w:adjustRightInd w:val="0"/>
              <w:jc w:val="center"/>
              <w:rPr>
                <w:rFonts w:ascii="Arial Narrow" w:hAnsi="Arial Narrow"/>
                <w:color w:val="000000"/>
                <w:sz w:val="20"/>
                <w:szCs w:val="20"/>
              </w:rPr>
            </w:pPr>
            <w:r w:rsidRPr="00BE23C5">
              <w:rPr>
                <w:rFonts w:ascii="Arial Narrow" w:hAnsi="Arial Narrow" w:cs="Times New Roman"/>
                <w:snapToGrid/>
                <w:sz w:val="20"/>
                <w:szCs w:val="20"/>
              </w:rPr>
              <w:t>0.49</w:t>
            </w:r>
            <w:r w:rsidR="00011E78" w:rsidRPr="00BE23C5">
              <w:rPr>
                <w:rFonts w:ascii="Arial Narrow" w:hAnsi="Arial Narrow" w:cs="Times New Roman"/>
                <w:snapToGrid/>
                <w:sz w:val="20"/>
                <w:szCs w:val="20"/>
              </w:rPr>
              <w:t xml:space="preserve"> </w:t>
            </w:r>
            <w:r w:rsidRPr="00BE23C5">
              <w:rPr>
                <w:rFonts w:ascii="Arial Narrow" w:hAnsi="Arial Narrow"/>
                <w:sz w:val="20"/>
                <w:szCs w:val="20"/>
              </w:rPr>
              <w:t>(0.31,0.75)</w:t>
            </w:r>
          </w:p>
        </w:tc>
      </w:tr>
      <w:tr w:rsidR="009C01D8" w:rsidRPr="00BE23C5" w:rsidTr="00F72191">
        <w:tc>
          <w:tcPr>
            <w:tcW w:w="5000" w:type="pct"/>
            <w:gridSpan w:val="10"/>
            <w:tcBorders>
              <w:top w:val="double" w:sz="4" w:space="0" w:color="auto"/>
              <w:left w:val="single" w:sz="4" w:space="0" w:color="auto"/>
              <w:bottom w:val="single" w:sz="4" w:space="0" w:color="auto"/>
              <w:right w:val="single" w:sz="4" w:space="0" w:color="auto"/>
            </w:tcBorders>
            <w:shd w:val="clear" w:color="auto" w:fill="auto"/>
            <w:vAlign w:val="center"/>
          </w:tcPr>
          <w:p w:rsidR="009C01D8" w:rsidRPr="00BE23C5" w:rsidRDefault="009C01D8" w:rsidP="007F5EE0">
            <w:pPr>
              <w:keepNext/>
              <w:keepLines/>
              <w:rPr>
                <w:rFonts w:ascii="Arial Narrow" w:hAnsi="Arial Narrow"/>
                <w:b/>
                <w:color w:val="000000"/>
                <w:sz w:val="20"/>
                <w:szCs w:val="20"/>
              </w:rPr>
            </w:pPr>
            <w:r w:rsidRPr="00BE23C5">
              <w:rPr>
                <w:rFonts w:ascii="Arial Narrow" w:hAnsi="Arial Narrow"/>
                <w:b/>
                <w:color w:val="000000"/>
                <w:sz w:val="20"/>
                <w:szCs w:val="20"/>
              </w:rPr>
              <w:t>Harms</w:t>
            </w:r>
          </w:p>
        </w:tc>
      </w:tr>
      <w:tr w:rsidR="00F72191" w:rsidRPr="00BE23C5" w:rsidTr="002A4F8C">
        <w:trPr>
          <w:trHeight w:val="70"/>
        </w:trPr>
        <w:tc>
          <w:tcPr>
            <w:tcW w:w="10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01D8" w:rsidRPr="00BE23C5" w:rsidRDefault="009C01D8" w:rsidP="007F5EE0">
            <w:pPr>
              <w:keepNext/>
              <w:keepLines/>
              <w:rPr>
                <w:rFonts w:ascii="Arial Narrow" w:hAnsi="Arial Narrow"/>
                <w:b/>
                <w:color w:val="000000"/>
                <w:sz w:val="20"/>
                <w:szCs w:val="20"/>
              </w:rPr>
            </w:pPr>
          </w:p>
        </w:tc>
        <w:tc>
          <w:tcPr>
            <w:tcW w:w="7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01D8" w:rsidRPr="00BE23C5" w:rsidRDefault="00011E78" w:rsidP="007F5EE0">
            <w:pPr>
              <w:keepNext/>
              <w:keepLines/>
              <w:jc w:val="center"/>
              <w:rPr>
                <w:rFonts w:ascii="Arial Narrow" w:hAnsi="Arial Narrow"/>
                <w:b/>
                <w:color w:val="000000"/>
                <w:sz w:val="20"/>
                <w:szCs w:val="20"/>
              </w:rPr>
            </w:pPr>
            <w:proofErr w:type="spellStart"/>
            <w:r w:rsidRPr="00BE23C5">
              <w:rPr>
                <w:rFonts w:ascii="Arial Narrow" w:hAnsi="Arial Narrow"/>
                <w:b/>
                <w:color w:val="000000"/>
                <w:sz w:val="20"/>
                <w:szCs w:val="20"/>
              </w:rPr>
              <w:t>Neratinib</w:t>
            </w:r>
            <w:proofErr w:type="spellEnd"/>
          </w:p>
          <w:p w:rsidR="009C01D8" w:rsidRPr="00BE23C5" w:rsidRDefault="009C01D8" w:rsidP="007F5EE0">
            <w:pPr>
              <w:keepNext/>
              <w:keepLines/>
              <w:jc w:val="center"/>
              <w:rPr>
                <w:rFonts w:ascii="Arial Narrow" w:hAnsi="Arial Narrow"/>
                <w:b/>
                <w:color w:val="000000"/>
                <w:sz w:val="20"/>
                <w:szCs w:val="20"/>
              </w:rPr>
            </w:pPr>
            <w:proofErr w:type="gramStart"/>
            <w:r w:rsidRPr="00BE23C5">
              <w:rPr>
                <w:rFonts w:ascii="Arial Narrow" w:hAnsi="Arial Narrow"/>
                <w:b/>
                <w:color w:val="000000"/>
                <w:sz w:val="20"/>
                <w:szCs w:val="20"/>
              </w:rPr>
              <w:t>n/N</w:t>
            </w:r>
            <w:proofErr w:type="gramEnd"/>
            <w:r w:rsidR="00011E78" w:rsidRPr="00BE23C5">
              <w:rPr>
                <w:rFonts w:ascii="Arial Narrow" w:hAnsi="Arial Narrow"/>
                <w:b/>
                <w:color w:val="000000"/>
                <w:sz w:val="20"/>
                <w:szCs w:val="20"/>
              </w:rPr>
              <w:t xml:space="preserve"> (%)</w:t>
            </w:r>
          </w:p>
        </w:tc>
        <w:tc>
          <w:tcPr>
            <w:tcW w:w="73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01D8" w:rsidRPr="00BE23C5" w:rsidRDefault="00011E78" w:rsidP="007F5EE0">
            <w:pPr>
              <w:keepNext/>
              <w:keepLines/>
              <w:jc w:val="center"/>
              <w:rPr>
                <w:rFonts w:ascii="Arial Narrow" w:hAnsi="Arial Narrow"/>
                <w:b/>
                <w:color w:val="000000"/>
                <w:sz w:val="20"/>
                <w:szCs w:val="20"/>
              </w:rPr>
            </w:pPr>
            <w:r w:rsidRPr="00BE23C5">
              <w:rPr>
                <w:rFonts w:ascii="Arial Narrow" w:hAnsi="Arial Narrow"/>
                <w:b/>
                <w:color w:val="000000"/>
                <w:sz w:val="20"/>
                <w:szCs w:val="20"/>
              </w:rPr>
              <w:t>Placebo</w:t>
            </w:r>
          </w:p>
          <w:p w:rsidR="009C01D8" w:rsidRPr="00BE23C5" w:rsidRDefault="009C01D8" w:rsidP="007F5EE0">
            <w:pPr>
              <w:keepNext/>
              <w:keepLines/>
              <w:jc w:val="center"/>
              <w:rPr>
                <w:rFonts w:ascii="Arial Narrow" w:hAnsi="Arial Narrow"/>
                <w:b/>
                <w:color w:val="000000"/>
                <w:sz w:val="20"/>
                <w:szCs w:val="20"/>
              </w:rPr>
            </w:pPr>
            <w:proofErr w:type="gramStart"/>
            <w:r w:rsidRPr="00BE23C5">
              <w:rPr>
                <w:rFonts w:ascii="Arial Narrow" w:hAnsi="Arial Narrow"/>
                <w:b/>
                <w:color w:val="000000"/>
                <w:sz w:val="20"/>
                <w:szCs w:val="20"/>
              </w:rPr>
              <w:t>n/N</w:t>
            </w:r>
            <w:proofErr w:type="gramEnd"/>
            <w:r w:rsidR="00011E78" w:rsidRPr="00BE23C5">
              <w:rPr>
                <w:rFonts w:ascii="Arial Narrow" w:hAnsi="Arial Narrow"/>
                <w:b/>
                <w:color w:val="000000"/>
                <w:sz w:val="20"/>
                <w:szCs w:val="20"/>
              </w:rPr>
              <w:t xml:space="preserve"> (%)</w:t>
            </w:r>
          </w:p>
        </w:tc>
        <w:tc>
          <w:tcPr>
            <w:tcW w:w="73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01D8" w:rsidRPr="00BE23C5" w:rsidRDefault="009C01D8" w:rsidP="007F5EE0">
            <w:pPr>
              <w:keepNext/>
              <w:keepLines/>
              <w:jc w:val="center"/>
              <w:rPr>
                <w:rFonts w:ascii="Arial Narrow" w:hAnsi="Arial Narrow"/>
                <w:b/>
                <w:color w:val="000000"/>
                <w:sz w:val="20"/>
                <w:szCs w:val="20"/>
              </w:rPr>
            </w:pPr>
            <w:r w:rsidRPr="00BE23C5">
              <w:rPr>
                <w:rFonts w:ascii="Arial Narrow" w:hAnsi="Arial Narrow"/>
                <w:b/>
                <w:color w:val="000000"/>
                <w:sz w:val="20"/>
                <w:szCs w:val="20"/>
              </w:rPr>
              <w:t>RR</w:t>
            </w:r>
          </w:p>
          <w:p w:rsidR="009C01D8" w:rsidRPr="00BE23C5" w:rsidRDefault="009C01D8" w:rsidP="007F5EE0">
            <w:pPr>
              <w:keepNext/>
              <w:keepLines/>
              <w:jc w:val="center"/>
              <w:rPr>
                <w:rFonts w:ascii="Arial Narrow" w:hAnsi="Arial Narrow"/>
                <w:b/>
                <w:color w:val="000000"/>
                <w:sz w:val="20"/>
                <w:szCs w:val="20"/>
              </w:rPr>
            </w:pPr>
            <w:r w:rsidRPr="00BE23C5">
              <w:rPr>
                <w:rFonts w:ascii="Arial Narrow" w:hAnsi="Arial Narrow"/>
                <w:b/>
                <w:color w:val="000000"/>
                <w:sz w:val="20"/>
                <w:szCs w:val="20"/>
              </w:rPr>
              <w:t>(95% CI)</w:t>
            </w:r>
          </w:p>
        </w:tc>
        <w:tc>
          <w:tcPr>
            <w:tcW w:w="109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C01D8" w:rsidRPr="00BE23C5" w:rsidRDefault="009C01D8" w:rsidP="007F5EE0">
            <w:pPr>
              <w:keepNext/>
              <w:keepLines/>
              <w:jc w:val="center"/>
              <w:rPr>
                <w:rFonts w:ascii="Arial Narrow" w:hAnsi="Arial Narrow"/>
                <w:b/>
                <w:color w:val="000000"/>
                <w:sz w:val="20"/>
                <w:szCs w:val="20"/>
              </w:rPr>
            </w:pPr>
            <w:r w:rsidRPr="00BE23C5">
              <w:rPr>
                <w:rFonts w:ascii="Arial Narrow" w:hAnsi="Arial Narrow"/>
                <w:b/>
                <w:color w:val="000000"/>
                <w:sz w:val="20"/>
                <w:szCs w:val="20"/>
              </w:rPr>
              <w:t>Event rate/100 patients</w:t>
            </w:r>
          </w:p>
        </w:tc>
        <w:tc>
          <w:tcPr>
            <w:tcW w:w="6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01D8" w:rsidRPr="00BE23C5" w:rsidRDefault="009C01D8" w:rsidP="007F5EE0">
            <w:pPr>
              <w:keepNext/>
              <w:keepLines/>
              <w:jc w:val="center"/>
              <w:rPr>
                <w:rFonts w:ascii="Arial Narrow" w:hAnsi="Arial Narrow"/>
                <w:b/>
                <w:color w:val="000000"/>
                <w:sz w:val="20"/>
                <w:szCs w:val="20"/>
              </w:rPr>
            </w:pPr>
            <w:r w:rsidRPr="00BE23C5">
              <w:rPr>
                <w:rFonts w:ascii="Arial Narrow" w:hAnsi="Arial Narrow"/>
                <w:b/>
                <w:color w:val="000000"/>
                <w:sz w:val="20"/>
                <w:szCs w:val="20"/>
              </w:rPr>
              <w:t>RD</w:t>
            </w:r>
          </w:p>
          <w:p w:rsidR="009C01D8" w:rsidRPr="00BE23C5" w:rsidRDefault="009C01D8" w:rsidP="007F5EE0">
            <w:pPr>
              <w:keepNext/>
              <w:keepLines/>
              <w:jc w:val="center"/>
              <w:rPr>
                <w:rFonts w:ascii="Arial Narrow" w:hAnsi="Arial Narrow"/>
                <w:b/>
                <w:color w:val="000000"/>
                <w:sz w:val="20"/>
                <w:szCs w:val="20"/>
              </w:rPr>
            </w:pPr>
            <w:r w:rsidRPr="00BE23C5">
              <w:rPr>
                <w:rFonts w:ascii="Arial Narrow" w:hAnsi="Arial Narrow"/>
                <w:b/>
                <w:color w:val="000000"/>
                <w:sz w:val="20"/>
                <w:szCs w:val="20"/>
              </w:rPr>
              <w:t>(95% CI)</w:t>
            </w:r>
          </w:p>
        </w:tc>
      </w:tr>
      <w:tr w:rsidR="00F72191" w:rsidRPr="00BE23C5" w:rsidTr="002A4F8C">
        <w:trPr>
          <w:trHeight w:val="390"/>
        </w:trPr>
        <w:tc>
          <w:tcPr>
            <w:tcW w:w="101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C01D8" w:rsidRPr="00BE23C5" w:rsidRDefault="009C01D8" w:rsidP="007F5EE0">
            <w:pPr>
              <w:keepNext/>
              <w:keepLines/>
              <w:rPr>
                <w:rFonts w:ascii="Arial Narrow" w:hAnsi="Arial Narrow"/>
                <w:b/>
                <w:color w:val="000000"/>
                <w:sz w:val="20"/>
                <w:szCs w:val="20"/>
              </w:rPr>
            </w:pPr>
          </w:p>
        </w:tc>
        <w:tc>
          <w:tcPr>
            <w:tcW w:w="73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C01D8" w:rsidRPr="00BE23C5" w:rsidRDefault="009C01D8" w:rsidP="007F5EE0">
            <w:pPr>
              <w:keepNext/>
              <w:keepLines/>
              <w:jc w:val="center"/>
              <w:rPr>
                <w:rFonts w:ascii="Arial Narrow" w:hAnsi="Arial Narrow"/>
                <w:b/>
                <w:color w:val="000000"/>
                <w:sz w:val="20"/>
                <w:szCs w:val="20"/>
              </w:rPr>
            </w:pPr>
          </w:p>
        </w:tc>
        <w:tc>
          <w:tcPr>
            <w:tcW w:w="73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C01D8" w:rsidRPr="00BE23C5" w:rsidRDefault="009C01D8" w:rsidP="007F5EE0">
            <w:pPr>
              <w:keepNext/>
              <w:keepLines/>
              <w:jc w:val="center"/>
              <w:rPr>
                <w:rFonts w:ascii="Arial Narrow" w:hAnsi="Arial Narrow"/>
                <w:b/>
                <w:color w:val="000000"/>
                <w:sz w:val="20"/>
                <w:szCs w:val="20"/>
              </w:rPr>
            </w:pPr>
          </w:p>
        </w:tc>
        <w:tc>
          <w:tcPr>
            <w:tcW w:w="73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C01D8" w:rsidRPr="00BE23C5" w:rsidRDefault="009C01D8" w:rsidP="007F5EE0">
            <w:pPr>
              <w:keepNext/>
              <w:keepLines/>
              <w:jc w:val="center"/>
              <w:rPr>
                <w:rFonts w:ascii="Arial Narrow" w:hAnsi="Arial Narrow"/>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9C01D8" w:rsidRPr="00BE23C5" w:rsidRDefault="00011E78" w:rsidP="007F5EE0">
            <w:pPr>
              <w:keepNext/>
              <w:keepLines/>
              <w:jc w:val="center"/>
              <w:rPr>
                <w:rFonts w:ascii="Arial Narrow" w:hAnsi="Arial Narrow"/>
                <w:b/>
                <w:color w:val="000000"/>
                <w:sz w:val="20"/>
                <w:szCs w:val="20"/>
              </w:rPr>
            </w:pPr>
            <w:proofErr w:type="spellStart"/>
            <w:r w:rsidRPr="00BE23C5">
              <w:rPr>
                <w:rFonts w:ascii="Arial Narrow" w:hAnsi="Arial Narrow"/>
                <w:b/>
                <w:color w:val="000000"/>
                <w:sz w:val="20"/>
                <w:szCs w:val="20"/>
              </w:rPr>
              <w:t>Neratinib</w:t>
            </w:r>
            <w:proofErr w:type="spellEnd"/>
          </w:p>
        </w:tc>
        <w:tc>
          <w:tcPr>
            <w:tcW w:w="5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C01D8" w:rsidRPr="00BE23C5" w:rsidRDefault="00011E78" w:rsidP="007F5EE0">
            <w:pPr>
              <w:keepNext/>
              <w:keepLines/>
              <w:jc w:val="center"/>
              <w:rPr>
                <w:rFonts w:ascii="Arial Narrow" w:hAnsi="Arial Narrow"/>
                <w:b/>
                <w:color w:val="000000"/>
                <w:sz w:val="20"/>
                <w:szCs w:val="20"/>
              </w:rPr>
            </w:pPr>
            <w:r w:rsidRPr="00BE23C5">
              <w:rPr>
                <w:rFonts w:ascii="Arial Narrow" w:hAnsi="Arial Narrow"/>
                <w:b/>
                <w:color w:val="000000"/>
                <w:sz w:val="20"/>
                <w:szCs w:val="20"/>
              </w:rPr>
              <w:t>Placebo</w:t>
            </w:r>
          </w:p>
        </w:tc>
        <w:tc>
          <w:tcPr>
            <w:tcW w:w="6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C01D8" w:rsidRPr="00BE23C5" w:rsidRDefault="009C01D8" w:rsidP="007F5EE0">
            <w:pPr>
              <w:keepNext/>
              <w:keepLines/>
              <w:jc w:val="center"/>
              <w:rPr>
                <w:rFonts w:ascii="Arial Narrow" w:hAnsi="Arial Narrow"/>
                <w:b/>
                <w:color w:val="000000"/>
                <w:sz w:val="20"/>
                <w:szCs w:val="20"/>
              </w:rPr>
            </w:pPr>
          </w:p>
        </w:tc>
      </w:tr>
      <w:tr w:rsidR="00F72191" w:rsidRPr="00BE23C5" w:rsidTr="002A4F8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242A7F" w:rsidRPr="00BE23C5" w:rsidRDefault="005F4239" w:rsidP="007F5EE0">
            <w:pPr>
              <w:keepNext/>
              <w:keepLines/>
              <w:jc w:val="left"/>
              <w:rPr>
                <w:rFonts w:ascii="Arial Narrow" w:hAnsi="Arial Narrow"/>
                <w:color w:val="000000"/>
                <w:sz w:val="20"/>
                <w:szCs w:val="20"/>
              </w:rPr>
            </w:pPr>
            <w:r w:rsidRPr="00BE23C5">
              <w:rPr>
                <w:rFonts w:ascii="Arial Narrow" w:hAnsi="Arial Narrow"/>
                <w:b/>
                <w:color w:val="000000"/>
                <w:sz w:val="20"/>
                <w:szCs w:val="20"/>
              </w:rPr>
              <w:t>Grade ≥</w:t>
            </w:r>
            <w:r w:rsidR="00C91339" w:rsidRPr="00BE23C5">
              <w:rPr>
                <w:rFonts w:ascii="Arial Narrow" w:hAnsi="Arial Narrow"/>
                <w:b/>
                <w:color w:val="000000"/>
                <w:sz w:val="20"/>
                <w:szCs w:val="20"/>
              </w:rPr>
              <w:t xml:space="preserve"> </w:t>
            </w:r>
            <w:r w:rsidRPr="00BE23C5">
              <w:rPr>
                <w:rFonts w:ascii="Arial Narrow" w:hAnsi="Arial Narrow"/>
                <w:b/>
                <w:color w:val="000000"/>
                <w:sz w:val="20"/>
                <w:szCs w:val="20"/>
              </w:rPr>
              <w:t>3 TEAE</w:t>
            </w:r>
          </w:p>
        </w:tc>
        <w:tc>
          <w:tcPr>
            <w:tcW w:w="736" w:type="pct"/>
            <w:tcBorders>
              <w:top w:val="single" w:sz="4" w:space="0" w:color="auto"/>
              <w:left w:val="single" w:sz="4" w:space="0" w:color="auto"/>
              <w:bottom w:val="single" w:sz="4" w:space="0" w:color="auto"/>
              <w:right w:val="single" w:sz="4" w:space="0" w:color="auto"/>
            </w:tcBorders>
            <w:shd w:val="clear" w:color="auto" w:fill="auto"/>
          </w:tcPr>
          <w:p w:rsidR="00011E78" w:rsidRPr="00BE23C5" w:rsidRDefault="00242A7F" w:rsidP="007F5EE0">
            <w:pPr>
              <w:keepNext/>
              <w:keepLines/>
              <w:jc w:val="center"/>
              <w:rPr>
                <w:rFonts w:ascii="Arial Narrow" w:hAnsi="Arial Narrow"/>
                <w:sz w:val="20"/>
                <w:szCs w:val="20"/>
              </w:rPr>
            </w:pPr>
            <w:r w:rsidRPr="00BE23C5">
              <w:rPr>
                <w:rFonts w:ascii="Arial Narrow" w:hAnsi="Arial Narrow"/>
                <w:sz w:val="20"/>
                <w:szCs w:val="20"/>
              </w:rPr>
              <w:t>700/1</w:t>
            </w:r>
            <w:r w:rsidR="00C91339" w:rsidRPr="00BE23C5">
              <w:rPr>
                <w:rFonts w:ascii="Arial Narrow" w:hAnsi="Arial Narrow"/>
                <w:sz w:val="20"/>
                <w:szCs w:val="20"/>
              </w:rPr>
              <w:t>,</w:t>
            </w:r>
            <w:r w:rsidRPr="00BE23C5">
              <w:rPr>
                <w:rFonts w:ascii="Arial Narrow" w:hAnsi="Arial Narrow"/>
                <w:sz w:val="20"/>
                <w:szCs w:val="20"/>
              </w:rPr>
              <w:t>408</w:t>
            </w:r>
          </w:p>
          <w:p w:rsidR="00242A7F" w:rsidRPr="00BE23C5" w:rsidRDefault="00242A7F" w:rsidP="007F5EE0">
            <w:pPr>
              <w:keepNext/>
              <w:keepLines/>
              <w:jc w:val="center"/>
              <w:rPr>
                <w:rFonts w:ascii="Arial Narrow" w:hAnsi="Arial Narrow"/>
                <w:color w:val="000000"/>
                <w:sz w:val="20"/>
                <w:szCs w:val="20"/>
              </w:rPr>
            </w:pPr>
            <w:r w:rsidRPr="00BE23C5">
              <w:rPr>
                <w:rFonts w:ascii="Arial Narrow" w:hAnsi="Arial Narrow"/>
                <w:sz w:val="20"/>
                <w:szCs w:val="20"/>
              </w:rPr>
              <w:t>(49.7</w:t>
            </w:r>
            <w:r w:rsidR="00C91339" w:rsidRPr="00BE23C5">
              <w:rPr>
                <w:rFonts w:ascii="Arial Narrow" w:hAnsi="Arial Narrow"/>
                <w:sz w:val="20"/>
                <w:szCs w:val="20"/>
              </w:rPr>
              <w:t>%</w:t>
            </w:r>
            <w:r w:rsidRPr="00BE23C5">
              <w:rPr>
                <w:rFonts w:ascii="Arial Narrow" w:hAnsi="Arial Narrow"/>
                <w:sz w:val="20"/>
                <w:szCs w:val="20"/>
              </w:rPr>
              <w:t xml:space="preserve">) </w:t>
            </w:r>
          </w:p>
        </w:tc>
        <w:tc>
          <w:tcPr>
            <w:tcW w:w="736" w:type="pct"/>
            <w:gridSpan w:val="2"/>
            <w:tcBorders>
              <w:top w:val="single" w:sz="4" w:space="0" w:color="auto"/>
              <w:left w:val="single" w:sz="4" w:space="0" w:color="auto"/>
              <w:bottom w:val="single" w:sz="4" w:space="0" w:color="auto"/>
              <w:right w:val="single" w:sz="4" w:space="0" w:color="auto"/>
            </w:tcBorders>
            <w:shd w:val="clear" w:color="auto" w:fill="auto"/>
          </w:tcPr>
          <w:p w:rsidR="00011E78" w:rsidRPr="00BE23C5" w:rsidRDefault="00242A7F" w:rsidP="007F5EE0">
            <w:pPr>
              <w:keepNext/>
              <w:keepLines/>
              <w:jc w:val="center"/>
              <w:rPr>
                <w:rFonts w:ascii="Arial Narrow" w:hAnsi="Arial Narrow"/>
                <w:sz w:val="20"/>
                <w:szCs w:val="20"/>
              </w:rPr>
            </w:pPr>
            <w:r w:rsidRPr="00BE23C5">
              <w:rPr>
                <w:rFonts w:ascii="Arial Narrow" w:hAnsi="Arial Narrow"/>
                <w:sz w:val="20"/>
                <w:szCs w:val="20"/>
              </w:rPr>
              <w:t>184/1</w:t>
            </w:r>
            <w:r w:rsidR="00C91339" w:rsidRPr="00BE23C5">
              <w:rPr>
                <w:rFonts w:ascii="Arial Narrow" w:hAnsi="Arial Narrow"/>
                <w:sz w:val="20"/>
                <w:szCs w:val="20"/>
              </w:rPr>
              <w:t>,</w:t>
            </w:r>
            <w:r w:rsidRPr="00BE23C5">
              <w:rPr>
                <w:rFonts w:ascii="Arial Narrow" w:hAnsi="Arial Narrow"/>
                <w:sz w:val="20"/>
                <w:szCs w:val="20"/>
              </w:rPr>
              <w:t>408</w:t>
            </w:r>
          </w:p>
          <w:p w:rsidR="00242A7F" w:rsidRPr="00BE23C5" w:rsidRDefault="00242A7F" w:rsidP="007F5EE0">
            <w:pPr>
              <w:keepNext/>
              <w:keepLines/>
              <w:jc w:val="center"/>
              <w:rPr>
                <w:rFonts w:ascii="Arial Narrow" w:hAnsi="Arial Narrow"/>
                <w:color w:val="000000"/>
                <w:sz w:val="20"/>
                <w:szCs w:val="20"/>
              </w:rPr>
            </w:pPr>
            <w:r w:rsidRPr="00BE23C5">
              <w:rPr>
                <w:rFonts w:ascii="Arial Narrow" w:hAnsi="Arial Narrow"/>
                <w:sz w:val="20"/>
                <w:szCs w:val="20"/>
              </w:rPr>
              <w:t>(13.1</w:t>
            </w:r>
            <w:r w:rsidR="00C91339" w:rsidRPr="00BE23C5">
              <w:rPr>
                <w:rFonts w:ascii="Arial Narrow" w:hAnsi="Arial Narrow"/>
                <w:sz w:val="20"/>
                <w:szCs w:val="20"/>
              </w:rPr>
              <w:t>%</w:t>
            </w:r>
            <w:r w:rsidRPr="00BE23C5">
              <w:rPr>
                <w:rFonts w:ascii="Arial Narrow" w:hAnsi="Arial Narrow"/>
                <w:sz w:val="20"/>
                <w:szCs w:val="20"/>
              </w:rPr>
              <w:t>)</w:t>
            </w:r>
          </w:p>
        </w:tc>
        <w:tc>
          <w:tcPr>
            <w:tcW w:w="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E78" w:rsidRPr="00BE23C5" w:rsidRDefault="00C91339" w:rsidP="007F5EE0">
            <w:pPr>
              <w:keepNext/>
              <w:keepLines/>
              <w:jc w:val="center"/>
              <w:rPr>
                <w:rFonts w:ascii="Arial Narrow" w:hAnsi="Arial Narrow"/>
                <w:sz w:val="20"/>
                <w:szCs w:val="20"/>
              </w:rPr>
            </w:pPr>
            <w:r w:rsidRPr="00BE23C5">
              <w:rPr>
                <w:rFonts w:ascii="Arial Narrow" w:hAnsi="Arial Narrow"/>
                <w:sz w:val="20"/>
                <w:szCs w:val="20"/>
              </w:rPr>
              <w:t>3.80</w:t>
            </w:r>
          </w:p>
          <w:p w:rsidR="00242A7F" w:rsidRPr="00BE23C5" w:rsidRDefault="00C91339" w:rsidP="007F5EE0">
            <w:pPr>
              <w:keepNext/>
              <w:keepLines/>
              <w:jc w:val="center"/>
              <w:rPr>
                <w:rFonts w:ascii="Arial Narrow" w:hAnsi="Arial Narrow"/>
                <w:color w:val="000000"/>
                <w:sz w:val="20"/>
                <w:szCs w:val="20"/>
              </w:rPr>
            </w:pPr>
            <w:r w:rsidRPr="00BE23C5">
              <w:rPr>
                <w:rFonts w:ascii="Arial Narrow" w:hAnsi="Arial Narrow"/>
                <w:sz w:val="20"/>
                <w:szCs w:val="20"/>
              </w:rPr>
              <w:t>(3.29</w:t>
            </w:r>
            <w:r w:rsidR="00242A7F" w:rsidRPr="00BE23C5">
              <w:rPr>
                <w:rFonts w:ascii="Arial Narrow" w:hAnsi="Arial Narrow"/>
                <w:sz w:val="20"/>
                <w:szCs w:val="20"/>
              </w:rPr>
              <w:t>,</w:t>
            </w:r>
            <w:r w:rsidRPr="00BE23C5">
              <w:rPr>
                <w:rFonts w:ascii="Arial Narrow" w:hAnsi="Arial Narrow"/>
                <w:sz w:val="20"/>
                <w:szCs w:val="20"/>
              </w:rPr>
              <w:t xml:space="preserve"> </w:t>
            </w:r>
            <w:r w:rsidR="00242A7F" w:rsidRPr="00BE23C5">
              <w:rPr>
                <w:rFonts w:ascii="Arial Narrow" w:hAnsi="Arial Narrow"/>
                <w:sz w:val="20"/>
                <w:szCs w:val="20"/>
              </w:rPr>
              <w:t>4.</w:t>
            </w:r>
            <w:r w:rsidRPr="00BE23C5">
              <w:rPr>
                <w:rFonts w:ascii="Arial Narrow" w:hAnsi="Arial Narrow"/>
                <w:sz w:val="20"/>
                <w:szCs w:val="20"/>
              </w:rPr>
              <w:t>40</w:t>
            </w:r>
            <w:r w:rsidR="00242A7F" w:rsidRPr="00BE23C5">
              <w:rPr>
                <w:rFonts w:ascii="Arial Narrow" w:hAnsi="Arial Narrow"/>
                <w:sz w:val="20"/>
                <w:szCs w:val="20"/>
              </w:rPr>
              <w:t>)</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242A7F" w:rsidRPr="00BE23C5" w:rsidRDefault="006371CA" w:rsidP="007F5EE0">
            <w:pPr>
              <w:keepNext/>
              <w:keepLines/>
              <w:jc w:val="center"/>
              <w:rPr>
                <w:rFonts w:ascii="Arial Narrow" w:hAnsi="Arial Narrow"/>
                <w:color w:val="000000"/>
                <w:sz w:val="20"/>
                <w:szCs w:val="20"/>
              </w:rPr>
            </w:pPr>
            <w:r w:rsidRPr="00BE23C5">
              <w:rPr>
                <w:rFonts w:ascii="Arial Narrow" w:hAnsi="Arial Narrow"/>
                <w:sz w:val="20"/>
                <w:szCs w:val="20"/>
              </w:rPr>
              <w:t>49.7</w:t>
            </w:r>
          </w:p>
        </w:tc>
        <w:tc>
          <w:tcPr>
            <w:tcW w:w="5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2A7F" w:rsidRPr="00BE23C5" w:rsidRDefault="006371CA" w:rsidP="007F5EE0">
            <w:pPr>
              <w:keepNext/>
              <w:keepLines/>
              <w:jc w:val="center"/>
              <w:rPr>
                <w:rFonts w:ascii="Arial Narrow" w:hAnsi="Arial Narrow"/>
                <w:color w:val="000000"/>
                <w:sz w:val="20"/>
                <w:szCs w:val="20"/>
              </w:rPr>
            </w:pPr>
            <w:r w:rsidRPr="00BE23C5">
              <w:rPr>
                <w:rFonts w:ascii="Arial Narrow" w:hAnsi="Arial Narrow"/>
                <w:sz w:val="20"/>
                <w:szCs w:val="20"/>
              </w:rPr>
              <w:t>13.1</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rsidR="00242A7F" w:rsidRPr="00BE23C5" w:rsidRDefault="006371CA" w:rsidP="007F5EE0">
            <w:pPr>
              <w:keepNext/>
              <w:keepLines/>
              <w:jc w:val="center"/>
              <w:rPr>
                <w:rFonts w:ascii="Arial Narrow" w:hAnsi="Arial Narrow"/>
                <w:color w:val="000000"/>
                <w:sz w:val="20"/>
                <w:szCs w:val="20"/>
              </w:rPr>
            </w:pPr>
            <w:r w:rsidRPr="00BE23C5">
              <w:rPr>
                <w:rFonts w:ascii="Arial Narrow" w:hAnsi="Arial Narrow"/>
                <w:color w:val="000000"/>
                <w:sz w:val="20"/>
                <w:szCs w:val="20"/>
              </w:rPr>
              <w:t>36.6%</w:t>
            </w:r>
          </w:p>
          <w:p w:rsidR="004D4FC9" w:rsidRPr="00BE23C5" w:rsidRDefault="004D4FC9" w:rsidP="007F5EE0">
            <w:pPr>
              <w:keepNext/>
              <w:keepLines/>
              <w:jc w:val="center"/>
              <w:rPr>
                <w:rFonts w:ascii="Arial Narrow" w:hAnsi="Arial Narrow"/>
                <w:color w:val="000000"/>
                <w:sz w:val="20"/>
                <w:szCs w:val="20"/>
              </w:rPr>
            </w:pPr>
            <w:r w:rsidRPr="00BE23C5">
              <w:rPr>
                <w:rFonts w:ascii="Arial Narrow" w:hAnsi="Arial Narrow"/>
                <w:color w:val="000000"/>
                <w:sz w:val="20"/>
                <w:szCs w:val="20"/>
              </w:rPr>
              <w:t>(33.5%,</w:t>
            </w:r>
            <w:r w:rsidR="005F4239" w:rsidRPr="00BE23C5">
              <w:rPr>
                <w:rFonts w:ascii="Arial Narrow" w:hAnsi="Arial Narrow"/>
                <w:color w:val="000000"/>
                <w:sz w:val="20"/>
                <w:szCs w:val="20"/>
              </w:rPr>
              <w:t xml:space="preserve"> </w:t>
            </w:r>
            <w:r w:rsidRPr="00BE23C5">
              <w:rPr>
                <w:rFonts w:ascii="Arial Narrow" w:hAnsi="Arial Narrow"/>
                <w:color w:val="000000"/>
                <w:sz w:val="20"/>
                <w:szCs w:val="20"/>
              </w:rPr>
              <w:t>39.8%)</w:t>
            </w:r>
          </w:p>
        </w:tc>
      </w:tr>
      <w:tr w:rsidR="00F72191" w:rsidRPr="00BE23C5" w:rsidTr="002A4F8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242A7F" w:rsidRPr="00BE23C5" w:rsidRDefault="005F4239" w:rsidP="007F5EE0">
            <w:pPr>
              <w:keepNext/>
              <w:keepLines/>
              <w:jc w:val="left"/>
              <w:rPr>
                <w:rFonts w:ascii="Arial Narrow" w:hAnsi="Arial Narrow"/>
                <w:color w:val="000000"/>
                <w:sz w:val="20"/>
                <w:szCs w:val="20"/>
              </w:rPr>
            </w:pPr>
            <w:r w:rsidRPr="00BE23C5">
              <w:rPr>
                <w:rFonts w:ascii="Arial Narrow" w:hAnsi="Arial Narrow"/>
                <w:b/>
                <w:color w:val="000000"/>
                <w:sz w:val="20"/>
                <w:szCs w:val="20"/>
              </w:rPr>
              <w:t>SAE</w:t>
            </w:r>
          </w:p>
        </w:tc>
        <w:tc>
          <w:tcPr>
            <w:tcW w:w="736" w:type="pct"/>
            <w:tcBorders>
              <w:top w:val="single" w:sz="4" w:space="0" w:color="auto"/>
              <w:left w:val="single" w:sz="4" w:space="0" w:color="auto"/>
              <w:bottom w:val="single" w:sz="4" w:space="0" w:color="auto"/>
              <w:right w:val="single" w:sz="4" w:space="0" w:color="auto"/>
            </w:tcBorders>
            <w:shd w:val="clear" w:color="auto" w:fill="auto"/>
          </w:tcPr>
          <w:p w:rsidR="00011E78" w:rsidRPr="00BE23C5" w:rsidRDefault="00242A7F" w:rsidP="007F5EE0">
            <w:pPr>
              <w:keepNext/>
              <w:keepLines/>
              <w:jc w:val="center"/>
              <w:rPr>
                <w:rFonts w:ascii="Arial Narrow" w:hAnsi="Arial Narrow"/>
                <w:sz w:val="20"/>
                <w:szCs w:val="20"/>
              </w:rPr>
            </w:pPr>
            <w:r w:rsidRPr="00BE23C5">
              <w:rPr>
                <w:rFonts w:ascii="Arial Narrow" w:hAnsi="Arial Narrow"/>
                <w:sz w:val="20"/>
                <w:szCs w:val="20"/>
              </w:rPr>
              <w:t>103/1</w:t>
            </w:r>
            <w:r w:rsidR="00C91339" w:rsidRPr="00BE23C5">
              <w:rPr>
                <w:rFonts w:ascii="Arial Narrow" w:hAnsi="Arial Narrow"/>
                <w:sz w:val="20"/>
                <w:szCs w:val="20"/>
              </w:rPr>
              <w:t>,</w:t>
            </w:r>
            <w:r w:rsidRPr="00BE23C5">
              <w:rPr>
                <w:rFonts w:ascii="Arial Narrow" w:hAnsi="Arial Narrow"/>
                <w:sz w:val="20"/>
                <w:szCs w:val="20"/>
              </w:rPr>
              <w:t>408</w:t>
            </w:r>
          </w:p>
          <w:p w:rsidR="00242A7F" w:rsidRPr="00BE23C5" w:rsidRDefault="00242A7F" w:rsidP="007F5EE0">
            <w:pPr>
              <w:keepNext/>
              <w:keepLines/>
              <w:jc w:val="center"/>
              <w:rPr>
                <w:rFonts w:ascii="Arial Narrow" w:hAnsi="Arial Narrow"/>
                <w:color w:val="000000"/>
                <w:sz w:val="20"/>
                <w:szCs w:val="20"/>
              </w:rPr>
            </w:pPr>
            <w:r w:rsidRPr="00BE23C5">
              <w:rPr>
                <w:rFonts w:ascii="Arial Narrow" w:hAnsi="Arial Narrow"/>
                <w:sz w:val="20"/>
                <w:szCs w:val="20"/>
              </w:rPr>
              <w:t>(7.3</w:t>
            </w:r>
            <w:r w:rsidR="00C91339" w:rsidRPr="00BE23C5">
              <w:rPr>
                <w:rFonts w:ascii="Arial Narrow" w:hAnsi="Arial Narrow"/>
                <w:sz w:val="20"/>
                <w:szCs w:val="20"/>
              </w:rPr>
              <w:t>%</w:t>
            </w:r>
            <w:r w:rsidRPr="00BE23C5">
              <w:rPr>
                <w:rFonts w:ascii="Arial Narrow" w:hAnsi="Arial Narrow"/>
                <w:sz w:val="20"/>
                <w:szCs w:val="20"/>
              </w:rPr>
              <w:t xml:space="preserve">) </w:t>
            </w:r>
          </w:p>
        </w:tc>
        <w:tc>
          <w:tcPr>
            <w:tcW w:w="736" w:type="pct"/>
            <w:gridSpan w:val="2"/>
            <w:tcBorders>
              <w:top w:val="single" w:sz="4" w:space="0" w:color="auto"/>
              <w:left w:val="single" w:sz="4" w:space="0" w:color="auto"/>
              <w:bottom w:val="single" w:sz="4" w:space="0" w:color="auto"/>
              <w:right w:val="single" w:sz="4" w:space="0" w:color="auto"/>
            </w:tcBorders>
            <w:shd w:val="clear" w:color="auto" w:fill="auto"/>
          </w:tcPr>
          <w:p w:rsidR="00011E78" w:rsidRPr="00BE23C5" w:rsidRDefault="00011E78" w:rsidP="007F5EE0">
            <w:pPr>
              <w:keepNext/>
              <w:keepLines/>
              <w:jc w:val="center"/>
              <w:rPr>
                <w:rFonts w:ascii="Arial Narrow" w:hAnsi="Arial Narrow"/>
                <w:sz w:val="20"/>
                <w:szCs w:val="20"/>
              </w:rPr>
            </w:pPr>
            <w:r w:rsidRPr="00BE23C5">
              <w:rPr>
                <w:rFonts w:ascii="Arial Narrow" w:hAnsi="Arial Narrow"/>
                <w:sz w:val="20"/>
                <w:szCs w:val="20"/>
              </w:rPr>
              <w:t>85/</w:t>
            </w:r>
            <w:r w:rsidR="00242A7F" w:rsidRPr="00BE23C5">
              <w:rPr>
                <w:rFonts w:ascii="Arial Narrow" w:hAnsi="Arial Narrow"/>
                <w:sz w:val="20"/>
                <w:szCs w:val="20"/>
              </w:rPr>
              <w:t>1</w:t>
            </w:r>
            <w:r w:rsidR="00C91339" w:rsidRPr="00BE23C5">
              <w:rPr>
                <w:rFonts w:ascii="Arial Narrow" w:hAnsi="Arial Narrow"/>
                <w:sz w:val="20"/>
                <w:szCs w:val="20"/>
              </w:rPr>
              <w:t>,</w:t>
            </w:r>
            <w:r w:rsidR="00242A7F" w:rsidRPr="00BE23C5">
              <w:rPr>
                <w:rFonts w:ascii="Arial Narrow" w:hAnsi="Arial Narrow"/>
                <w:sz w:val="20"/>
                <w:szCs w:val="20"/>
              </w:rPr>
              <w:t>408</w:t>
            </w:r>
          </w:p>
          <w:p w:rsidR="00242A7F" w:rsidRPr="00BE23C5" w:rsidRDefault="00242A7F" w:rsidP="007F5EE0">
            <w:pPr>
              <w:keepNext/>
              <w:keepLines/>
              <w:jc w:val="center"/>
              <w:rPr>
                <w:rFonts w:ascii="Arial Narrow" w:hAnsi="Arial Narrow"/>
                <w:color w:val="000000"/>
                <w:sz w:val="20"/>
                <w:szCs w:val="20"/>
              </w:rPr>
            </w:pPr>
            <w:r w:rsidRPr="00BE23C5">
              <w:rPr>
                <w:rFonts w:ascii="Arial Narrow" w:hAnsi="Arial Narrow"/>
                <w:sz w:val="20"/>
                <w:szCs w:val="20"/>
              </w:rPr>
              <w:t>(6.0</w:t>
            </w:r>
            <w:r w:rsidR="00C91339" w:rsidRPr="00BE23C5">
              <w:rPr>
                <w:rFonts w:ascii="Arial Narrow" w:hAnsi="Arial Narrow"/>
                <w:sz w:val="20"/>
                <w:szCs w:val="20"/>
              </w:rPr>
              <w:t>%</w:t>
            </w:r>
            <w:r w:rsidRPr="00BE23C5">
              <w:rPr>
                <w:rFonts w:ascii="Arial Narrow" w:hAnsi="Arial Narrow"/>
                <w:sz w:val="20"/>
                <w:szCs w:val="20"/>
              </w:rPr>
              <w:t>)</w:t>
            </w:r>
          </w:p>
        </w:tc>
        <w:tc>
          <w:tcPr>
            <w:tcW w:w="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E78" w:rsidRPr="00BE23C5" w:rsidRDefault="00242A7F" w:rsidP="007F5EE0">
            <w:pPr>
              <w:keepNext/>
              <w:keepLines/>
              <w:jc w:val="center"/>
              <w:rPr>
                <w:rFonts w:ascii="Arial Narrow" w:hAnsi="Arial Narrow"/>
                <w:sz w:val="20"/>
                <w:szCs w:val="20"/>
              </w:rPr>
            </w:pPr>
            <w:r w:rsidRPr="00BE23C5">
              <w:rPr>
                <w:rFonts w:ascii="Arial Narrow" w:hAnsi="Arial Narrow"/>
                <w:sz w:val="20"/>
                <w:szCs w:val="20"/>
              </w:rPr>
              <w:t>1.21</w:t>
            </w:r>
          </w:p>
          <w:p w:rsidR="00242A7F" w:rsidRPr="00BE23C5" w:rsidRDefault="00C91339" w:rsidP="007F5EE0">
            <w:pPr>
              <w:keepNext/>
              <w:keepLines/>
              <w:jc w:val="center"/>
              <w:rPr>
                <w:rFonts w:ascii="Arial Narrow" w:hAnsi="Arial Narrow"/>
                <w:color w:val="000000"/>
                <w:sz w:val="20"/>
                <w:szCs w:val="20"/>
              </w:rPr>
            </w:pPr>
            <w:r w:rsidRPr="00BE23C5">
              <w:rPr>
                <w:rFonts w:ascii="Arial Narrow" w:hAnsi="Arial Narrow"/>
                <w:sz w:val="20"/>
                <w:szCs w:val="20"/>
              </w:rPr>
              <w:t xml:space="preserve"> (0.92</w:t>
            </w:r>
            <w:r w:rsidR="00242A7F" w:rsidRPr="00BE23C5">
              <w:rPr>
                <w:rFonts w:ascii="Arial Narrow" w:hAnsi="Arial Narrow"/>
                <w:sz w:val="20"/>
                <w:szCs w:val="20"/>
              </w:rPr>
              <w:t>, 1.</w:t>
            </w:r>
            <w:r w:rsidRPr="00BE23C5">
              <w:rPr>
                <w:rFonts w:ascii="Arial Narrow" w:hAnsi="Arial Narrow"/>
                <w:sz w:val="20"/>
                <w:szCs w:val="20"/>
              </w:rPr>
              <w:t>60</w:t>
            </w:r>
            <w:r w:rsidR="00242A7F" w:rsidRPr="00BE23C5">
              <w:rPr>
                <w:rFonts w:ascii="Arial Narrow" w:hAnsi="Arial Narrow"/>
                <w:sz w:val="20"/>
                <w:szCs w:val="20"/>
              </w:rPr>
              <w:t>)</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242A7F" w:rsidRPr="00BE23C5" w:rsidRDefault="006371CA" w:rsidP="007F5EE0">
            <w:pPr>
              <w:keepNext/>
              <w:keepLines/>
              <w:jc w:val="center"/>
              <w:rPr>
                <w:rFonts w:ascii="Arial Narrow" w:hAnsi="Arial Narrow"/>
                <w:color w:val="000000"/>
                <w:sz w:val="20"/>
                <w:szCs w:val="20"/>
              </w:rPr>
            </w:pPr>
            <w:r w:rsidRPr="00BE23C5">
              <w:rPr>
                <w:rFonts w:ascii="Arial Narrow" w:hAnsi="Arial Narrow"/>
                <w:color w:val="000000"/>
                <w:sz w:val="20"/>
                <w:szCs w:val="20"/>
              </w:rPr>
              <w:t>7.3</w:t>
            </w:r>
          </w:p>
        </w:tc>
        <w:tc>
          <w:tcPr>
            <w:tcW w:w="5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2A7F" w:rsidRPr="00BE23C5" w:rsidRDefault="006371CA" w:rsidP="007F5EE0">
            <w:pPr>
              <w:keepNext/>
              <w:keepLines/>
              <w:jc w:val="center"/>
              <w:rPr>
                <w:rFonts w:ascii="Arial Narrow" w:hAnsi="Arial Narrow"/>
                <w:color w:val="000000"/>
                <w:sz w:val="20"/>
                <w:szCs w:val="20"/>
              </w:rPr>
            </w:pPr>
            <w:r w:rsidRPr="00BE23C5">
              <w:rPr>
                <w:rFonts w:ascii="Arial Narrow" w:hAnsi="Arial Narrow"/>
                <w:color w:val="000000"/>
                <w:sz w:val="20"/>
                <w:szCs w:val="20"/>
              </w:rPr>
              <w:t>6.0</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rsidR="00242A7F" w:rsidRPr="00BE23C5" w:rsidRDefault="004D4FC9" w:rsidP="007F5EE0">
            <w:pPr>
              <w:keepNext/>
              <w:keepLines/>
              <w:jc w:val="center"/>
              <w:rPr>
                <w:rFonts w:ascii="Arial Narrow" w:hAnsi="Arial Narrow"/>
                <w:color w:val="000000"/>
                <w:sz w:val="20"/>
                <w:szCs w:val="20"/>
              </w:rPr>
            </w:pPr>
            <w:r w:rsidRPr="00BE23C5">
              <w:rPr>
                <w:rFonts w:ascii="Arial Narrow" w:hAnsi="Arial Narrow"/>
                <w:color w:val="000000"/>
                <w:sz w:val="20"/>
                <w:szCs w:val="20"/>
              </w:rPr>
              <w:t>1.3%</w:t>
            </w:r>
          </w:p>
          <w:p w:rsidR="004D4FC9" w:rsidRPr="00BE23C5" w:rsidRDefault="004D4FC9" w:rsidP="007F5EE0">
            <w:pPr>
              <w:keepNext/>
              <w:keepLines/>
              <w:jc w:val="center"/>
              <w:rPr>
                <w:rFonts w:ascii="Arial Narrow" w:hAnsi="Arial Narrow"/>
                <w:color w:val="000000"/>
                <w:sz w:val="20"/>
                <w:szCs w:val="20"/>
              </w:rPr>
            </w:pPr>
            <w:r w:rsidRPr="00BE23C5">
              <w:rPr>
                <w:rFonts w:ascii="Arial Narrow" w:hAnsi="Arial Narrow"/>
                <w:color w:val="000000"/>
                <w:sz w:val="20"/>
                <w:szCs w:val="20"/>
              </w:rPr>
              <w:t>(-0.6%,</w:t>
            </w:r>
            <w:r w:rsidR="005F4239" w:rsidRPr="00BE23C5">
              <w:rPr>
                <w:rFonts w:ascii="Arial Narrow" w:hAnsi="Arial Narrow"/>
                <w:color w:val="000000"/>
                <w:sz w:val="20"/>
                <w:szCs w:val="20"/>
              </w:rPr>
              <w:t xml:space="preserve"> </w:t>
            </w:r>
            <w:r w:rsidRPr="00BE23C5">
              <w:rPr>
                <w:rFonts w:ascii="Arial Narrow" w:hAnsi="Arial Narrow"/>
                <w:color w:val="000000"/>
                <w:sz w:val="20"/>
                <w:szCs w:val="20"/>
              </w:rPr>
              <w:t>3.1%)</w:t>
            </w:r>
          </w:p>
        </w:tc>
      </w:tr>
      <w:tr w:rsidR="00F72191" w:rsidRPr="00BE23C5" w:rsidTr="002A4F8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5F4239" w:rsidRPr="00BE23C5" w:rsidRDefault="005F4239" w:rsidP="007F5EE0">
            <w:pPr>
              <w:keepNext/>
              <w:keepLines/>
              <w:jc w:val="left"/>
              <w:rPr>
                <w:rFonts w:ascii="Arial Narrow" w:hAnsi="Arial Narrow"/>
                <w:color w:val="000000"/>
                <w:sz w:val="20"/>
                <w:szCs w:val="20"/>
              </w:rPr>
            </w:pPr>
            <w:r w:rsidRPr="00BE23C5">
              <w:rPr>
                <w:rFonts w:ascii="Arial Narrow" w:hAnsi="Arial Narrow"/>
                <w:b/>
                <w:color w:val="000000"/>
                <w:sz w:val="20"/>
                <w:szCs w:val="20"/>
              </w:rPr>
              <w:t>Any grade diarrhoea</w:t>
            </w:r>
          </w:p>
        </w:tc>
        <w:tc>
          <w:tcPr>
            <w:tcW w:w="736" w:type="pct"/>
            <w:tcBorders>
              <w:top w:val="single" w:sz="4" w:space="0" w:color="auto"/>
              <w:left w:val="single" w:sz="4" w:space="0" w:color="auto"/>
              <w:bottom w:val="single" w:sz="4" w:space="0" w:color="auto"/>
              <w:right w:val="single" w:sz="4" w:space="0" w:color="auto"/>
            </w:tcBorders>
            <w:shd w:val="clear" w:color="auto" w:fill="auto"/>
          </w:tcPr>
          <w:p w:rsidR="005F4239" w:rsidRPr="00BE23C5" w:rsidRDefault="005F4239" w:rsidP="007F5EE0">
            <w:pPr>
              <w:keepNext/>
              <w:keepLines/>
              <w:jc w:val="center"/>
              <w:rPr>
                <w:rFonts w:ascii="Arial Narrow" w:hAnsi="Arial Narrow"/>
                <w:sz w:val="20"/>
                <w:szCs w:val="20"/>
              </w:rPr>
            </w:pPr>
            <w:r w:rsidRPr="00BE23C5">
              <w:rPr>
                <w:rFonts w:ascii="Arial Narrow" w:hAnsi="Arial Narrow"/>
                <w:sz w:val="20"/>
                <w:szCs w:val="20"/>
              </w:rPr>
              <w:t>1</w:t>
            </w:r>
            <w:r w:rsidR="00C91339" w:rsidRPr="00BE23C5">
              <w:rPr>
                <w:rFonts w:ascii="Arial Narrow" w:hAnsi="Arial Narrow"/>
                <w:sz w:val="20"/>
                <w:szCs w:val="20"/>
              </w:rPr>
              <w:t>,</w:t>
            </w:r>
            <w:r w:rsidRPr="00BE23C5">
              <w:rPr>
                <w:rFonts w:ascii="Arial Narrow" w:hAnsi="Arial Narrow"/>
                <w:sz w:val="20"/>
                <w:szCs w:val="20"/>
              </w:rPr>
              <w:t>343/1</w:t>
            </w:r>
            <w:r w:rsidR="00C91339" w:rsidRPr="00BE23C5">
              <w:rPr>
                <w:rFonts w:ascii="Arial Narrow" w:hAnsi="Arial Narrow"/>
                <w:sz w:val="20"/>
                <w:szCs w:val="20"/>
              </w:rPr>
              <w:t>,</w:t>
            </w:r>
            <w:r w:rsidRPr="00BE23C5">
              <w:rPr>
                <w:rFonts w:ascii="Arial Narrow" w:hAnsi="Arial Narrow"/>
                <w:sz w:val="20"/>
                <w:szCs w:val="20"/>
              </w:rPr>
              <w:t>408</w:t>
            </w:r>
          </w:p>
          <w:p w:rsidR="005F4239" w:rsidRPr="00BE23C5" w:rsidRDefault="005F4239" w:rsidP="007F5EE0">
            <w:pPr>
              <w:keepNext/>
              <w:keepLines/>
              <w:jc w:val="center"/>
              <w:rPr>
                <w:rFonts w:ascii="Arial Narrow" w:hAnsi="Arial Narrow"/>
                <w:color w:val="000000"/>
                <w:sz w:val="20"/>
                <w:szCs w:val="20"/>
              </w:rPr>
            </w:pPr>
            <w:r w:rsidRPr="00BE23C5">
              <w:rPr>
                <w:rFonts w:ascii="Arial Narrow" w:hAnsi="Arial Narrow"/>
                <w:sz w:val="20"/>
                <w:szCs w:val="20"/>
              </w:rPr>
              <w:t>(95.4</w:t>
            </w:r>
            <w:r w:rsidR="00C91339" w:rsidRPr="00BE23C5">
              <w:rPr>
                <w:rFonts w:ascii="Arial Narrow" w:hAnsi="Arial Narrow"/>
                <w:sz w:val="20"/>
                <w:szCs w:val="20"/>
              </w:rPr>
              <w:t>%</w:t>
            </w:r>
            <w:r w:rsidRPr="00BE23C5">
              <w:rPr>
                <w:rFonts w:ascii="Arial Narrow" w:hAnsi="Arial Narrow"/>
                <w:sz w:val="20"/>
                <w:szCs w:val="20"/>
              </w:rPr>
              <w:t xml:space="preserve">) </w:t>
            </w:r>
          </w:p>
        </w:tc>
        <w:tc>
          <w:tcPr>
            <w:tcW w:w="736" w:type="pct"/>
            <w:gridSpan w:val="2"/>
            <w:tcBorders>
              <w:top w:val="single" w:sz="4" w:space="0" w:color="auto"/>
              <w:left w:val="single" w:sz="4" w:space="0" w:color="auto"/>
              <w:bottom w:val="single" w:sz="4" w:space="0" w:color="auto"/>
              <w:right w:val="single" w:sz="4" w:space="0" w:color="auto"/>
            </w:tcBorders>
            <w:shd w:val="clear" w:color="auto" w:fill="auto"/>
          </w:tcPr>
          <w:p w:rsidR="005F4239" w:rsidRPr="00BE23C5" w:rsidRDefault="005F4239" w:rsidP="007F5EE0">
            <w:pPr>
              <w:keepNext/>
              <w:keepLines/>
              <w:jc w:val="center"/>
              <w:rPr>
                <w:rFonts w:ascii="Arial Narrow" w:hAnsi="Arial Narrow"/>
                <w:sz w:val="20"/>
                <w:szCs w:val="20"/>
              </w:rPr>
            </w:pPr>
            <w:r w:rsidRPr="00BE23C5">
              <w:rPr>
                <w:rFonts w:ascii="Arial Narrow" w:hAnsi="Arial Narrow"/>
                <w:sz w:val="20"/>
                <w:szCs w:val="20"/>
              </w:rPr>
              <w:t>499/1</w:t>
            </w:r>
            <w:r w:rsidR="00C91339" w:rsidRPr="00BE23C5">
              <w:rPr>
                <w:rFonts w:ascii="Arial Narrow" w:hAnsi="Arial Narrow"/>
                <w:sz w:val="20"/>
                <w:szCs w:val="20"/>
              </w:rPr>
              <w:t>,</w:t>
            </w:r>
            <w:r w:rsidRPr="00BE23C5">
              <w:rPr>
                <w:rFonts w:ascii="Arial Narrow" w:hAnsi="Arial Narrow"/>
                <w:sz w:val="20"/>
                <w:szCs w:val="20"/>
              </w:rPr>
              <w:t>408</w:t>
            </w:r>
          </w:p>
          <w:p w:rsidR="005F4239" w:rsidRPr="00BE23C5" w:rsidRDefault="005F4239" w:rsidP="007F5EE0">
            <w:pPr>
              <w:keepNext/>
              <w:keepLines/>
              <w:jc w:val="center"/>
              <w:rPr>
                <w:rFonts w:ascii="Arial Narrow" w:hAnsi="Arial Narrow"/>
                <w:color w:val="000000"/>
                <w:sz w:val="20"/>
                <w:szCs w:val="20"/>
              </w:rPr>
            </w:pPr>
            <w:r w:rsidRPr="00BE23C5">
              <w:rPr>
                <w:rFonts w:ascii="Arial Narrow" w:hAnsi="Arial Narrow"/>
                <w:sz w:val="20"/>
                <w:szCs w:val="20"/>
              </w:rPr>
              <w:t>(35.4</w:t>
            </w:r>
            <w:r w:rsidR="00C91339" w:rsidRPr="00BE23C5">
              <w:rPr>
                <w:rFonts w:ascii="Arial Narrow" w:hAnsi="Arial Narrow"/>
                <w:sz w:val="20"/>
                <w:szCs w:val="20"/>
              </w:rPr>
              <w:t>%</w:t>
            </w:r>
            <w:r w:rsidRPr="00BE23C5">
              <w:rPr>
                <w:rFonts w:ascii="Arial Narrow" w:hAnsi="Arial Narrow"/>
                <w:sz w:val="20"/>
                <w:szCs w:val="20"/>
              </w:rPr>
              <w:t>)</w:t>
            </w:r>
          </w:p>
        </w:tc>
        <w:tc>
          <w:tcPr>
            <w:tcW w:w="736" w:type="pct"/>
            <w:gridSpan w:val="2"/>
            <w:tcBorders>
              <w:top w:val="single" w:sz="4" w:space="0" w:color="auto"/>
              <w:left w:val="single" w:sz="4" w:space="0" w:color="auto"/>
              <w:bottom w:val="single" w:sz="4" w:space="0" w:color="auto"/>
              <w:right w:val="single" w:sz="4" w:space="0" w:color="auto"/>
            </w:tcBorders>
            <w:shd w:val="clear" w:color="auto" w:fill="auto"/>
          </w:tcPr>
          <w:p w:rsidR="005F4239" w:rsidRPr="00BE23C5" w:rsidRDefault="005F4239" w:rsidP="007F5EE0">
            <w:pPr>
              <w:keepNext/>
              <w:keepLines/>
              <w:jc w:val="center"/>
              <w:rPr>
                <w:rFonts w:ascii="Arial Narrow" w:hAnsi="Arial Narrow"/>
                <w:sz w:val="20"/>
                <w:szCs w:val="20"/>
              </w:rPr>
            </w:pPr>
            <w:r w:rsidRPr="00BE23C5">
              <w:rPr>
                <w:rFonts w:ascii="Arial Narrow" w:hAnsi="Arial Narrow"/>
                <w:sz w:val="20"/>
                <w:szCs w:val="20"/>
              </w:rPr>
              <w:t>2.69</w:t>
            </w:r>
          </w:p>
          <w:p w:rsidR="005F4239" w:rsidRPr="00BE23C5" w:rsidRDefault="005F4239" w:rsidP="007F5EE0">
            <w:pPr>
              <w:keepNext/>
              <w:keepLines/>
              <w:jc w:val="center"/>
              <w:rPr>
                <w:rFonts w:ascii="Arial Narrow" w:hAnsi="Arial Narrow"/>
                <w:color w:val="000000"/>
                <w:sz w:val="20"/>
                <w:szCs w:val="20"/>
              </w:rPr>
            </w:pPr>
            <w:r w:rsidRPr="00BE23C5">
              <w:rPr>
                <w:rFonts w:ascii="Arial Narrow" w:hAnsi="Arial Narrow"/>
                <w:sz w:val="20"/>
                <w:szCs w:val="20"/>
              </w:rPr>
              <w:t>(2.5</w:t>
            </w:r>
            <w:r w:rsidR="00C91339" w:rsidRPr="00BE23C5">
              <w:rPr>
                <w:rFonts w:ascii="Arial Narrow" w:hAnsi="Arial Narrow"/>
                <w:sz w:val="20"/>
                <w:szCs w:val="20"/>
              </w:rPr>
              <w:t>1</w:t>
            </w:r>
            <w:r w:rsidRPr="00BE23C5">
              <w:rPr>
                <w:rFonts w:ascii="Arial Narrow" w:hAnsi="Arial Narrow"/>
                <w:sz w:val="20"/>
                <w:szCs w:val="20"/>
              </w:rPr>
              <w:t>, 2.89)</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5F4239" w:rsidRPr="00BE23C5" w:rsidRDefault="005F4239" w:rsidP="007F5EE0">
            <w:pPr>
              <w:keepNext/>
              <w:keepLines/>
              <w:jc w:val="center"/>
              <w:rPr>
                <w:rFonts w:ascii="Arial Narrow" w:hAnsi="Arial Narrow"/>
                <w:color w:val="000000"/>
                <w:sz w:val="20"/>
                <w:szCs w:val="20"/>
              </w:rPr>
            </w:pPr>
            <w:r w:rsidRPr="00BE23C5">
              <w:rPr>
                <w:rFonts w:ascii="Arial Narrow" w:hAnsi="Arial Narrow"/>
                <w:sz w:val="20"/>
                <w:szCs w:val="20"/>
              </w:rPr>
              <w:t>95.4</w:t>
            </w:r>
          </w:p>
        </w:tc>
        <w:tc>
          <w:tcPr>
            <w:tcW w:w="5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F4239" w:rsidRPr="00BE23C5" w:rsidRDefault="005F4239" w:rsidP="007F5EE0">
            <w:pPr>
              <w:keepNext/>
              <w:keepLines/>
              <w:jc w:val="center"/>
              <w:rPr>
                <w:rFonts w:ascii="Arial Narrow" w:hAnsi="Arial Narrow"/>
                <w:color w:val="000000"/>
                <w:sz w:val="20"/>
                <w:szCs w:val="20"/>
              </w:rPr>
            </w:pPr>
            <w:r w:rsidRPr="00BE23C5">
              <w:rPr>
                <w:rFonts w:ascii="Arial Narrow" w:hAnsi="Arial Narrow"/>
                <w:sz w:val="20"/>
                <w:szCs w:val="20"/>
              </w:rPr>
              <w:t>35.4</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rsidR="005F4239" w:rsidRPr="00BE23C5" w:rsidRDefault="005F4239" w:rsidP="007F5EE0">
            <w:pPr>
              <w:keepNext/>
              <w:keepLines/>
              <w:jc w:val="center"/>
              <w:rPr>
                <w:rFonts w:ascii="Arial Narrow" w:hAnsi="Arial Narrow"/>
                <w:color w:val="000000"/>
                <w:sz w:val="20"/>
                <w:szCs w:val="20"/>
              </w:rPr>
            </w:pPr>
            <w:r w:rsidRPr="00BE23C5">
              <w:rPr>
                <w:rFonts w:ascii="Arial Narrow" w:hAnsi="Arial Narrow"/>
                <w:color w:val="000000"/>
                <w:sz w:val="20"/>
                <w:szCs w:val="20"/>
              </w:rPr>
              <w:t>59.9%</w:t>
            </w:r>
          </w:p>
          <w:p w:rsidR="005F4239" w:rsidRPr="00BE23C5" w:rsidRDefault="005F4239" w:rsidP="007F5EE0">
            <w:pPr>
              <w:keepNext/>
              <w:keepLines/>
              <w:jc w:val="center"/>
              <w:rPr>
                <w:rFonts w:ascii="Arial Narrow" w:hAnsi="Arial Narrow"/>
                <w:color w:val="000000"/>
                <w:sz w:val="20"/>
                <w:szCs w:val="20"/>
              </w:rPr>
            </w:pPr>
            <w:r w:rsidRPr="00BE23C5">
              <w:rPr>
                <w:rFonts w:ascii="Arial Narrow" w:hAnsi="Arial Narrow"/>
                <w:color w:val="000000"/>
                <w:sz w:val="20"/>
                <w:szCs w:val="20"/>
              </w:rPr>
              <w:t>(57.2%, 62.7%)</w:t>
            </w:r>
          </w:p>
        </w:tc>
      </w:tr>
      <w:tr w:rsidR="00F72191" w:rsidRPr="00BE23C5" w:rsidTr="002A4F8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5F4239" w:rsidRPr="00BE23C5" w:rsidRDefault="005F4239" w:rsidP="007F5EE0">
            <w:pPr>
              <w:keepNext/>
              <w:keepLines/>
              <w:jc w:val="left"/>
              <w:rPr>
                <w:rFonts w:ascii="Arial Narrow" w:hAnsi="Arial Narrow"/>
                <w:color w:val="000000"/>
                <w:sz w:val="20"/>
                <w:szCs w:val="20"/>
              </w:rPr>
            </w:pPr>
            <w:r w:rsidRPr="00BE23C5">
              <w:rPr>
                <w:rFonts w:ascii="Arial Narrow" w:hAnsi="Arial Narrow"/>
                <w:b/>
                <w:sz w:val="20"/>
                <w:szCs w:val="20"/>
              </w:rPr>
              <w:t>Any Grade 3 or 4 diarrhoea</w:t>
            </w:r>
          </w:p>
        </w:tc>
        <w:tc>
          <w:tcPr>
            <w:tcW w:w="736" w:type="pct"/>
            <w:tcBorders>
              <w:top w:val="single" w:sz="4" w:space="0" w:color="auto"/>
              <w:left w:val="single" w:sz="4" w:space="0" w:color="auto"/>
              <w:bottom w:val="single" w:sz="4" w:space="0" w:color="auto"/>
              <w:right w:val="single" w:sz="4" w:space="0" w:color="auto"/>
            </w:tcBorders>
            <w:shd w:val="clear" w:color="auto" w:fill="auto"/>
          </w:tcPr>
          <w:p w:rsidR="005F4239" w:rsidRPr="00BE23C5" w:rsidRDefault="005F4239" w:rsidP="007F5EE0">
            <w:pPr>
              <w:keepNext/>
              <w:keepLines/>
              <w:jc w:val="center"/>
              <w:rPr>
                <w:rFonts w:ascii="Arial Narrow" w:hAnsi="Arial Narrow"/>
                <w:sz w:val="20"/>
                <w:szCs w:val="20"/>
              </w:rPr>
            </w:pPr>
            <w:r w:rsidRPr="00BE23C5">
              <w:rPr>
                <w:rFonts w:ascii="Arial Narrow" w:hAnsi="Arial Narrow"/>
                <w:sz w:val="20"/>
                <w:szCs w:val="20"/>
              </w:rPr>
              <w:t>562 /</w:t>
            </w:r>
            <w:r w:rsidR="00C91339" w:rsidRPr="00BE23C5">
              <w:rPr>
                <w:rFonts w:ascii="Arial Narrow" w:hAnsi="Arial Narrow"/>
                <w:sz w:val="20"/>
                <w:szCs w:val="20"/>
              </w:rPr>
              <w:t>1,</w:t>
            </w:r>
            <w:r w:rsidRPr="00BE23C5">
              <w:rPr>
                <w:rFonts w:ascii="Arial Narrow" w:hAnsi="Arial Narrow"/>
                <w:sz w:val="20"/>
                <w:szCs w:val="20"/>
              </w:rPr>
              <w:t>408</w:t>
            </w:r>
          </w:p>
          <w:p w:rsidR="005F4239" w:rsidRPr="00BE23C5" w:rsidRDefault="005F4239" w:rsidP="007F5EE0">
            <w:pPr>
              <w:keepNext/>
              <w:keepLines/>
              <w:jc w:val="center"/>
              <w:rPr>
                <w:rFonts w:ascii="Arial Narrow" w:hAnsi="Arial Narrow"/>
                <w:color w:val="000000"/>
                <w:sz w:val="20"/>
                <w:szCs w:val="20"/>
              </w:rPr>
            </w:pPr>
            <w:r w:rsidRPr="00BE23C5">
              <w:rPr>
                <w:rFonts w:ascii="Arial Narrow" w:hAnsi="Arial Narrow"/>
                <w:sz w:val="20"/>
                <w:szCs w:val="20"/>
              </w:rPr>
              <w:t>(39.9</w:t>
            </w:r>
            <w:r w:rsidR="00C91339" w:rsidRPr="00BE23C5">
              <w:rPr>
                <w:rFonts w:ascii="Arial Narrow" w:hAnsi="Arial Narrow"/>
                <w:sz w:val="20"/>
                <w:szCs w:val="20"/>
              </w:rPr>
              <w:t>%</w:t>
            </w:r>
            <w:r w:rsidRPr="00BE23C5">
              <w:rPr>
                <w:rFonts w:ascii="Arial Narrow" w:hAnsi="Arial Narrow"/>
                <w:sz w:val="20"/>
                <w:szCs w:val="20"/>
              </w:rPr>
              <w:t>)</w:t>
            </w:r>
          </w:p>
        </w:tc>
        <w:tc>
          <w:tcPr>
            <w:tcW w:w="736" w:type="pct"/>
            <w:gridSpan w:val="2"/>
            <w:tcBorders>
              <w:top w:val="single" w:sz="4" w:space="0" w:color="auto"/>
              <w:left w:val="single" w:sz="4" w:space="0" w:color="auto"/>
              <w:bottom w:val="single" w:sz="4" w:space="0" w:color="auto"/>
              <w:right w:val="single" w:sz="4" w:space="0" w:color="auto"/>
            </w:tcBorders>
            <w:shd w:val="clear" w:color="auto" w:fill="auto"/>
          </w:tcPr>
          <w:p w:rsidR="005F4239" w:rsidRPr="00BE23C5" w:rsidRDefault="005F4239" w:rsidP="007F5EE0">
            <w:pPr>
              <w:keepNext/>
              <w:keepLines/>
              <w:jc w:val="center"/>
              <w:rPr>
                <w:rFonts w:ascii="Arial Narrow" w:hAnsi="Arial Narrow"/>
                <w:sz w:val="20"/>
                <w:szCs w:val="20"/>
              </w:rPr>
            </w:pPr>
            <w:r w:rsidRPr="00BE23C5">
              <w:rPr>
                <w:rFonts w:ascii="Arial Narrow" w:hAnsi="Arial Narrow"/>
                <w:sz w:val="20"/>
                <w:szCs w:val="20"/>
              </w:rPr>
              <w:t>23/1</w:t>
            </w:r>
            <w:r w:rsidR="00C91339" w:rsidRPr="00BE23C5">
              <w:rPr>
                <w:rFonts w:ascii="Arial Narrow" w:hAnsi="Arial Narrow"/>
                <w:sz w:val="20"/>
                <w:szCs w:val="20"/>
              </w:rPr>
              <w:t>,</w:t>
            </w:r>
            <w:r w:rsidRPr="00BE23C5">
              <w:rPr>
                <w:rFonts w:ascii="Arial Narrow" w:hAnsi="Arial Narrow"/>
                <w:sz w:val="20"/>
                <w:szCs w:val="20"/>
              </w:rPr>
              <w:t>408</w:t>
            </w:r>
          </w:p>
          <w:p w:rsidR="005F4239" w:rsidRPr="00BE23C5" w:rsidRDefault="005F4239" w:rsidP="007F5EE0">
            <w:pPr>
              <w:keepNext/>
              <w:keepLines/>
              <w:jc w:val="center"/>
              <w:rPr>
                <w:rFonts w:ascii="Arial Narrow" w:hAnsi="Arial Narrow"/>
                <w:color w:val="000000"/>
                <w:sz w:val="20"/>
                <w:szCs w:val="20"/>
              </w:rPr>
            </w:pPr>
            <w:r w:rsidRPr="00BE23C5">
              <w:rPr>
                <w:rFonts w:ascii="Arial Narrow" w:hAnsi="Arial Narrow"/>
                <w:sz w:val="20"/>
                <w:szCs w:val="20"/>
              </w:rPr>
              <w:t>(1.6</w:t>
            </w:r>
            <w:r w:rsidR="00C91339" w:rsidRPr="00BE23C5">
              <w:rPr>
                <w:rFonts w:ascii="Arial Narrow" w:hAnsi="Arial Narrow"/>
                <w:sz w:val="20"/>
                <w:szCs w:val="20"/>
              </w:rPr>
              <w:t>%</w:t>
            </w:r>
            <w:r w:rsidRPr="00BE23C5">
              <w:rPr>
                <w:rFonts w:ascii="Arial Narrow" w:hAnsi="Arial Narrow"/>
                <w:sz w:val="20"/>
                <w:szCs w:val="20"/>
              </w:rPr>
              <w:t>)</w:t>
            </w:r>
          </w:p>
        </w:tc>
        <w:tc>
          <w:tcPr>
            <w:tcW w:w="736" w:type="pct"/>
            <w:gridSpan w:val="2"/>
            <w:tcBorders>
              <w:top w:val="single" w:sz="4" w:space="0" w:color="auto"/>
              <w:left w:val="single" w:sz="4" w:space="0" w:color="auto"/>
              <w:bottom w:val="single" w:sz="4" w:space="0" w:color="auto"/>
              <w:right w:val="single" w:sz="4" w:space="0" w:color="auto"/>
            </w:tcBorders>
            <w:shd w:val="clear" w:color="auto" w:fill="auto"/>
          </w:tcPr>
          <w:p w:rsidR="005F4239" w:rsidRPr="00BE23C5" w:rsidRDefault="00C91339" w:rsidP="007F5EE0">
            <w:pPr>
              <w:keepNext/>
              <w:keepLines/>
              <w:jc w:val="center"/>
              <w:rPr>
                <w:rFonts w:ascii="Arial Narrow" w:hAnsi="Arial Narrow"/>
                <w:color w:val="000000"/>
                <w:sz w:val="20"/>
                <w:szCs w:val="20"/>
              </w:rPr>
            </w:pPr>
            <w:r w:rsidRPr="00BE23C5">
              <w:rPr>
                <w:rFonts w:ascii="Arial Narrow" w:hAnsi="Arial Narrow"/>
                <w:color w:val="000000"/>
                <w:sz w:val="20"/>
                <w:szCs w:val="20"/>
              </w:rPr>
              <w:t>24.44</w:t>
            </w:r>
          </w:p>
          <w:p w:rsidR="005F4239" w:rsidRPr="00BE23C5" w:rsidRDefault="00C91339" w:rsidP="007F5EE0">
            <w:pPr>
              <w:keepNext/>
              <w:keepLines/>
              <w:jc w:val="center"/>
              <w:rPr>
                <w:rFonts w:ascii="Arial Narrow" w:hAnsi="Arial Narrow"/>
                <w:color w:val="000000"/>
                <w:sz w:val="20"/>
                <w:szCs w:val="20"/>
              </w:rPr>
            </w:pPr>
            <w:r w:rsidRPr="00BE23C5">
              <w:rPr>
                <w:rFonts w:ascii="Arial Narrow" w:hAnsi="Arial Narrow"/>
                <w:color w:val="000000"/>
                <w:sz w:val="20"/>
                <w:szCs w:val="20"/>
              </w:rPr>
              <w:t>(16.21</w:t>
            </w:r>
            <w:r w:rsidR="005F4239" w:rsidRPr="00BE23C5">
              <w:rPr>
                <w:rFonts w:ascii="Arial Narrow" w:hAnsi="Arial Narrow"/>
                <w:color w:val="000000"/>
                <w:sz w:val="20"/>
                <w:szCs w:val="20"/>
              </w:rPr>
              <w:t>, 36.83)</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5F4239" w:rsidRPr="00BE23C5" w:rsidRDefault="005F4239" w:rsidP="007F5EE0">
            <w:pPr>
              <w:keepNext/>
              <w:keepLines/>
              <w:jc w:val="center"/>
              <w:rPr>
                <w:rFonts w:ascii="Arial Narrow" w:hAnsi="Arial Narrow"/>
                <w:color w:val="000000"/>
                <w:sz w:val="20"/>
                <w:szCs w:val="20"/>
              </w:rPr>
            </w:pPr>
            <w:r w:rsidRPr="00BE23C5">
              <w:rPr>
                <w:rFonts w:ascii="Arial Narrow" w:hAnsi="Arial Narrow"/>
                <w:sz w:val="20"/>
                <w:szCs w:val="20"/>
              </w:rPr>
              <w:t>39.9</w:t>
            </w:r>
          </w:p>
        </w:tc>
        <w:tc>
          <w:tcPr>
            <w:tcW w:w="5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F4239" w:rsidRPr="00BE23C5" w:rsidRDefault="005F4239" w:rsidP="007F5EE0">
            <w:pPr>
              <w:keepNext/>
              <w:keepLines/>
              <w:jc w:val="center"/>
              <w:rPr>
                <w:rFonts w:ascii="Arial Narrow" w:hAnsi="Arial Narrow"/>
                <w:color w:val="000000"/>
                <w:sz w:val="20"/>
                <w:szCs w:val="20"/>
              </w:rPr>
            </w:pPr>
            <w:r w:rsidRPr="00BE23C5">
              <w:rPr>
                <w:rFonts w:ascii="Arial Narrow" w:hAnsi="Arial Narrow"/>
                <w:sz w:val="20"/>
                <w:szCs w:val="20"/>
              </w:rPr>
              <w:t>1.6</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rsidR="005F4239" w:rsidRPr="00BE23C5" w:rsidRDefault="005F4239" w:rsidP="007F5EE0">
            <w:pPr>
              <w:keepNext/>
              <w:keepLines/>
              <w:jc w:val="center"/>
              <w:rPr>
                <w:rFonts w:ascii="Arial Narrow" w:hAnsi="Arial Narrow"/>
                <w:color w:val="000000"/>
                <w:sz w:val="20"/>
                <w:szCs w:val="20"/>
              </w:rPr>
            </w:pPr>
            <w:r w:rsidRPr="00BE23C5">
              <w:rPr>
                <w:rFonts w:ascii="Arial Narrow" w:hAnsi="Arial Narrow"/>
                <w:color w:val="000000"/>
                <w:sz w:val="20"/>
                <w:szCs w:val="20"/>
              </w:rPr>
              <w:t>38.3%</w:t>
            </w:r>
          </w:p>
          <w:p w:rsidR="005F4239" w:rsidRPr="00BE23C5" w:rsidRDefault="005F4239" w:rsidP="007F5EE0">
            <w:pPr>
              <w:keepNext/>
              <w:keepLines/>
              <w:jc w:val="center"/>
              <w:rPr>
                <w:rFonts w:ascii="Arial Narrow" w:hAnsi="Arial Narrow"/>
                <w:color w:val="000000"/>
                <w:sz w:val="20"/>
                <w:szCs w:val="20"/>
              </w:rPr>
            </w:pPr>
            <w:r w:rsidRPr="00BE23C5">
              <w:rPr>
                <w:rFonts w:ascii="Arial Narrow" w:hAnsi="Arial Narrow"/>
                <w:color w:val="000000"/>
                <w:sz w:val="20"/>
                <w:szCs w:val="20"/>
              </w:rPr>
              <w:t>(35.6%, 40.9%)</w:t>
            </w:r>
          </w:p>
        </w:tc>
      </w:tr>
    </w:tbl>
    <w:p w:rsidR="006371CA" w:rsidRPr="00BE23C5" w:rsidRDefault="006371CA" w:rsidP="007F5EE0">
      <w:pPr>
        <w:pStyle w:val="TableFooter"/>
        <w:keepNext/>
        <w:keepLines/>
      </w:pPr>
      <w:r w:rsidRPr="00BE23C5">
        <w:rPr>
          <w:rFonts w:eastAsia="Calibri"/>
          <w:szCs w:val="18"/>
        </w:rPr>
        <w:t>CI</w:t>
      </w:r>
      <w:r w:rsidR="002A4F8C" w:rsidRPr="00BE23C5">
        <w:rPr>
          <w:rFonts w:eastAsia="Calibri"/>
          <w:szCs w:val="18"/>
        </w:rPr>
        <w:t>:</w:t>
      </w:r>
      <w:r w:rsidRPr="00BE23C5">
        <w:rPr>
          <w:rFonts w:eastAsia="Calibri"/>
          <w:szCs w:val="18"/>
        </w:rPr>
        <w:t xml:space="preserve"> confidence interval; n</w:t>
      </w:r>
      <w:r w:rsidR="002A4F8C" w:rsidRPr="00BE23C5">
        <w:rPr>
          <w:rFonts w:eastAsia="Calibri"/>
          <w:szCs w:val="18"/>
        </w:rPr>
        <w:t>:</w:t>
      </w:r>
      <w:r w:rsidRPr="00BE23C5">
        <w:rPr>
          <w:rFonts w:eastAsia="Calibri"/>
          <w:szCs w:val="18"/>
        </w:rPr>
        <w:t xml:space="preserve"> number of participants reporting data; N</w:t>
      </w:r>
      <w:r w:rsidR="002A4F8C" w:rsidRPr="00BE23C5">
        <w:rPr>
          <w:rFonts w:eastAsia="Calibri"/>
          <w:szCs w:val="18"/>
        </w:rPr>
        <w:t>:</w:t>
      </w:r>
      <w:r w:rsidRPr="00BE23C5">
        <w:rPr>
          <w:rFonts w:eastAsia="Calibri"/>
          <w:szCs w:val="18"/>
        </w:rPr>
        <w:t xml:space="preserve"> total participants in group</w:t>
      </w:r>
      <w:r w:rsidR="00462E32" w:rsidRPr="00BE23C5">
        <w:rPr>
          <w:rFonts w:eastAsia="Calibri"/>
          <w:szCs w:val="18"/>
        </w:rPr>
        <w:t>;</w:t>
      </w:r>
      <w:r w:rsidRPr="00BE23C5">
        <w:rPr>
          <w:rFonts w:eastAsia="Calibri"/>
          <w:szCs w:val="18"/>
        </w:rPr>
        <w:t xml:space="preserve"> </w:t>
      </w:r>
      <w:proofErr w:type="spellStart"/>
      <w:r w:rsidR="00462E32" w:rsidRPr="00BE23C5">
        <w:rPr>
          <w:szCs w:val="18"/>
        </w:rPr>
        <w:t>iDFS</w:t>
      </w:r>
      <w:proofErr w:type="spellEnd"/>
      <w:r w:rsidR="00462E32" w:rsidRPr="00BE23C5">
        <w:rPr>
          <w:szCs w:val="18"/>
        </w:rPr>
        <w:t xml:space="preserve">: invasive disease free survival; HR+: </w:t>
      </w:r>
      <w:r w:rsidR="00173430" w:rsidRPr="00BE23C5">
        <w:rPr>
          <w:szCs w:val="18"/>
        </w:rPr>
        <w:t xml:space="preserve">hormone </w:t>
      </w:r>
      <w:r w:rsidR="00462E32" w:rsidRPr="00BE23C5">
        <w:rPr>
          <w:szCs w:val="18"/>
        </w:rPr>
        <w:t xml:space="preserve">receptor positive; HR-: </w:t>
      </w:r>
      <w:r w:rsidR="00173430" w:rsidRPr="00BE23C5">
        <w:rPr>
          <w:szCs w:val="18"/>
        </w:rPr>
        <w:t xml:space="preserve">hormone </w:t>
      </w:r>
      <w:r w:rsidR="00462E32" w:rsidRPr="00BE23C5">
        <w:rPr>
          <w:szCs w:val="18"/>
        </w:rPr>
        <w:t xml:space="preserve">receptor negative; HR: </w:t>
      </w:r>
      <w:r w:rsidR="002A4F8C" w:rsidRPr="00BE23C5">
        <w:rPr>
          <w:szCs w:val="18"/>
        </w:rPr>
        <w:t>hazard ratio</w:t>
      </w:r>
      <w:r w:rsidR="002A4F8C" w:rsidRPr="00BE23C5">
        <w:rPr>
          <w:rFonts w:eastAsia="Calibri"/>
        </w:rPr>
        <w:t xml:space="preserve">; RD: risk difference; RR: relative risk; SAE: Serious </w:t>
      </w:r>
      <w:r w:rsidR="002A4F8C" w:rsidRPr="00BE23C5">
        <w:t xml:space="preserve">Treatment-emergent adverse events; </w:t>
      </w:r>
      <w:r w:rsidR="002A4F8C" w:rsidRPr="00BE23C5">
        <w:rPr>
          <w:rFonts w:eastAsia="Calibri"/>
        </w:rPr>
        <w:t xml:space="preserve">TEAE: </w:t>
      </w:r>
      <w:r w:rsidR="002A4F8C" w:rsidRPr="00BE23C5">
        <w:t xml:space="preserve">Treatment-emergent adverse events; </w:t>
      </w:r>
      <w:r w:rsidR="002A4F8C" w:rsidRPr="00BE23C5">
        <w:rPr>
          <w:rFonts w:eastAsia="Calibri"/>
        </w:rPr>
        <w:t xml:space="preserve">ITT: intent to treat; </w:t>
      </w:r>
      <w:proofErr w:type="spellStart"/>
      <w:r w:rsidR="002A4F8C" w:rsidRPr="00BE23C5">
        <w:rPr>
          <w:szCs w:val="18"/>
        </w:rPr>
        <w:t>iDFS</w:t>
      </w:r>
      <w:proofErr w:type="spellEnd"/>
      <w:r w:rsidR="002A4F8C" w:rsidRPr="00BE23C5">
        <w:rPr>
          <w:szCs w:val="18"/>
        </w:rPr>
        <w:t xml:space="preserve">: invasive disease free survival; </w:t>
      </w:r>
      <w:proofErr w:type="spellStart"/>
      <w:r w:rsidR="002A4F8C" w:rsidRPr="00BE23C5">
        <w:t>aITT</w:t>
      </w:r>
      <w:proofErr w:type="spellEnd"/>
      <w:r w:rsidR="002A4F8C" w:rsidRPr="00BE23C5">
        <w:t xml:space="preserve">: amended Intent to treat: The </w:t>
      </w:r>
      <w:proofErr w:type="spellStart"/>
      <w:r w:rsidR="002A4F8C" w:rsidRPr="00BE23C5">
        <w:t>aITT</w:t>
      </w:r>
      <w:proofErr w:type="spellEnd"/>
      <w:r w:rsidR="002A4F8C" w:rsidRPr="00BE23C5">
        <w:t xml:space="preserve"> population includes all patients randomised under global amendment 3 or later amendment, and all patients randomised prior to implementation of global amendment 3 if they met the following key criteria: 1. All patients with node-positive disease and 2. All patients randomised within 1 year from completion of prior </w:t>
      </w:r>
      <w:proofErr w:type="spellStart"/>
      <w:r w:rsidR="002A4F8C" w:rsidRPr="00BE23C5">
        <w:t>trastuzumab</w:t>
      </w:r>
      <w:proofErr w:type="spellEnd"/>
      <w:r w:rsidR="002A4F8C" w:rsidRPr="00BE23C5">
        <w:t xml:space="preserve"> therapy; </w:t>
      </w:r>
      <w:proofErr w:type="gramStart"/>
      <w:r w:rsidR="002A4F8C" w:rsidRPr="00BE23C5">
        <w:t>Centrally</w:t>
      </w:r>
      <w:proofErr w:type="gramEnd"/>
      <w:r w:rsidR="002A4F8C" w:rsidRPr="00BE23C5">
        <w:t xml:space="preserve"> confirmed ERBB2-positive: The Centrally Confirmed erbB-2-Positive population includes all patients randomised who were confirmed by central testing to be erbB-2 positive.</w:t>
      </w:r>
    </w:p>
    <w:p w:rsidR="006371CA" w:rsidRPr="00BE23C5" w:rsidRDefault="006371CA" w:rsidP="007F5EE0">
      <w:pPr>
        <w:pStyle w:val="TableFooter"/>
        <w:keepNext/>
        <w:keepLines/>
        <w:rPr>
          <w:szCs w:val="18"/>
        </w:rPr>
      </w:pPr>
      <w:r w:rsidRPr="00BE23C5">
        <w:rPr>
          <w:szCs w:val="18"/>
        </w:rPr>
        <w:t>Source: Compiled during the evaluation. Table 19, p121 of the CSR; Figure 17, p79 of the submission</w:t>
      </w:r>
    </w:p>
    <w:p w:rsidR="00306F9F" w:rsidRPr="00BE23C5" w:rsidRDefault="006371CA" w:rsidP="007F5EE0">
      <w:pPr>
        <w:pStyle w:val="Tabletext"/>
        <w:keepNext/>
        <w:keepLines/>
        <w:rPr>
          <w:sz w:val="18"/>
          <w:szCs w:val="18"/>
        </w:rPr>
      </w:pPr>
      <w:r w:rsidRPr="00BE23C5">
        <w:rPr>
          <w:sz w:val="18"/>
          <w:szCs w:val="18"/>
        </w:rPr>
        <w:t>Table 30, p67 of the submission; Table 31, p68 of the submission; Table 32, p69 of the submission</w:t>
      </w:r>
      <w:r w:rsidR="002A4F8C" w:rsidRPr="00BE23C5">
        <w:rPr>
          <w:sz w:val="18"/>
          <w:szCs w:val="18"/>
        </w:rPr>
        <w:t>.</w:t>
      </w:r>
    </w:p>
    <w:p w:rsidR="002A4F8C" w:rsidRPr="00BE23C5" w:rsidRDefault="00611C72" w:rsidP="00C005E6">
      <w:pPr>
        <w:pStyle w:val="ListParagraph"/>
        <w:widowControl/>
        <w:numPr>
          <w:ilvl w:val="1"/>
          <w:numId w:val="2"/>
        </w:numPr>
        <w:spacing w:before="120" w:after="120"/>
      </w:pPr>
      <w:r w:rsidRPr="00BE23C5">
        <w:t xml:space="preserve">On the basis of direct evidence presented by the submission, for every 100 patients treated with </w:t>
      </w:r>
      <w:proofErr w:type="spellStart"/>
      <w:r w:rsidRPr="00BE23C5">
        <w:t>neratinib</w:t>
      </w:r>
      <w:proofErr w:type="spellEnd"/>
      <w:r w:rsidRPr="00BE23C5">
        <w:t xml:space="preserve"> in comparison to </w:t>
      </w:r>
      <w:r w:rsidR="00493C81" w:rsidRPr="00BE23C5">
        <w:t>placebo</w:t>
      </w:r>
      <w:r w:rsidR="002A4F8C" w:rsidRPr="00BE23C5">
        <w:t>:</w:t>
      </w:r>
    </w:p>
    <w:p w:rsidR="00611C72" w:rsidRPr="00BE23C5" w:rsidRDefault="002A4F8C" w:rsidP="00C005E6">
      <w:pPr>
        <w:pStyle w:val="ListParagraph"/>
        <w:widowControl/>
        <w:numPr>
          <w:ilvl w:val="0"/>
          <w:numId w:val="1"/>
        </w:numPr>
        <w:spacing w:before="120" w:after="120"/>
        <w:ind w:left="1077" w:hanging="357"/>
      </w:pPr>
      <w:r w:rsidRPr="00BE23C5">
        <w:t>At 2 years:</w:t>
      </w:r>
      <w:r w:rsidR="00611C72" w:rsidRPr="00BE23C5">
        <w:t xml:space="preserve"> </w:t>
      </w:r>
    </w:p>
    <w:p w:rsidR="00D7645F" w:rsidRPr="00BE23C5" w:rsidRDefault="00611C72" w:rsidP="00C005E6">
      <w:pPr>
        <w:pStyle w:val="ListParagraph"/>
        <w:widowControl/>
        <w:numPr>
          <w:ilvl w:val="1"/>
          <w:numId w:val="1"/>
        </w:numPr>
        <w:spacing w:before="120" w:after="120"/>
      </w:pPr>
      <w:r w:rsidRPr="00BE23C5">
        <w:t xml:space="preserve">Approximately </w:t>
      </w:r>
      <w:r w:rsidR="005F7923" w:rsidRPr="00BE23C5">
        <w:t>2-4</w:t>
      </w:r>
      <w:r w:rsidRPr="00BE23C5">
        <w:t xml:space="preserve"> additional patients would not experience recurrence</w:t>
      </w:r>
      <w:r w:rsidR="00D60962" w:rsidRPr="00BE23C5">
        <w:t xml:space="preserve"> (return of invasive disease)</w:t>
      </w:r>
      <w:r w:rsidRPr="00BE23C5">
        <w:t>.</w:t>
      </w:r>
    </w:p>
    <w:p w:rsidR="00356711" w:rsidRPr="00BE23C5" w:rsidRDefault="00D7645F" w:rsidP="00C005E6">
      <w:pPr>
        <w:pStyle w:val="ListParagraph"/>
        <w:widowControl/>
        <w:numPr>
          <w:ilvl w:val="1"/>
          <w:numId w:val="1"/>
        </w:numPr>
        <w:spacing w:before="120" w:after="120"/>
      </w:pPr>
      <w:r w:rsidRPr="00BE23C5">
        <w:t xml:space="preserve">Approximately </w:t>
      </w:r>
      <w:r w:rsidR="00356711" w:rsidRPr="00BE23C5">
        <w:t>4</w:t>
      </w:r>
      <w:r w:rsidRPr="00BE23C5">
        <w:t xml:space="preserve"> additional </w:t>
      </w:r>
      <w:r w:rsidR="00943AFD" w:rsidRPr="00BE23C5">
        <w:t xml:space="preserve">HR+ </w:t>
      </w:r>
      <w:r w:rsidR="004E5A3C" w:rsidRPr="00BE23C5">
        <w:t>patients</w:t>
      </w:r>
      <w:r w:rsidRPr="00BE23C5">
        <w:t xml:space="preserve"> would not experience recurrence</w:t>
      </w:r>
      <w:r w:rsidR="00D60962" w:rsidRPr="00BE23C5">
        <w:t xml:space="preserve"> (</w:t>
      </w:r>
      <w:r w:rsidR="00200232" w:rsidRPr="00BE23C5">
        <w:t>return of invasive disease</w:t>
      </w:r>
      <w:r w:rsidR="00D60962" w:rsidRPr="00BE23C5">
        <w:t>)</w:t>
      </w:r>
      <w:r w:rsidR="00356711" w:rsidRPr="00BE23C5">
        <w:t xml:space="preserve">. </w:t>
      </w:r>
    </w:p>
    <w:p w:rsidR="002A4F8C" w:rsidRPr="00BE23C5" w:rsidRDefault="002A4F8C" w:rsidP="00C005E6">
      <w:pPr>
        <w:pStyle w:val="ListParagraph"/>
        <w:widowControl/>
        <w:numPr>
          <w:ilvl w:val="0"/>
          <w:numId w:val="1"/>
        </w:numPr>
        <w:spacing w:before="120" w:after="120"/>
        <w:ind w:left="1077" w:hanging="357"/>
      </w:pPr>
      <w:r w:rsidRPr="00BE23C5">
        <w:t>Over a duration of follow up of 24 months:</w:t>
      </w:r>
    </w:p>
    <w:p w:rsidR="00611C72" w:rsidRPr="00BE23C5" w:rsidRDefault="00611C72" w:rsidP="00C005E6">
      <w:pPr>
        <w:pStyle w:val="ListParagraph"/>
        <w:widowControl/>
        <w:numPr>
          <w:ilvl w:val="1"/>
          <w:numId w:val="1"/>
        </w:numPr>
        <w:spacing w:before="120" w:after="120"/>
      </w:pPr>
      <w:r w:rsidRPr="00BE23C5">
        <w:t xml:space="preserve">Approximately 37 additional patients would experience a grade </w:t>
      </w:r>
      <w:r w:rsidRPr="00BE23C5">
        <w:rPr>
          <w:rFonts w:cs="Calibri"/>
        </w:rPr>
        <w:t>≥</w:t>
      </w:r>
      <w:r w:rsidRPr="00BE23C5">
        <w:t>3 TEAE.</w:t>
      </w:r>
    </w:p>
    <w:p w:rsidR="00611C72" w:rsidRPr="00BE23C5" w:rsidRDefault="00611C72" w:rsidP="00C005E6">
      <w:pPr>
        <w:pStyle w:val="ListParagraph"/>
        <w:widowControl/>
        <w:numPr>
          <w:ilvl w:val="1"/>
          <w:numId w:val="1"/>
        </w:numPr>
        <w:spacing w:before="120" w:after="120"/>
      </w:pPr>
      <w:r w:rsidRPr="00BE23C5">
        <w:t>Approximately 1 additional patient would experience a SAE.</w:t>
      </w:r>
    </w:p>
    <w:p w:rsidR="00611C72" w:rsidRPr="00BE23C5" w:rsidRDefault="00611C72" w:rsidP="00C005E6">
      <w:pPr>
        <w:pStyle w:val="ListParagraph"/>
        <w:widowControl/>
        <w:numPr>
          <w:ilvl w:val="1"/>
          <w:numId w:val="1"/>
        </w:numPr>
        <w:spacing w:before="120" w:after="120"/>
      </w:pPr>
      <w:r w:rsidRPr="00BE23C5">
        <w:t>Approximately 60 additional patients would experience diarrhoea.</w:t>
      </w:r>
    </w:p>
    <w:p w:rsidR="007B6331" w:rsidRPr="00BE23C5" w:rsidRDefault="00611C72" w:rsidP="00C005E6">
      <w:pPr>
        <w:pStyle w:val="ListParagraph"/>
        <w:widowControl/>
        <w:numPr>
          <w:ilvl w:val="1"/>
          <w:numId w:val="1"/>
        </w:numPr>
        <w:spacing w:before="120" w:after="120"/>
      </w:pPr>
      <w:r w:rsidRPr="00BE23C5">
        <w:lastRenderedPageBreak/>
        <w:t>Approximately 38 additional patients would experience grade 3 or 4 diarrhoea</w:t>
      </w:r>
      <w:r w:rsidR="00E71BDE" w:rsidRPr="00BE23C5">
        <w:t xml:space="preserve">, defined as having </w:t>
      </w:r>
      <w:r w:rsidR="00E71BDE" w:rsidRPr="00BE23C5">
        <w:rPr>
          <w:rStyle w:val="ilfuvd"/>
          <w:rFonts w:ascii="Arial" w:hAnsi="Arial"/>
          <w:color w:val="222222"/>
        </w:rPr>
        <w:t>≥</w:t>
      </w:r>
      <w:r w:rsidR="000F2E0D" w:rsidRPr="00BE23C5">
        <w:rPr>
          <w:rStyle w:val="ilfuvd"/>
          <w:rFonts w:ascii="Arial" w:hAnsi="Arial"/>
          <w:color w:val="222222"/>
        </w:rPr>
        <w:t xml:space="preserve"> </w:t>
      </w:r>
      <w:r w:rsidR="00E71BDE" w:rsidRPr="00BE23C5">
        <w:t>8 diarrhoea episodes per day</w:t>
      </w:r>
      <w:r w:rsidR="00912269" w:rsidRPr="00BE23C5">
        <w:t>, possibly requiring hospitalisation</w:t>
      </w:r>
      <w:r w:rsidRPr="00BE23C5">
        <w:t>.</w:t>
      </w:r>
      <w:r w:rsidR="00E71BDE" w:rsidRPr="00BE23C5">
        <w:t xml:space="preserve"> </w:t>
      </w:r>
    </w:p>
    <w:p w:rsidR="00DC77DD" w:rsidRPr="00BE23C5" w:rsidRDefault="00E71BDE" w:rsidP="00C005E6">
      <w:pPr>
        <w:pStyle w:val="ListParagraph"/>
        <w:widowControl/>
        <w:numPr>
          <w:ilvl w:val="1"/>
          <w:numId w:val="2"/>
        </w:numPr>
        <w:spacing w:before="120" w:after="120"/>
      </w:pPr>
      <w:r w:rsidRPr="00BE23C5">
        <w:t xml:space="preserve">The ESC </w:t>
      </w:r>
      <w:r w:rsidR="00373F04" w:rsidRPr="00BE23C5">
        <w:t xml:space="preserve">was </w:t>
      </w:r>
      <w:r w:rsidR="00912269" w:rsidRPr="00BE23C5">
        <w:t xml:space="preserve">concerned that for </w:t>
      </w:r>
      <w:r w:rsidR="00344A8C" w:rsidRPr="00BE23C5">
        <w:t xml:space="preserve">a significant proportion of </w:t>
      </w:r>
      <w:r w:rsidR="00912269" w:rsidRPr="00BE23C5">
        <w:t xml:space="preserve">patients the risk of the adverse events would outweigh the potential benefits of treatment with </w:t>
      </w:r>
      <w:proofErr w:type="spellStart"/>
      <w:r w:rsidR="00912269" w:rsidRPr="00BE23C5">
        <w:t>neratinib</w:t>
      </w:r>
      <w:proofErr w:type="spellEnd"/>
      <w:r w:rsidR="001426A2" w:rsidRPr="00BE23C5">
        <w:t xml:space="preserve">. The ESC advised that </w:t>
      </w:r>
      <w:r w:rsidRPr="00BE23C5">
        <w:t>hospitalisation for dehydration and fluid replacement</w:t>
      </w:r>
      <w:r w:rsidR="009F2731" w:rsidRPr="00BE23C5">
        <w:t xml:space="preserve"> </w:t>
      </w:r>
      <w:r w:rsidR="00912269" w:rsidRPr="00BE23C5">
        <w:t>may</w:t>
      </w:r>
      <w:r w:rsidR="009F2731" w:rsidRPr="00BE23C5">
        <w:t xml:space="preserve"> be </w:t>
      </w:r>
      <w:r w:rsidR="00A751A2" w:rsidRPr="00BE23C5">
        <w:t>required</w:t>
      </w:r>
      <w:r w:rsidR="001426A2" w:rsidRPr="00BE23C5">
        <w:t xml:space="preserve"> for grade 3 or 4 diarrhoea</w:t>
      </w:r>
      <w:r w:rsidR="00B91FEC" w:rsidRPr="00BE23C5">
        <w:t>,</w:t>
      </w:r>
      <w:r w:rsidR="001426A2" w:rsidRPr="00BE23C5">
        <w:t xml:space="preserve"> which could eventuate into </w:t>
      </w:r>
      <w:r w:rsidR="00B91FEC" w:rsidRPr="00BE23C5">
        <w:t xml:space="preserve">renal toxicity </w:t>
      </w:r>
      <w:r w:rsidR="001426A2" w:rsidRPr="00BE23C5">
        <w:t xml:space="preserve">because of severe </w:t>
      </w:r>
      <w:r w:rsidR="00BC5B7A" w:rsidRPr="00BE23C5">
        <w:t>dehydration</w:t>
      </w:r>
      <w:r w:rsidR="00B91FEC" w:rsidRPr="00BE23C5">
        <w:t>.</w:t>
      </w:r>
      <w:r w:rsidR="00037459" w:rsidRPr="00BE23C5">
        <w:t xml:space="preserve"> </w:t>
      </w:r>
      <w:r w:rsidR="007B6331" w:rsidRPr="00BE23C5">
        <w:t xml:space="preserve">Although </w:t>
      </w:r>
      <w:r w:rsidR="00F928A2" w:rsidRPr="00BE23C5">
        <w:t>t</w:t>
      </w:r>
      <w:r w:rsidR="00334010" w:rsidRPr="00BE23C5">
        <w:t>here were</w:t>
      </w:r>
      <w:r w:rsidR="00F928A2" w:rsidRPr="00BE23C5">
        <w:t xml:space="preserve"> up to 4 fewer patients out of 100 who did not experience recurrence, the ESC considered there was uncertainty around the</w:t>
      </w:r>
      <w:r w:rsidR="00334010" w:rsidRPr="00BE23C5">
        <w:t xml:space="preserve"> magnitude of this</w:t>
      </w:r>
      <w:r w:rsidR="00F928A2" w:rsidRPr="00BE23C5">
        <w:t xml:space="preserve"> benefit</w:t>
      </w:r>
      <w:r w:rsidR="00912269" w:rsidRPr="00BE23C5">
        <w:t>.</w:t>
      </w:r>
      <w:r w:rsidR="00504BC2" w:rsidRPr="00BE23C5">
        <w:t xml:space="preserve"> </w:t>
      </w:r>
      <w:r w:rsidR="00F928A2" w:rsidRPr="00BE23C5">
        <w:t xml:space="preserve">The ESC also noted that </w:t>
      </w:r>
      <w:r w:rsidR="00912269" w:rsidRPr="00BE23C5">
        <w:t>2</w:t>
      </w:r>
      <w:r w:rsidR="00300B00" w:rsidRPr="00BE23C5">
        <w:t>8</w:t>
      </w:r>
      <w:r w:rsidR="00F928A2" w:rsidRPr="00BE23C5">
        <w:t xml:space="preserve">% of </w:t>
      </w:r>
      <w:r w:rsidR="00300B00" w:rsidRPr="00BE23C5">
        <w:t xml:space="preserve">patients treated with </w:t>
      </w:r>
      <w:proofErr w:type="spellStart"/>
      <w:r w:rsidR="00300B00" w:rsidRPr="00BE23C5">
        <w:t>neratinib</w:t>
      </w:r>
      <w:proofErr w:type="spellEnd"/>
      <w:r w:rsidR="00300B00" w:rsidRPr="00BE23C5">
        <w:t xml:space="preserve"> </w:t>
      </w:r>
      <w:r w:rsidR="00F928A2" w:rsidRPr="00BE23C5">
        <w:t>did not complete treatment</w:t>
      </w:r>
      <w:r w:rsidR="00B91FEC" w:rsidRPr="00BE23C5">
        <w:t xml:space="preserve"> due to AE</w:t>
      </w:r>
      <w:r w:rsidR="002A4F8C" w:rsidRPr="00BE23C5">
        <w:t>s</w:t>
      </w:r>
      <w:r w:rsidR="00F928A2" w:rsidRPr="00BE23C5">
        <w:t xml:space="preserve">. </w:t>
      </w:r>
      <w:r w:rsidR="00037459" w:rsidRPr="00BE23C5">
        <w:t xml:space="preserve">The ESC </w:t>
      </w:r>
      <w:r w:rsidR="00300B00" w:rsidRPr="00BE23C5">
        <w:t>considered</w:t>
      </w:r>
      <w:r w:rsidR="00EE46CD" w:rsidRPr="00BE23C5">
        <w:t>,</w:t>
      </w:r>
      <w:r w:rsidR="001426A2" w:rsidRPr="00BE23C5">
        <w:t xml:space="preserve"> </w:t>
      </w:r>
      <w:r w:rsidR="003B4FD8" w:rsidRPr="00BE23C5">
        <w:t xml:space="preserve">because patients have undergone a substantial amount of previous treatment for their cancer, a significant proportion would </w:t>
      </w:r>
      <w:r w:rsidR="00DC77DD" w:rsidRPr="00BE23C5">
        <w:t xml:space="preserve">be </w:t>
      </w:r>
      <w:r w:rsidR="003B4FD8" w:rsidRPr="00BE23C5">
        <w:t>un</w:t>
      </w:r>
      <w:r w:rsidR="00DC77DD" w:rsidRPr="00BE23C5">
        <w:t xml:space="preserve">willing to </w:t>
      </w:r>
      <w:r w:rsidR="003B4FD8" w:rsidRPr="00BE23C5">
        <w:t xml:space="preserve">undertake further </w:t>
      </w:r>
      <w:r w:rsidR="00DC77DD" w:rsidRPr="00BE23C5">
        <w:t xml:space="preserve">treatment that is </w:t>
      </w:r>
      <w:r w:rsidR="003B4FD8" w:rsidRPr="00BE23C5">
        <w:t>associated with</w:t>
      </w:r>
      <w:r w:rsidR="00DC77DD" w:rsidRPr="00BE23C5">
        <w:t xml:space="preserve"> diarrhoea </w:t>
      </w:r>
      <w:r w:rsidR="002A4F8C" w:rsidRPr="00BE23C5">
        <w:t xml:space="preserve">that </w:t>
      </w:r>
      <w:r w:rsidR="00DC77DD" w:rsidRPr="00BE23C5">
        <w:t xml:space="preserve">may </w:t>
      </w:r>
      <w:r w:rsidR="003B4FD8" w:rsidRPr="00BE23C5">
        <w:t>result in</w:t>
      </w:r>
      <w:r w:rsidR="00DC77DD" w:rsidRPr="00BE23C5">
        <w:t xml:space="preserve"> hospital</w:t>
      </w:r>
      <w:r w:rsidR="003B4FD8" w:rsidRPr="00BE23C5">
        <w:t>isation</w:t>
      </w:r>
      <w:r w:rsidR="00FA4B12" w:rsidRPr="00BE23C5">
        <w:t>.</w:t>
      </w:r>
      <w:r w:rsidR="00F55141" w:rsidRPr="00BE23C5">
        <w:t xml:space="preserve"> </w:t>
      </w:r>
    </w:p>
    <w:p w:rsidR="00575F33" w:rsidRPr="00BE23C5" w:rsidRDefault="00575F33" w:rsidP="00C005E6">
      <w:pPr>
        <w:pStyle w:val="Heading2"/>
        <w:spacing w:before="120" w:after="120"/>
      </w:pPr>
      <w:bookmarkStart w:id="13" w:name="_Toc535857353"/>
      <w:r w:rsidRPr="00BE23C5">
        <w:t>Clinical claim</w:t>
      </w:r>
      <w:bookmarkEnd w:id="13"/>
    </w:p>
    <w:p w:rsidR="00576E89" w:rsidRPr="00BE23C5" w:rsidRDefault="00DE1D3A" w:rsidP="00C005E6">
      <w:pPr>
        <w:pStyle w:val="ListParagraph"/>
        <w:widowControl/>
        <w:numPr>
          <w:ilvl w:val="1"/>
          <w:numId w:val="2"/>
        </w:numPr>
        <w:spacing w:before="120" w:after="120"/>
      </w:pPr>
      <w:r w:rsidRPr="00BE23C5">
        <w:t xml:space="preserve">The submission described </w:t>
      </w:r>
      <w:proofErr w:type="spellStart"/>
      <w:r w:rsidRPr="00BE23C5">
        <w:t>neratinib</w:t>
      </w:r>
      <w:proofErr w:type="spellEnd"/>
      <w:r w:rsidRPr="00BE23C5">
        <w:t xml:space="preserve"> as superior in terms of effectiveness </w:t>
      </w:r>
      <w:r w:rsidR="005F4239" w:rsidRPr="00BE23C5">
        <w:t xml:space="preserve">and inferior in terms of safety </w:t>
      </w:r>
      <w:r w:rsidRPr="00BE23C5">
        <w:t>compared with placebo in patients with HER2+</w:t>
      </w:r>
      <w:r w:rsidR="00C151F0" w:rsidRPr="00BE23C5">
        <w:t>, HR+</w:t>
      </w:r>
      <w:r w:rsidRPr="00BE23C5">
        <w:t xml:space="preserve"> </w:t>
      </w:r>
      <w:proofErr w:type="spellStart"/>
      <w:r w:rsidRPr="00BE23C5">
        <w:t>eBC</w:t>
      </w:r>
      <w:proofErr w:type="spellEnd"/>
      <w:r w:rsidRPr="00BE23C5">
        <w:t>.</w:t>
      </w:r>
      <w:r w:rsidR="00576E89" w:rsidRPr="00BE23C5">
        <w:t xml:space="preserve"> </w:t>
      </w:r>
    </w:p>
    <w:p w:rsidR="00803D56" w:rsidRPr="00BE23C5" w:rsidRDefault="00803D56" w:rsidP="00C005E6">
      <w:pPr>
        <w:pStyle w:val="ListParagraph"/>
        <w:widowControl/>
        <w:numPr>
          <w:ilvl w:val="1"/>
          <w:numId w:val="2"/>
        </w:numPr>
        <w:spacing w:before="120" w:after="120"/>
      </w:pPr>
      <w:r w:rsidRPr="00BE23C5">
        <w:t xml:space="preserve">The ESC questioned the clinical meaningfulness of the </w:t>
      </w:r>
      <w:proofErr w:type="spellStart"/>
      <w:r w:rsidRPr="00BE23C5">
        <w:t>iDFS</w:t>
      </w:r>
      <w:proofErr w:type="spellEnd"/>
      <w:r w:rsidRPr="00BE23C5">
        <w:t xml:space="preserve"> benefit given no OS data </w:t>
      </w:r>
      <w:r w:rsidR="003B4FD8" w:rsidRPr="00BE23C5">
        <w:t>were</w:t>
      </w:r>
      <w:r w:rsidR="00A9735C" w:rsidRPr="00BE23C5">
        <w:t xml:space="preserve"> </w:t>
      </w:r>
      <w:r w:rsidRPr="00BE23C5">
        <w:t xml:space="preserve">available. Although the 2 year follow up data showed a significant improvement in </w:t>
      </w:r>
      <w:proofErr w:type="spellStart"/>
      <w:r w:rsidRPr="00BE23C5">
        <w:t>iDFS</w:t>
      </w:r>
      <w:proofErr w:type="spellEnd"/>
      <w:r w:rsidRPr="00BE23C5">
        <w:t>, the ESC considered th</w:t>
      </w:r>
      <w:r w:rsidR="00A9735C" w:rsidRPr="00BE23C5">
        <w:t>e difference</w:t>
      </w:r>
      <w:r w:rsidRPr="00BE23C5">
        <w:t xml:space="preserve"> to be </w:t>
      </w:r>
      <w:r w:rsidR="002A4F8C" w:rsidRPr="00BE23C5">
        <w:t>small</w:t>
      </w:r>
      <w:r w:rsidRPr="00BE23C5">
        <w:t xml:space="preserve"> in absolute terms</w:t>
      </w:r>
      <w:r w:rsidR="00A9735C" w:rsidRPr="00BE23C5">
        <w:t>, and uncertain given the risk of bias and concerns regarding the applicability of the trial evidence to the PBS population</w:t>
      </w:r>
      <w:r w:rsidRPr="00BE23C5">
        <w:t xml:space="preserve">. </w:t>
      </w:r>
    </w:p>
    <w:p w:rsidR="00576E89" w:rsidRPr="00BE23C5" w:rsidRDefault="00576E89" w:rsidP="00C005E6">
      <w:pPr>
        <w:pStyle w:val="ListParagraph"/>
        <w:widowControl/>
        <w:numPr>
          <w:ilvl w:val="1"/>
          <w:numId w:val="2"/>
        </w:numPr>
        <w:spacing w:before="120" w:after="120"/>
      </w:pPr>
      <w:r w:rsidRPr="00BE23C5">
        <w:t xml:space="preserve">In terms of comparative safety, the ESC agreed the claim that </w:t>
      </w:r>
      <w:proofErr w:type="spellStart"/>
      <w:r w:rsidRPr="00BE23C5">
        <w:t>neratinib</w:t>
      </w:r>
      <w:proofErr w:type="spellEnd"/>
      <w:r w:rsidRPr="00BE23C5">
        <w:t xml:space="preserve"> is inferior in terms of safety compared with placebo was </w:t>
      </w:r>
      <w:r w:rsidR="00DC77DD" w:rsidRPr="00BE23C5">
        <w:t>supported</w:t>
      </w:r>
      <w:r w:rsidRPr="00BE23C5">
        <w:t xml:space="preserve"> by the clinical data presented. </w:t>
      </w:r>
    </w:p>
    <w:p w:rsidR="0030794A" w:rsidRPr="00BE23C5" w:rsidRDefault="00892D1B" w:rsidP="00C005E6">
      <w:pPr>
        <w:pStyle w:val="ListParagraph"/>
        <w:widowControl/>
        <w:numPr>
          <w:ilvl w:val="1"/>
          <w:numId w:val="2"/>
        </w:numPr>
        <w:spacing w:before="120" w:after="120"/>
        <w:rPr>
          <w:rFonts w:asciiTheme="minorHAnsi" w:hAnsiTheme="minorHAnsi"/>
          <w:szCs w:val="20"/>
        </w:rPr>
      </w:pPr>
      <w:r w:rsidRPr="00BE23C5">
        <w:rPr>
          <w:rFonts w:asciiTheme="minorHAnsi" w:hAnsiTheme="minorHAnsi"/>
          <w:szCs w:val="20"/>
        </w:rPr>
        <w:t xml:space="preserve">The </w:t>
      </w:r>
      <w:r w:rsidRPr="00BE23C5">
        <w:t>PBAC</w:t>
      </w:r>
      <w:r w:rsidRPr="00BE23C5">
        <w:rPr>
          <w:rFonts w:asciiTheme="minorHAnsi" w:hAnsiTheme="minorHAnsi"/>
          <w:szCs w:val="20"/>
        </w:rPr>
        <w:t xml:space="preserve"> considered that the magnitude of </w:t>
      </w:r>
      <w:r w:rsidR="00AD5C4E" w:rsidRPr="00BE23C5">
        <w:rPr>
          <w:rFonts w:asciiTheme="minorHAnsi" w:hAnsiTheme="minorHAnsi"/>
          <w:szCs w:val="20"/>
        </w:rPr>
        <w:t>the</w:t>
      </w:r>
      <w:r w:rsidRPr="00BE23C5">
        <w:rPr>
          <w:rFonts w:asciiTheme="minorHAnsi" w:hAnsiTheme="minorHAnsi"/>
          <w:szCs w:val="20"/>
        </w:rPr>
        <w:t xml:space="preserve"> disease free survival benefit is small </w:t>
      </w:r>
      <w:r w:rsidR="00245DAE" w:rsidRPr="00BE23C5">
        <w:rPr>
          <w:rFonts w:asciiTheme="minorHAnsi" w:hAnsiTheme="minorHAnsi"/>
          <w:szCs w:val="20"/>
        </w:rPr>
        <w:t xml:space="preserve">and uncertain due to potential bias in the </w:t>
      </w:r>
      <w:proofErr w:type="spellStart"/>
      <w:r w:rsidR="00245DAE" w:rsidRPr="00BE23C5">
        <w:rPr>
          <w:rFonts w:asciiTheme="minorHAnsi" w:hAnsiTheme="minorHAnsi"/>
          <w:szCs w:val="20"/>
        </w:rPr>
        <w:t>ExteNET</w:t>
      </w:r>
      <w:proofErr w:type="spellEnd"/>
      <w:r w:rsidR="00245DAE" w:rsidRPr="00BE23C5">
        <w:rPr>
          <w:rFonts w:asciiTheme="minorHAnsi" w:hAnsiTheme="minorHAnsi"/>
          <w:szCs w:val="20"/>
        </w:rPr>
        <w:t xml:space="preserve"> trial and because the study was not powered to detect effects within subgroups</w:t>
      </w:r>
      <w:r w:rsidRPr="00BE23C5">
        <w:rPr>
          <w:rFonts w:asciiTheme="minorHAnsi" w:hAnsiTheme="minorHAnsi"/>
          <w:szCs w:val="20"/>
        </w:rPr>
        <w:t xml:space="preserve">. </w:t>
      </w:r>
      <w:r w:rsidR="00CE59DF" w:rsidRPr="00BE23C5">
        <w:rPr>
          <w:rFonts w:asciiTheme="minorHAnsi" w:hAnsiTheme="minorHAnsi"/>
          <w:szCs w:val="20"/>
        </w:rPr>
        <w:t xml:space="preserve">The PBAC noted that the </w:t>
      </w:r>
      <w:r w:rsidR="007B02EE" w:rsidRPr="00BE23C5">
        <w:rPr>
          <w:rFonts w:asciiTheme="minorHAnsi" w:hAnsiTheme="minorHAnsi"/>
          <w:szCs w:val="20"/>
        </w:rPr>
        <w:t xml:space="preserve">clinical </w:t>
      </w:r>
      <w:r w:rsidR="00CE59DF" w:rsidRPr="00BE23C5">
        <w:rPr>
          <w:rFonts w:asciiTheme="minorHAnsi" w:hAnsiTheme="minorHAnsi"/>
          <w:szCs w:val="20"/>
        </w:rPr>
        <w:t xml:space="preserve">benefit was </w:t>
      </w:r>
      <w:r w:rsidR="00CE265D" w:rsidRPr="00BE23C5">
        <w:rPr>
          <w:rFonts w:asciiTheme="minorHAnsi" w:hAnsiTheme="minorHAnsi"/>
          <w:szCs w:val="20"/>
        </w:rPr>
        <w:t xml:space="preserve">particularly </w:t>
      </w:r>
      <w:r w:rsidR="00CE59DF" w:rsidRPr="00BE23C5">
        <w:rPr>
          <w:rFonts w:asciiTheme="minorHAnsi" w:hAnsiTheme="minorHAnsi"/>
          <w:szCs w:val="20"/>
        </w:rPr>
        <w:t xml:space="preserve">uncertain in lower risk populations such as stage 1 and node negative patients. </w:t>
      </w:r>
      <w:r w:rsidRPr="00BE23C5">
        <w:rPr>
          <w:rFonts w:asciiTheme="minorHAnsi" w:hAnsiTheme="minorHAnsi"/>
          <w:szCs w:val="20"/>
        </w:rPr>
        <w:t xml:space="preserve">The PBAC noted the lack of overall survival </w:t>
      </w:r>
      <w:r w:rsidR="0047325E" w:rsidRPr="00BE23C5">
        <w:rPr>
          <w:rFonts w:asciiTheme="minorHAnsi" w:hAnsiTheme="minorHAnsi"/>
          <w:szCs w:val="20"/>
        </w:rPr>
        <w:t>data</w:t>
      </w:r>
      <w:r w:rsidRPr="00BE23C5">
        <w:rPr>
          <w:rFonts w:asciiTheme="minorHAnsi" w:hAnsiTheme="minorHAnsi"/>
          <w:szCs w:val="20"/>
        </w:rPr>
        <w:t xml:space="preserve"> </w:t>
      </w:r>
      <w:r w:rsidR="00245DAE" w:rsidRPr="00BE23C5">
        <w:rPr>
          <w:rFonts w:asciiTheme="minorHAnsi" w:hAnsiTheme="minorHAnsi"/>
          <w:szCs w:val="20"/>
        </w:rPr>
        <w:t xml:space="preserve">in the evidence presented, </w:t>
      </w:r>
      <w:r w:rsidR="0047325E" w:rsidRPr="00BE23C5">
        <w:rPr>
          <w:rFonts w:asciiTheme="minorHAnsi" w:hAnsiTheme="minorHAnsi"/>
          <w:szCs w:val="20"/>
        </w:rPr>
        <w:t>and thus</w:t>
      </w:r>
      <w:r w:rsidRPr="00BE23C5">
        <w:rPr>
          <w:rFonts w:asciiTheme="minorHAnsi" w:hAnsiTheme="minorHAnsi"/>
          <w:szCs w:val="20"/>
        </w:rPr>
        <w:t xml:space="preserve"> </w:t>
      </w:r>
      <w:r w:rsidR="00CE59DF" w:rsidRPr="00BE23C5">
        <w:rPr>
          <w:rFonts w:asciiTheme="minorHAnsi" w:hAnsiTheme="minorHAnsi"/>
          <w:szCs w:val="20"/>
        </w:rPr>
        <w:t xml:space="preserve">the </w:t>
      </w:r>
      <w:r w:rsidRPr="00BE23C5">
        <w:rPr>
          <w:rFonts w:asciiTheme="minorHAnsi" w:hAnsiTheme="minorHAnsi"/>
          <w:szCs w:val="20"/>
        </w:rPr>
        <w:t>long term</w:t>
      </w:r>
      <w:r w:rsidR="00CE265D" w:rsidRPr="00BE23C5">
        <w:rPr>
          <w:rFonts w:asciiTheme="minorHAnsi" w:hAnsiTheme="minorHAnsi"/>
          <w:szCs w:val="20"/>
        </w:rPr>
        <w:t xml:space="preserve"> </w:t>
      </w:r>
      <w:r w:rsidRPr="00BE23C5">
        <w:rPr>
          <w:rFonts w:asciiTheme="minorHAnsi" w:hAnsiTheme="minorHAnsi"/>
          <w:szCs w:val="20"/>
        </w:rPr>
        <w:t xml:space="preserve">benefits </w:t>
      </w:r>
      <w:r w:rsidR="00CE59DF" w:rsidRPr="00BE23C5">
        <w:rPr>
          <w:rFonts w:asciiTheme="minorHAnsi" w:hAnsiTheme="minorHAnsi"/>
          <w:szCs w:val="20"/>
        </w:rPr>
        <w:t xml:space="preserve">of </w:t>
      </w:r>
      <w:proofErr w:type="spellStart"/>
      <w:r w:rsidRPr="00BE23C5">
        <w:rPr>
          <w:rFonts w:asciiTheme="minorHAnsi" w:hAnsiTheme="minorHAnsi"/>
          <w:szCs w:val="20"/>
        </w:rPr>
        <w:t>neratinib</w:t>
      </w:r>
      <w:proofErr w:type="spellEnd"/>
      <w:r w:rsidRPr="00BE23C5">
        <w:rPr>
          <w:rFonts w:asciiTheme="minorHAnsi" w:hAnsiTheme="minorHAnsi"/>
          <w:szCs w:val="20"/>
        </w:rPr>
        <w:t xml:space="preserve"> therapy</w:t>
      </w:r>
      <w:r w:rsidR="0047325E" w:rsidRPr="00BE23C5">
        <w:rPr>
          <w:rFonts w:asciiTheme="minorHAnsi" w:hAnsiTheme="minorHAnsi"/>
          <w:szCs w:val="20"/>
        </w:rPr>
        <w:t xml:space="preserve"> are unknown</w:t>
      </w:r>
      <w:r w:rsidRPr="00BE23C5">
        <w:rPr>
          <w:rFonts w:asciiTheme="minorHAnsi" w:hAnsiTheme="minorHAnsi"/>
          <w:szCs w:val="20"/>
        </w:rPr>
        <w:t>.</w:t>
      </w:r>
    </w:p>
    <w:p w:rsidR="0030794A" w:rsidRPr="00BE23C5" w:rsidRDefault="0030794A" w:rsidP="00C005E6">
      <w:pPr>
        <w:pStyle w:val="ListParagraph"/>
        <w:widowControl/>
        <w:numPr>
          <w:ilvl w:val="1"/>
          <w:numId w:val="2"/>
        </w:numPr>
        <w:spacing w:before="120" w:after="120"/>
        <w:rPr>
          <w:rFonts w:asciiTheme="minorHAnsi" w:hAnsiTheme="minorHAnsi"/>
          <w:szCs w:val="20"/>
        </w:rPr>
      </w:pPr>
      <w:r w:rsidRPr="00BE23C5">
        <w:rPr>
          <w:rFonts w:asciiTheme="minorHAnsi" w:hAnsiTheme="minorHAnsi"/>
          <w:szCs w:val="20"/>
        </w:rPr>
        <w:t>The PBAC considered that the claim of inferior comparative safety was reasonable</w:t>
      </w:r>
      <w:r w:rsidR="00892D1B" w:rsidRPr="00BE23C5">
        <w:rPr>
          <w:rFonts w:asciiTheme="minorHAnsi" w:hAnsiTheme="minorHAnsi"/>
          <w:szCs w:val="20"/>
        </w:rPr>
        <w:t xml:space="preserve"> and </w:t>
      </w:r>
      <w:r w:rsidR="00CE265D" w:rsidRPr="00BE23C5">
        <w:rPr>
          <w:rFonts w:asciiTheme="minorHAnsi" w:hAnsiTheme="minorHAnsi"/>
          <w:szCs w:val="20"/>
        </w:rPr>
        <w:t>consistent with</w:t>
      </w:r>
      <w:r w:rsidRPr="00BE23C5">
        <w:rPr>
          <w:rFonts w:asciiTheme="minorHAnsi" w:hAnsiTheme="minorHAnsi"/>
          <w:szCs w:val="20"/>
        </w:rPr>
        <w:t xml:space="preserve"> the data.</w:t>
      </w:r>
      <w:r w:rsidR="00892D1B" w:rsidRPr="00BE23C5">
        <w:rPr>
          <w:rFonts w:asciiTheme="minorHAnsi" w:hAnsiTheme="minorHAnsi"/>
          <w:szCs w:val="20"/>
        </w:rPr>
        <w:t xml:space="preserve"> The PBAC considered the adverse events experienced with </w:t>
      </w:r>
      <w:proofErr w:type="spellStart"/>
      <w:r w:rsidR="00892D1B" w:rsidRPr="00BE23C5">
        <w:rPr>
          <w:rFonts w:asciiTheme="minorHAnsi" w:hAnsiTheme="minorHAnsi"/>
          <w:szCs w:val="20"/>
        </w:rPr>
        <w:t>neratinib</w:t>
      </w:r>
      <w:proofErr w:type="spellEnd"/>
      <w:r w:rsidR="00892D1B" w:rsidRPr="00BE23C5">
        <w:rPr>
          <w:rFonts w:asciiTheme="minorHAnsi" w:hAnsiTheme="minorHAnsi"/>
          <w:szCs w:val="20"/>
        </w:rPr>
        <w:t xml:space="preserve"> therapy compared to placebo w</w:t>
      </w:r>
      <w:r w:rsidR="00CE59DF" w:rsidRPr="00BE23C5">
        <w:rPr>
          <w:rFonts w:asciiTheme="minorHAnsi" w:hAnsiTheme="minorHAnsi"/>
          <w:szCs w:val="20"/>
        </w:rPr>
        <w:t>ere</w:t>
      </w:r>
      <w:r w:rsidR="00892D1B" w:rsidRPr="00BE23C5">
        <w:rPr>
          <w:rFonts w:asciiTheme="minorHAnsi" w:hAnsiTheme="minorHAnsi"/>
          <w:szCs w:val="20"/>
        </w:rPr>
        <w:t xml:space="preserve"> significant and </w:t>
      </w:r>
      <w:r w:rsidR="0089377D" w:rsidRPr="00BE23C5">
        <w:rPr>
          <w:rFonts w:asciiTheme="minorHAnsi" w:hAnsiTheme="minorHAnsi"/>
          <w:szCs w:val="20"/>
        </w:rPr>
        <w:t>may</w:t>
      </w:r>
      <w:r w:rsidR="00892D1B" w:rsidRPr="00BE23C5">
        <w:rPr>
          <w:rFonts w:asciiTheme="minorHAnsi" w:hAnsiTheme="minorHAnsi"/>
          <w:szCs w:val="20"/>
        </w:rPr>
        <w:t xml:space="preserve"> outweigh the benefit</w:t>
      </w:r>
      <w:r w:rsidR="0089377D" w:rsidRPr="00BE23C5">
        <w:rPr>
          <w:rFonts w:asciiTheme="minorHAnsi" w:hAnsiTheme="minorHAnsi"/>
          <w:szCs w:val="20"/>
        </w:rPr>
        <w:t xml:space="preserve"> for some patients</w:t>
      </w:r>
      <w:r w:rsidR="00892D1B" w:rsidRPr="00BE23C5">
        <w:rPr>
          <w:rFonts w:asciiTheme="minorHAnsi" w:hAnsiTheme="minorHAnsi"/>
          <w:szCs w:val="20"/>
        </w:rPr>
        <w:t>.</w:t>
      </w:r>
    </w:p>
    <w:p w:rsidR="00575F33" w:rsidRPr="00BE23C5" w:rsidRDefault="00575F33" w:rsidP="00C005E6">
      <w:pPr>
        <w:pStyle w:val="Heading2"/>
        <w:keepNext/>
        <w:spacing w:before="120" w:after="120"/>
      </w:pPr>
      <w:bookmarkStart w:id="14" w:name="_Toc535857354"/>
      <w:r w:rsidRPr="00BE23C5">
        <w:t>Economic analysis</w:t>
      </w:r>
      <w:bookmarkEnd w:id="14"/>
      <w:r w:rsidRPr="00BE23C5">
        <w:t xml:space="preserve"> </w:t>
      </w:r>
    </w:p>
    <w:p w:rsidR="00270953" w:rsidRPr="00BE23C5" w:rsidRDefault="00270953" w:rsidP="00C005E6">
      <w:pPr>
        <w:pStyle w:val="ListParagraph"/>
        <w:widowControl/>
        <w:numPr>
          <w:ilvl w:val="1"/>
          <w:numId w:val="2"/>
        </w:numPr>
        <w:spacing w:before="120" w:after="120"/>
      </w:pPr>
      <w:r w:rsidRPr="00BE23C5">
        <w:rPr>
          <w:rFonts w:cs="Calibri"/>
          <w:snapToGrid/>
          <w:szCs w:val="24"/>
          <w:lang w:eastAsia="en-AU"/>
        </w:rPr>
        <w:t xml:space="preserve">The submission presented an economic evaluation based on the </w:t>
      </w:r>
      <w:proofErr w:type="spellStart"/>
      <w:r w:rsidRPr="00BE23C5">
        <w:rPr>
          <w:rFonts w:cs="Calibri"/>
          <w:snapToGrid/>
          <w:szCs w:val="24"/>
          <w:lang w:eastAsia="en-AU"/>
        </w:rPr>
        <w:t>ExteNET</w:t>
      </w:r>
      <w:proofErr w:type="spellEnd"/>
      <w:r w:rsidRPr="00BE23C5">
        <w:rPr>
          <w:rFonts w:cs="Calibri"/>
          <w:snapToGrid/>
          <w:szCs w:val="24"/>
          <w:lang w:eastAsia="en-AU"/>
        </w:rPr>
        <w:t xml:space="preserve"> trial and implemented a modelled evaluation. The type of economic evaluation presented was a cost-utility analysis.</w:t>
      </w:r>
      <w:r w:rsidR="006A6870" w:rsidRPr="00BE23C5">
        <w:rPr>
          <w:rFonts w:cs="Calibri"/>
          <w:snapToGrid/>
          <w:szCs w:val="24"/>
          <w:lang w:eastAsia="en-AU"/>
        </w:rPr>
        <w:t xml:space="preserve"> </w:t>
      </w:r>
    </w:p>
    <w:p w:rsidR="005F34A4" w:rsidRPr="00BE23C5" w:rsidRDefault="005F34A4" w:rsidP="00C005E6">
      <w:pPr>
        <w:pStyle w:val="ListParagraph"/>
        <w:widowControl/>
        <w:numPr>
          <w:ilvl w:val="1"/>
          <w:numId w:val="2"/>
        </w:numPr>
        <w:spacing w:before="120" w:after="120"/>
      </w:pPr>
      <w:r w:rsidRPr="00BE23C5">
        <w:rPr>
          <w:rFonts w:cs="Calibri"/>
          <w:snapToGrid/>
          <w:szCs w:val="24"/>
          <w:lang w:eastAsia="en-AU"/>
        </w:rPr>
        <w:t>The submission did not present a stepped economic evaluation.</w:t>
      </w:r>
    </w:p>
    <w:p w:rsidR="008B0A9F" w:rsidRPr="00BE23C5" w:rsidRDefault="008B0A9F" w:rsidP="00C005E6">
      <w:pPr>
        <w:pStyle w:val="ListParagraph"/>
        <w:widowControl/>
        <w:numPr>
          <w:ilvl w:val="1"/>
          <w:numId w:val="2"/>
        </w:numPr>
        <w:spacing w:before="120" w:after="120"/>
      </w:pPr>
      <w:r w:rsidRPr="00BE23C5">
        <w:rPr>
          <w:rFonts w:cs="Calibri"/>
          <w:snapToGrid/>
          <w:szCs w:val="24"/>
          <w:lang w:eastAsia="en-AU"/>
        </w:rPr>
        <w:lastRenderedPageBreak/>
        <w:t xml:space="preserve">Table </w:t>
      </w:r>
      <w:r w:rsidR="00C41CD3" w:rsidRPr="00BE23C5">
        <w:rPr>
          <w:rFonts w:cs="Calibri"/>
          <w:snapToGrid/>
          <w:szCs w:val="24"/>
          <w:lang w:eastAsia="en-AU"/>
        </w:rPr>
        <w:t>9</w:t>
      </w:r>
      <w:r w:rsidRPr="00BE23C5">
        <w:rPr>
          <w:rFonts w:cs="Calibri"/>
          <w:snapToGrid/>
          <w:szCs w:val="24"/>
          <w:lang w:eastAsia="en-AU"/>
        </w:rPr>
        <w:t xml:space="preserve"> summarises the model structure and rationale.</w:t>
      </w:r>
    </w:p>
    <w:p w:rsidR="00270953" w:rsidRPr="00BE23C5" w:rsidRDefault="00270953" w:rsidP="000F2E0D">
      <w:pPr>
        <w:keepNext/>
        <w:rPr>
          <w:rStyle w:val="CommentReference"/>
        </w:rPr>
      </w:pPr>
      <w:r w:rsidRPr="00BE23C5">
        <w:rPr>
          <w:rStyle w:val="CommentReference"/>
        </w:rPr>
        <w:t xml:space="preserve">Table </w:t>
      </w:r>
      <w:r w:rsidR="00E368AD" w:rsidRPr="00BE23C5">
        <w:rPr>
          <w:rStyle w:val="CommentReference"/>
        </w:rPr>
        <w:t>9</w:t>
      </w:r>
      <w:r w:rsidRPr="00BE23C5">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9: Summary of model structure and rationale"/>
      </w:tblPr>
      <w:tblGrid>
        <w:gridCol w:w="1223"/>
        <w:gridCol w:w="7794"/>
      </w:tblGrid>
      <w:tr w:rsidR="001D1C7A" w:rsidRPr="00BE23C5" w:rsidTr="00033521">
        <w:trPr>
          <w:tblHeader/>
        </w:trPr>
        <w:tc>
          <w:tcPr>
            <w:tcW w:w="678" w:type="pct"/>
            <w:vAlign w:val="center"/>
          </w:tcPr>
          <w:p w:rsidR="00270953" w:rsidRPr="00BE23C5" w:rsidRDefault="00270953" w:rsidP="000F2E0D">
            <w:pPr>
              <w:keepNext/>
              <w:widowControl/>
              <w:jc w:val="left"/>
              <w:rPr>
                <w:rFonts w:ascii="Arial Narrow" w:hAnsi="Arial Narrow" w:cs="Times New Roman"/>
                <w:b/>
                <w:snapToGrid/>
                <w:sz w:val="20"/>
              </w:rPr>
            </w:pPr>
            <w:r w:rsidRPr="00BE23C5">
              <w:rPr>
                <w:rFonts w:ascii="Arial Narrow" w:hAnsi="Arial Narrow" w:cs="Times New Roman"/>
                <w:b/>
                <w:snapToGrid/>
                <w:sz w:val="20"/>
              </w:rPr>
              <w:t>Component</w:t>
            </w:r>
          </w:p>
        </w:tc>
        <w:tc>
          <w:tcPr>
            <w:tcW w:w="4322" w:type="pct"/>
          </w:tcPr>
          <w:p w:rsidR="00270953" w:rsidRPr="00BE23C5" w:rsidRDefault="00270953" w:rsidP="000F2E0D">
            <w:pPr>
              <w:keepNext/>
              <w:widowControl/>
              <w:jc w:val="center"/>
              <w:rPr>
                <w:rFonts w:ascii="Arial Narrow" w:hAnsi="Arial Narrow" w:cs="Times New Roman"/>
                <w:b/>
                <w:snapToGrid/>
                <w:sz w:val="20"/>
              </w:rPr>
            </w:pPr>
            <w:r w:rsidRPr="00BE23C5">
              <w:rPr>
                <w:rFonts w:ascii="Arial Narrow" w:hAnsi="Arial Narrow" w:cs="Times New Roman"/>
                <w:b/>
                <w:snapToGrid/>
                <w:sz w:val="20"/>
              </w:rPr>
              <w:t>Description</w:t>
            </w:r>
          </w:p>
        </w:tc>
      </w:tr>
      <w:tr w:rsidR="001D1C7A" w:rsidRPr="00BE23C5" w:rsidTr="00033521">
        <w:tc>
          <w:tcPr>
            <w:tcW w:w="678" w:type="pct"/>
            <w:vAlign w:val="center"/>
          </w:tcPr>
          <w:p w:rsidR="00270953" w:rsidRPr="00BE23C5" w:rsidRDefault="00270953" w:rsidP="000F2E0D">
            <w:pPr>
              <w:keepNext/>
              <w:widowControl/>
              <w:jc w:val="left"/>
              <w:rPr>
                <w:rFonts w:ascii="Arial Narrow" w:hAnsi="Arial Narrow" w:cs="Times New Roman"/>
                <w:snapToGrid/>
                <w:sz w:val="20"/>
              </w:rPr>
            </w:pPr>
            <w:r w:rsidRPr="00BE23C5">
              <w:rPr>
                <w:rFonts w:ascii="Arial Narrow" w:hAnsi="Arial Narrow" w:cs="Times New Roman"/>
                <w:snapToGrid/>
                <w:sz w:val="20"/>
              </w:rPr>
              <w:t>Type of analysis</w:t>
            </w:r>
          </w:p>
        </w:tc>
        <w:tc>
          <w:tcPr>
            <w:tcW w:w="4322" w:type="pct"/>
          </w:tcPr>
          <w:p w:rsidR="00270953" w:rsidRPr="00BE23C5" w:rsidRDefault="00270953" w:rsidP="000F2E0D">
            <w:pPr>
              <w:keepNext/>
              <w:widowControl/>
              <w:jc w:val="left"/>
              <w:rPr>
                <w:rFonts w:ascii="Arial Narrow" w:hAnsi="Arial Narrow" w:cs="Times New Roman"/>
                <w:snapToGrid/>
                <w:sz w:val="20"/>
              </w:rPr>
            </w:pPr>
            <w:r w:rsidRPr="00BE23C5">
              <w:rPr>
                <w:rFonts w:ascii="Arial Narrow" w:hAnsi="Arial Narrow" w:cs="Times New Roman"/>
                <w:snapToGrid/>
                <w:sz w:val="20"/>
              </w:rPr>
              <w:t>Cost-utility analysis</w:t>
            </w:r>
          </w:p>
        </w:tc>
      </w:tr>
      <w:tr w:rsidR="001D1C7A" w:rsidRPr="00BE23C5" w:rsidTr="00033521">
        <w:tc>
          <w:tcPr>
            <w:tcW w:w="678" w:type="pct"/>
            <w:vAlign w:val="center"/>
          </w:tcPr>
          <w:p w:rsidR="00270953" w:rsidRPr="00BE23C5" w:rsidRDefault="00270953" w:rsidP="000F2E0D">
            <w:pPr>
              <w:keepNext/>
              <w:widowControl/>
              <w:jc w:val="left"/>
              <w:rPr>
                <w:rFonts w:ascii="Arial Narrow" w:hAnsi="Arial Narrow" w:cs="Times New Roman"/>
                <w:snapToGrid/>
                <w:sz w:val="20"/>
              </w:rPr>
            </w:pPr>
            <w:r w:rsidRPr="00BE23C5">
              <w:rPr>
                <w:rFonts w:ascii="Arial Narrow" w:hAnsi="Arial Narrow" w:cs="Times New Roman"/>
                <w:snapToGrid/>
                <w:sz w:val="20"/>
              </w:rPr>
              <w:t>Outcomes</w:t>
            </w:r>
          </w:p>
        </w:tc>
        <w:tc>
          <w:tcPr>
            <w:tcW w:w="4322" w:type="pct"/>
          </w:tcPr>
          <w:p w:rsidR="00270953" w:rsidRPr="00BE23C5" w:rsidRDefault="00270953" w:rsidP="000F2E0D">
            <w:pPr>
              <w:keepNext/>
              <w:widowControl/>
              <w:jc w:val="left"/>
              <w:rPr>
                <w:rFonts w:ascii="Arial Narrow" w:hAnsi="Arial Narrow" w:cs="Times New Roman"/>
                <w:snapToGrid/>
                <w:sz w:val="20"/>
              </w:rPr>
            </w:pPr>
            <w:r w:rsidRPr="00BE23C5">
              <w:rPr>
                <w:rFonts w:ascii="Arial Narrow" w:hAnsi="Arial Narrow" w:cs="Times New Roman"/>
                <w:snapToGrid/>
                <w:sz w:val="20"/>
              </w:rPr>
              <w:t>Life years gained, Quality-adjusted life years gained</w:t>
            </w:r>
          </w:p>
        </w:tc>
      </w:tr>
      <w:tr w:rsidR="001D1C7A" w:rsidRPr="00BE23C5" w:rsidTr="00033521">
        <w:tc>
          <w:tcPr>
            <w:tcW w:w="678" w:type="pct"/>
            <w:tcBorders>
              <w:bottom w:val="single" w:sz="4" w:space="0" w:color="auto"/>
            </w:tcBorders>
            <w:vAlign w:val="center"/>
          </w:tcPr>
          <w:p w:rsidR="00270953" w:rsidRPr="00BE23C5" w:rsidRDefault="00270953" w:rsidP="000F2E0D">
            <w:pPr>
              <w:keepNext/>
              <w:widowControl/>
              <w:jc w:val="left"/>
              <w:rPr>
                <w:rFonts w:ascii="Arial Narrow" w:hAnsi="Arial Narrow" w:cs="Times New Roman"/>
                <w:snapToGrid/>
                <w:sz w:val="20"/>
              </w:rPr>
            </w:pPr>
            <w:r w:rsidRPr="00BE23C5">
              <w:rPr>
                <w:rFonts w:ascii="Arial Narrow" w:hAnsi="Arial Narrow" w:cs="Times New Roman"/>
                <w:snapToGrid/>
                <w:sz w:val="20"/>
              </w:rPr>
              <w:t>Time horizon</w:t>
            </w:r>
          </w:p>
        </w:tc>
        <w:tc>
          <w:tcPr>
            <w:tcW w:w="4322" w:type="pct"/>
            <w:tcBorders>
              <w:bottom w:val="single" w:sz="4" w:space="0" w:color="auto"/>
            </w:tcBorders>
          </w:tcPr>
          <w:p w:rsidR="00270953" w:rsidRPr="00BE23C5" w:rsidRDefault="00270953" w:rsidP="000F2E0D">
            <w:pPr>
              <w:keepNext/>
              <w:widowControl/>
              <w:jc w:val="left"/>
              <w:rPr>
                <w:rFonts w:ascii="Arial Narrow" w:hAnsi="Arial Narrow" w:cs="Times New Roman"/>
                <w:snapToGrid/>
                <w:sz w:val="20"/>
              </w:rPr>
            </w:pPr>
            <w:r w:rsidRPr="00BE23C5">
              <w:rPr>
                <w:rFonts w:ascii="Arial Narrow" w:hAnsi="Arial Narrow" w:cs="Times New Roman"/>
                <w:snapToGrid/>
                <w:sz w:val="20"/>
              </w:rPr>
              <w:t>55 years</w:t>
            </w:r>
            <w:r w:rsidR="00AD2423" w:rsidRPr="00BE23C5">
              <w:rPr>
                <w:rFonts w:ascii="Arial Narrow" w:hAnsi="Arial Narrow" w:cs="Times New Roman"/>
                <w:snapToGrid/>
                <w:sz w:val="20"/>
              </w:rPr>
              <w:t xml:space="preserve">. </w:t>
            </w:r>
            <w:r w:rsidR="00F91BCC" w:rsidRPr="00BE23C5">
              <w:rPr>
                <w:rFonts w:ascii="Arial Narrow" w:hAnsi="Arial Narrow" w:cs="Times New Roman"/>
                <w:snapToGrid/>
                <w:sz w:val="20"/>
              </w:rPr>
              <w:t>This</w:t>
            </w:r>
            <w:r w:rsidR="00AD2423" w:rsidRPr="00BE23C5">
              <w:rPr>
                <w:rFonts w:ascii="Arial Narrow" w:hAnsi="Arial Narrow" w:cs="Times New Roman"/>
                <w:snapToGrid/>
                <w:sz w:val="20"/>
              </w:rPr>
              <w:t xml:space="preserve"> is long relative </w:t>
            </w:r>
            <w:r w:rsidR="00101AF5" w:rsidRPr="00BE23C5">
              <w:rPr>
                <w:rFonts w:ascii="Arial Narrow" w:hAnsi="Arial Narrow" w:cs="Times New Roman"/>
                <w:snapToGrid/>
                <w:sz w:val="20"/>
              </w:rPr>
              <w:t xml:space="preserve">to </w:t>
            </w:r>
            <w:r w:rsidR="00AD2423" w:rsidRPr="00BE23C5">
              <w:rPr>
                <w:rFonts w:ascii="Arial Narrow" w:hAnsi="Arial Narrow" w:cs="Times New Roman"/>
                <w:snapToGrid/>
                <w:sz w:val="20"/>
              </w:rPr>
              <w:t xml:space="preserve">the </w:t>
            </w:r>
            <w:r w:rsidR="008B0A9F" w:rsidRPr="00BE23C5">
              <w:rPr>
                <w:rFonts w:ascii="Arial Narrow" w:hAnsi="Arial Narrow" w:cs="Times New Roman"/>
                <w:snapToGrid/>
                <w:sz w:val="20"/>
              </w:rPr>
              <w:t>5</w:t>
            </w:r>
            <w:r w:rsidR="00AD2423" w:rsidRPr="00BE23C5">
              <w:rPr>
                <w:rFonts w:ascii="Arial Narrow" w:hAnsi="Arial Narrow" w:cs="Times New Roman"/>
                <w:snapToGrid/>
                <w:sz w:val="20"/>
              </w:rPr>
              <w:t xml:space="preserve"> year follow</w:t>
            </w:r>
            <w:r w:rsidR="008B0A9F" w:rsidRPr="00BE23C5">
              <w:rPr>
                <w:rFonts w:ascii="Arial Narrow" w:hAnsi="Arial Narrow" w:cs="Times New Roman"/>
                <w:snapToGrid/>
                <w:sz w:val="20"/>
              </w:rPr>
              <w:t>-</w:t>
            </w:r>
            <w:r w:rsidR="00AD2423" w:rsidRPr="00BE23C5">
              <w:rPr>
                <w:rFonts w:ascii="Arial Narrow" w:hAnsi="Arial Narrow" w:cs="Times New Roman"/>
                <w:snapToGrid/>
                <w:sz w:val="20"/>
              </w:rPr>
              <w:t xml:space="preserve">up period of the </w:t>
            </w:r>
            <w:proofErr w:type="spellStart"/>
            <w:r w:rsidR="00AD2423" w:rsidRPr="00BE23C5">
              <w:rPr>
                <w:rFonts w:ascii="Arial Narrow" w:hAnsi="Arial Narrow" w:cs="Times New Roman"/>
                <w:snapToGrid/>
                <w:sz w:val="20"/>
              </w:rPr>
              <w:t>ExteNET</w:t>
            </w:r>
            <w:proofErr w:type="spellEnd"/>
            <w:r w:rsidR="00AD2423" w:rsidRPr="00BE23C5">
              <w:rPr>
                <w:rFonts w:ascii="Arial Narrow" w:hAnsi="Arial Narrow" w:cs="Times New Roman"/>
                <w:snapToGrid/>
                <w:sz w:val="20"/>
              </w:rPr>
              <w:t xml:space="preserve"> trial. The PBAC previously </w:t>
            </w:r>
            <w:r w:rsidR="004A5A3E" w:rsidRPr="00BE23C5">
              <w:rPr>
                <w:rFonts w:ascii="Arial Narrow" w:hAnsi="Arial Narrow" w:cs="Times New Roman"/>
                <w:snapToGrid/>
                <w:sz w:val="20"/>
              </w:rPr>
              <w:t>considered</w:t>
            </w:r>
            <w:r w:rsidR="00AD2423" w:rsidRPr="00BE23C5">
              <w:rPr>
                <w:rFonts w:ascii="Arial Narrow" w:hAnsi="Arial Narrow" w:cs="Times New Roman"/>
                <w:snapToGrid/>
                <w:sz w:val="20"/>
              </w:rPr>
              <w:t xml:space="preserve"> </w:t>
            </w:r>
            <w:r w:rsidR="008B0A9F" w:rsidRPr="00BE23C5">
              <w:rPr>
                <w:rFonts w:ascii="Arial Narrow" w:hAnsi="Arial Narrow" w:cs="Times New Roman"/>
                <w:snapToGrid/>
                <w:sz w:val="20"/>
              </w:rPr>
              <w:t xml:space="preserve">a </w:t>
            </w:r>
            <w:r w:rsidR="00AD2423" w:rsidRPr="00BE23C5">
              <w:rPr>
                <w:rFonts w:ascii="Arial Narrow" w:hAnsi="Arial Narrow" w:cs="Times New Roman"/>
                <w:snapToGrid/>
                <w:sz w:val="20"/>
              </w:rPr>
              <w:t>time horizon of 4</w:t>
            </w:r>
            <w:r w:rsidR="0041332F" w:rsidRPr="00BE23C5">
              <w:rPr>
                <w:rFonts w:ascii="Arial Narrow" w:hAnsi="Arial Narrow" w:cs="Times New Roman"/>
                <w:snapToGrid/>
                <w:sz w:val="20"/>
              </w:rPr>
              <w:t>0</w:t>
            </w:r>
            <w:r w:rsidR="00AD2423" w:rsidRPr="00BE23C5">
              <w:rPr>
                <w:rFonts w:ascii="Arial Narrow" w:hAnsi="Arial Narrow" w:cs="Times New Roman"/>
                <w:snapToGrid/>
                <w:sz w:val="20"/>
              </w:rPr>
              <w:t xml:space="preserve"> years for </w:t>
            </w:r>
            <w:proofErr w:type="spellStart"/>
            <w:r w:rsidR="00AD2423" w:rsidRPr="00BE23C5">
              <w:rPr>
                <w:rFonts w:ascii="Arial Narrow" w:hAnsi="Arial Narrow" w:cs="Times New Roman"/>
                <w:snapToGrid/>
                <w:sz w:val="20"/>
              </w:rPr>
              <w:t>trastuzumab</w:t>
            </w:r>
            <w:proofErr w:type="spellEnd"/>
            <w:r w:rsidR="00AD2423" w:rsidRPr="00BE23C5">
              <w:rPr>
                <w:rFonts w:ascii="Arial Narrow" w:hAnsi="Arial Narrow" w:cs="Times New Roman"/>
                <w:snapToGrid/>
                <w:sz w:val="20"/>
              </w:rPr>
              <w:t xml:space="preserve"> for </w:t>
            </w:r>
            <w:proofErr w:type="spellStart"/>
            <w:r w:rsidR="00AD2423" w:rsidRPr="00BE23C5">
              <w:rPr>
                <w:rFonts w:ascii="Arial Narrow" w:hAnsi="Arial Narrow" w:cs="Times New Roman"/>
                <w:snapToGrid/>
                <w:sz w:val="20"/>
              </w:rPr>
              <w:t>eBC</w:t>
            </w:r>
            <w:proofErr w:type="spellEnd"/>
            <w:r w:rsidR="00AD2423" w:rsidRPr="00BE23C5">
              <w:rPr>
                <w:rFonts w:ascii="Arial Narrow" w:hAnsi="Arial Narrow" w:cs="Times New Roman"/>
                <w:snapToGrid/>
                <w:sz w:val="20"/>
              </w:rPr>
              <w:t>.</w:t>
            </w:r>
            <w:r w:rsidR="00AD2423" w:rsidRPr="00BE23C5">
              <w:rPr>
                <w:rFonts w:ascii="Arial Narrow" w:hAnsi="Arial Narrow" w:cs="Times New Roman"/>
                <w:snapToGrid/>
                <w:sz w:val="20"/>
                <w:vertAlign w:val="superscript"/>
              </w:rPr>
              <w:t xml:space="preserve"> </w:t>
            </w:r>
            <w:r w:rsidR="00AD2423" w:rsidRPr="00BE23C5">
              <w:rPr>
                <w:rFonts w:ascii="Arial Narrow" w:hAnsi="Arial Narrow" w:cs="Times New Roman"/>
                <w:snapToGrid/>
                <w:sz w:val="20"/>
                <w:vertAlign w:val="superscript"/>
              </w:rPr>
              <w:footnoteReference w:id="8"/>
            </w:r>
          </w:p>
        </w:tc>
      </w:tr>
      <w:tr w:rsidR="00FA63E0" w:rsidRPr="00BE23C5" w:rsidTr="00033521">
        <w:tc>
          <w:tcPr>
            <w:tcW w:w="678" w:type="pct"/>
            <w:vMerge w:val="restart"/>
            <w:vAlign w:val="center"/>
          </w:tcPr>
          <w:p w:rsidR="00FA63E0" w:rsidRPr="00BE23C5" w:rsidRDefault="00FA63E0" w:rsidP="000F2E0D">
            <w:pPr>
              <w:keepNext/>
              <w:widowControl/>
              <w:jc w:val="left"/>
              <w:rPr>
                <w:rFonts w:ascii="Arial Narrow" w:hAnsi="Arial Narrow" w:cs="Times New Roman"/>
                <w:snapToGrid/>
                <w:sz w:val="20"/>
              </w:rPr>
            </w:pPr>
            <w:r w:rsidRPr="00BE23C5">
              <w:rPr>
                <w:rFonts w:ascii="Arial Narrow" w:hAnsi="Arial Narrow" w:cs="Times New Roman"/>
                <w:snapToGrid/>
                <w:sz w:val="20"/>
              </w:rPr>
              <w:t>Methods used to generate results</w:t>
            </w:r>
          </w:p>
        </w:tc>
        <w:tc>
          <w:tcPr>
            <w:tcW w:w="4322" w:type="pct"/>
            <w:tcBorders>
              <w:bottom w:val="nil"/>
            </w:tcBorders>
          </w:tcPr>
          <w:p w:rsidR="00FA63E0" w:rsidRPr="00BE23C5" w:rsidRDefault="00FA63E0" w:rsidP="000F2E0D">
            <w:pPr>
              <w:keepNext/>
              <w:widowControl/>
              <w:jc w:val="left"/>
              <w:rPr>
                <w:rFonts w:ascii="Arial Narrow" w:hAnsi="Arial Narrow" w:cs="Times New Roman"/>
                <w:snapToGrid/>
                <w:sz w:val="20"/>
              </w:rPr>
            </w:pPr>
            <w:r w:rsidRPr="00BE23C5">
              <w:rPr>
                <w:rFonts w:ascii="Arial Narrow" w:hAnsi="Arial Narrow" w:cs="Times New Roman"/>
                <w:snapToGrid/>
                <w:sz w:val="20"/>
              </w:rPr>
              <w:t xml:space="preserve">Markov model. </w:t>
            </w:r>
          </w:p>
        </w:tc>
      </w:tr>
      <w:tr w:rsidR="00FA63E0" w:rsidRPr="00BE23C5" w:rsidTr="00033521">
        <w:tc>
          <w:tcPr>
            <w:tcW w:w="678" w:type="pct"/>
            <w:vMerge/>
            <w:vAlign w:val="center"/>
          </w:tcPr>
          <w:p w:rsidR="00FA63E0" w:rsidRPr="00BE23C5" w:rsidRDefault="00FA63E0" w:rsidP="000F2E0D">
            <w:pPr>
              <w:keepNext/>
              <w:widowControl/>
              <w:jc w:val="left"/>
              <w:rPr>
                <w:rFonts w:ascii="Arial Narrow" w:hAnsi="Arial Narrow" w:cs="Times New Roman"/>
                <w:snapToGrid/>
                <w:sz w:val="20"/>
              </w:rPr>
            </w:pPr>
          </w:p>
        </w:tc>
        <w:tc>
          <w:tcPr>
            <w:tcW w:w="4322" w:type="pct"/>
            <w:tcBorders>
              <w:top w:val="nil"/>
            </w:tcBorders>
          </w:tcPr>
          <w:p w:rsidR="00FA63E0" w:rsidRPr="00BE23C5" w:rsidRDefault="00FA63E0" w:rsidP="000F2E0D">
            <w:pPr>
              <w:keepNext/>
              <w:widowControl/>
              <w:jc w:val="left"/>
              <w:rPr>
                <w:rFonts w:ascii="Arial Narrow" w:hAnsi="Arial Narrow" w:cs="Times New Roman"/>
                <w:snapToGrid/>
                <w:sz w:val="20"/>
              </w:rPr>
            </w:pPr>
            <w:r w:rsidRPr="00BE23C5">
              <w:rPr>
                <w:rFonts w:ascii="Arial Narrow" w:hAnsi="Arial Narrow" w:cs="Times New Roman"/>
                <w:snapToGrid/>
                <w:sz w:val="20"/>
              </w:rPr>
              <w:t>During the evaluation the model structure was interpreted as follows</w:t>
            </w:r>
            <w:r w:rsidR="00284B76" w:rsidRPr="00BE23C5">
              <w:rPr>
                <w:rFonts w:ascii="Arial Narrow" w:hAnsi="Arial Narrow" w:cs="Times New Roman"/>
                <w:snapToGrid/>
                <w:sz w:val="20"/>
              </w:rPr>
              <w:t xml:space="preserve"> </w:t>
            </w:r>
            <w:r w:rsidR="00CE265D" w:rsidRPr="00BE23C5">
              <w:rPr>
                <w:rFonts w:ascii="Arial Narrow" w:hAnsi="Arial Narrow" w:cs="Times New Roman"/>
                <w:snapToGrid/>
                <w:sz w:val="20"/>
              </w:rPr>
              <w:t>(</w:t>
            </w:r>
            <w:r w:rsidR="00284B76" w:rsidRPr="00BE23C5">
              <w:rPr>
                <w:rFonts w:ascii="Arial Narrow" w:hAnsi="Arial Narrow" w:cs="Times New Roman"/>
                <w:snapToGrid/>
                <w:sz w:val="20"/>
              </w:rPr>
              <w:t>based on the excel workbook as limited documentation was provided</w:t>
            </w:r>
            <w:r w:rsidR="00CE265D" w:rsidRPr="00BE23C5">
              <w:rPr>
                <w:rFonts w:ascii="Arial Narrow" w:hAnsi="Arial Narrow" w:cs="Times New Roman"/>
                <w:snapToGrid/>
                <w:sz w:val="20"/>
              </w:rPr>
              <w:t>)</w:t>
            </w:r>
            <w:r w:rsidRPr="00BE23C5">
              <w:rPr>
                <w:rFonts w:ascii="Arial Narrow" w:hAnsi="Arial Narrow" w:cs="Times New Roman"/>
                <w:snapToGrid/>
                <w:sz w:val="20"/>
              </w:rPr>
              <w:t>:</w:t>
            </w:r>
          </w:p>
          <w:p w:rsidR="00FA63E0" w:rsidRPr="00BE23C5" w:rsidRDefault="00340784" w:rsidP="007B1A6B">
            <w:pPr>
              <w:pStyle w:val="ListParagraph"/>
              <w:keepNext/>
              <w:widowControl/>
              <w:numPr>
                <w:ilvl w:val="0"/>
                <w:numId w:val="10"/>
              </w:numPr>
              <w:jc w:val="left"/>
              <w:rPr>
                <w:rFonts w:ascii="Arial Narrow" w:hAnsi="Arial Narrow" w:cs="Times New Roman"/>
                <w:snapToGrid/>
                <w:sz w:val="20"/>
              </w:rPr>
            </w:pPr>
            <w:r w:rsidRPr="00BE23C5">
              <w:rPr>
                <w:rFonts w:ascii="Arial Narrow" w:hAnsi="Arial Narrow" w:cs="Times New Roman"/>
                <w:snapToGrid/>
                <w:sz w:val="20"/>
              </w:rPr>
              <w:t xml:space="preserve">Year 0 to 5.25: </w:t>
            </w:r>
            <w:proofErr w:type="spellStart"/>
            <w:r w:rsidR="00FA63E0" w:rsidRPr="00BE23C5">
              <w:rPr>
                <w:rFonts w:ascii="Arial Narrow" w:hAnsi="Arial Narrow" w:cs="Times New Roman"/>
                <w:snapToGrid/>
                <w:sz w:val="20"/>
              </w:rPr>
              <w:t>ExteNET</w:t>
            </w:r>
            <w:proofErr w:type="spellEnd"/>
            <w:r w:rsidR="00FA63E0" w:rsidRPr="00BE23C5">
              <w:rPr>
                <w:rFonts w:ascii="Arial Narrow" w:hAnsi="Arial Narrow" w:cs="Times New Roman"/>
                <w:snapToGrid/>
                <w:sz w:val="20"/>
              </w:rPr>
              <w:t xml:space="preserve"> trial </w:t>
            </w:r>
            <w:proofErr w:type="spellStart"/>
            <w:r w:rsidR="00FA63E0" w:rsidRPr="00BE23C5">
              <w:rPr>
                <w:rFonts w:ascii="Arial Narrow" w:hAnsi="Arial Narrow" w:cs="Times New Roman"/>
                <w:snapToGrid/>
                <w:sz w:val="20"/>
              </w:rPr>
              <w:t>iDFS</w:t>
            </w:r>
            <w:proofErr w:type="spellEnd"/>
            <w:r w:rsidR="00FA63E0" w:rsidRPr="00BE23C5">
              <w:rPr>
                <w:rFonts w:ascii="Arial Narrow" w:hAnsi="Arial Narrow" w:cs="Times New Roman"/>
                <w:snapToGrid/>
                <w:sz w:val="20"/>
              </w:rPr>
              <w:t xml:space="preserve"> and OS data </w:t>
            </w:r>
            <w:r w:rsidR="00284B76" w:rsidRPr="00BE23C5">
              <w:rPr>
                <w:rFonts w:ascii="Arial Narrow" w:hAnsi="Arial Narrow" w:cs="Times New Roman"/>
                <w:snapToGrid/>
                <w:sz w:val="20"/>
              </w:rPr>
              <w:t>for</w:t>
            </w:r>
            <w:r w:rsidR="00A44C18" w:rsidRPr="00BE23C5">
              <w:rPr>
                <w:rFonts w:ascii="Arial Narrow" w:hAnsi="Arial Narrow" w:cs="Times New Roman"/>
                <w:snapToGrid/>
                <w:sz w:val="20"/>
              </w:rPr>
              <w:t xml:space="preserve"> the</w:t>
            </w:r>
            <w:r w:rsidR="00FA63E0" w:rsidRPr="00BE23C5">
              <w:rPr>
                <w:rFonts w:ascii="Arial Narrow" w:hAnsi="Arial Narrow" w:cs="Times New Roman"/>
                <w:snapToGrid/>
                <w:sz w:val="20"/>
              </w:rPr>
              <w:t xml:space="preserve"> HR+</w:t>
            </w:r>
            <w:r w:rsidR="00E42C2B" w:rsidRPr="00BE23C5">
              <w:rPr>
                <w:rFonts w:ascii="Arial Narrow" w:hAnsi="Arial Narrow" w:cs="Times New Roman"/>
                <w:snapToGrid/>
                <w:sz w:val="20"/>
              </w:rPr>
              <w:t xml:space="preserve"> subgroup of the</w:t>
            </w:r>
            <w:r w:rsidR="00FA63E0" w:rsidRPr="00BE23C5">
              <w:rPr>
                <w:rFonts w:ascii="Arial Narrow" w:hAnsi="Arial Narrow" w:cs="Times New Roman"/>
                <w:snapToGrid/>
                <w:sz w:val="20"/>
              </w:rPr>
              <w:t xml:space="preserve"> ITT population</w:t>
            </w:r>
            <w:r w:rsidR="00CE265D" w:rsidRPr="00BE23C5">
              <w:rPr>
                <w:rFonts w:ascii="Arial Narrow" w:hAnsi="Arial Narrow" w:cs="Times New Roman"/>
                <w:snapToGrid/>
                <w:sz w:val="20"/>
              </w:rPr>
              <w:t xml:space="preserve"> </w:t>
            </w:r>
            <w:r w:rsidR="00FA63E0" w:rsidRPr="00BE23C5">
              <w:rPr>
                <w:rFonts w:ascii="Arial Narrow" w:hAnsi="Arial Narrow" w:cs="Times New Roman"/>
                <w:snapToGrid/>
                <w:sz w:val="20"/>
              </w:rPr>
              <w:t xml:space="preserve">for the </w:t>
            </w:r>
            <w:proofErr w:type="spellStart"/>
            <w:r w:rsidR="00FA63E0" w:rsidRPr="00BE23C5">
              <w:rPr>
                <w:rFonts w:ascii="Arial Narrow" w:hAnsi="Arial Narrow" w:cs="Times New Roman"/>
                <w:snapToGrid/>
                <w:sz w:val="20"/>
              </w:rPr>
              <w:t>neratinib</w:t>
            </w:r>
            <w:proofErr w:type="spellEnd"/>
            <w:r w:rsidR="00FA63E0" w:rsidRPr="00BE23C5">
              <w:rPr>
                <w:rFonts w:ascii="Arial Narrow" w:hAnsi="Arial Narrow" w:cs="Times New Roman"/>
                <w:snapToGrid/>
                <w:sz w:val="20"/>
              </w:rPr>
              <w:t xml:space="preserve"> and placebo treatment arms were applied for the first 5.25 years (62 months)</w:t>
            </w:r>
            <w:r w:rsidR="00F91BCC" w:rsidRPr="00BE23C5">
              <w:rPr>
                <w:rFonts w:ascii="Arial Narrow" w:hAnsi="Arial Narrow" w:cs="Times New Roman"/>
                <w:snapToGrid/>
                <w:sz w:val="20"/>
              </w:rPr>
              <w:t xml:space="preserve"> and extrapolated</w:t>
            </w:r>
            <w:r w:rsidR="00FA63E0" w:rsidRPr="00BE23C5">
              <w:rPr>
                <w:rFonts w:ascii="Arial Narrow" w:hAnsi="Arial Narrow" w:cs="Times New Roman"/>
                <w:snapToGrid/>
                <w:sz w:val="20"/>
              </w:rPr>
              <w:t>.</w:t>
            </w:r>
          </w:p>
          <w:p w:rsidR="00FA63E0" w:rsidRPr="00BE23C5" w:rsidRDefault="00340784" w:rsidP="007B1A6B">
            <w:pPr>
              <w:pStyle w:val="ListParagraph"/>
              <w:keepNext/>
              <w:widowControl/>
              <w:numPr>
                <w:ilvl w:val="0"/>
                <w:numId w:val="9"/>
              </w:numPr>
              <w:jc w:val="left"/>
              <w:rPr>
                <w:rFonts w:ascii="Arial Narrow" w:hAnsi="Arial Narrow" w:cs="Times New Roman"/>
                <w:snapToGrid/>
                <w:sz w:val="20"/>
              </w:rPr>
            </w:pPr>
            <w:r w:rsidRPr="00BE23C5">
              <w:rPr>
                <w:rFonts w:ascii="Arial Narrow" w:hAnsi="Arial Narrow" w:cs="Times New Roman"/>
                <w:snapToGrid/>
                <w:sz w:val="20"/>
              </w:rPr>
              <w:t xml:space="preserve">Year 5.25 to 8.5 years: </w:t>
            </w:r>
            <w:r w:rsidR="00FA63E0" w:rsidRPr="00BE23C5">
              <w:rPr>
                <w:rFonts w:ascii="Arial Narrow" w:hAnsi="Arial Narrow" w:cs="Times New Roman"/>
                <w:snapToGrid/>
                <w:sz w:val="20"/>
              </w:rPr>
              <w:t xml:space="preserve">HERA trial </w:t>
            </w:r>
            <w:proofErr w:type="spellStart"/>
            <w:r w:rsidR="00FA63E0" w:rsidRPr="00BE23C5">
              <w:rPr>
                <w:rFonts w:ascii="Arial Narrow" w:hAnsi="Arial Narrow" w:cs="Times New Roman"/>
                <w:snapToGrid/>
                <w:sz w:val="20"/>
              </w:rPr>
              <w:t>iDFS</w:t>
            </w:r>
            <w:proofErr w:type="spellEnd"/>
            <w:r w:rsidR="00FA63E0" w:rsidRPr="00BE23C5">
              <w:rPr>
                <w:rFonts w:ascii="Arial Narrow" w:hAnsi="Arial Narrow" w:cs="Times New Roman"/>
                <w:snapToGrid/>
                <w:sz w:val="20"/>
              </w:rPr>
              <w:t xml:space="preserve"> and OS data (comparing </w:t>
            </w:r>
            <w:proofErr w:type="spellStart"/>
            <w:r w:rsidR="00FA63E0" w:rsidRPr="00BE23C5">
              <w:rPr>
                <w:rFonts w:ascii="Arial Narrow" w:hAnsi="Arial Narrow" w:cs="Times New Roman"/>
                <w:snapToGrid/>
                <w:sz w:val="20"/>
              </w:rPr>
              <w:t>trastuzumab</w:t>
            </w:r>
            <w:proofErr w:type="spellEnd"/>
            <w:r w:rsidR="00FA63E0" w:rsidRPr="00BE23C5">
              <w:rPr>
                <w:rFonts w:ascii="Arial Narrow" w:hAnsi="Arial Narrow" w:cs="Times New Roman"/>
                <w:snapToGrid/>
                <w:sz w:val="20"/>
              </w:rPr>
              <w:t xml:space="preserve"> and placebo, Cameron et al., 2017) for the one year </w:t>
            </w:r>
            <w:proofErr w:type="spellStart"/>
            <w:r w:rsidR="00FA63E0" w:rsidRPr="00BE23C5">
              <w:rPr>
                <w:rFonts w:ascii="Arial Narrow" w:hAnsi="Arial Narrow" w:cs="Times New Roman"/>
                <w:snapToGrid/>
                <w:sz w:val="20"/>
              </w:rPr>
              <w:t>trastuzumab</w:t>
            </w:r>
            <w:proofErr w:type="spellEnd"/>
            <w:r w:rsidR="00FA63E0" w:rsidRPr="00BE23C5">
              <w:rPr>
                <w:rFonts w:ascii="Arial Narrow" w:hAnsi="Arial Narrow" w:cs="Times New Roman"/>
                <w:snapToGrid/>
                <w:sz w:val="20"/>
              </w:rPr>
              <w:t xml:space="preserve"> arm were extrapolated and applied to both </w:t>
            </w:r>
            <w:proofErr w:type="spellStart"/>
            <w:r w:rsidR="00FA63E0" w:rsidRPr="00BE23C5">
              <w:rPr>
                <w:rFonts w:ascii="Arial Narrow" w:hAnsi="Arial Narrow" w:cs="Times New Roman"/>
                <w:snapToGrid/>
                <w:sz w:val="20"/>
              </w:rPr>
              <w:t>neratinib</w:t>
            </w:r>
            <w:proofErr w:type="spellEnd"/>
            <w:r w:rsidR="00FA63E0" w:rsidRPr="00BE23C5">
              <w:rPr>
                <w:rFonts w:ascii="Arial Narrow" w:hAnsi="Arial Narrow" w:cs="Times New Roman"/>
                <w:snapToGrid/>
                <w:sz w:val="20"/>
              </w:rPr>
              <w:t xml:space="preserve"> and placebo for the following 3.3 years (up to 102.1 months). An adjustment of 15.3 months was applied to the time scale of the HERA trial data to align with the </w:t>
            </w:r>
            <w:proofErr w:type="spellStart"/>
            <w:r w:rsidR="00FA63E0" w:rsidRPr="00BE23C5">
              <w:rPr>
                <w:rFonts w:ascii="Arial Narrow" w:hAnsi="Arial Narrow" w:cs="Times New Roman"/>
                <w:snapToGrid/>
                <w:sz w:val="20"/>
              </w:rPr>
              <w:t>ExteNET</w:t>
            </w:r>
            <w:proofErr w:type="spellEnd"/>
            <w:r w:rsidR="00FA63E0" w:rsidRPr="00BE23C5">
              <w:rPr>
                <w:rFonts w:ascii="Arial Narrow" w:hAnsi="Arial Narrow" w:cs="Times New Roman"/>
                <w:snapToGrid/>
                <w:sz w:val="20"/>
              </w:rPr>
              <w:t xml:space="preserve"> trial (11 months’ mean duration on </w:t>
            </w:r>
            <w:proofErr w:type="spellStart"/>
            <w:r w:rsidR="00FA63E0" w:rsidRPr="00BE23C5">
              <w:rPr>
                <w:rFonts w:ascii="Arial Narrow" w:hAnsi="Arial Narrow" w:cs="Times New Roman"/>
                <w:snapToGrid/>
                <w:sz w:val="20"/>
              </w:rPr>
              <w:t>trastuzumab</w:t>
            </w:r>
            <w:proofErr w:type="spellEnd"/>
            <w:r w:rsidR="00FA63E0" w:rsidRPr="00BE23C5">
              <w:rPr>
                <w:rFonts w:ascii="Arial Narrow" w:hAnsi="Arial Narrow" w:cs="Times New Roman"/>
                <w:snapToGrid/>
                <w:sz w:val="20"/>
              </w:rPr>
              <w:t xml:space="preserve"> therapy and 4.3 months’ mean duration since </w:t>
            </w:r>
            <w:proofErr w:type="spellStart"/>
            <w:r w:rsidR="00FA63E0" w:rsidRPr="00BE23C5">
              <w:rPr>
                <w:rFonts w:ascii="Arial Narrow" w:hAnsi="Arial Narrow" w:cs="Times New Roman"/>
                <w:snapToGrid/>
                <w:sz w:val="20"/>
              </w:rPr>
              <w:t>trastuzumab</w:t>
            </w:r>
            <w:proofErr w:type="spellEnd"/>
            <w:r w:rsidR="00FA63E0" w:rsidRPr="00BE23C5">
              <w:rPr>
                <w:rFonts w:ascii="Arial Narrow" w:hAnsi="Arial Narrow" w:cs="Times New Roman"/>
                <w:snapToGrid/>
                <w:sz w:val="20"/>
              </w:rPr>
              <w:t>).</w:t>
            </w:r>
          </w:p>
          <w:p w:rsidR="00FA63E0" w:rsidRPr="00BE23C5" w:rsidRDefault="00340784" w:rsidP="007B1A6B">
            <w:pPr>
              <w:pStyle w:val="ListParagraph"/>
              <w:keepNext/>
              <w:widowControl/>
              <w:numPr>
                <w:ilvl w:val="0"/>
                <w:numId w:val="9"/>
              </w:numPr>
              <w:jc w:val="left"/>
              <w:rPr>
                <w:rFonts w:ascii="Arial Narrow" w:hAnsi="Arial Narrow" w:cs="Times New Roman"/>
                <w:snapToGrid/>
                <w:sz w:val="20"/>
              </w:rPr>
            </w:pPr>
            <w:r w:rsidRPr="00BE23C5">
              <w:rPr>
                <w:rFonts w:ascii="Arial Narrow" w:hAnsi="Arial Narrow" w:cs="Times New Roman"/>
                <w:snapToGrid/>
                <w:sz w:val="20"/>
              </w:rPr>
              <w:t xml:space="preserve">8.5 years+: </w:t>
            </w:r>
            <w:r w:rsidR="00FA63E0" w:rsidRPr="00BE23C5">
              <w:rPr>
                <w:rFonts w:ascii="Arial Narrow" w:hAnsi="Arial Narrow" w:cs="Times New Roman"/>
                <w:snapToGrid/>
                <w:sz w:val="20"/>
              </w:rPr>
              <w:t xml:space="preserve">UK General Population survival data were extrapolated and applied </w:t>
            </w:r>
            <w:r w:rsidR="00EF38F7" w:rsidRPr="00BE23C5">
              <w:rPr>
                <w:rFonts w:ascii="Arial Narrow" w:hAnsi="Arial Narrow" w:cs="Times New Roman"/>
                <w:snapToGrid/>
                <w:sz w:val="20"/>
              </w:rPr>
              <w:t xml:space="preserve">to </w:t>
            </w:r>
            <w:r w:rsidR="00FA63E0" w:rsidRPr="00BE23C5">
              <w:rPr>
                <w:rFonts w:ascii="Arial Narrow" w:hAnsi="Arial Narrow" w:cs="Times New Roman"/>
                <w:snapToGrid/>
                <w:sz w:val="20"/>
              </w:rPr>
              <w:t xml:space="preserve">estimate </w:t>
            </w:r>
            <w:proofErr w:type="spellStart"/>
            <w:r w:rsidR="00FA63E0" w:rsidRPr="00BE23C5">
              <w:rPr>
                <w:rFonts w:ascii="Arial Narrow" w:hAnsi="Arial Narrow" w:cs="Times New Roman"/>
                <w:snapToGrid/>
                <w:sz w:val="20"/>
              </w:rPr>
              <w:t>iDFS</w:t>
            </w:r>
            <w:proofErr w:type="spellEnd"/>
            <w:r w:rsidR="00FA63E0" w:rsidRPr="00BE23C5">
              <w:rPr>
                <w:rFonts w:ascii="Arial Narrow" w:hAnsi="Arial Narrow" w:cs="Times New Roman"/>
                <w:snapToGrid/>
                <w:sz w:val="20"/>
              </w:rPr>
              <w:t xml:space="preserve"> in both treatment arms thereafter.</w:t>
            </w:r>
          </w:p>
          <w:p w:rsidR="00FA63E0" w:rsidRPr="00BE23C5" w:rsidRDefault="00FA63E0" w:rsidP="00CE265D">
            <w:pPr>
              <w:pStyle w:val="ListParagraph"/>
              <w:keepNext/>
              <w:widowControl/>
              <w:numPr>
                <w:ilvl w:val="0"/>
                <w:numId w:val="9"/>
              </w:numPr>
              <w:jc w:val="left"/>
              <w:rPr>
                <w:snapToGrid/>
              </w:rPr>
            </w:pPr>
            <w:r w:rsidRPr="00BE23C5">
              <w:rPr>
                <w:rFonts w:ascii="Arial Narrow" w:hAnsi="Arial Narrow" w:cs="Times New Roman"/>
                <w:snapToGrid/>
                <w:sz w:val="20"/>
              </w:rPr>
              <w:t xml:space="preserve">It was assumed that the </w:t>
            </w:r>
            <w:proofErr w:type="spellStart"/>
            <w:r w:rsidR="0041332F" w:rsidRPr="00BE23C5">
              <w:rPr>
                <w:rFonts w:ascii="Arial Narrow" w:hAnsi="Arial Narrow" w:cs="Times New Roman"/>
                <w:snapToGrid/>
                <w:sz w:val="20"/>
              </w:rPr>
              <w:t>iDFS</w:t>
            </w:r>
            <w:proofErr w:type="spellEnd"/>
            <w:r w:rsidR="0041332F" w:rsidRPr="00BE23C5">
              <w:rPr>
                <w:rFonts w:ascii="Arial Narrow" w:hAnsi="Arial Narrow" w:cs="Times New Roman"/>
                <w:snapToGrid/>
                <w:sz w:val="20"/>
              </w:rPr>
              <w:t xml:space="preserve"> and OS</w:t>
            </w:r>
            <w:r w:rsidRPr="00BE23C5">
              <w:rPr>
                <w:rFonts w:ascii="Arial Narrow" w:hAnsi="Arial Narrow" w:cs="Times New Roman"/>
                <w:snapToGrid/>
                <w:sz w:val="20"/>
              </w:rPr>
              <w:t xml:space="preserve"> treatment effect tapers to a HR = 1 between 5.25 years and 15.25 years.</w:t>
            </w:r>
          </w:p>
        </w:tc>
      </w:tr>
      <w:tr w:rsidR="001D1C7A" w:rsidRPr="00BE23C5" w:rsidTr="00033521">
        <w:tc>
          <w:tcPr>
            <w:tcW w:w="678" w:type="pct"/>
            <w:vAlign w:val="center"/>
          </w:tcPr>
          <w:p w:rsidR="00270953" w:rsidRPr="00BE23C5" w:rsidRDefault="00270953" w:rsidP="00270953">
            <w:pPr>
              <w:widowControl/>
              <w:jc w:val="left"/>
              <w:rPr>
                <w:rFonts w:ascii="Arial Narrow" w:hAnsi="Arial Narrow" w:cs="Times New Roman"/>
                <w:snapToGrid/>
                <w:sz w:val="20"/>
              </w:rPr>
            </w:pPr>
            <w:r w:rsidRPr="00BE23C5">
              <w:rPr>
                <w:rFonts w:ascii="Arial Narrow" w:hAnsi="Arial Narrow" w:cs="Times New Roman"/>
                <w:snapToGrid/>
                <w:sz w:val="20"/>
              </w:rPr>
              <w:t>Health states</w:t>
            </w:r>
          </w:p>
        </w:tc>
        <w:tc>
          <w:tcPr>
            <w:tcW w:w="4322" w:type="pct"/>
          </w:tcPr>
          <w:p w:rsidR="00270953" w:rsidRPr="00BE23C5" w:rsidRDefault="00270953" w:rsidP="00CE265D">
            <w:pPr>
              <w:widowControl/>
              <w:jc w:val="left"/>
              <w:rPr>
                <w:rFonts w:ascii="Arial Narrow" w:hAnsi="Arial Narrow" w:cs="Times New Roman"/>
                <w:snapToGrid/>
                <w:sz w:val="20"/>
              </w:rPr>
            </w:pPr>
            <w:r w:rsidRPr="00BE23C5">
              <w:rPr>
                <w:rFonts w:ascii="Arial Narrow" w:hAnsi="Arial Narrow" w:cs="Times New Roman"/>
                <w:snapToGrid/>
                <w:sz w:val="20"/>
              </w:rPr>
              <w:t>Disease free, local recurrence, distant recurrence, death</w:t>
            </w:r>
            <w:r w:rsidR="001D1C7A" w:rsidRPr="00BE23C5">
              <w:rPr>
                <w:rFonts w:ascii="Arial Narrow" w:hAnsi="Arial Narrow" w:cs="Times New Roman"/>
                <w:snapToGrid/>
                <w:sz w:val="20"/>
              </w:rPr>
              <w:t xml:space="preserve">. </w:t>
            </w:r>
          </w:p>
        </w:tc>
      </w:tr>
      <w:tr w:rsidR="001D1C7A" w:rsidRPr="00BE23C5" w:rsidTr="00033521">
        <w:tc>
          <w:tcPr>
            <w:tcW w:w="678" w:type="pct"/>
            <w:vAlign w:val="center"/>
          </w:tcPr>
          <w:p w:rsidR="00270953" w:rsidRPr="00BE23C5" w:rsidRDefault="00270953" w:rsidP="00270953">
            <w:pPr>
              <w:widowControl/>
              <w:jc w:val="left"/>
              <w:rPr>
                <w:rFonts w:ascii="Arial Narrow" w:hAnsi="Arial Narrow" w:cs="Times New Roman"/>
                <w:snapToGrid/>
                <w:sz w:val="20"/>
              </w:rPr>
            </w:pPr>
            <w:r w:rsidRPr="00BE23C5">
              <w:rPr>
                <w:rFonts w:ascii="Arial Narrow" w:hAnsi="Arial Narrow" w:cs="Times New Roman"/>
                <w:snapToGrid/>
                <w:sz w:val="20"/>
              </w:rPr>
              <w:t>Cycle length</w:t>
            </w:r>
          </w:p>
        </w:tc>
        <w:tc>
          <w:tcPr>
            <w:tcW w:w="4322" w:type="pct"/>
            <w:tcBorders>
              <w:bottom w:val="single" w:sz="4" w:space="0" w:color="auto"/>
            </w:tcBorders>
          </w:tcPr>
          <w:p w:rsidR="00270953" w:rsidRPr="00BE23C5" w:rsidRDefault="00270953" w:rsidP="005E2E63">
            <w:pPr>
              <w:widowControl/>
              <w:jc w:val="left"/>
              <w:rPr>
                <w:rFonts w:ascii="Arial Narrow" w:hAnsi="Arial Narrow" w:cs="Times New Roman"/>
                <w:snapToGrid/>
                <w:sz w:val="20"/>
              </w:rPr>
            </w:pPr>
            <w:r w:rsidRPr="00BE23C5">
              <w:rPr>
                <w:rFonts w:ascii="Arial Narrow" w:hAnsi="Arial Narrow" w:cs="Times New Roman"/>
                <w:snapToGrid/>
                <w:sz w:val="20"/>
              </w:rPr>
              <w:t>One month</w:t>
            </w:r>
            <w:r w:rsidR="001D1C7A" w:rsidRPr="00BE23C5">
              <w:rPr>
                <w:rFonts w:ascii="Arial Narrow" w:hAnsi="Arial Narrow" w:cs="Times New Roman"/>
                <w:snapToGrid/>
                <w:sz w:val="20"/>
              </w:rPr>
              <w:t>. Monthly cycles are reasonable in the model.</w:t>
            </w:r>
          </w:p>
        </w:tc>
      </w:tr>
      <w:tr w:rsidR="006A3443" w:rsidRPr="00BE23C5" w:rsidTr="00033521">
        <w:tc>
          <w:tcPr>
            <w:tcW w:w="678" w:type="pct"/>
            <w:vMerge w:val="restart"/>
            <w:vAlign w:val="center"/>
          </w:tcPr>
          <w:p w:rsidR="006A3443" w:rsidRPr="00BE23C5" w:rsidRDefault="006A3443" w:rsidP="00270953">
            <w:pPr>
              <w:widowControl/>
              <w:jc w:val="left"/>
              <w:rPr>
                <w:rFonts w:ascii="Arial Narrow" w:hAnsi="Arial Narrow" w:cs="Times New Roman"/>
                <w:snapToGrid/>
                <w:sz w:val="20"/>
              </w:rPr>
            </w:pPr>
            <w:r w:rsidRPr="00BE23C5">
              <w:rPr>
                <w:rFonts w:ascii="Arial Narrow" w:hAnsi="Arial Narrow" w:cs="Times New Roman"/>
                <w:snapToGrid/>
                <w:sz w:val="20"/>
              </w:rPr>
              <w:t>Transition probabilities</w:t>
            </w:r>
          </w:p>
        </w:tc>
        <w:tc>
          <w:tcPr>
            <w:tcW w:w="4322" w:type="pct"/>
            <w:tcBorders>
              <w:top w:val="nil"/>
              <w:bottom w:val="nil"/>
            </w:tcBorders>
          </w:tcPr>
          <w:p w:rsidR="0094464A" w:rsidRPr="00BE23C5" w:rsidRDefault="006A3443" w:rsidP="00D473AD">
            <w:pPr>
              <w:widowControl/>
              <w:spacing w:before="40" w:after="40"/>
              <w:jc w:val="left"/>
              <w:rPr>
                <w:rFonts w:ascii="Arial Narrow" w:hAnsi="Arial Narrow" w:cs="Times New Roman"/>
                <w:snapToGrid/>
                <w:sz w:val="20"/>
              </w:rPr>
            </w:pPr>
            <w:r w:rsidRPr="00BE23C5">
              <w:rPr>
                <w:rFonts w:ascii="Arial Narrow" w:eastAsiaTheme="minorHAnsi" w:hAnsi="Arial Narrow" w:cstheme="minorBidi"/>
                <w:snapToGrid/>
                <w:sz w:val="20"/>
              </w:rPr>
              <w:t xml:space="preserve">A </w:t>
            </w:r>
            <w:proofErr w:type="spellStart"/>
            <w:r w:rsidR="00534582" w:rsidRPr="00BE23C5">
              <w:rPr>
                <w:rFonts w:ascii="Arial Narrow" w:eastAsiaTheme="minorHAnsi" w:hAnsi="Arial Narrow" w:cstheme="minorBidi"/>
                <w:snapToGrid/>
                <w:sz w:val="20"/>
              </w:rPr>
              <w:t>Gompertz</w:t>
            </w:r>
            <w:proofErr w:type="spellEnd"/>
            <w:r w:rsidR="00534582" w:rsidRPr="00BE23C5">
              <w:rPr>
                <w:rFonts w:ascii="Arial Narrow" w:eastAsiaTheme="minorHAnsi" w:hAnsi="Arial Narrow" w:cstheme="minorBidi"/>
                <w:snapToGrid/>
                <w:sz w:val="20"/>
              </w:rPr>
              <w:t xml:space="preserve"> </w:t>
            </w:r>
            <w:r w:rsidRPr="00BE23C5">
              <w:rPr>
                <w:rFonts w:ascii="Arial Narrow" w:eastAsiaTheme="minorHAnsi" w:hAnsi="Arial Narrow" w:cstheme="minorBidi"/>
                <w:snapToGrid/>
                <w:sz w:val="20"/>
              </w:rPr>
              <w:t xml:space="preserve">function </w:t>
            </w:r>
            <w:r w:rsidR="00534582" w:rsidRPr="00BE23C5">
              <w:rPr>
                <w:rFonts w:ascii="Arial Narrow" w:eastAsiaTheme="minorHAnsi" w:hAnsi="Arial Narrow" w:cstheme="minorBidi"/>
                <w:snapToGrid/>
                <w:sz w:val="20"/>
              </w:rPr>
              <w:t>fitted to</w:t>
            </w:r>
            <w:r w:rsidRPr="00BE23C5">
              <w:rPr>
                <w:rFonts w:ascii="Arial Narrow" w:eastAsiaTheme="minorHAnsi" w:hAnsi="Arial Narrow" w:cstheme="minorBidi"/>
                <w:snapToGrid/>
                <w:sz w:val="20"/>
              </w:rPr>
              <w:t xml:space="preserve"> </w:t>
            </w:r>
            <w:proofErr w:type="spellStart"/>
            <w:r w:rsidRPr="00BE23C5">
              <w:rPr>
                <w:rFonts w:ascii="Arial Narrow" w:eastAsiaTheme="minorHAnsi" w:hAnsi="Arial Narrow" w:cstheme="minorBidi"/>
                <w:snapToGrid/>
                <w:sz w:val="20"/>
              </w:rPr>
              <w:t>iDFS</w:t>
            </w:r>
            <w:proofErr w:type="spellEnd"/>
            <w:r w:rsidRPr="00BE23C5">
              <w:rPr>
                <w:rFonts w:ascii="Arial Narrow" w:eastAsiaTheme="minorHAnsi" w:hAnsi="Arial Narrow" w:cstheme="minorBidi"/>
                <w:snapToGrid/>
                <w:sz w:val="20"/>
              </w:rPr>
              <w:t xml:space="preserve"> and OS Kaplan-Meier data from the </w:t>
            </w:r>
            <w:proofErr w:type="spellStart"/>
            <w:r w:rsidRPr="00BE23C5">
              <w:rPr>
                <w:rFonts w:ascii="Arial Narrow" w:eastAsiaTheme="minorHAnsi" w:hAnsi="Arial Narrow" w:cstheme="minorBidi"/>
                <w:snapToGrid/>
                <w:sz w:val="20"/>
              </w:rPr>
              <w:t>ExteNET</w:t>
            </w:r>
            <w:proofErr w:type="spellEnd"/>
            <w:r w:rsidRPr="00BE23C5">
              <w:rPr>
                <w:rFonts w:ascii="Arial Narrow" w:eastAsiaTheme="minorHAnsi" w:hAnsi="Arial Narrow" w:cstheme="minorBidi"/>
                <w:snapToGrid/>
                <w:sz w:val="20"/>
              </w:rPr>
              <w:t xml:space="preserve"> trial was used up to and including cycle 62 (5.25 years). </w:t>
            </w:r>
            <w:r w:rsidR="00EF38F7" w:rsidRPr="00BE23C5">
              <w:rPr>
                <w:rFonts w:ascii="Arial Narrow" w:hAnsi="Arial Narrow" w:cs="Times New Roman"/>
                <w:snapToGrid/>
                <w:sz w:val="20"/>
              </w:rPr>
              <w:t xml:space="preserve">It may be more appropriate </w:t>
            </w:r>
            <w:r w:rsidRPr="00BE23C5">
              <w:rPr>
                <w:rFonts w:ascii="Arial Narrow" w:hAnsi="Arial Narrow" w:cs="Times New Roman"/>
                <w:snapToGrid/>
                <w:sz w:val="20"/>
              </w:rPr>
              <w:t xml:space="preserve">to use Kaplan-Meier data directly until a time point where the data is no longer reliable. </w:t>
            </w:r>
          </w:p>
          <w:p w:rsidR="006A3443" w:rsidRPr="00BE23C5" w:rsidRDefault="006A3443" w:rsidP="00284B76">
            <w:pPr>
              <w:widowControl/>
              <w:spacing w:before="40" w:after="40"/>
              <w:jc w:val="left"/>
              <w:rPr>
                <w:rFonts w:ascii="Arial Narrow" w:eastAsiaTheme="minorHAnsi" w:hAnsi="Arial Narrow" w:cstheme="minorBidi"/>
                <w:snapToGrid/>
                <w:sz w:val="20"/>
              </w:rPr>
            </w:pPr>
            <w:r w:rsidRPr="00BE23C5">
              <w:rPr>
                <w:rFonts w:ascii="Arial Narrow" w:hAnsi="Arial Narrow" w:cs="Times New Roman"/>
                <w:snapToGrid/>
                <w:sz w:val="20"/>
              </w:rPr>
              <w:t xml:space="preserve">The choice of the fitted </w:t>
            </w:r>
            <w:proofErr w:type="spellStart"/>
            <w:r w:rsidRPr="00BE23C5">
              <w:rPr>
                <w:rFonts w:ascii="Arial Narrow" w:hAnsi="Arial Narrow" w:cs="Times New Roman"/>
                <w:snapToGrid/>
                <w:sz w:val="20"/>
              </w:rPr>
              <w:t>Gompertz</w:t>
            </w:r>
            <w:proofErr w:type="spellEnd"/>
            <w:r w:rsidRPr="00BE23C5">
              <w:rPr>
                <w:rFonts w:ascii="Arial Narrow" w:hAnsi="Arial Narrow" w:cs="Times New Roman"/>
                <w:snapToGrid/>
                <w:sz w:val="20"/>
              </w:rPr>
              <w:t xml:space="preserve"> function is questionable considering the flexible Weibull (1 knot) had the better AIC and BIC.</w:t>
            </w:r>
            <w:r w:rsidR="00A13887" w:rsidRPr="00BE23C5">
              <w:rPr>
                <w:rFonts w:ascii="Arial Narrow" w:hAnsi="Arial Narrow" w:cs="Times New Roman"/>
                <w:snapToGrid/>
                <w:sz w:val="20"/>
              </w:rPr>
              <w:t xml:space="preserve"> </w:t>
            </w:r>
            <w:r w:rsidR="003E7259" w:rsidRPr="00BE23C5">
              <w:rPr>
                <w:rFonts w:ascii="Arial Narrow" w:hAnsi="Arial Narrow" w:cs="Times New Roman"/>
                <w:snapToGrid/>
                <w:sz w:val="20"/>
              </w:rPr>
              <w:t>Additionally</w:t>
            </w:r>
            <w:r w:rsidR="00A13887" w:rsidRPr="00BE23C5">
              <w:rPr>
                <w:rFonts w:ascii="Arial Narrow" w:hAnsi="Arial Narrow" w:cs="Times New Roman"/>
                <w:snapToGrid/>
                <w:sz w:val="20"/>
              </w:rPr>
              <w:t xml:space="preserve">, the clinical plausibility of the </w:t>
            </w:r>
            <w:r w:rsidR="003E7259" w:rsidRPr="00BE23C5">
              <w:rPr>
                <w:rFonts w:ascii="Arial Narrow" w:hAnsi="Arial Narrow" w:cs="Times New Roman"/>
                <w:snapToGrid/>
                <w:sz w:val="20"/>
              </w:rPr>
              <w:t xml:space="preserve">tested </w:t>
            </w:r>
            <w:r w:rsidR="00A13887" w:rsidRPr="00BE23C5">
              <w:rPr>
                <w:rFonts w:ascii="Arial Narrow" w:hAnsi="Arial Narrow" w:cs="Times New Roman"/>
                <w:snapToGrid/>
                <w:sz w:val="20"/>
              </w:rPr>
              <w:t xml:space="preserve">functions could not be determined </w:t>
            </w:r>
            <w:r w:rsidR="00284B76" w:rsidRPr="00BE23C5">
              <w:rPr>
                <w:rFonts w:ascii="Arial Narrow" w:hAnsi="Arial Narrow" w:cs="Times New Roman"/>
                <w:snapToGrid/>
                <w:sz w:val="20"/>
              </w:rPr>
              <w:t>based on the information provided</w:t>
            </w:r>
            <w:r w:rsidR="00A13887" w:rsidRPr="00BE23C5">
              <w:rPr>
                <w:rFonts w:ascii="Arial Narrow" w:hAnsi="Arial Narrow" w:cs="Times New Roman"/>
                <w:snapToGrid/>
                <w:sz w:val="20"/>
              </w:rPr>
              <w:t>.</w:t>
            </w:r>
          </w:p>
        </w:tc>
      </w:tr>
      <w:tr w:rsidR="006A3443" w:rsidRPr="00BE23C5" w:rsidTr="00033521">
        <w:tc>
          <w:tcPr>
            <w:tcW w:w="678" w:type="pct"/>
            <w:vMerge/>
            <w:vAlign w:val="center"/>
          </w:tcPr>
          <w:p w:rsidR="006A3443" w:rsidRPr="00BE23C5" w:rsidRDefault="006A3443" w:rsidP="00270953">
            <w:pPr>
              <w:widowControl/>
              <w:jc w:val="left"/>
              <w:rPr>
                <w:rFonts w:ascii="Arial Narrow" w:hAnsi="Arial Narrow" w:cs="Times New Roman"/>
                <w:snapToGrid/>
                <w:sz w:val="20"/>
              </w:rPr>
            </w:pPr>
          </w:p>
        </w:tc>
        <w:tc>
          <w:tcPr>
            <w:tcW w:w="4322" w:type="pct"/>
            <w:tcBorders>
              <w:top w:val="nil"/>
              <w:bottom w:val="nil"/>
            </w:tcBorders>
          </w:tcPr>
          <w:p w:rsidR="006A3443" w:rsidRPr="00BE23C5" w:rsidRDefault="006A3443" w:rsidP="009B3673">
            <w:pPr>
              <w:widowControl/>
              <w:spacing w:before="40" w:after="40"/>
              <w:jc w:val="left"/>
              <w:rPr>
                <w:rFonts w:ascii="Arial Narrow" w:eastAsiaTheme="minorHAnsi" w:hAnsi="Arial Narrow" w:cstheme="minorBidi"/>
                <w:snapToGrid/>
                <w:sz w:val="20"/>
              </w:rPr>
            </w:pPr>
            <w:proofErr w:type="spellStart"/>
            <w:proofErr w:type="gramStart"/>
            <w:r w:rsidRPr="00BE23C5">
              <w:rPr>
                <w:rFonts w:ascii="Arial Narrow" w:eastAsiaTheme="minorHAnsi" w:hAnsi="Arial Narrow" w:cstheme="minorBidi"/>
                <w:snapToGrid/>
                <w:sz w:val="20"/>
              </w:rPr>
              <w:t>iDFS</w:t>
            </w:r>
            <w:proofErr w:type="spellEnd"/>
            <w:proofErr w:type="gramEnd"/>
            <w:r w:rsidRPr="00BE23C5">
              <w:rPr>
                <w:rFonts w:ascii="Arial Narrow" w:eastAsiaTheme="minorHAnsi" w:hAnsi="Arial Narrow" w:cstheme="minorBidi"/>
                <w:snapToGrid/>
                <w:sz w:val="20"/>
              </w:rPr>
              <w:t xml:space="preserve"> post</w:t>
            </w:r>
            <w:r w:rsidR="00CE265D" w:rsidRPr="00BE23C5">
              <w:rPr>
                <w:rFonts w:ascii="Arial Narrow" w:eastAsiaTheme="minorHAnsi" w:hAnsi="Arial Narrow" w:cstheme="minorBidi"/>
                <w:snapToGrid/>
                <w:sz w:val="20"/>
              </w:rPr>
              <w:t xml:space="preserve"> the</w:t>
            </w:r>
            <w:r w:rsidRPr="00BE23C5">
              <w:rPr>
                <w:rFonts w:ascii="Arial Narrow" w:eastAsiaTheme="minorHAnsi" w:hAnsi="Arial Narrow" w:cstheme="minorBidi"/>
                <w:snapToGrid/>
                <w:sz w:val="20"/>
              </w:rPr>
              <w:t xml:space="preserve"> trial period </w:t>
            </w:r>
            <w:r w:rsidR="0041332F" w:rsidRPr="00BE23C5">
              <w:rPr>
                <w:rFonts w:ascii="Arial Narrow" w:eastAsiaTheme="minorHAnsi" w:hAnsi="Arial Narrow" w:cstheme="minorBidi"/>
                <w:snapToGrid/>
                <w:sz w:val="20"/>
              </w:rPr>
              <w:t>was</w:t>
            </w:r>
            <w:r w:rsidRPr="00BE23C5">
              <w:rPr>
                <w:rFonts w:ascii="Arial Narrow" w:eastAsiaTheme="minorHAnsi" w:hAnsi="Arial Narrow" w:cstheme="minorBidi"/>
                <w:snapToGrid/>
                <w:sz w:val="20"/>
              </w:rPr>
              <w:t xml:space="preserve"> estimated from long-term follow-up data </w:t>
            </w:r>
            <w:r w:rsidR="003E7259" w:rsidRPr="00BE23C5">
              <w:rPr>
                <w:rFonts w:ascii="Arial Narrow" w:eastAsiaTheme="minorHAnsi" w:hAnsi="Arial Narrow" w:cstheme="minorBidi"/>
                <w:snapToGrid/>
                <w:sz w:val="20"/>
              </w:rPr>
              <w:t xml:space="preserve">(median follow up 11 years) </w:t>
            </w:r>
            <w:r w:rsidRPr="00BE23C5">
              <w:rPr>
                <w:rFonts w:ascii="Arial Narrow" w:eastAsiaTheme="minorHAnsi" w:hAnsi="Arial Narrow" w:cstheme="minorBidi"/>
                <w:snapToGrid/>
                <w:sz w:val="20"/>
              </w:rPr>
              <w:t xml:space="preserve">from the HERA trial (1 year </w:t>
            </w:r>
            <w:proofErr w:type="spellStart"/>
            <w:r w:rsidRPr="00BE23C5">
              <w:rPr>
                <w:rFonts w:ascii="Arial Narrow" w:eastAsiaTheme="minorHAnsi" w:hAnsi="Arial Narrow" w:cstheme="minorBidi"/>
                <w:snapToGrid/>
                <w:sz w:val="20"/>
              </w:rPr>
              <w:t>trastuzumab</w:t>
            </w:r>
            <w:proofErr w:type="spellEnd"/>
            <w:r w:rsidRPr="00BE23C5">
              <w:rPr>
                <w:rFonts w:ascii="Arial Narrow" w:eastAsiaTheme="minorHAnsi" w:hAnsi="Arial Narrow" w:cstheme="minorBidi"/>
                <w:snapToGrid/>
                <w:sz w:val="20"/>
              </w:rPr>
              <w:t xml:space="preserve"> arm). This was applied from cycle 63 until and including cycle 102. The choice of the fitted </w:t>
            </w:r>
            <w:proofErr w:type="spellStart"/>
            <w:r w:rsidRPr="00BE23C5">
              <w:rPr>
                <w:rFonts w:ascii="Arial Narrow" w:eastAsiaTheme="minorHAnsi" w:hAnsi="Arial Narrow" w:cstheme="minorBidi"/>
                <w:snapToGrid/>
                <w:sz w:val="20"/>
              </w:rPr>
              <w:t>Gompertz</w:t>
            </w:r>
            <w:proofErr w:type="spellEnd"/>
            <w:r w:rsidRPr="00BE23C5">
              <w:rPr>
                <w:rFonts w:ascii="Arial Narrow" w:eastAsiaTheme="minorHAnsi" w:hAnsi="Arial Narrow" w:cstheme="minorBidi"/>
                <w:snapToGrid/>
                <w:sz w:val="20"/>
              </w:rPr>
              <w:t xml:space="preserve"> function is reasonable. However, this deviates from the typical approach of extrapolating only the clinical trial data presented (i.e. the </w:t>
            </w:r>
            <w:proofErr w:type="spellStart"/>
            <w:r w:rsidRPr="00BE23C5">
              <w:rPr>
                <w:rFonts w:ascii="Arial Narrow" w:eastAsiaTheme="minorHAnsi" w:hAnsi="Arial Narrow" w:cstheme="minorBidi"/>
                <w:snapToGrid/>
                <w:sz w:val="20"/>
              </w:rPr>
              <w:t>ExteNET</w:t>
            </w:r>
            <w:proofErr w:type="spellEnd"/>
            <w:r w:rsidRPr="00BE23C5">
              <w:rPr>
                <w:rFonts w:ascii="Arial Narrow" w:eastAsiaTheme="minorHAnsi" w:hAnsi="Arial Narrow" w:cstheme="minorBidi"/>
                <w:snapToGrid/>
                <w:sz w:val="20"/>
              </w:rPr>
              <w:t xml:space="preserve"> trial).</w:t>
            </w:r>
            <w:r w:rsidR="00E0278D" w:rsidRPr="00BE23C5">
              <w:rPr>
                <w:rFonts w:ascii="Arial Narrow" w:eastAsiaTheme="minorHAnsi" w:hAnsi="Arial Narrow" w:cstheme="minorBidi"/>
                <w:snapToGrid/>
                <w:sz w:val="20"/>
              </w:rPr>
              <w:t xml:space="preserve"> </w:t>
            </w:r>
            <w:r w:rsidR="00DF30DE" w:rsidRPr="00BE23C5">
              <w:rPr>
                <w:rFonts w:ascii="Arial Narrow" w:hAnsi="Arial Narrow" w:cs="Times New Roman"/>
                <w:snapToGrid/>
                <w:sz w:val="20"/>
              </w:rPr>
              <w:t xml:space="preserve">This may be reasonable, however, sensitivity analysis was </w:t>
            </w:r>
            <w:r w:rsidR="009B3673" w:rsidRPr="00BE23C5">
              <w:rPr>
                <w:rFonts w:ascii="Arial Narrow" w:hAnsi="Arial Narrow" w:cs="Times New Roman"/>
                <w:snapToGrid/>
                <w:sz w:val="20"/>
              </w:rPr>
              <w:t>unable to be</w:t>
            </w:r>
            <w:r w:rsidR="00DF30DE" w:rsidRPr="00BE23C5">
              <w:rPr>
                <w:rFonts w:ascii="Arial Narrow" w:hAnsi="Arial Narrow" w:cs="Times New Roman"/>
                <w:snapToGrid/>
                <w:sz w:val="20"/>
              </w:rPr>
              <w:t xml:space="preserve"> conducted to explore this assumption</w:t>
            </w:r>
            <w:r w:rsidR="009B3673" w:rsidRPr="00BE23C5">
              <w:rPr>
                <w:rFonts w:ascii="Arial Narrow" w:hAnsi="Arial Narrow" w:cs="Times New Roman"/>
                <w:snapToGrid/>
                <w:sz w:val="20"/>
              </w:rPr>
              <w:t xml:space="preserve"> due to limitations in the model</w:t>
            </w:r>
            <w:r w:rsidR="00DF30DE" w:rsidRPr="00BE23C5">
              <w:rPr>
                <w:rFonts w:ascii="Arial Narrow" w:hAnsi="Arial Narrow" w:cs="Times New Roman"/>
                <w:snapToGrid/>
                <w:sz w:val="20"/>
              </w:rPr>
              <w:t>.</w:t>
            </w:r>
            <w:r w:rsidR="00DF30DE" w:rsidRPr="00BE23C5" w:rsidDel="00DF30DE">
              <w:rPr>
                <w:rStyle w:val="CommentReference"/>
                <w:rFonts w:cs="Times New Roman"/>
              </w:rPr>
              <w:t xml:space="preserve"> </w:t>
            </w:r>
          </w:p>
        </w:tc>
      </w:tr>
      <w:tr w:rsidR="006A3443" w:rsidRPr="00BE23C5" w:rsidTr="00033521">
        <w:tc>
          <w:tcPr>
            <w:tcW w:w="678" w:type="pct"/>
            <w:vMerge/>
            <w:vAlign w:val="center"/>
          </w:tcPr>
          <w:p w:rsidR="006A3443" w:rsidRPr="00BE23C5" w:rsidRDefault="006A3443" w:rsidP="00DF30DE">
            <w:pPr>
              <w:widowControl/>
              <w:jc w:val="left"/>
              <w:rPr>
                <w:rFonts w:ascii="Arial Narrow" w:hAnsi="Arial Narrow" w:cs="Times New Roman"/>
                <w:snapToGrid/>
                <w:sz w:val="20"/>
              </w:rPr>
            </w:pPr>
          </w:p>
        </w:tc>
        <w:tc>
          <w:tcPr>
            <w:tcW w:w="4322" w:type="pct"/>
            <w:tcBorders>
              <w:top w:val="nil"/>
              <w:bottom w:val="nil"/>
            </w:tcBorders>
          </w:tcPr>
          <w:p w:rsidR="00BA1B1F" w:rsidRPr="00BE23C5" w:rsidRDefault="006A3443" w:rsidP="00DF30DE">
            <w:pPr>
              <w:widowControl/>
              <w:spacing w:before="40" w:after="40"/>
              <w:jc w:val="left"/>
              <w:rPr>
                <w:rFonts w:ascii="Arial Narrow" w:hAnsi="Arial Narrow" w:cs="Times New Roman"/>
                <w:snapToGrid/>
                <w:sz w:val="20"/>
              </w:rPr>
            </w:pPr>
            <w:r w:rsidRPr="00BE23C5">
              <w:rPr>
                <w:rFonts w:ascii="Arial Narrow" w:eastAsiaTheme="minorHAnsi" w:hAnsi="Arial Narrow" w:cstheme="minorBidi"/>
                <w:snapToGrid/>
                <w:sz w:val="20"/>
              </w:rPr>
              <w:t xml:space="preserve">UK </w:t>
            </w:r>
            <w:r w:rsidR="0041332F" w:rsidRPr="00BE23C5">
              <w:rPr>
                <w:rFonts w:ascii="Arial Narrow" w:eastAsiaTheme="minorHAnsi" w:hAnsi="Arial Narrow" w:cstheme="minorBidi"/>
                <w:snapToGrid/>
                <w:sz w:val="20"/>
              </w:rPr>
              <w:t>general population survival</w:t>
            </w:r>
            <w:r w:rsidRPr="00BE23C5">
              <w:rPr>
                <w:rFonts w:ascii="Arial Narrow" w:eastAsiaTheme="minorHAnsi" w:hAnsi="Arial Narrow" w:cstheme="minorBidi"/>
                <w:snapToGrid/>
                <w:sz w:val="20"/>
              </w:rPr>
              <w:t xml:space="preserve"> data was used to extrapolate from cycle 103 until the end of the model. </w:t>
            </w:r>
            <w:r w:rsidRPr="00BE23C5">
              <w:rPr>
                <w:rFonts w:ascii="Arial Narrow" w:hAnsi="Arial Narrow" w:cs="Times New Roman"/>
                <w:snapToGrid/>
                <w:sz w:val="20"/>
              </w:rPr>
              <w:t>The use of UK mortality data is inappropriate for the Australian setting</w:t>
            </w:r>
            <w:r w:rsidR="00BA1B1F" w:rsidRPr="00BE23C5">
              <w:rPr>
                <w:rFonts w:ascii="Arial Narrow" w:hAnsi="Arial Narrow" w:cs="Times New Roman"/>
                <w:snapToGrid/>
                <w:sz w:val="20"/>
              </w:rPr>
              <w:t>, but the direction and magnitude of resultant bias is uncertain</w:t>
            </w:r>
            <w:r w:rsidRPr="00BE23C5">
              <w:rPr>
                <w:rFonts w:ascii="Arial Narrow" w:hAnsi="Arial Narrow" w:cs="Times New Roman"/>
                <w:snapToGrid/>
                <w:sz w:val="20"/>
              </w:rPr>
              <w:t>.</w:t>
            </w:r>
            <w:r w:rsidR="00DF30DE" w:rsidRPr="00BE23C5">
              <w:rPr>
                <w:rFonts w:ascii="Arial Narrow" w:hAnsi="Arial Narrow" w:cs="Times New Roman"/>
                <w:snapToGrid/>
                <w:sz w:val="20"/>
              </w:rPr>
              <w:t xml:space="preserve"> </w:t>
            </w:r>
          </w:p>
          <w:p w:rsidR="00BA1B1F" w:rsidRPr="00BE23C5" w:rsidRDefault="00BA1B1F" w:rsidP="00DF30DE">
            <w:pPr>
              <w:widowControl/>
              <w:spacing w:before="40" w:after="40"/>
              <w:jc w:val="left"/>
              <w:rPr>
                <w:rFonts w:ascii="Arial Narrow" w:hAnsi="Arial Narrow" w:cs="Times New Roman"/>
                <w:snapToGrid/>
                <w:sz w:val="20"/>
              </w:rPr>
            </w:pPr>
          </w:p>
          <w:p w:rsidR="006A3443" w:rsidRPr="00BE23C5" w:rsidRDefault="00DF30DE" w:rsidP="008B14B8">
            <w:pPr>
              <w:widowControl/>
              <w:spacing w:before="40" w:after="40"/>
              <w:jc w:val="left"/>
              <w:rPr>
                <w:rFonts w:ascii="Arial Narrow" w:eastAsiaTheme="minorHAnsi" w:hAnsi="Arial Narrow" w:cstheme="minorBidi"/>
                <w:snapToGrid/>
                <w:sz w:val="20"/>
              </w:rPr>
            </w:pPr>
            <w:r w:rsidRPr="00BE23C5">
              <w:rPr>
                <w:rFonts w:ascii="Arial Narrow" w:hAnsi="Arial Narrow" w:cs="Times New Roman"/>
                <w:snapToGrid/>
                <w:sz w:val="20"/>
              </w:rPr>
              <w:t xml:space="preserve">Note that this </w:t>
            </w:r>
            <w:r w:rsidR="00BA1B1F" w:rsidRPr="00BE23C5">
              <w:rPr>
                <w:rFonts w:ascii="Arial Narrow" w:hAnsi="Arial Narrow" w:cs="Times New Roman"/>
                <w:snapToGrid/>
                <w:sz w:val="20"/>
              </w:rPr>
              <w:t xml:space="preserve">overall approach </w:t>
            </w:r>
            <w:r w:rsidRPr="00BE23C5">
              <w:rPr>
                <w:rFonts w:ascii="Arial Narrow" w:hAnsi="Arial Narrow" w:cs="Times New Roman"/>
                <w:snapToGrid/>
                <w:sz w:val="20"/>
              </w:rPr>
              <w:t xml:space="preserve">deviates </w:t>
            </w:r>
            <w:r w:rsidRPr="00BE23C5">
              <w:rPr>
                <w:rFonts w:ascii="Arial Narrow" w:eastAsiaTheme="minorHAnsi" w:hAnsi="Arial Narrow" w:cstheme="minorBidi"/>
                <w:snapToGrid/>
                <w:sz w:val="20"/>
              </w:rPr>
              <w:t xml:space="preserve">from the typical approach of extrapolating only the clinical trial data presented (i.e. the </w:t>
            </w:r>
            <w:proofErr w:type="spellStart"/>
            <w:r w:rsidRPr="00BE23C5">
              <w:rPr>
                <w:rFonts w:ascii="Arial Narrow" w:eastAsiaTheme="minorHAnsi" w:hAnsi="Arial Narrow" w:cstheme="minorBidi"/>
                <w:snapToGrid/>
                <w:sz w:val="20"/>
              </w:rPr>
              <w:t>ExteNET</w:t>
            </w:r>
            <w:proofErr w:type="spellEnd"/>
            <w:r w:rsidRPr="00BE23C5">
              <w:rPr>
                <w:rFonts w:ascii="Arial Narrow" w:eastAsiaTheme="minorHAnsi" w:hAnsi="Arial Narrow" w:cstheme="minorBidi"/>
                <w:snapToGrid/>
                <w:sz w:val="20"/>
              </w:rPr>
              <w:t xml:space="preserve"> trial). </w:t>
            </w:r>
            <w:r w:rsidR="00BA1B1F" w:rsidRPr="00BE23C5">
              <w:rPr>
                <w:rFonts w:ascii="Arial Narrow" w:eastAsiaTheme="minorHAnsi" w:hAnsi="Arial Narrow" w:cstheme="minorBidi"/>
                <w:snapToGrid/>
                <w:sz w:val="20"/>
              </w:rPr>
              <w:t>Introduction of multiple data sources may be</w:t>
            </w:r>
            <w:r w:rsidRPr="00BE23C5">
              <w:rPr>
                <w:rFonts w:ascii="Arial Narrow" w:hAnsi="Arial Narrow" w:cs="Times New Roman"/>
                <w:snapToGrid/>
                <w:sz w:val="20"/>
              </w:rPr>
              <w:t xml:space="preserve"> reasonable, however sensitivity analysis was not conducted to explore this assumption.</w:t>
            </w:r>
            <w:r w:rsidRPr="00BE23C5" w:rsidDel="00DF30DE">
              <w:rPr>
                <w:rStyle w:val="CommentReference"/>
                <w:rFonts w:cs="Times New Roman"/>
              </w:rPr>
              <w:t xml:space="preserve"> </w:t>
            </w:r>
          </w:p>
        </w:tc>
      </w:tr>
      <w:tr w:rsidR="006A3443" w:rsidRPr="00BE23C5" w:rsidTr="00033521">
        <w:tc>
          <w:tcPr>
            <w:tcW w:w="678" w:type="pct"/>
            <w:vMerge/>
            <w:vAlign w:val="center"/>
          </w:tcPr>
          <w:p w:rsidR="006A3443" w:rsidRPr="00BE23C5" w:rsidRDefault="006A3443" w:rsidP="00DF30DE">
            <w:pPr>
              <w:widowControl/>
              <w:jc w:val="left"/>
              <w:rPr>
                <w:rFonts w:ascii="Arial Narrow" w:hAnsi="Arial Narrow" w:cs="Times New Roman"/>
                <w:snapToGrid/>
                <w:sz w:val="20"/>
              </w:rPr>
            </w:pPr>
          </w:p>
        </w:tc>
        <w:tc>
          <w:tcPr>
            <w:tcW w:w="4322" w:type="pct"/>
            <w:tcBorders>
              <w:top w:val="nil"/>
              <w:bottom w:val="nil"/>
            </w:tcBorders>
          </w:tcPr>
          <w:p w:rsidR="006A3443" w:rsidRPr="00BE23C5" w:rsidRDefault="00DA3748" w:rsidP="00DF30DE">
            <w:pPr>
              <w:widowControl/>
              <w:spacing w:before="40" w:after="40"/>
              <w:jc w:val="left"/>
              <w:rPr>
                <w:rFonts w:ascii="Arial Narrow" w:eastAsiaTheme="minorHAnsi" w:hAnsi="Arial Narrow" w:cstheme="minorBidi"/>
                <w:snapToGrid/>
                <w:sz w:val="20"/>
              </w:rPr>
            </w:pPr>
            <w:r w:rsidRPr="00BE23C5">
              <w:rPr>
                <w:rFonts w:ascii="Arial Narrow" w:eastAsiaTheme="minorHAnsi" w:hAnsi="Arial Narrow" w:cstheme="minorBidi"/>
                <w:snapToGrid/>
                <w:sz w:val="20"/>
              </w:rPr>
              <w:t>It appears</w:t>
            </w:r>
            <w:r w:rsidR="006A3443" w:rsidRPr="00BE23C5">
              <w:rPr>
                <w:rFonts w:ascii="Arial Narrow" w:eastAsiaTheme="minorHAnsi" w:hAnsi="Arial Narrow" w:cstheme="minorBidi"/>
                <w:snapToGrid/>
                <w:sz w:val="20"/>
              </w:rPr>
              <w:t xml:space="preserve"> </w:t>
            </w:r>
            <w:r w:rsidRPr="00BE23C5">
              <w:rPr>
                <w:rFonts w:ascii="Arial Narrow" w:eastAsiaTheme="minorHAnsi" w:hAnsi="Arial Narrow" w:cstheme="minorBidi"/>
                <w:snapToGrid/>
                <w:sz w:val="20"/>
              </w:rPr>
              <w:t xml:space="preserve">(based on the Section3_ExtrapolationModelling PowerPoint) </w:t>
            </w:r>
            <w:r w:rsidR="006A3443" w:rsidRPr="00BE23C5">
              <w:rPr>
                <w:rFonts w:ascii="Arial Narrow" w:eastAsiaTheme="minorHAnsi" w:hAnsi="Arial Narrow" w:cstheme="minorBidi"/>
                <w:snapToGrid/>
                <w:sz w:val="20"/>
              </w:rPr>
              <w:t xml:space="preserve">validation was conducted by a visual comparison of the survival curve with that from Brenner (2004). </w:t>
            </w:r>
            <w:r w:rsidR="006A3443" w:rsidRPr="00BE23C5">
              <w:rPr>
                <w:rFonts w:ascii="Arial Narrow" w:hAnsi="Arial Narrow" w:cs="Times New Roman"/>
                <w:snapToGrid/>
                <w:sz w:val="20"/>
              </w:rPr>
              <w:t xml:space="preserve">Brenner (2004) was based on a </w:t>
            </w:r>
            <w:r w:rsidR="006A3443" w:rsidRPr="00BE23C5">
              <w:rPr>
                <w:rFonts w:ascii="Arial Narrow" w:hAnsi="Arial Narrow" w:cs="Times New Roman"/>
                <w:snapToGrid/>
                <w:sz w:val="20"/>
              </w:rPr>
              <w:lastRenderedPageBreak/>
              <w:t>survival analysis using old data. This validation is inappropriate as it does not consider recent advances with HER2 therapies.</w:t>
            </w:r>
          </w:p>
        </w:tc>
      </w:tr>
      <w:tr w:rsidR="006A3443" w:rsidRPr="00BE23C5" w:rsidTr="00033521">
        <w:tc>
          <w:tcPr>
            <w:tcW w:w="678" w:type="pct"/>
            <w:vMerge/>
            <w:vAlign w:val="center"/>
          </w:tcPr>
          <w:p w:rsidR="006A3443" w:rsidRPr="00BE23C5" w:rsidRDefault="006A3443" w:rsidP="00270953">
            <w:pPr>
              <w:widowControl/>
              <w:jc w:val="left"/>
              <w:rPr>
                <w:rFonts w:ascii="Arial Narrow" w:hAnsi="Arial Narrow" w:cs="Times New Roman"/>
                <w:snapToGrid/>
                <w:sz w:val="20"/>
              </w:rPr>
            </w:pPr>
          </w:p>
        </w:tc>
        <w:tc>
          <w:tcPr>
            <w:tcW w:w="4322" w:type="pct"/>
            <w:tcBorders>
              <w:top w:val="nil"/>
              <w:bottom w:val="nil"/>
            </w:tcBorders>
          </w:tcPr>
          <w:p w:rsidR="006A3443" w:rsidRPr="00BE23C5" w:rsidRDefault="006A3443" w:rsidP="004F77E7">
            <w:pPr>
              <w:widowControl/>
              <w:spacing w:before="40" w:after="40"/>
              <w:jc w:val="left"/>
              <w:rPr>
                <w:rFonts w:ascii="Arial Narrow" w:eastAsiaTheme="minorHAnsi" w:hAnsi="Arial Narrow" w:cstheme="minorBidi"/>
                <w:snapToGrid/>
                <w:sz w:val="20"/>
              </w:rPr>
            </w:pPr>
            <w:r w:rsidRPr="00BE23C5">
              <w:rPr>
                <w:rFonts w:ascii="Arial Narrow" w:hAnsi="Arial Narrow" w:cs="Times New Roman"/>
                <w:snapToGrid/>
                <w:sz w:val="20"/>
              </w:rPr>
              <w:t xml:space="preserve">It was assumed that the </w:t>
            </w:r>
            <w:proofErr w:type="spellStart"/>
            <w:r w:rsidRPr="00BE23C5">
              <w:rPr>
                <w:rFonts w:ascii="Arial Narrow" w:hAnsi="Arial Narrow" w:cs="Times New Roman"/>
                <w:snapToGrid/>
                <w:sz w:val="20"/>
              </w:rPr>
              <w:t>iDFS</w:t>
            </w:r>
            <w:proofErr w:type="spellEnd"/>
            <w:r w:rsidRPr="00BE23C5">
              <w:rPr>
                <w:rFonts w:ascii="Arial Narrow" w:hAnsi="Arial Narrow" w:cs="Times New Roman"/>
                <w:snapToGrid/>
                <w:sz w:val="20"/>
              </w:rPr>
              <w:t xml:space="preserve"> and OS treatment effect tapered gradually until a HR of 1 occurred </w:t>
            </w:r>
            <w:r w:rsidR="004E0D62" w:rsidRPr="00BE23C5">
              <w:rPr>
                <w:rFonts w:ascii="Arial Narrow" w:hAnsi="Arial Narrow" w:cs="Times New Roman"/>
                <w:snapToGrid/>
                <w:sz w:val="20"/>
              </w:rPr>
              <w:t>10</w:t>
            </w:r>
            <w:r w:rsidR="004E0D62" w:rsidRPr="00BE23C5">
              <w:rPr>
                <w:rFonts w:ascii="Arial Narrow" w:hAnsi="Arial Narrow" w:cs="Times New Roman"/>
                <w:i/>
                <w:snapToGrid/>
                <w:sz w:val="20"/>
              </w:rPr>
              <w:t xml:space="preserve"> </w:t>
            </w:r>
            <w:r w:rsidRPr="00BE23C5">
              <w:rPr>
                <w:rFonts w:ascii="Arial Narrow" w:hAnsi="Arial Narrow" w:cs="Times New Roman"/>
                <w:snapToGrid/>
                <w:sz w:val="20"/>
              </w:rPr>
              <w:t xml:space="preserve">years from the end of the </w:t>
            </w:r>
            <w:proofErr w:type="spellStart"/>
            <w:r w:rsidRPr="00BE23C5">
              <w:rPr>
                <w:rFonts w:ascii="Arial Narrow" w:hAnsi="Arial Narrow" w:cs="Times New Roman"/>
                <w:snapToGrid/>
                <w:sz w:val="20"/>
              </w:rPr>
              <w:t>ExteNET</w:t>
            </w:r>
            <w:proofErr w:type="spellEnd"/>
            <w:r w:rsidRPr="00BE23C5">
              <w:rPr>
                <w:rFonts w:ascii="Arial Narrow" w:hAnsi="Arial Narrow" w:cs="Times New Roman"/>
                <w:snapToGrid/>
                <w:sz w:val="20"/>
              </w:rPr>
              <w:t xml:space="preserve"> data</w:t>
            </w:r>
            <w:r w:rsidR="004E0D62" w:rsidRPr="00BE23C5">
              <w:rPr>
                <w:rFonts w:ascii="Arial Narrow" w:hAnsi="Arial Narrow" w:cs="Times New Roman"/>
                <w:snapToGrid/>
                <w:sz w:val="20"/>
              </w:rPr>
              <w:t xml:space="preserve"> (PSCR, p4)</w:t>
            </w:r>
            <w:r w:rsidRPr="00BE23C5">
              <w:rPr>
                <w:rFonts w:ascii="Arial Narrow" w:hAnsi="Arial Narrow" w:cs="Times New Roman"/>
                <w:snapToGrid/>
                <w:sz w:val="20"/>
              </w:rPr>
              <w:t>. The PBAC has previously recommended that</w:t>
            </w:r>
            <w:r w:rsidR="00DA3748" w:rsidRPr="00BE23C5">
              <w:rPr>
                <w:rFonts w:ascii="Arial Narrow" w:hAnsi="Arial Narrow" w:cs="Times New Roman"/>
                <w:snapToGrid/>
                <w:sz w:val="20"/>
              </w:rPr>
              <w:t xml:space="preserve"> the</w:t>
            </w:r>
            <w:r w:rsidRPr="00BE23C5">
              <w:rPr>
                <w:rFonts w:ascii="Arial Narrow" w:hAnsi="Arial Narrow" w:cs="Times New Roman"/>
                <w:snapToGrid/>
                <w:sz w:val="20"/>
              </w:rPr>
              <w:t xml:space="preserve"> treatment </w:t>
            </w:r>
            <w:r w:rsidR="00DA3748" w:rsidRPr="00BE23C5">
              <w:rPr>
                <w:rFonts w:ascii="Arial Narrow" w:hAnsi="Arial Narrow" w:cs="Times New Roman"/>
                <w:snapToGrid/>
                <w:sz w:val="20"/>
              </w:rPr>
              <w:t xml:space="preserve">effect </w:t>
            </w:r>
            <w:r w:rsidRPr="00BE23C5">
              <w:rPr>
                <w:rFonts w:ascii="Arial Narrow" w:hAnsi="Arial Narrow" w:cs="Times New Roman"/>
                <w:snapToGrid/>
                <w:sz w:val="20"/>
              </w:rPr>
              <w:t xml:space="preserve">for </w:t>
            </w:r>
            <w:r w:rsidR="00DA3748" w:rsidRPr="00BE23C5">
              <w:rPr>
                <w:rFonts w:ascii="Arial Narrow" w:hAnsi="Arial Narrow" w:cs="Times New Roman"/>
                <w:snapToGrid/>
                <w:sz w:val="20"/>
              </w:rPr>
              <w:t xml:space="preserve">adjuvant </w:t>
            </w:r>
            <w:proofErr w:type="spellStart"/>
            <w:r w:rsidRPr="00BE23C5">
              <w:rPr>
                <w:rFonts w:ascii="Arial Narrow" w:hAnsi="Arial Narrow" w:cs="Times New Roman"/>
                <w:snapToGrid/>
                <w:sz w:val="20"/>
              </w:rPr>
              <w:t>trastuzumab</w:t>
            </w:r>
            <w:proofErr w:type="spellEnd"/>
            <w:r w:rsidRPr="00BE23C5">
              <w:rPr>
                <w:rFonts w:ascii="Arial Narrow" w:hAnsi="Arial Narrow" w:cs="Times New Roman"/>
                <w:snapToGrid/>
                <w:sz w:val="20"/>
              </w:rPr>
              <w:t xml:space="preserve"> </w:t>
            </w:r>
            <w:r w:rsidR="008B14B8" w:rsidRPr="00BE23C5">
              <w:rPr>
                <w:rFonts w:ascii="Arial Narrow" w:hAnsi="Arial Narrow" w:cs="Times New Roman"/>
                <w:snapToGrid/>
                <w:sz w:val="20"/>
              </w:rPr>
              <w:t xml:space="preserve">in </w:t>
            </w:r>
            <w:proofErr w:type="spellStart"/>
            <w:r w:rsidR="008B14B8" w:rsidRPr="00BE23C5">
              <w:rPr>
                <w:rFonts w:ascii="Arial Narrow" w:hAnsi="Arial Narrow" w:cs="Times New Roman"/>
                <w:snapToGrid/>
                <w:sz w:val="20"/>
              </w:rPr>
              <w:t>eBC</w:t>
            </w:r>
            <w:proofErr w:type="spellEnd"/>
            <w:r w:rsidR="008B14B8" w:rsidRPr="00BE23C5">
              <w:rPr>
                <w:rFonts w:ascii="Arial Narrow" w:hAnsi="Arial Narrow" w:cs="Times New Roman"/>
                <w:i/>
                <w:snapToGrid/>
                <w:sz w:val="20"/>
              </w:rPr>
              <w:t xml:space="preserve"> </w:t>
            </w:r>
            <w:r w:rsidRPr="00BE23C5">
              <w:rPr>
                <w:rFonts w:ascii="Arial Narrow" w:hAnsi="Arial Narrow" w:cs="Times New Roman"/>
                <w:snapToGrid/>
                <w:sz w:val="20"/>
              </w:rPr>
              <w:t>should be null after year 5</w:t>
            </w:r>
            <w:r w:rsidR="00BA1B1F" w:rsidRPr="00BE23C5">
              <w:rPr>
                <w:rFonts w:ascii="Arial Narrow" w:hAnsi="Arial Narrow" w:cs="Times New Roman"/>
                <w:snapToGrid/>
                <w:sz w:val="20"/>
              </w:rPr>
              <w:t>, which is approximately ten years earlier than is currently assumed</w:t>
            </w:r>
            <w:r w:rsidR="008B14B8" w:rsidRPr="00BE23C5">
              <w:rPr>
                <w:rFonts w:ascii="Arial Narrow" w:hAnsi="Arial Narrow" w:cs="Times New Roman"/>
                <w:snapToGrid/>
                <w:sz w:val="20"/>
              </w:rPr>
              <w:t xml:space="preserve"> in the </w:t>
            </w:r>
            <w:proofErr w:type="spellStart"/>
            <w:r w:rsidR="008B14B8" w:rsidRPr="00BE23C5">
              <w:rPr>
                <w:rFonts w:ascii="Arial Narrow" w:hAnsi="Arial Narrow" w:cs="Times New Roman"/>
                <w:snapToGrid/>
                <w:sz w:val="20"/>
              </w:rPr>
              <w:t>neratinib</w:t>
            </w:r>
            <w:proofErr w:type="spellEnd"/>
            <w:r w:rsidR="008B14B8" w:rsidRPr="00BE23C5">
              <w:rPr>
                <w:rFonts w:ascii="Arial Narrow" w:hAnsi="Arial Narrow" w:cs="Times New Roman"/>
                <w:snapToGrid/>
                <w:sz w:val="20"/>
              </w:rPr>
              <w:t xml:space="preserve"> model</w:t>
            </w:r>
            <w:r w:rsidRPr="00BE23C5">
              <w:rPr>
                <w:rFonts w:ascii="Arial Narrow" w:hAnsi="Arial Narrow" w:cs="Times New Roman"/>
                <w:snapToGrid/>
                <w:sz w:val="20"/>
              </w:rPr>
              <w:t>.</w:t>
            </w:r>
            <w:r w:rsidRPr="00BE23C5">
              <w:rPr>
                <w:rFonts w:ascii="Arial Narrow" w:hAnsi="Arial Narrow" w:cs="Times New Roman"/>
                <w:snapToGrid/>
                <w:sz w:val="20"/>
                <w:vertAlign w:val="superscript"/>
              </w:rPr>
              <w:footnoteReference w:id="9"/>
            </w:r>
          </w:p>
        </w:tc>
      </w:tr>
      <w:tr w:rsidR="006A3443" w:rsidRPr="00BE23C5" w:rsidTr="00033521">
        <w:tc>
          <w:tcPr>
            <w:tcW w:w="678" w:type="pct"/>
            <w:vMerge/>
          </w:tcPr>
          <w:p w:rsidR="006A3443" w:rsidRPr="00BE23C5" w:rsidRDefault="006A3443" w:rsidP="006A3443">
            <w:pPr>
              <w:widowControl/>
              <w:jc w:val="left"/>
              <w:rPr>
                <w:rFonts w:ascii="Arial Narrow" w:hAnsi="Arial Narrow" w:cs="Times New Roman"/>
                <w:snapToGrid/>
                <w:sz w:val="20"/>
              </w:rPr>
            </w:pPr>
          </w:p>
        </w:tc>
        <w:tc>
          <w:tcPr>
            <w:tcW w:w="4322" w:type="pct"/>
            <w:tcBorders>
              <w:top w:val="nil"/>
            </w:tcBorders>
          </w:tcPr>
          <w:p w:rsidR="006A3443" w:rsidRPr="00BE23C5" w:rsidRDefault="006A3443" w:rsidP="004F77E7">
            <w:pPr>
              <w:widowControl/>
              <w:spacing w:before="40" w:after="40"/>
              <w:jc w:val="left"/>
              <w:rPr>
                <w:rFonts w:ascii="Arial Narrow" w:hAnsi="Arial Narrow" w:cs="Times New Roman"/>
                <w:snapToGrid/>
                <w:sz w:val="20"/>
              </w:rPr>
            </w:pPr>
            <w:r w:rsidRPr="00BE23C5">
              <w:rPr>
                <w:rFonts w:ascii="Arial Narrow" w:hAnsi="Arial Narrow" w:cs="Times New Roman"/>
                <w:snapToGrid/>
                <w:sz w:val="20"/>
              </w:rPr>
              <w:t xml:space="preserve">The model assumed that recurrence is split 28% local vs 72% distant, and that this is the same between arms. This was based on the total population of the </w:t>
            </w:r>
            <w:proofErr w:type="spellStart"/>
            <w:r w:rsidRPr="00BE23C5">
              <w:rPr>
                <w:rFonts w:ascii="Arial Narrow" w:hAnsi="Arial Narrow" w:cs="Times New Roman"/>
                <w:snapToGrid/>
                <w:sz w:val="20"/>
              </w:rPr>
              <w:t>ExteNET</w:t>
            </w:r>
            <w:proofErr w:type="spellEnd"/>
            <w:r w:rsidRPr="00BE23C5">
              <w:rPr>
                <w:rFonts w:ascii="Arial Narrow" w:hAnsi="Arial Narrow" w:cs="Times New Roman"/>
                <w:snapToGrid/>
                <w:sz w:val="20"/>
              </w:rPr>
              <w:t xml:space="preserve"> </w:t>
            </w:r>
            <w:r w:rsidR="00B25ACA" w:rsidRPr="00BE23C5">
              <w:rPr>
                <w:rFonts w:ascii="Arial Narrow" w:hAnsi="Arial Narrow" w:cs="Times New Roman"/>
                <w:snapToGrid/>
                <w:sz w:val="20"/>
              </w:rPr>
              <w:t xml:space="preserve">trial. </w:t>
            </w:r>
          </w:p>
        </w:tc>
      </w:tr>
      <w:tr w:rsidR="001D1C7A" w:rsidRPr="00BE23C5" w:rsidTr="00033521">
        <w:trPr>
          <w:trHeight w:val="58"/>
        </w:trPr>
        <w:tc>
          <w:tcPr>
            <w:tcW w:w="678" w:type="pct"/>
            <w:vAlign w:val="center"/>
          </w:tcPr>
          <w:p w:rsidR="00270953" w:rsidRPr="00BE23C5" w:rsidRDefault="00270953" w:rsidP="00357C7A">
            <w:pPr>
              <w:widowControl/>
              <w:jc w:val="left"/>
              <w:rPr>
                <w:rFonts w:ascii="Arial Narrow" w:hAnsi="Arial Narrow" w:cs="Times New Roman"/>
                <w:snapToGrid/>
                <w:sz w:val="20"/>
              </w:rPr>
            </w:pPr>
            <w:r w:rsidRPr="00BE23C5">
              <w:rPr>
                <w:rFonts w:ascii="Arial Narrow" w:hAnsi="Arial Narrow" w:cs="Times New Roman"/>
                <w:snapToGrid/>
                <w:sz w:val="20"/>
              </w:rPr>
              <w:t>Utilities</w:t>
            </w:r>
          </w:p>
        </w:tc>
        <w:tc>
          <w:tcPr>
            <w:tcW w:w="4322" w:type="pct"/>
            <w:tcBorders>
              <w:bottom w:val="single" w:sz="4" w:space="0" w:color="auto"/>
            </w:tcBorders>
          </w:tcPr>
          <w:p w:rsidR="00270953" w:rsidRPr="00BE23C5" w:rsidRDefault="00270953" w:rsidP="004F77E7">
            <w:pPr>
              <w:widowControl/>
              <w:jc w:val="left"/>
              <w:rPr>
                <w:rFonts w:ascii="Arial Narrow" w:eastAsiaTheme="minorHAnsi" w:hAnsi="Arial Narrow" w:cstheme="minorBidi"/>
                <w:snapToGrid/>
                <w:sz w:val="20"/>
              </w:rPr>
            </w:pPr>
            <w:r w:rsidRPr="00BE23C5">
              <w:rPr>
                <w:rFonts w:ascii="Arial Narrow" w:hAnsi="Arial Narrow" w:cs="Times New Roman"/>
                <w:snapToGrid/>
                <w:sz w:val="20"/>
              </w:rPr>
              <w:t xml:space="preserve">Garrison (2007), who cited </w:t>
            </w:r>
            <w:proofErr w:type="spellStart"/>
            <w:r w:rsidRPr="00BE23C5">
              <w:rPr>
                <w:rFonts w:ascii="Arial Narrow" w:hAnsi="Arial Narrow" w:cs="Times New Roman"/>
                <w:snapToGrid/>
                <w:sz w:val="20"/>
              </w:rPr>
              <w:t>Oestreicher</w:t>
            </w:r>
            <w:proofErr w:type="spellEnd"/>
            <w:r w:rsidRPr="00BE23C5">
              <w:rPr>
                <w:rFonts w:ascii="Arial Narrow" w:hAnsi="Arial Narrow" w:cs="Times New Roman"/>
                <w:snapToGrid/>
                <w:sz w:val="20"/>
              </w:rPr>
              <w:t xml:space="preserve"> 2005 and </w:t>
            </w:r>
            <w:proofErr w:type="spellStart"/>
            <w:r w:rsidRPr="00BE23C5">
              <w:rPr>
                <w:rFonts w:ascii="Arial Narrow" w:hAnsi="Arial Narrow" w:cs="Times New Roman"/>
                <w:snapToGrid/>
                <w:sz w:val="20"/>
              </w:rPr>
              <w:t>Hornberger</w:t>
            </w:r>
            <w:proofErr w:type="spellEnd"/>
            <w:r w:rsidRPr="00BE23C5">
              <w:rPr>
                <w:rFonts w:ascii="Arial Narrow" w:hAnsi="Arial Narrow" w:cs="Times New Roman"/>
                <w:snapToGrid/>
                <w:sz w:val="20"/>
              </w:rPr>
              <w:t xml:space="preserve"> (2002)</w:t>
            </w:r>
            <w:r w:rsidR="001D1C7A" w:rsidRPr="00BE23C5">
              <w:rPr>
                <w:rFonts w:ascii="Arial Narrow" w:hAnsi="Arial Narrow" w:cs="Times New Roman"/>
                <w:snapToGrid/>
                <w:sz w:val="20"/>
              </w:rPr>
              <w:t>.</w:t>
            </w:r>
            <w:r w:rsidR="001D1C7A" w:rsidRPr="00BE23C5">
              <w:t xml:space="preserve"> </w:t>
            </w:r>
            <w:r w:rsidR="001D1C7A" w:rsidRPr="00BE23C5">
              <w:rPr>
                <w:rFonts w:ascii="Arial Narrow" w:hAnsi="Arial Narrow" w:cs="Times New Roman"/>
                <w:snapToGrid/>
                <w:sz w:val="20"/>
              </w:rPr>
              <w:t xml:space="preserve">EQ-5D results from the </w:t>
            </w:r>
            <w:proofErr w:type="spellStart"/>
            <w:r w:rsidR="001D1C7A" w:rsidRPr="00BE23C5">
              <w:rPr>
                <w:rFonts w:ascii="Arial Narrow" w:hAnsi="Arial Narrow" w:cs="Times New Roman"/>
                <w:snapToGrid/>
                <w:sz w:val="20"/>
              </w:rPr>
              <w:t>ExteNet</w:t>
            </w:r>
            <w:proofErr w:type="spellEnd"/>
            <w:r w:rsidR="001D1C7A" w:rsidRPr="00BE23C5">
              <w:rPr>
                <w:rFonts w:ascii="Arial Narrow" w:hAnsi="Arial Narrow" w:cs="Times New Roman"/>
                <w:snapToGrid/>
                <w:sz w:val="20"/>
              </w:rPr>
              <w:t xml:space="preserve"> trial in the </w:t>
            </w:r>
            <w:proofErr w:type="spellStart"/>
            <w:r w:rsidR="001D1C7A" w:rsidRPr="00BE23C5">
              <w:rPr>
                <w:rFonts w:ascii="Arial Narrow" w:hAnsi="Arial Narrow" w:cs="Times New Roman"/>
                <w:snapToGrid/>
                <w:sz w:val="20"/>
              </w:rPr>
              <w:t>iDFS</w:t>
            </w:r>
            <w:proofErr w:type="spellEnd"/>
            <w:r w:rsidR="001D1C7A" w:rsidRPr="00BE23C5">
              <w:rPr>
                <w:rFonts w:ascii="Arial Narrow" w:hAnsi="Arial Narrow" w:cs="Times New Roman"/>
                <w:snapToGrid/>
                <w:sz w:val="20"/>
              </w:rPr>
              <w:t xml:space="preserve"> health state </w:t>
            </w:r>
            <w:r w:rsidR="004F77E7" w:rsidRPr="00BE23C5">
              <w:rPr>
                <w:rFonts w:ascii="Arial Narrow" w:hAnsi="Arial Narrow" w:cs="Times New Roman"/>
                <w:snapToGrid/>
                <w:sz w:val="20"/>
              </w:rPr>
              <w:t>may be a more appropriate source</w:t>
            </w:r>
            <w:r w:rsidR="001D1C7A" w:rsidRPr="00BE23C5">
              <w:rPr>
                <w:rFonts w:ascii="Arial Narrow" w:hAnsi="Arial Narrow" w:cs="Times New Roman"/>
                <w:snapToGrid/>
                <w:sz w:val="20"/>
              </w:rPr>
              <w:t>. The methods and utilities for local and distant recurrence could not be verified.</w:t>
            </w:r>
          </w:p>
        </w:tc>
      </w:tr>
      <w:tr w:rsidR="00534582" w:rsidRPr="00BE23C5" w:rsidTr="00033521">
        <w:trPr>
          <w:trHeight w:val="58"/>
        </w:trPr>
        <w:tc>
          <w:tcPr>
            <w:tcW w:w="678" w:type="pct"/>
            <w:vMerge w:val="restart"/>
            <w:vAlign w:val="center"/>
          </w:tcPr>
          <w:p w:rsidR="00534582" w:rsidRPr="00BE23C5" w:rsidRDefault="00534582" w:rsidP="00357C7A">
            <w:pPr>
              <w:widowControl/>
              <w:jc w:val="left"/>
              <w:rPr>
                <w:rFonts w:ascii="Arial Narrow" w:hAnsi="Arial Narrow" w:cs="Times New Roman"/>
                <w:snapToGrid/>
                <w:sz w:val="20"/>
              </w:rPr>
            </w:pPr>
            <w:proofErr w:type="spellStart"/>
            <w:r w:rsidRPr="00BE23C5">
              <w:rPr>
                <w:rFonts w:ascii="Arial Narrow" w:hAnsi="Arial Narrow" w:cs="Times New Roman"/>
                <w:snapToGrid/>
                <w:sz w:val="20"/>
              </w:rPr>
              <w:t>Disutilities</w:t>
            </w:r>
            <w:proofErr w:type="spellEnd"/>
          </w:p>
        </w:tc>
        <w:tc>
          <w:tcPr>
            <w:tcW w:w="4322" w:type="pct"/>
            <w:tcBorders>
              <w:bottom w:val="nil"/>
            </w:tcBorders>
          </w:tcPr>
          <w:p w:rsidR="00534582" w:rsidRPr="00BE23C5" w:rsidRDefault="00534582" w:rsidP="00A75275">
            <w:pPr>
              <w:widowControl/>
              <w:spacing w:before="40" w:after="40"/>
              <w:jc w:val="left"/>
              <w:rPr>
                <w:rFonts w:ascii="Arial Narrow" w:hAnsi="Arial Narrow" w:cs="Times New Roman"/>
                <w:snapToGrid/>
                <w:sz w:val="20"/>
              </w:rPr>
            </w:pPr>
            <w:r w:rsidRPr="00BE23C5">
              <w:rPr>
                <w:rFonts w:ascii="Arial Narrow" w:hAnsi="Arial Narrow" w:cs="Times New Roman"/>
                <w:snapToGrid/>
                <w:sz w:val="20"/>
              </w:rPr>
              <w:t xml:space="preserve">Lloyd (2006) for disutility of diarrhoea. </w:t>
            </w:r>
            <w:r w:rsidR="00764FCB" w:rsidRPr="00BE23C5">
              <w:rPr>
                <w:rFonts w:ascii="Arial Narrow" w:hAnsi="Arial Narrow" w:cs="Times New Roman"/>
                <w:snapToGrid/>
                <w:sz w:val="20"/>
              </w:rPr>
              <w:t xml:space="preserve">The submission assumed that </w:t>
            </w:r>
            <w:r w:rsidRPr="00BE23C5">
              <w:rPr>
                <w:rFonts w:ascii="Arial Narrow" w:hAnsi="Arial Narrow" w:cs="Times New Roman"/>
                <w:snapToGrid/>
                <w:sz w:val="20"/>
              </w:rPr>
              <w:t xml:space="preserve">Grade ≥3 diarrhoea was associated with twice the utility of grade ≤2 diarrhoea. </w:t>
            </w:r>
          </w:p>
        </w:tc>
      </w:tr>
      <w:tr w:rsidR="00534582" w:rsidRPr="00BE23C5" w:rsidTr="00033521">
        <w:trPr>
          <w:trHeight w:val="58"/>
        </w:trPr>
        <w:tc>
          <w:tcPr>
            <w:tcW w:w="678" w:type="pct"/>
            <w:vMerge/>
            <w:vAlign w:val="center"/>
          </w:tcPr>
          <w:p w:rsidR="00534582" w:rsidRPr="00BE23C5" w:rsidRDefault="00534582" w:rsidP="00357C7A">
            <w:pPr>
              <w:widowControl/>
              <w:jc w:val="left"/>
              <w:rPr>
                <w:rFonts w:ascii="Arial Narrow" w:hAnsi="Arial Narrow" w:cs="Times New Roman"/>
                <w:snapToGrid/>
                <w:sz w:val="20"/>
              </w:rPr>
            </w:pPr>
          </w:p>
        </w:tc>
        <w:tc>
          <w:tcPr>
            <w:tcW w:w="4322" w:type="pct"/>
            <w:tcBorders>
              <w:top w:val="nil"/>
            </w:tcBorders>
          </w:tcPr>
          <w:p w:rsidR="00534582" w:rsidRPr="00BE23C5" w:rsidRDefault="00534582" w:rsidP="00393323">
            <w:pPr>
              <w:widowControl/>
              <w:spacing w:before="40" w:after="40"/>
              <w:jc w:val="left"/>
              <w:rPr>
                <w:rFonts w:ascii="Arial Narrow" w:hAnsi="Arial Narrow" w:cs="Times New Roman"/>
                <w:snapToGrid/>
                <w:sz w:val="20"/>
              </w:rPr>
            </w:pPr>
            <w:r w:rsidRPr="00BE23C5">
              <w:rPr>
                <w:rFonts w:ascii="Arial Narrow" w:hAnsi="Arial Narrow" w:cs="Times New Roman"/>
                <w:snapToGrid/>
                <w:sz w:val="20"/>
              </w:rPr>
              <w:t xml:space="preserve">Brown (2013) (presumably from </w:t>
            </w:r>
            <w:proofErr w:type="spellStart"/>
            <w:r w:rsidRPr="00BE23C5">
              <w:rPr>
                <w:rFonts w:ascii="Arial Narrow" w:hAnsi="Arial Narrow" w:cs="Times New Roman"/>
                <w:snapToGrid/>
                <w:sz w:val="20"/>
              </w:rPr>
              <w:t>Nafees</w:t>
            </w:r>
            <w:proofErr w:type="spellEnd"/>
            <w:r w:rsidRPr="00BE23C5">
              <w:rPr>
                <w:rFonts w:ascii="Arial Narrow" w:hAnsi="Arial Narrow" w:cs="Times New Roman"/>
                <w:snapToGrid/>
                <w:sz w:val="20"/>
              </w:rPr>
              <w:t xml:space="preserve"> (2008)</w:t>
            </w:r>
            <w:r w:rsidR="00764FCB" w:rsidRPr="00BE23C5">
              <w:rPr>
                <w:rFonts w:ascii="Arial Narrow" w:hAnsi="Arial Narrow" w:cs="Times New Roman"/>
                <w:snapToGrid/>
                <w:sz w:val="20"/>
              </w:rPr>
              <w:t>)</w:t>
            </w:r>
            <w:r w:rsidRPr="00BE23C5">
              <w:rPr>
                <w:rFonts w:ascii="Arial Narrow" w:hAnsi="Arial Narrow" w:cs="Times New Roman"/>
                <w:snapToGrid/>
                <w:sz w:val="20"/>
              </w:rPr>
              <w:t xml:space="preserve"> for </w:t>
            </w:r>
            <w:proofErr w:type="spellStart"/>
            <w:r w:rsidRPr="00BE23C5">
              <w:rPr>
                <w:rFonts w:ascii="Arial Narrow" w:hAnsi="Arial Narrow" w:cs="Times New Roman"/>
                <w:snapToGrid/>
                <w:sz w:val="20"/>
              </w:rPr>
              <w:t>disutilities</w:t>
            </w:r>
            <w:proofErr w:type="spellEnd"/>
            <w:r w:rsidRPr="00BE23C5">
              <w:rPr>
                <w:rFonts w:ascii="Arial Narrow" w:hAnsi="Arial Narrow" w:cs="Times New Roman"/>
                <w:snapToGrid/>
                <w:sz w:val="20"/>
              </w:rPr>
              <w:t xml:space="preserve"> of vomiting, nausea and fatigue. </w:t>
            </w:r>
            <w:proofErr w:type="spellStart"/>
            <w:r w:rsidRPr="00BE23C5">
              <w:rPr>
                <w:rFonts w:ascii="Arial Narrow" w:hAnsi="Arial Narrow" w:cs="Times New Roman"/>
                <w:snapToGrid/>
                <w:sz w:val="20"/>
              </w:rPr>
              <w:t>Disutilities</w:t>
            </w:r>
            <w:proofErr w:type="spellEnd"/>
            <w:r w:rsidRPr="00BE23C5">
              <w:rPr>
                <w:rFonts w:ascii="Arial Narrow" w:hAnsi="Arial Narrow" w:cs="Times New Roman"/>
                <w:snapToGrid/>
                <w:sz w:val="20"/>
              </w:rPr>
              <w:t xml:space="preserve"> for adverse events other than diarrhoea were not applied in the model, despite </w:t>
            </w:r>
            <w:r w:rsidR="00393323" w:rsidRPr="00BE23C5">
              <w:rPr>
                <w:rFonts w:ascii="Arial Narrow" w:hAnsi="Arial Narrow" w:cs="Times New Roman"/>
                <w:snapToGrid/>
                <w:sz w:val="20"/>
              </w:rPr>
              <w:t xml:space="preserve">presenting </w:t>
            </w:r>
            <w:r w:rsidRPr="00BE23C5">
              <w:rPr>
                <w:rFonts w:ascii="Arial Narrow" w:hAnsi="Arial Narrow" w:cs="Times New Roman"/>
                <w:snapToGrid/>
                <w:sz w:val="20"/>
              </w:rPr>
              <w:t>them in the submission.</w:t>
            </w:r>
          </w:p>
        </w:tc>
      </w:tr>
      <w:tr w:rsidR="001D1C7A" w:rsidRPr="00BE23C5" w:rsidTr="00033521">
        <w:tc>
          <w:tcPr>
            <w:tcW w:w="678" w:type="pct"/>
            <w:vAlign w:val="center"/>
          </w:tcPr>
          <w:p w:rsidR="00270953" w:rsidRPr="00BE23C5" w:rsidRDefault="00270953" w:rsidP="00270953">
            <w:pPr>
              <w:widowControl/>
              <w:jc w:val="left"/>
              <w:rPr>
                <w:rFonts w:ascii="Arial Narrow" w:hAnsi="Arial Narrow" w:cs="Times New Roman"/>
                <w:snapToGrid/>
                <w:sz w:val="20"/>
              </w:rPr>
            </w:pPr>
            <w:r w:rsidRPr="00BE23C5">
              <w:rPr>
                <w:rFonts w:ascii="Arial Narrow" w:hAnsi="Arial Narrow" w:cs="Times New Roman"/>
                <w:snapToGrid/>
                <w:sz w:val="20"/>
              </w:rPr>
              <w:t>Software package</w:t>
            </w:r>
          </w:p>
        </w:tc>
        <w:tc>
          <w:tcPr>
            <w:tcW w:w="4322" w:type="pct"/>
          </w:tcPr>
          <w:p w:rsidR="00270953" w:rsidRPr="00BE23C5" w:rsidRDefault="00270953" w:rsidP="00270953">
            <w:pPr>
              <w:widowControl/>
              <w:jc w:val="left"/>
              <w:rPr>
                <w:rFonts w:ascii="Arial Narrow" w:hAnsi="Arial Narrow" w:cs="Times New Roman"/>
                <w:snapToGrid/>
                <w:sz w:val="20"/>
              </w:rPr>
            </w:pPr>
            <w:r w:rsidRPr="00BE23C5">
              <w:rPr>
                <w:rFonts w:ascii="Arial Narrow" w:hAnsi="Arial Narrow" w:cs="Times New Roman"/>
                <w:snapToGrid/>
                <w:sz w:val="20"/>
              </w:rPr>
              <w:t>Excel 2016</w:t>
            </w:r>
          </w:p>
        </w:tc>
      </w:tr>
    </w:tbl>
    <w:p w:rsidR="00764FCB" w:rsidRPr="00BE23C5" w:rsidRDefault="00764FCB" w:rsidP="00764FCB">
      <w:pPr>
        <w:rPr>
          <w:rFonts w:ascii="Arial Narrow" w:hAnsi="Arial Narrow"/>
          <w:sz w:val="20"/>
        </w:rPr>
      </w:pPr>
      <w:proofErr w:type="spellStart"/>
      <w:proofErr w:type="gramStart"/>
      <w:r w:rsidRPr="00BE23C5">
        <w:rPr>
          <w:rFonts w:ascii="Arial Narrow" w:hAnsi="Arial Narrow"/>
          <w:sz w:val="18"/>
        </w:rPr>
        <w:t>eBC</w:t>
      </w:r>
      <w:proofErr w:type="spellEnd"/>
      <w:proofErr w:type="gramEnd"/>
      <w:r w:rsidRPr="00BE23C5">
        <w:rPr>
          <w:rFonts w:ascii="Arial Narrow" w:hAnsi="Arial Narrow"/>
          <w:sz w:val="18"/>
        </w:rPr>
        <w:t xml:space="preserve">: early breast cancer; </w:t>
      </w:r>
      <w:proofErr w:type="spellStart"/>
      <w:r w:rsidRPr="00BE23C5">
        <w:rPr>
          <w:rFonts w:ascii="Arial Narrow" w:hAnsi="Arial Narrow"/>
          <w:sz w:val="18"/>
        </w:rPr>
        <w:t>iDFS</w:t>
      </w:r>
      <w:proofErr w:type="spellEnd"/>
      <w:r w:rsidRPr="00BE23C5">
        <w:rPr>
          <w:rFonts w:ascii="Arial Narrow" w:hAnsi="Arial Narrow"/>
          <w:sz w:val="18"/>
        </w:rPr>
        <w:t>: invasive disease free survival; HER2: human epidermal growth factor receptor 2; HR+: hormone receptor positive: HR: hazard rate ratio; ITT: intent to treat; OS: overall survival; PBAC: pharmaceutical benefits advisory committee; UK: United Kingdom</w:t>
      </w:r>
    </w:p>
    <w:p w:rsidR="00270953" w:rsidRPr="00BE23C5" w:rsidRDefault="00270953" w:rsidP="00270953">
      <w:pPr>
        <w:pStyle w:val="TableFooter"/>
      </w:pPr>
      <w:r w:rsidRPr="00BE23C5">
        <w:t>Source: Table 45, p101 of the submission</w:t>
      </w:r>
    </w:p>
    <w:p w:rsidR="00575F33" w:rsidRPr="00BE23C5" w:rsidRDefault="00575F33" w:rsidP="00575F33"/>
    <w:p w:rsidR="00F26D52" w:rsidRPr="00BE23C5" w:rsidRDefault="00F26D52" w:rsidP="007B1A6B">
      <w:pPr>
        <w:pStyle w:val="ListParagraph"/>
        <w:widowControl/>
        <w:numPr>
          <w:ilvl w:val="1"/>
          <w:numId w:val="2"/>
        </w:numPr>
      </w:pPr>
      <w:r w:rsidRPr="00BE23C5">
        <w:t xml:space="preserve">Figure </w:t>
      </w:r>
      <w:r w:rsidR="00340784" w:rsidRPr="00BE23C5">
        <w:t>5</w:t>
      </w:r>
      <w:r w:rsidRPr="00BE23C5">
        <w:t xml:space="preserve"> presents a visual representation of the extrapolation methods used in the submission.</w:t>
      </w:r>
    </w:p>
    <w:p w:rsidR="00F26D52" w:rsidRPr="00BE23C5" w:rsidRDefault="00F26D52" w:rsidP="00F26D52">
      <w:pPr>
        <w:keepNext/>
        <w:widowControl/>
      </w:pPr>
      <w:r w:rsidRPr="00BE23C5">
        <w:rPr>
          <w:rFonts w:ascii="Arial Narrow" w:hAnsi="Arial Narrow" w:cs="Arial Narrow"/>
          <w:b/>
          <w:bCs/>
          <w:snapToGrid/>
          <w:sz w:val="20"/>
        </w:rPr>
        <w:lastRenderedPageBreak/>
        <w:t xml:space="preserve">Figure </w:t>
      </w:r>
      <w:r w:rsidR="00340784" w:rsidRPr="00BE23C5">
        <w:rPr>
          <w:rFonts w:ascii="Arial Narrow" w:hAnsi="Arial Narrow" w:cs="Arial Narrow"/>
          <w:b/>
          <w:bCs/>
          <w:snapToGrid/>
          <w:sz w:val="20"/>
        </w:rPr>
        <w:t>5</w:t>
      </w:r>
      <w:r w:rsidRPr="00BE23C5">
        <w:rPr>
          <w:rFonts w:ascii="Arial Narrow" w:hAnsi="Arial Narrow" w:cs="Arial Narrow"/>
          <w:b/>
          <w:bCs/>
          <w:snapToGrid/>
          <w:sz w:val="20"/>
        </w:rPr>
        <w:t xml:space="preserve">: Extrapolated </w:t>
      </w:r>
      <w:r w:rsidR="008679CA" w:rsidRPr="00BE23C5">
        <w:rPr>
          <w:rFonts w:ascii="Arial Narrow" w:hAnsi="Arial Narrow" w:cs="Arial Narrow"/>
          <w:b/>
          <w:bCs/>
          <w:snapToGrid/>
          <w:sz w:val="20"/>
        </w:rPr>
        <w:t>disease-free survival (</w:t>
      </w:r>
      <w:r w:rsidRPr="00BE23C5">
        <w:rPr>
          <w:rFonts w:ascii="Arial Narrow" w:hAnsi="Arial Narrow" w:cs="Arial Narrow"/>
          <w:b/>
          <w:bCs/>
          <w:snapToGrid/>
          <w:sz w:val="20"/>
        </w:rPr>
        <w:t>DFS</w:t>
      </w:r>
      <w:r w:rsidR="008679CA" w:rsidRPr="00BE23C5">
        <w:rPr>
          <w:rFonts w:ascii="Arial Narrow" w:hAnsi="Arial Narrow" w:cs="Arial Narrow"/>
          <w:b/>
          <w:bCs/>
          <w:snapToGrid/>
          <w:sz w:val="20"/>
        </w:rPr>
        <w:t>)</w:t>
      </w:r>
      <w:r w:rsidRPr="00BE23C5">
        <w:rPr>
          <w:rFonts w:ascii="Arial Narrow" w:hAnsi="Arial Narrow" w:cs="Arial Narrow"/>
          <w:b/>
          <w:bCs/>
          <w:snapToGrid/>
          <w:sz w:val="20"/>
        </w:rPr>
        <w:t xml:space="preserve"> and </w:t>
      </w:r>
      <w:r w:rsidR="008679CA" w:rsidRPr="00BE23C5">
        <w:rPr>
          <w:rFonts w:ascii="Arial Narrow" w:hAnsi="Arial Narrow" w:cs="Arial Narrow"/>
          <w:b/>
          <w:bCs/>
          <w:snapToGrid/>
          <w:sz w:val="20"/>
        </w:rPr>
        <w:t>overall survival (</w:t>
      </w:r>
      <w:r w:rsidRPr="00BE23C5">
        <w:rPr>
          <w:rFonts w:ascii="Arial Narrow" w:hAnsi="Arial Narrow" w:cs="Arial Narrow"/>
          <w:b/>
          <w:bCs/>
          <w:snapToGrid/>
          <w:sz w:val="20"/>
        </w:rPr>
        <w:t>OS</w:t>
      </w:r>
      <w:r w:rsidR="008679CA" w:rsidRPr="00BE23C5">
        <w:rPr>
          <w:rFonts w:ascii="Arial Narrow" w:hAnsi="Arial Narrow" w:cs="Arial Narrow"/>
          <w:b/>
          <w:bCs/>
          <w:snapToGrid/>
          <w:sz w:val="20"/>
        </w:rPr>
        <w:t>)</w:t>
      </w:r>
      <w:r w:rsidRPr="00BE23C5">
        <w:rPr>
          <w:rFonts w:ascii="Arial Narrow" w:hAnsi="Arial Narrow" w:cs="Arial Narrow"/>
          <w:b/>
          <w:bCs/>
          <w:snapToGrid/>
          <w:sz w:val="20"/>
        </w:rPr>
        <w:t xml:space="preserve"> used in the base case.</w:t>
      </w:r>
    </w:p>
    <w:p w:rsidR="00F26D52" w:rsidRPr="00BE23C5" w:rsidRDefault="00F26D52" w:rsidP="00F26D52">
      <w:pPr>
        <w:widowControl/>
        <w:rPr>
          <w:rFonts w:ascii="Arial Narrow" w:hAnsi="Arial Narrow"/>
          <w:sz w:val="18"/>
        </w:rPr>
      </w:pPr>
      <w:r w:rsidRPr="00BE23C5">
        <w:rPr>
          <w:noProof/>
          <w:snapToGrid/>
          <w:lang w:eastAsia="en-AU"/>
        </w:rPr>
        <w:drawing>
          <wp:inline distT="0" distB="0" distL="0" distR="0" wp14:anchorId="03E6EA25" wp14:editId="62C859C1">
            <wp:extent cx="5732145" cy="4940935"/>
            <wp:effectExtent l="0" t="0" r="1905" b="0"/>
            <wp:docPr id="26" name="Picture 26" title="Figure 5: Extrapolated disease-free survival (DFS) and overall survival (OS) used in the ba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4940935"/>
                    </a:xfrm>
                    <a:prstGeom prst="rect">
                      <a:avLst/>
                    </a:prstGeom>
                    <a:noFill/>
                  </pic:spPr>
                </pic:pic>
              </a:graphicData>
            </a:graphic>
          </wp:inline>
        </w:drawing>
      </w:r>
      <w:r w:rsidRPr="00BE23C5">
        <w:rPr>
          <w:rFonts w:ascii="Arial Narrow" w:hAnsi="Arial Narrow"/>
          <w:sz w:val="18"/>
        </w:rPr>
        <w:t>Source: Figure 35, p109 of the submission.</w:t>
      </w:r>
    </w:p>
    <w:p w:rsidR="00F26D52" w:rsidRPr="00BE23C5" w:rsidRDefault="00F26D52" w:rsidP="00F26D52">
      <w:pPr>
        <w:widowControl/>
      </w:pPr>
    </w:p>
    <w:p w:rsidR="00575F33" w:rsidRPr="00BE23C5" w:rsidRDefault="007615EE" w:rsidP="007B1A6B">
      <w:pPr>
        <w:pStyle w:val="ListParagraph"/>
        <w:widowControl/>
        <w:numPr>
          <w:ilvl w:val="1"/>
          <w:numId w:val="2"/>
        </w:numPr>
      </w:pPr>
      <w:r w:rsidRPr="00BE23C5">
        <w:t xml:space="preserve">The key drivers of the model and results are presented in </w:t>
      </w:r>
      <w:r w:rsidR="00943AFD" w:rsidRPr="00BE23C5">
        <w:t>Table</w:t>
      </w:r>
      <w:r w:rsidR="00A75275" w:rsidRPr="00BE23C5">
        <w:t>s</w:t>
      </w:r>
      <w:r w:rsidR="00943AFD" w:rsidRPr="00BE23C5">
        <w:t xml:space="preserve"> </w:t>
      </w:r>
      <w:r w:rsidR="00C41CD3" w:rsidRPr="00BE23C5">
        <w:t>10</w:t>
      </w:r>
      <w:r w:rsidR="00943AFD" w:rsidRPr="00BE23C5">
        <w:t xml:space="preserve"> and 1</w:t>
      </w:r>
      <w:r w:rsidR="00C41CD3" w:rsidRPr="00BE23C5">
        <w:t>1</w:t>
      </w:r>
      <w:r w:rsidR="00943AFD" w:rsidRPr="00BE23C5">
        <w:t>, respectively</w:t>
      </w:r>
      <w:r w:rsidRPr="00BE23C5">
        <w:t>.</w:t>
      </w:r>
    </w:p>
    <w:p w:rsidR="00575F33" w:rsidRPr="00BE23C5" w:rsidRDefault="00575F33" w:rsidP="00033521">
      <w:pPr>
        <w:keepNext/>
        <w:keepLines/>
        <w:rPr>
          <w:rStyle w:val="CommentReference"/>
        </w:rPr>
      </w:pPr>
      <w:r w:rsidRPr="00BE23C5">
        <w:rPr>
          <w:rStyle w:val="CommentReference"/>
        </w:rPr>
        <w:lastRenderedPageBreak/>
        <w:t xml:space="preserve">Table </w:t>
      </w:r>
      <w:r w:rsidR="00C41CD3" w:rsidRPr="00BE23C5">
        <w:rPr>
          <w:rStyle w:val="CommentReference"/>
        </w:rPr>
        <w:t>10</w:t>
      </w:r>
      <w:r w:rsidRPr="00BE23C5">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drivers of the model"/>
      </w:tblPr>
      <w:tblGrid>
        <w:gridCol w:w="1713"/>
        <w:gridCol w:w="4619"/>
        <w:gridCol w:w="2685"/>
      </w:tblGrid>
      <w:tr w:rsidR="00575F33" w:rsidRPr="00BE23C5" w:rsidTr="00033521">
        <w:trPr>
          <w:tblHeader/>
        </w:trPr>
        <w:tc>
          <w:tcPr>
            <w:tcW w:w="950" w:type="pct"/>
            <w:shd w:val="clear" w:color="auto" w:fill="auto"/>
            <w:vAlign w:val="center"/>
          </w:tcPr>
          <w:p w:rsidR="00575F33" w:rsidRPr="00BE23C5" w:rsidRDefault="00575F33" w:rsidP="00033521">
            <w:pPr>
              <w:pStyle w:val="Tabletext"/>
              <w:keepNext/>
              <w:keepLines/>
              <w:rPr>
                <w:b/>
              </w:rPr>
            </w:pPr>
            <w:r w:rsidRPr="00BE23C5">
              <w:rPr>
                <w:b/>
              </w:rPr>
              <w:t>Description</w:t>
            </w:r>
          </w:p>
        </w:tc>
        <w:tc>
          <w:tcPr>
            <w:tcW w:w="2561" w:type="pct"/>
            <w:shd w:val="clear" w:color="auto" w:fill="auto"/>
            <w:vAlign w:val="center"/>
          </w:tcPr>
          <w:p w:rsidR="00575F33" w:rsidRPr="00BE23C5" w:rsidRDefault="00575F33" w:rsidP="00033521">
            <w:pPr>
              <w:pStyle w:val="Tabletext"/>
              <w:keepNext/>
              <w:keepLines/>
              <w:jc w:val="center"/>
              <w:rPr>
                <w:b/>
              </w:rPr>
            </w:pPr>
            <w:r w:rsidRPr="00BE23C5">
              <w:rPr>
                <w:b/>
              </w:rPr>
              <w:t>Method/Value</w:t>
            </w:r>
          </w:p>
        </w:tc>
        <w:tc>
          <w:tcPr>
            <w:tcW w:w="1489" w:type="pct"/>
            <w:shd w:val="clear" w:color="auto" w:fill="auto"/>
            <w:vAlign w:val="center"/>
          </w:tcPr>
          <w:p w:rsidR="00575F33" w:rsidRPr="00BE23C5" w:rsidRDefault="00575F33" w:rsidP="00033521">
            <w:pPr>
              <w:pStyle w:val="Tabletext"/>
              <w:keepNext/>
              <w:keepLines/>
              <w:jc w:val="center"/>
              <w:rPr>
                <w:b/>
              </w:rPr>
            </w:pPr>
            <w:r w:rsidRPr="00BE23C5">
              <w:rPr>
                <w:b/>
              </w:rPr>
              <w:t>Impact</w:t>
            </w:r>
          </w:p>
        </w:tc>
      </w:tr>
      <w:tr w:rsidR="00270953" w:rsidRPr="00BE23C5" w:rsidTr="00033521">
        <w:tc>
          <w:tcPr>
            <w:tcW w:w="950" w:type="pct"/>
            <w:shd w:val="clear" w:color="auto" w:fill="auto"/>
            <w:vAlign w:val="center"/>
          </w:tcPr>
          <w:p w:rsidR="00270953" w:rsidRPr="00BE23C5" w:rsidRDefault="00270953" w:rsidP="00033521">
            <w:pPr>
              <w:pStyle w:val="Tabletext"/>
              <w:keepNext/>
              <w:keepLines/>
            </w:pPr>
            <w:r w:rsidRPr="00BE23C5">
              <w:t>Time horizon</w:t>
            </w:r>
          </w:p>
        </w:tc>
        <w:tc>
          <w:tcPr>
            <w:tcW w:w="2561" w:type="pct"/>
            <w:shd w:val="clear" w:color="auto" w:fill="auto"/>
            <w:vAlign w:val="center"/>
          </w:tcPr>
          <w:p w:rsidR="00270953" w:rsidRPr="00BE23C5" w:rsidRDefault="006C0C71" w:rsidP="00033521">
            <w:pPr>
              <w:pStyle w:val="Tabletext"/>
              <w:keepNext/>
              <w:keepLines/>
            </w:pPr>
            <w:r w:rsidRPr="00BE23C5">
              <w:t>The 55 year time horizon is long compared to the 5 year follow</w:t>
            </w:r>
            <w:r w:rsidR="008B0A9F" w:rsidRPr="00BE23C5">
              <w:t>-</w:t>
            </w:r>
            <w:r w:rsidRPr="00BE23C5">
              <w:t xml:space="preserve">up period of the </w:t>
            </w:r>
            <w:proofErr w:type="spellStart"/>
            <w:r w:rsidRPr="00BE23C5">
              <w:t>ExteNET</w:t>
            </w:r>
            <w:proofErr w:type="spellEnd"/>
            <w:r w:rsidRPr="00BE23C5">
              <w:t xml:space="preserve"> trial</w:t>
            </w:r>
            <w:r w:rsidR="008B0A9F" w:rsidRPr="00BE23C5">
              <w:t>.</w:t>
            </w:r>
          </w:p>
        </w:tc>
        <w:tc>
          <w:tcPr>
            <w:tcW w:w="1489" w:type="pct"/>
            <w:shd w:val="clear" w:color="auto" w:fill="auto"/>
            <w:vAlign w:val="center"/>
          </w:tcPr>
          <w:p w:rsidR="00270953" w:rsidRPr="00BE23C5" w:rsidRDefault="006C0C71" w:rsidP="00033521">
            <w:pPr>
              <w:pStyle w:val="Tabletext"/>
              <w:keepNext/>
              <w:keepLines/>
            </w:pPr>
            <w:r w:rsidRPr="00BE23C5">
              <w:t xml:space="preserve">High, favours </w:t>
            </w:r>
            <w:proofErr w:type="spellStart"/>
            <w:r w:rsidRPr="00BE23C5">
              <w:t>neratinib</w:t>
            </w:r>
            <w:proofErr w:type="spellEnd"/>
          </w:p>
        </w:tc>
      </w:tr>
      <w:tr w:rsidR="00575F33" w:rsidRPr="00BE23C5" w:rsidTr="00033521">
        <w:tc>
          <w:tcPr>
            <w:tcW w:w="950" w:type="pct"/>
            <w:shd w:val="clear" w:color="auto" w:fill="auto"/>
            <w:vAlign w:val="center"/>
          </w:tcPr>
          <w:p w:rsidR="00575F33" w:rsidRPr="00BE23C5" w:rsidRDefault="00575F33" w:rsidP="00033521">
            <w:pPr>
              <w:pStyle w:val="Tabletext"/>
              <w:keepNext/>
              <w:keepLines/>
            </w:pPr>
            <w:r w:rsidRPr="00BE23C5">
              <w:t>Extrapolation</w:t>
            </w:r>
          </w:p>
        </w:tc>
        <w:tc>
          <w:tcPr>
            <w:tcW w:w="2561" w:type="pct"/>
            <w:shd w:val="clear" w:color="auto" w:fill="auto"/>
            <w:vAlign w:val="center"/>
          </w:tcPr>
          <w:p w:rsidR="00575F33" w:rsidRPr="00BE23C5" w:rsidRDefault="00575F33" w:rsidP="000F3424">
            <w:pPr>
              <w:pStyle w:val="Tabletext"/>
              <w:keepNext/>
              <w:keepLines/>
            </w:pPr>
            <w:r w:rsidRPr="00BE23C5">
              <w:t>Treatment</w:t>
            </w:r>
            <w:r w:rsidR="006C0C71" w:rsidRPr="00BE23C5">
              <w:t xml:space="preserve"> effect continued beyond 5 year </w:t>
            </w:r>
            <w:proofErr w:type="spellStart"/>
            <w:r w:rsidR="006C0C71" w:rsidRPr="00BE23C5">
              <w:t>ExteNET</w:t>
            </w:r>
            <w:proofErr w:type="spellEnd"/>
            <w:r w:rsidR="006C0C71" w:rsidRPr="00BE23C5">
              <w:t xml:space="preserve"> follow</w:t>
            </w:r>
            <w:r w:rsidR="008B0A9F" w:rsidRPr="00BE23C5">
              <w:t>-</w:t>
            </w:r>
            <w:r w:rsidR="006C0C71" w:rsidRPr="00BE23C5">
              <w:t xml:space="preserve">up period, tapering to a </w:t>
            </w:r>
            <w:r w:rsidR="0085145F" w:rsidRPr="00BE23C5">
              <w:t>HR</w:t>
            </w:r>
            <w:r w:rsidR="006C0C71" w:rsidRPr="00BE23C5">
              <w:t xml:space="preserve">=1 </w:t>
            </w:r>
            <w:r w:rsidR="000F3424" w:rsidRPr="00BE23C5">
              <w:t>10</w:t>
            </w:r>
            <w:r w:rsidR="006C0C71" w:rsidRPr="00BE23C5">
              <w:t xml:space="preserve"> years post follow</w:t>
            </w:r>
            <w:r w:rsidR="008B0A9F" w:rsidRPr="00BE23C5">
              <w:t>-</w:t>
            </w:r>
            <w:r w:rsidR="006C0C71" w:rsidRPr="00BE23C5">
              <w:t>up.</w:t>
            </w:r>
          </w:p>
        </w:tc>
        <w:tc>
          <w:tcPr>
            <w:tcW w:w="1489" w:type="pct"/>
            <w:shd w:val="clear" w:color="auto" w:fill="auto"/>
            <w:vAlign w:val="center"/>
          </w:tcPr>
          <w:p w:rsidR="00575F33" w:rsidRPr="00BE23C5" w:rsidRDefault="00943AFD" w:rsidP="00033521">
            <w:pPr>
              <w:pStyle w:val="Tabletext"/>
              <w:keepNext/>
              <w:keepLines/>
            </w:pPr>
            <w:r w:rsidRPr="00BE23C5">
              <w:t>Moderate</w:t>
            </w:r>
            <w:r w:rsidR="006C0C71" w:rsidRPr="00BE23C5">
              <w:t xml:space="preserve">, favours </w:t>
            </w:r>
            <w:proofErr w:type="spellStart"/>
            <w:r w:rsidR="006C0C71" w:rsidRPr="00BE23C5">
              <w:t>neratinib</w:t>
            </w:r>
            <w:proofErr w:type="spellEnd"/>
          </w:p>
        </w:tc>
      </w:tr>
      <w:tr w:rsidR="00575F33" w:rsidRPr="00BE23C5" w:rsidTr="00033521">
        <w:tc>
          <w:tcPr>
            <w:tcW w:w="950" w:type="pct"/>
            <w:shd w:val="clear" w:color="auto" w:fill="auto"/>
            <w:vAlign w:val="center"/>
          </w:tcPr>
          <w:p w:rsidR="00575F33" w:rsidRPr="00BE23C5" w:rsidRDefault="006A3443" w:rsidP="00033521">
            <w:pPr>
              <w:pStyle w:val="Tabletext"/>
              <w:keepNext/>
              <w:keepLines/>
            </w:pPr>
            <w:r w:rsidRPr="00BE23C5">
              <w:t>Population</w:t>
            </w:r>
          </w:p>
        </w:tc>
        <w:tc>
          <w:tcPr>
            <w:tcW w:w="2561" w:type="pct"/>
            <w:shd w:val="clear" w:color="auto" w:fill="auto"/>
            <w:vAlign w:val="center"/>
          </w:tcPr>
          <w:p w:rsidR="00575F33" w:rsidRPr="00BE23C5" w:rsidRDefault="006A3443" w:rsidP="00033521">
            <w:pPr>
              <w:pStyle w:val="Tabletext"/>
              <w:keepNext/>
              <w:keepLines/>
            </w:pPr>
            <w:r w:rsidRPr="00BE23C5">
              <w:t xml:space="preserve">HR+ population rather than ITT from </w:t>
            </w:r>
            <w:proofErr w:type="spellStart"/>
            <w:r w:rsidRPr="00BE23C5">
              <w:t>ExteNET</w:t>
            </w:r>
            <w:proofErr w:type="spellEnd"/>
            <w:r w:rsidRPr="00BE23C5">
              <w:t xml:space="preserve"> trial</w:t>
            </w:r>
            <w:r w:rsidRPr="00BE23C5" w:rsidDel="006A3443">
              <w:rPr>
                <w:rStyle w:val="CommentReference"/>
                <w:snapToGrid w:val="0"/>
              </w:rPr>
              <w:t xml:space="preserve"> </w:t>
            </w:r>
          </w:p>
        </w:tc>
        <w:tc>
          <w:tcPr>
            <w:tcW w:w="1489" w:type="pct"/>
            <w:shd w:val="clear" w:color="auto" w:fill="auto"/>
            <w:vAlign w:val="center"/>
          </w:tcPr>
          <w:p w:rsidR="00575F33" w:rsidRPr="00BE23C5" w:rsidRDefault="006A3443" w:rsidP="00033521">
            <w:pPr>
              <w:pStyle w:val="Tabletext"/>
              <w:keepNext/>
              <w:keepLines/>
            </w:pPr>
            <w:r w:rsidRPr="00BE23C5">
              <w:t xml:space="preserve">Moderate, favours </w:t>
            </w:r>
            <w:proofErr w:type="spellStart"/>
            <w:r w:rsidRPr="00BE23C5">
              <w:t>neratinib</w:t>
            </w:r>
            <w:proofErr w:type="spellEnd"/>
          </w:p>
        </w:tc>
      </w:tr>
      <w:tr w:rsidR="00E90430" w:rsidRPr="00BE23C5" w:rsidTr="00033521">
        <w:tc>
          <w:tcPr>
            <w:tcW w:w="950" w:type="pct"/>
            <w:shd w:val="clear" w:color="auto" w:fill="auto"/>
            <w:vAlign w:val="center"/>
          </w:tcPr>
          <w:p w:rsidR="00E90430" w:rsidRPr="00BE23C5" w:rsidRDefault="00E90430" w:rsidP="00033521">
            <w:pPr>
              <w:pStyle w:val="Tabletext"/>
              <w:keepNext/>
              <w:keepLines/>
            </w:pPr>
            <w:r w:rsidRPr="00BE23C5">
              <w:t>Dosage/wastage</w:t>
            </w:r>
          </w:p>
        </w:tc>
        <w:tc>
          <w:tcPr>
            <w:tcW w:w="2561" w:type="pct"/>
            <w:shd w:val="clear" w:color="auto" w:fill="auto"/>
            <w:vAlign w:val="center"/>
          </w:tcPr>
          <w:p w:rsidR="00E90430" w:rsidRPr="00BE23C5" w:rsidRDefault="008A17A0" w:rsidP="00033521">
            <w:pPr>
              <w:pStyle w:val="Tabletext"/>
              <w:keepNext/>
              <w:keepLines/>
              <w:rPr>
                <w:rStyle w:val="CommentReference"/>
                <w:b w:val="0"/>
                <w:snapToGrid w:val="0"/>
              </w:rPr>
            </w:pPr>
            <w:r w:rsidRPr="00BE23C5">
              <w:rPr>
                <w:rStyle w:val="CommentReference"/>
                <w:b w:val="0"/>
                <w:snapToGrid w:val="0"/>
              </w:rPr>
              <w:t>214</w:t>
            </w:r>
            <w:r w:rsidR="006A3443" w:rsidRPr="00BE23C5">
              <w:rPr>
                <w:rStyle w:val="CommentReference"/>
                <w:b w:val="0"/>
                <w:snapToGrid w:val="0"/>
              </w:rPr>
              <w:t xml:space="preserve"> </w:t>
            </w:r>
            <w:r w:rsidRPr="00BE23C5">
              <w:rPr>
                <w:rStyle w:val="CommentReference"/>
                <w:b w:val="0"/>
                <w:snapToGrid w:val="0"/>
              </w:rPr>
              <w:t xml:space="preserve">mg daily for 8.23 months rather than 240mg daily and 9.37 scripts per patient </w:t>
            </w:r>
            <w:r w:rsidR="00F825E7" w:rsidRPr="00BE23C5">
              <w:rPr>
                <w:rStyle w:val="CommentReference"/>
                <w:b w:val="0"/>
                <w:snapToGrid w:val="0"/>
              </w:rPr>
              <w:t>use</w:t>
            </w:r>
            <w:r w:rsidR="00393323" w:rsidRPr="00BE23C5">
              <w:rPr>
                <w:rStyle w:val="CommentReference"/>
                <w:b w:val="0"/>
                <w:snapToGrid w:val="0"/>
              </w:rPr>
              <w:t>d</w:t>
            </w:r>
            <w:r w:rsidR="00F825E7" w:rsidRPr="00BE23C5">
              <w:rPr>
                <w:rStyle w:val="CommentReference"/>
                <w:b w:val="0"/>
                <w:snapToGrid w:val="0"/>
              </w:rPr>
              <w:t xml:space="preserve"> to estimate the financial impact</w:t>
            </w:r>
            <w:r w:rsidRPr="00BE23C5">
              <w:rPr>
                <w:rStyle w:val="CommentReference"/>
                <w:b w:val="0"/>
                <w:snapToGrid w:val="0"/>
              </w:rPr>
              <w:t>.</w:t>
            </w:r>
          </w:p>
        </w:tc>
        <w:tc>
          <w:tcPr>
            <w:tcW w:w="1489" w:type="pct"/>
            <w:shd w:val="clear" w:color="auto" w:fill="auto"/>
            <w:vAlign w:val="center"/>
          </w:tcPr>
          <w:p w:rsidR="00E90430" w:rsidRPr="00BE23C5" w:rsidRDefault="00E90430" w:rsidP="00033521">
            <w:pPr>
              <w:pStyle w:val="Tabletext"/>
              <w:keepNext/>
              <w:keepLines/>
            </w:pPr>
            <w:r w:rsidRPr="00BE23C5">
              <w:t xml:space="preserve">Moderate, favours </w:t>
            </w:r>
            <w:proofErr w:type="spellStart"/>
            <w:r w:rsidRPr="00BE23C5">
              <w:t>neratinib</w:t>
            </w:r>
            <w:proofErr w:type="spellEnd"/>
          </w:p>
        </w:tc>
      </w:tr>
      <w:tr w:rsidR="00E90430" w:rsidRPr="00BE23C5" w:rsidTr="00033521">
        <w:tc>
          <w:tcPr>
            <w:tcW w:w="950" w:type="pct"/>
            <w:shd w:val="clear" w:color="auto" w:fill="auto"/>
            <w:vAlign w:val="center"/>
          </w:tcPr>
          <w:p w:rsidR="00E90430" w:rsidRPr="00BE23C5" w:rsidRDefault="008A17A0" w:rsidP="00033521">
            <w:pPr>
              <w:pStyle w:val="Tabletext"/>
              <w:keepNext/>
              <w:keepLines/>
            </w:pPr>
            <w:r w:rsidRPr="00BE23C5">
              <w:t>Choice of e</w:t>
            </w:r>
            <w:r w:rsidR="00E90430" w:rsidRPr="00BE23C5">
              <w:t>xtrapolation functions</w:t>
            </w:r>
          </w:p>
        </w:tc>
        <w:tc>
          <w:tcPr>
            <w:tcW w:w="2561" w:type="pct"/>
            <w:shd w:val="clear" w:color="auto" w:fill="auto"/>
            <w:vAlign w:val="center"/>
          </w:tcPr>
          <w:p w:rsidR="00E90430" w:rsidRPr="00BE23C5" w:rsidRDefault="00E90430" w:rsidP="00033521">
            <w:pPr>
              <w:pStyle w:val="Tabletext"/>
              <w:keepNext/>
              <w:keepLines/>
              <w:rPr>
                <w:rStyle w:val="CommentReference"/>
                <w:b w:val="0"/>
                <w:snapToGrid w:val="0"/>
              </w:rPr>
            </w:pPr>
            <w:r w:rsidRPr="00BE23C5">
              <w:rPr>
                <w:rStyle w:val="CommentReference"/>
                <w:b w:val="0"/>
                <w:snapToGrid w:val="0"/>
              </w:rPr>
              <w:t xml:space="preserve">Only selected </w:t>
            </w:r>
            <w:r w:rsidR="008A17A0" w:rsidRPr="00BE23C5">
              <w:rPr>
                <w:rStyle w:val="CommentReference"/>
                <w:b w:val="0"/>
                <w:snapToGrid w:val="0"/>
              </w:rPr>
              <w:t>functions were able to be tested in the model.</w:t>
            </w:r>
          </w:p>
        </w:tc>
        <w:tc>
          <w:tcPr>
            <w:tcW w:w="1489" w:type="pct"/>
            <w:shd w:val="clear" w:color="auto" w:fill="auto"/>
            <w:vAlign w:val="center"/>
          </w:tcPr>
          <w:p w:rsidR="00E90430" w:rsidRPr="00BE23C5" w:rsidRDefault="00E90430" w:rsidP="00033521">
            <w:pPr>
              <w:pStyle w:val="Tabletext"/>
              <w:keepNext/>
              <w:keepLines/>
            </w:pPr>
            <w:r w:rsidRPr="00BE23C5">
              <w:t>Unclear. Unable to conduct sensitivity analysis.</w:t>
            </w:r>
          </w:p>
        </w:tc>
      </w:tr>
      <w:tr w:rsidR="00E90430" w:rsidRPr="00BE23C5" w:rsidTr="00033521">
        <w:tc>
          <w:tcPr>
            <w:tcW w:w="950" w:type="pct"/>
            <w:shd w:val="clear" w:color="auto" w:fill="auto"/>
            <w:vAlign w:val="center"/>
          </w:tcPr>
          <w:p w:rsidR="00E90430" w:rsidRPr="00BE23C5" w:rsidRDefault="008A17A0" w:rsidP="00033521">
            <w:pPr>
              <w:pStyle w:val="Tabletext"/>
              <w:keepNext/>
              <w:keepLines/>
            </w:pPr>
            <w:r w:rsidRPr="00BE23C5">
              <w:t>Extrapolated data sources</w:t>
            </w:r>
          </w:p>
        </w:tc>
        <w:tc>
          <w:tcPr>
            <w:tcW w:w="2561" w:type="pct"/>
            <w:shd w:val="clear" w:color="auto" w:fill="auto"/>
            <w:vAlign w:val="center"/>
          </w:tcPr>
          <w:p w:rsidR="00E90430" w:rsidRPr="00BE23C5" w:rsidRDefault="008A17A0" w:rsidP="00033521">
            <w:pPr>
              <w:pStyle w:val="Tabletext"/>
              <w:keepNext/>
              <w:keepLines/>
              <w:rPr>
                <w:rStyle w:val="CommentReference"/>
                <w:snapToGrid w:val="0"/>
              </w:rPr>
            </w:pPr>
            <w:r w:rsidRPr="00BE23C5">
              <w:t xml:space="preserve">Extrapolation </w:t>
            </w:r>
            <w:r w:rsidR="00393323" w:rsidRPr="00BE23C5">
              <w:t xml:space="preserve">using </w:t>
            </w:r>
            <w:r w:rsidRPr="00BE23C5">
              <w:t xml:space="preserve">multiple </w:t>
            </w:r>
            <w:r w:rsidR="00393323" w:rsidRPr="00BE23C5">
              <w:t xml:space="preserve">data </w:t>
            </w:r>
            <w:r w:rsidRPr="00BE23C5">
              <w:t xml:space="preserve">sources rather than only the </w:t>
            </w:r>
            <w:proofErr w:type="spellStart"/>
            <w:r w:rsidRPr="00BE23C5">
              <w:t>ExteNET</w:t>
            </w:r>
            <w:proofErr w:type="spellEnd"/>
            <w:r w:rsidRPr="00BE23C5">
              <w:t xml:space="preserve"> trial without the application of external data</w:t>
            </w:r>
            <w:r w:rsidR="00DF30DE" w:rsidRPr="00BE23C5">
              <w:t xml:space="preserve">. This may be reasonable, however sensitivity analysis was </w:t>
            </w:r>
            <w:r w:rsidR="00E03CCC" w:rsidRPr="00BE23C5">
              <w:t>unable to be</w:t>
            </w:r>
            <w:r w:rsidR="00DF30DE" w:rsidRPr="00BE23C5">
              <w:t xml:space="preserve"> conducted on this assumption</w:t>
            </w:r>
            <w:r w:rsidR="00E03CCC" w:rsidRPr="00BE23C5">
              <w:t xml:space="preserve"> due to limitations in the model</w:t>
            </w:r>
            <w:r w:rsidR="00DF30DE" w:rsidRPr="00BE23C5">
              <w:t>.</w:t>
            </w:r>
            <w:r w:rsidRPr="00BE23C5">
              <w:t xml:space="preserve"> </w:t>
            </w:r>
          </w:p>
        </w:tc>
        <w:tc>
          <w:tcPr>
            <w:tcW w:w="1489" w:type="pct"/>
            <w:shd w:val="clear" w:color="auto" w:fill="auto"/>
            <w:vAlign w:val="center"/>
          </w:tcPr>
          <w:p w:rsidR="00E90430" w:rsidRPr="00BE23C5" w:rsidRDefault="00E90430" w:rsidP="00033521">
            <w:pPr>
              <w:pStyle w:val="Tabletext"/>
              <w:keepNext/>
              <w:keepLines/>
            </w:pPr>
            <w:r w:rsidRPr="00BE23C5">
              <w:t>Unclear. Unable to conduct sensitivity analysis.</w:t>
            </w:r>
          </w:p>
        </w:tc>
      </w:tr>
      <w:tr w:rsidR="00E90430" w:rsidRPr="00BE23C5" w:rsidTr="00033521">
        <w:tc>
          <w:tcPr>
            <w:tcW w:w="950" w:type="pct"/>
            <w:shd w:val="clear" w:color="auto" w:fill="auto"/>
            <w:vAlign w:val="center"/>
          </w:tcPr>
          <w:p w:rsidR="00E90430" w:rsidRPr="00BE23C5" w:rsidRDefault="00E90430" w:rsidP="00033521">
            <w:pPr>
              <w:pStyle w:val="Tabletext"/>
              <w:keepNext/>
              <w:keepLines/>
            </w:pPr>
            <w:r w:rsidRPr="00BE23C5">
              <w:t>Application of mortality data</w:t>
            </w:r>
          </w:p>
        </w:tc>
        <w:tc>
          <w:tcPr>
            <w:tcW w:w="2561" w:type="pct"/>
            <w:shd w:val="clear" w:color="auto" w:fill="auto"/>
            <w:vAlign w:val="center"/>
          </w:tcPr>
          <w:p w:rsidR="00E90430" w:rsidRPr="00BE23C5" w:rsidRDefault="00E90430" w:rsidP="00033521">
            <w:pPr>
              <w:pStyle w:val="Tabletext"/>
              <w:keepNext/>
              <w:keepLines/>
              <w:rPr>
                <w:rStyle w:val="CommentReference"/>
                <w:b w:val="0"/>
                <w:snapToGrid w:val="0"/>
              </w:rPr>
            </w:pPr>
            <w:r w:rsidRPr="00BE23C5">
              <w:rPr>
                <w:rStyle w:val="CommentReference"/>
                <w:b w:val="0"/>
                <w:snapToGrid w:val="0"/>
              </w:rPr>
              <w:t>UK mortality data rather than Australian data.</w:t>
            </w:r>
          </w:p>
        </w:tc>
        <w:tc>
          <w:tcPr>
            <w:tcW w:w="1489" w:type="pct"/>
            <w:shd w:val="clear" w:color="auto" w:fill="auto"/>
            <w:vAlign w:val="center"/>
          </w:tcPr>
          <w:p w:rsidR="00E90430" w:rsidRPr="00BE23C5" w:rsidRDefault="00E90430" w:rsidP="00194289">
            <w:pPr>
              <w:pStyle w:val="Tabletext"/>
              <w:keepNext/>
              <w:keepLines/>
              <w:rPr>
                <w:i/>
              </w:rPr>
            </w:pPr>
            <w:r w:rsidRPr="00BE23C5">
              <w:t>Unclear. Unable to conduct sensitivity analysis.</w:t>
            </w:r>
            <w:r w:rsidR="006D4E3D" w:rsidRPr="00BE23C5">
              <w:t xml:space="preserve"> The ESC considered that this </w:t>
            </w:r>
            <w:r w:rsidR="00194289" w:rsidRPr="00BE23C5">
              <w:t>would have minimal impact in the ICER.</w:t>
            </w:r>
          </w:p>
        </w:tc>
      </w:tr>
      <w:tr w:rsidR="00E90430" w:rsidRPr="00BE23C5" w:rsidTr="00033521">
        <w:tc>
          <w:tcPr>
            <w:tcW w:w="950" w:type="pct"/>
            <w:shd w:val="clear" w:color="auto" w:fill="auto"/>
            <w:vAlign w:val="center"/>
          </w:tcPr>
          <w:p w:rsidR="00E90430" w:rsidRPr="00BE23C5" w:rsidRDefault="008A17A0" w:rsidP="00033521">
            <w:pPr>
              <w:pStyle w:val="Tabletext"/>
              <w:keepNext/>
              <w:keepLines/>
            </w:pPr>
            <w:r w:rsidRPr="00BE23C5">
              <w:t>Application of utilities</w:t>
            </w:r>
          </w:p>
        </w:tc>
        <w:tc>
          <w:tcPr>
            <w:tcW w:w="2561" w:type="pct"/>
            <w:shd w:val="clear" w:color="auto" w:fill="auto"/>
            <w:vAlign w:val="center"/>
          </w:tcPr>
          <w:p w:rsidR="00E90430" w:rsidRPr="00BE23C5" w:rsidRDefault="008A17A0" w:rsidP="00033521">
            <w:pPr>
              <w:pStyle w:val="Tabletext"/>
              <w:keepNext/>
              <w:keepLines/>
              <w:rPr>
                <w:rStyle w:val="CommentReference"/>
                <w:b w:val="0"/>
                <w:snapToGrid w:val="0"/>
              </w:rPr>
            </w:pPr>
            <w:r w:rsidRPr="00BE23C5">
              <w:rPr>
                <w:rStyle w:val="CommentReference"/>
                <w:b w:val="0"/>
                <w:snapToGrid w:val="0"/>
              </w:rPr>
              <w:t xml:space="preserve">From the literature rather than using utility weights for </w:t>
            </w:r>
            <w:proofErr w:type="spellStart"/>
            <w:r w:rsidRPr="00BE23C5">
              <w:rPr>
                <w:rStyle w:val="CommentReference"/>
                <w:b w:val="0"/>
                <w:snapToGrid w:val="0"/>
              </w:rPr>
              <w:t>iDFS</w:t>
            </w:r>
            <w:proofErr w:type="spellEnd"/>
            <w:r w:rsidRPr="00BE23C5">
              <w:rPr>
                <w:rStyle w:val="CommentReference"/>
                <w:b w:val="0"/>
                <w:snapToGrid w:val="0"/>
              </w:rPr>
              <w:t xml:space="preserve"> from the </w:t>
            </w:r>
            <w:proofErr w:type="spellStart"/>
            <w:r w:rsidRPr="00BE23C5">
              <w:rPr>
                <w:rStyle w:val="CommentReference"/>
                <w:b w:val="0"/>
                <w:snapToGrid w:val="0"/>
              </w:rPr>
              <w:t>ExteNET</w:t>
            </w:r>
            <w:proofErr w:type="spellEnd"/>
            <w:r w:rsidRPr="00BE23C5">
              <w:rPr>
                <w:rStyle w:val="CommentReference"/>
                <w:b w:val="0"/>
                <w:snapToGrid w:val="0"/>
              </w:rPr>
              <w:t xml:space="preserve"> trial. </w:t>
            </w:r>
          </w:p>
        </w:tc>
        <w:tc>
          <w:tcPr>
            <w:tcW w:w="1489" w:type="pct"/>
            <w:shd w:val="clear" w:color="auto" w:fill="auto"/>
            <w:vAlign w:val="center"/>
          </w:tcPr>
          <w:p w:rsidR="00E90430" w:rsidRPr="00BE23C5" w:rsidRDefault="008A17A0" w:rsidP="00033521">
            <w:pPr>
              <w:pStyle w:val="Tabletext"/>
              <w:keepNext/>
              <w:keepLines/>
            </w:pPr>
            <w:r w:rsidRPr="00BE23C5">
              <w:t>Unclear. Unable to conduct sensitivity analysis</w:t>
            </w:r>
            <w:r w:rsidR="00DF30DE" w:rsidRPr="00BE23C5">
              <w:t xml:space="preserve"> as trial-based utilities were not provided.</w:t>
            </w:r>
          </w:p>
        </w:tc>
      </w:tr>
    </w:tbl>
    <w:p w:rsidR="0085145F" w:rsidRPr="00BE23C5" w:rsidRDefault="0085145F" w:rsidP="00033521">
      <w:pPr>
        <w:keepNext/>
        <w:keepLines/>
        <w:rPr>
          <w:rFonts w:ascii="Arial Narrow" w:hAnsi="Arial Narrow"/>
          <w:sz w:val="20"/>
        </w:rPr>
      </w:pPr>
      <w:proofErr w:type="spellStart"/>
      <w:proofErr w:type="gramStart"/>
      <w:r w:rsidRPr="00BE23C5">
        <w:rPr>
          <w:rFonts w:ascii="Arial Narrow" w:hAnsi="Arial Narrow"/>
          <w:sz w:val="18"/>
        </w:rPr>
        <w:t>iDFS</w:t>
      </w:r>
      <w:proofErr w:type="spellEnd"/>
      <w:proofErr w:type="gramEnd"/>
      <w:r w:rsidRPr="00BE23C5">
        <w:rPr>
          <w:rFonts w:ascii="Arial Narrow" w:hAnsi="Arial Narrow"/>
          <w:sz w:val="18"/>
        </w:rPr>
        <w:t>: invasive disease free survival; HR+: hormone receptor positive: HR: hazard rate ratio; ITT: intent to treat; UK: United Kingdom</w:t>
      </w:r>
    </w:p>
    <w:p w:rsidR="00575F33" w:rsidRPr="00BE23C5" w:rsidRDefault="00575F33" w:rsidP="00033521">
      <w:pPr>
        <w:pStyle w:val="TableFooter"/>
        <w:keepNext/>
        <w:keepLines/>
      </w:pPr>
      <w:r w:rsidRPr="00BE23C5">
        <w:t xml:space="preserve">Source: </w:t>
      </w:r>
      <w:r w:rsidR="008A17A0" w:rsidRPr="00BE23C5">
        <w:t>Compiled during the evaluation.</w:t>
      </w:r>
    </w:p>
    <w:p w:rsidR="00575F33" w:rsidRPr="00BE23C5" w:rsidRDefault="00575F33" w:rsidP="00033521">
      <w:pPr>
        <w:keepNext/>
        <w:keepLines/>
        <w:widowControl/>
      </w:pPr>
    </w:p>
    <w:p w:rsidR="00575F33" w:rsidRPr="00BE23C5" w:rsidRDefault="00270953" w:rsidP="00575F33">
      <w:pPr>
        <w:keepNext/>
        <w:widowControl/>
      </w:pPr>
      <w:r w:rsidRPr="00BE23C5">
        <w:rPr>
          <w:rStyle w:val="CommentReference"/>
        </w:rPr>
        <w:t>Table 1</w:t>
      </w:r>
      <w:r w:rsidR="00C41CD3" w:rsidRPr="00BE23C5">
        <w:rPr>
          <w:rStyle w:val="CommentReference"/>
        </w:rPr>
        <w:t>1</w:t>
      </w:r>
      <w:r w:rsidRPr="00BE23C5">
        <w:rPr>
          <w:rStyle w:val="CommentReference"/>
        </w:rPr>
        <w:t>: Results of the</w:t>
      </w:r>
      <w:r w:rsidR="00575F33" w:rsidRPr="00BE23C5">
        <w:rPr>
          <w:rStyle w:val="CommentReference"/>
        </w:rPr>
        <w:t xml:space="preserv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Results of the economic evaluation"/>
      </w:tblPr>
      <w:tblGrid>
        <w:gridCol w:w="2757"/>
        <w:gridCol w:w="2451"/>
        <w:gridCol w:w="2298"/>
        <w:gridCol w:w="1511"/>
      </w:tblGrid>
      <w:tr w:rsidR="00270953" w:rsidRPr="00BE23C5" w:rsidTr="00033521">
        <w:trPr>
          <w:tblHeader/>
        </w:trPr>
        <w:tc>
          <w:tcPr>
            <w:tcW w:w="1529" w:type="pct"/>
            <w:vAlign w:val="center"/>
          </w:tcPr>
          <w:p w:rsidR="00270953" w:rsidRPr="00BE23C5" w:rsidRDefault="00270953" w:rsidP="00270953">
            <w:pPr>
              <w:pStyle w:val="Tabletext"/>
              <w:rPr>
                <w:b/>
              </w:rPr>
            </w:pPr>
            <w:r w:rsidRPr="00BE23C5">
              <w:rPr>
                <w:b/>
              </w:rPr>
              <w:t>Step and component</w:t>
            </w:r>
          </w:p>
        </w:tc>
        <w:tc>
          <w:tcPr>
            <w:tcW w:w="1359" w:type="pct"/>
            <w:vAlign w:val="center"/>
          </w:tcPr>
          <w:p w:rsidR="00270953" w:rsidRPr="00BE23C5" w:rsidRDefault="00270953" w:rsidP="00270953">
            <w:pPr>
              <w:pStyle w:val="Tabletext"/>
              <w:jc w:val="center"/>
              <w:rPr>
                <w:b/>
              </w:rPr>
            </w:pPr>
            <w:proofErr w:type="spellStart"/>
            <w:r w:rsidRPr="00BE23C5">
              <w:rPr>
                <w:b/>
              </w:rPr>
              <w:t>Neratinib</w:t>
            </w:r>
            <w:proofErr w:type="spellEnd"/>
          </w:p>
        </w:tc>
        <w:tc>
          <w:tcPr>
            <w:tcW w:w="1274" w:type="pct"/>
            <w:vAlign w:val="center"/>
          </w:tcPr>
          <w:p w:rsidR="00270953" w:rsidRPr="00BE23C5" w:rsidRDefault="00270953" w:rsidP="00270953">
            <w:pPr>
              <w:pStyle w:val="Tabletext"/>
              <w:jc w:val="center"/>
              <w:rPr>
                <w:b/>
              </w:rPr>
            </w:pPr>
            <w:r w:rsidRPr="00BE23C5">
              <w:rPr>
                <w:b/>
              </w:rPr>
              <w:t>Placebo</w:t>
            </w:r>
          </w:p>
        </w:tc>
        <w:tc>
          <w:tcPr>
            <w:tcW w:w="838" w:type="pct"/>
            <w:vAlign w:val="center"/>
          </w:tcPr>
          <w:p w:rsidR="00270953" w:rsidRPr="00BE23C5" w:rsidRDefault="00270953" w:rsidP="00270953">
            <w:pPr>
              <w:pStyle w:val="Tabletext"/>
              <w:jc w:val="center"/>
              <w:rPr>
                <w:b/>
              </w:rPr>
            </w:pPr>
            <w:r w:rsidRPr="00BE23C5">
              <w:rPr>
                <w:b/>
              </w:rPr>
              <w:t>Increment</w:t>
            </w:r>
          </w:p>
        </w:tc>
      </w:tr>
      <w:tr w:rsidR="001D3F3A" w:rsidRPr="00BE23C5" w:rsidTr="00033521">
        <w:tc>
          <w:tcPr>
            <w:tcW w:w="1529" w:type="pct"/>
            <w:vAlign w:val="center"/>
          </w:tcPr>
          <w:p w:rsidR="001D3F3A" w:rsidRPr="00BE23C5" w:rsidRDefault="001D3F3A" w:rsidP="00505ABC">
            <w:pPr>
              <w:pStyle w:val="Tabletext"/>
            </w:pPr>
            <w:r w:rsidRPr="00BE23C5">
              <w:t>Number of cases of recurrence or death at 5 years</w:t>
            </w:r>
            <w:r w:rsidR="00DB4A75" w:rsidRPr="00BE23C5">
              <w:t xml:space="preserve"> </w:t>
            </w:r>
            <w:r w:rsidR="00505ABC" w:rsidRPr="00BE23C5">
              <w:t xml:space="preserve">(from a cohort of 1000 patients, at </w:t>
            </w:r>
            <w:r w:rsidRPr="00BE23C5">
              <w:t>cycle 60)</w:t>
            </w:r>
            <w:r w:rsidR="001000D4" w:rsidRPr="00BE23C5">
              <w:t>*</w:t>
            </w:r>
          </w:p>
        </w:tc>
        <w:tc>
          <w:tcPr>
            <w:tcW w:w="1359" w:type="pct"/>
            <w:vAlign w:val="center"/>
          </w:tcPr>
          <w:p w:rsidR="001D3F3A" w:rsidRPr="00BE23C5" w:rsidRDefault="001D3F3A" w:rsidP="00270953">
            <w:pPr>
              <w:pStyle w:val="Tabletext"/>
              <w:jc w:val="center"/>
            </w:pPr>
            <w:r w:rsidRPr="00BE23C5">
              <w:t>84</w:t>
            </w:r>
            <w:r w:rsidR="003127E2" w:rsidRPr="00BE23C5">
              <w:t>.31</w:t>
            </w:r>
            <w:r w:rsidR="00505ABC" w:rsidRPr="00BE23C5">
              <w:t xml:space="preserve"> (8.4%)</w:t>
            </w:r>
          </w:p>
        </w:tc>
        <w:tc>
          <w:tcPr>
            <w:tcW w:w="1274" w:type="pct"/>
            <w:vAlign w:val="center"/>
          </w:tcPr>
          <w:p w:rsidR="001D3F3A" w:rsidRPr="00BE23C5" w:rsidRDefault="003127E2" w:rsidP="00270953">
            <w:pPr>
              <w:pStyle w:val="Tabletext"/>
              <w:jc w:val="center"/>
            </w:pPr>
            <w:r w:rsidRPr="00BE23C5">
              <w:t>136.56</w:t>
            </w:r>
            <w:r w:rsidR="00505ABC" w:rsidRPr="00BE23C5">
              <w:t xml:space="preserve"> (13.7%)</w:t>
            </w:r>
          </w:p>
        </w:tc>
        <w:tc>
          <w:tcPr>
            <w:tcW w:w="838" w:type="pct"/>
            <w:vAlign w:val="center"/>
          </w:tcPr>
          <w:p w:rsidR="001D3F3A" w:rsidRPr="00BE23C5" w:rsidRDefault="003127E2" w:rsidP="00270953">
            <w:pPr>
              <w:pStyle w:val="Tabletext"/>
              <w:jc w:val="center"/>
            </w:pPr>
            <w:r w:rsidRPr="00BE23C5">
              <w:t xml:space="preserve">-52.25 </w:t>
            </w:r>
            <w:r w:rsidR="00505ABC" w:rsidRPr="00BE23C5">
              <w:t>(-5.2%)</w:t>
            </w:r>
          </w:p>
        </w:tc>
      </w:tr>
      <w:tr w:rsidR="00270953" w:rsidRPr="00BE23C5" w:rsidTr="00033521">
        <w:tc>
          <w:tcPr>
            <w:tcW w:w="1529" w:type="pct"/>
            <w:vAlign w:val="center"/>
          </w:tcPr>
          <w:p w:rsidR="00270953" w:rsidRPr="00BE23C5" w:rsidRDefault="00270953" w:rsidP="00270953">
            <w:pPr>
              <w:pStyle w:val="Tabletext"/>
              <w:rPr>
                <w:rFonts w:ascii="Times" w:hAnsi="Times"/>
              </w:rPr>
            </w:pPr>
            <w:r w:rsidRPr="00BE23C5">
              <w:t>Costs</w:t>
            </w:r>
            <w:r w:rsidR="00505ABC" w:rsidRPr="00BE23C5">
              <w:t xml:space="preserve"> (per patient)</w:t>
            </w:r>
          </w:p>
        </w:tc>
        <w:tc>
          <w:tcPr>
            <w:tcW w:w="1359" w:type="pct"/>
            <w:vAlign w:val="center"/>
          </w:tcPr>
          <w:p w:rsidR="00270953" w:rsidRPr="00BE23C5" w:rsidRDefault="00270953" w:rsidP="00270953">
            <w:pPr>
              <w:pStyle w:val="Tabletext"/>
              <w:jc w:val="center"/>
              <w:rPr>
                <w:rFonts w:ascii="Times" w:hAnsi="Times"/>
              </w:rPr>
            </w:pPr>
            <w:r w:rsidRPr="00BE23C5">
              <w:t>$</w:t>
            </w:r>
            <w:r w:rsidR="00FC3C5B">
              <w:rPr>
                <w:noProof/>
                <w:color w:val="000000"/>
                <w:highlight w:val="black"/>
              </w:rPr>
              <w:t>'''''''''''''''''''</w:t>
            </w:r>
          </w:p>
        </w:tc>
        <w:tc>
          <w:tcPr>
            <w:tcW w:w="1274" w:type="pct"/>
            <w:vAlign w:val="center"/>
          </w:tcPr>
          <w:p w:rsidR="00270953" w:rsidRPr="00BE23C5" w:rsidRDefault="00270953" w:rsidP="00270953">
            <w:pPr>
              <w:pStyle w:val="Tabletext"/>
              <w:jc w:val="center"/>
              <w:rPr>
                <w:rFonts w:ascii="Times" w:hAnsi="Times"/>
              </w:rPr>
            </w:pPr>
            <w:r w:rsidRPr="00BE23C5">
              <w:t>$</w:t>
            </w:r>
            <w:r w:rsidR="00FC3C5B">
              <w:rPr>
                <w:noProof/>
                <w:color w:val="000000"/>
                <w:highlight w:val="black"/>
              </w:rPr>
              <w:t>''''''''''''''''</w:t>
            </w:r>
          </w:p>
        </w:tc>
        <w:tc>
          <w:tcPr>
            <w:tcW w:w="838" w:type="pct"/>
            <w:vAlign w:val="center"/>
          </w:tcPr>
          <w:p w:rsidR="00270953" w:rsidRPr="00BE23C5" w:rsidRDefault="00270953" w:rsidP="00270953">
            <w:pPr>
              <w:pStyle w:val="Tabletext"/>
              <w:jc w:val="center"/>
              <w:rPr>
                <w:rFonts w:ascii="Times" w:hAnsi="Times"/>
              </w:rPr>
            </w:pPr>
            <w:r w:rsidRPr="00BE23C5">
              <w:t>$</w:t>
            </w:r>
            <w:r w:rsidR="00FC3C5B">
              <w:rPr>
                <w:noProof/>
                <w:color w:val="000000"/>
                <w:highlight w:val="black"/>
              </w:rPr>
              <w:t>'''''''''''''''</w:t>
            </w:r>
          </w:p>
        </w:tc>
      </w:tr>
      <w:tr w:rsidR="00270953" w:rsidRPr="00BE23C5" w:rsidTr="00033521">
        <w:tc>
          <w:tcPr>
            <w:tcW w:w="1529" w:type="pct"/>
            <w:vAlign w:val="center"/>
          </w:tcPr>
          <w:p w:rsidR="00270953" w:rsidRPr="00BE23C5" w:rsidRDefault="00461960" w:rsidP="00461960">
            <w:pPr>
              <w:pStyle w:val="Tabletext"/>
              <w:rPr>
                <w:rFonts w:ascii="Times" w:hAnsi="Times"/>
              </w:rPr>
            </w:pPr>
            <w:r w:rsidRPr="00BE23C5">
              <w:t>LY</w:t>
            </w:r>
            <w:r w:rsidR="00401A3D" w:rsidRPr="00BE23C5">
              <w:t>s</w:t>
            </w:r>
            <w:r w:rsidRPr="00BE23C5">
              <w:t xml:space="preserve"> </w:t>
            </w:r>
            <w:r w:rsidR="00505ABC" w:rsidRPr="00BE23C5">
              <w:t>(per patient)</w:t>
            </w:r>
          </w:p>
        </w:tc>
        <w:tc>
          <w:tcPr>
            <w:tcW w:w="1359" w:type="pct"/>
            <w:shd w:val="clear" w:color="auto" w:fill="auto"/>
            <w:vAlign w:val="bottom"/>
          </w:tcPr>
          <w:p w:rsidR="00270953" w:rsidRPr="00BE23C5" w:rsidRDefault="00270953" w:rsidP="00270953">
            <w:pPr>
              <w:pStyle w:val="Tabletext"/>
              <w:jc w:val="center"/>
              <w:rPr>
                <w:rFonts w:ascii="Times" w:hAnsi="Times"/>
              </w:rPr>
            </w:pPr>
            <w:r w:rsidRPr="00BE23C5">
              <w:t>14.66</w:t>
            </w:r>
          </w:p>
        </w:tc>
        <w:tc>
          <w:tcPr>
            <w:tcW w:w="1274" w:type="pct"/>
            <w:shd w:val="clear" w:color="auto" w:fill="auto"/>
            <w:vAlign w:val="bottom"/>
          </w:tcPr>
          <w:p w:rsidR="00270953" w:rsidRPr="00BE23C5" w:rsidRDefault="00270953" w:rsidP="00270953">
            <w:pPr>
              <w:pStyle w:val="Tabletext"/>
              <w:jc w:val="center"/>
              <w:rPr>
                <w:rFonts w:ascii="Times" w:hAnsi="Times"/>
              </w:rPr>
            </w:pPr>
            <w:r w:rsidRPr="00BE23C5">
              <w:t>13.89</w:t>
            </w:r>
          </w:p>
        </w:tc>
        <w:tc>
          <w:tcPr>
            <w:tcW w:w="838" w:type="pct"/>
            <w:vAlign w:val="bottom"/>
          </w:tcPr>
          <w:p w:rsidR="00270953" w:rsidRPr="00BE23C5" w:rsidRDefault="00270953" w:rsidP="00270953">
            <w:pPr>
              <w:pStyle w:val="Tabletext"/>
              <w:jc w:val="center"/>
            </w:pPr>
            <w:r w:rsidRPr="00BE23C5">
              <w:t>0.78</w:t>
            </w:r>
          </w:p>
        </w:tc>
      </w:tr>
      <w:tr w:rsidR="00270953" w:rsidRPr="00BE23C5" w:rsidTr="00033521">
        <w:tc>
          <w:tcPr>
            <w:tcW w:w="1529" w:type="pct"/>
            <w:vAlign w:val="center"/>
          </w:tcPr>
          <w:p w:rsidR="00270953" w:rsidRPr="00BE23C5" w:rsidRDefault="00270953" w:rsidP="00270953">
            <w:pPr>
              <w:pStyle w:val="Tabletext"/>
            </w:pPr>
            <w:r w:rsidRPr="00BE23C5">
              <w:t>QALYs</w:t>
            </w:r>
            <w:r w:rsidR="00505ABC" w:rsidRPr="00BE23C5">
              <w:t xml:space="preserve"> (per patient)</w:t>
            </w:r>
          </w:p>
        </w:tc>
        <w:tc>
          <w:tcPr>
            <w:tcW w:w="1359" w:type="pct"/>
            <w:tcBorders>
              <w:bottom w:val="single" w:sz="4" w:space="0" w:color="auto"/>
            </w:tcBorders>
            <w:shd w:val="clear" w:color="auto" w:fill="auto"/>
            <w:vAlign w:val="bottom"/>
          </w:tcPr>
          <w:p w:rsidR="00270953" w:rsidRPr="00BE23C5" w:rsidRDefault="00270953" w:rsidP="00270953">
            <w:pPr>
              <w:pStyle w:val="Tabletext"/>
              <w:jc w:val="center"/>
            </w:pPr>
            <w:r w:rsidRPr="00BE23C5">
              <w:t>12.84</w:t>
            </w:r>
          </w:p>
        </w:tc>
        <w:tc>
          <w:tcPr>
            <w:tcW w:w="1274" w:type="pct"/>
            <w:tcBorders>
              <w:bottom w:val="single" w:sz="4" w:space="0" w:color="auto"/>
            </w:tcBorders>
            <w:shd w:val="clear" w:color="auto" w:fill="auto"/>
            <w:vAlign w:val="bottom"/>
          </w:tcPr>
          <w:p w:rsidR="00270953" w:rsidRPr="00BE23C5" w:rsidRDefault="00270953" w:rsidP="00270953">
            <w:pPr>
              <w:pStyle w:val="Tabletext"/>
              <w:jc w:val="center"/>
            </w:pPr>
            <w:r w:rsidRPr="00BE23C5">
              <w:t>12.14</w:t>
            </w:r>
          </w:p>
        </w:tc>
        <w:tc>
          <w:tcPr>
            <w:tcW w:w="838" w:type="pct"/>
            <w:tcBorders>
              <w:bottom w:val="single" w:sz="4" w:space="0" w:color="auto"/>
            </w:tcBorders>
            <w:vAlign w:val="bottom"/>
          </w:tcPr>
          <w:p w:rsidR="00270953" w:rsidRPr="00BE23C5" w:rsidRDefault="00270953" w:rsidP="00270953">
            <w:pPr>
              <w:pStyle w:val="Tabletext"/>
              <w:jc w:val="center"/>
            </w:pPr>
            <w:r w:rsidRPr="00BE23C5">
              <w:t>0.70</w:t>
            </w:r>
          </w:p>
        </w:tc>
      </w:tr>
      <w:tr w:rsidR="00270953" w:rsidRPr="00BE23C5" w:rsidTr="00033521">
        <w:tc>
          <w:tcPr>
            <w:tcW w:w="4162" w:type="pct"/>
            <w:gridSpan w:val="3"/>
            <w:vAlign w:val="center"/>
          </w:tcPr>
          <w:p w:rsidR="00270953" w:rsidRPr="00BE23C5" w:rsidRDefault="00270953" w:rsidP="00270953">
            <w:pPr>
              <w:pStyle w:val="Tabletext"/>
              <w:rPr>
                <w:rFonts w:ascii="Times" w:hAnsi="Times"/>
              </w:rPr>
            </w:pPr>
            <w:r w:rsidRPr="00BE23C5">
              <w:t>Incremental cost/extra LY gained</w:t>
            </w:r>
          </w:p>
        </w:tc>
        <w:tc>
          <w:tcPr>
            <w:tcW w:w="838" w:type="pct"/>
          </w:tcPr>
          <w:p w:rsidR="00270953" w:rsidRPr="00BE23C5" w:rsidRDefault="00270953" w:rsidP="00270953">
            <w:pPr>
              <w:pStyle w:val="Tabletext"/>
              <w:jc w:val="center"/>
              <w:rPr>
                <w:rFonts w:ascii="Times" w:hAnsi="Times"/>
              </w:rPr>
            </w:pPr>
            <w:r w:rsidRPr="00BE23C5">
              <w:t>$</w:t>
            </w:r>
            <w:r w:rsidR="00FC3C5B">
              <w:rPr>
                <w:noProof/>
                <w:color w:val="000000"/>
                <w:highlight w:val="black"/>
              </w:rPr>
              <w:t>'''''''''''''''</w:t>
            </w:r>
          </w:p>
        </w:tc>
      </w:tr>
      <w:tr w:rsidR="00270953" w:rsidRPr="00BE23C5" w:rsidTr="00033521">
        <w:tc>
          <w:tcPr>
            <w:tcW w:w="4162" w:type="pct"/>
            <w:gridSpan w:val="3"/>
            <w:vAlign w:val="center"/>
          </w:tcPr>
          <w:p w:rsidR="00270953" w:rsidRPr="00BE23C5" w:rsidRDefault="00270953" w:rsidP="00270953">
            <w:pPr>
              <w:pStyle w:val="Tabletext"/>
            </w:pPr>
            <w:r w:rsidRPr="00BE23C5">
              <w:t>Incremental cost/extra QALY gained</w:t>
            </w:r>
          </w:p>
        </w:tc>
        <w:tc>
          <w:tcPr>
            <w:tcW w:w="838" w:type="pct"/>
            <w:tcBorders>
              <w:bottom w:val="single" w:sz="4" w:space="0" w:color="auto"/>
            </w:tcBorders>
          </w:tcPr>
          <w:p w:rsidR="00270953" w:rsidRPr="00BE23C5" w:rsidRDefault="00270953" w:rsidP="00270953">
            <w:pPr>
              <w:pStyle w:val="Tabletext"/>
              <w:jc w:val="center"/>
            </w:pPr>
            <w:r w:rsidRPr="00BE23C5">
              <w:t>$</w:t>
            </w:r>
            <w:r w:rsidR="00FC3C5B">
              <w:rPr>
                <w:noProof/>
                <w:color w:val="000000"/>
                <w:highlight w:val="black"/>
              </w:rPr>
              <w:t>'''''''''''''''</w:t>
            </w:r>
          </w:p>
        </w:tc>
      </w:tr>
    </w:tbl>
    <w:p w:rsidR="00270953" w:rsidRPr="00BE23C5" w:rsidRDefault="00270953" w:rsidP="00575F33">
      <w:pPr>
        <w:pStyle w:val="TableFooter"/>
      </w:pPr>
      <w:r w:rsidRPr="00BE23C5">
        <w:t>LY: life year; QALY: quality adjusted life year</w:t>
      </w:r>
    </w:p>
    <w:p w:rsidR="00575F33" w:rsidRPr="00BE23C5" w:rsidRDefault="00270953" w:rsidP="00575F33">
      <w:pPr>
        <w:pStyle w:val="TableFooter"/>
      </w:pPr>
      <w:r w:rsidRPr="00BE23C5">
        <w:t>Source: Table 54, p118</w:t>
      </w:r>
      <w:r w:rsidR="00575F33" w:rsidRPr="00BE23C5">
        <w:t xml:space="preserve"> of the submission.</w:t>
      </w:r>
    </w:p>
    <w:p w:rsidR="001000D4" w:rsidRPr="00BE23C5" w:rsidRDefault="001000D4" w:rsidP="001000D4">
      <w:pPr>
        <w:pStyle w:val="TableFooter"/>
        <w:rPr>
          <w:rStyle w:val="CommentReference"/>
        </w:rPr>
      </w:pPr>
      <w:r w:rsidRPr="00BE23C5">
        <w:t>* Calculated during the evaluation</w:t>
      </w:r>
    </w:p>
    <w:p w:rsidR="00D473AD" w:rsidRPr="00BE23C5" w:rsidRDefault="00C94154" w:rsidP="001159DF">
      <w:pPr>
        <w:widowControl/>
        <w:spacing w:before="120" w:after="120"/>
      </w:pPr>
      <w:r w:rsidRPr="00BE23C5">
        <w:rPr>
          <w:u w:val="single"/>
        </w:rPr>
        <w:t>Methods used to generate results</w:t>
      </w:r>
      <w:r w:rsidR="00D473AD" w:rsidRPr="00BE23C5">
        <w:t>:</w:t>
      </w:r>
    </w:p>
    <w:p w:rsidR="00970318" w:rsidRPr="00BE23C5" w:rsidRDefault="00970318" w:rsidP="001159DF">
      <w:pPr>
        <w:pStyle w:val="ListParagraph"/>
        <w:widowControl/>
        <w:numPr>
          <w:ilvl w:val="1"/>
          <w:numId w:val="2"/>
        </w:numPr>
        <w:spacing w:before="120" w:after="120"/>
      </w:pPr>
      <w:r w:rsidRPr="00BE23C5">
        <w:t xml:space="preserve">The submission provided insufficient detail to enable the economic model to be adequately evaluated. During the evaluation, several assumptions </w:t>
      </w:r>
      <w:r w:rsidR="00A75275" w:rsidRPr="00BE23C5">
        <w:t xml:space="preserve">regarding the methodology and inputs </w:t>
      </w:r>
      <w:r w:rsidRPr="00BE23C5">
        <w:t xml:space="preserve">had to be made based on the </w:t>
      </w:r>
      <w:r w:rsidR="004F77E7" w:rsidRPr="00BE23C5">
        <w:t>Excel</w:t>
      </w:r>
      <w:r w:rsidRPr="00BE23C5">
        <w:t xml:space="preserve"> workbook and </w:t>
      </w:r>
      <w:r w:rsidR="004F77E7" w:rsidRPr="00BE23C5">
        <w:t>accompanying</w:t>
      </w:r>
      <w:r w:rsidRPr="00BE23C5">
        <w:t xml:space="preserve"> PowerPoint</w:t>
      </w:r>
      <w:r w:rsidR="004F77E7" w:rsidRPr="00BE23C5">
        <w:t xml:space="preserve"> presentation</w:t>
      </w:r>
      <w:r w:rsidRPr="00BE23C5">
        <w:t xml:space="preserve">. </w:t>
      </w:r>
      <w:r w:rsidRPr="00BE23C5">
        <w:rPr>
          <w:szCs w:val="24"/>
        </w:rPr>
        <w:t>The ESC noted that documentation supplied by submission, in particular the detail on model assumptions, was inadequate to allow sufficient understanding of the model, or allow confidence in its results.</w:t>
      </w:r>
    </w:p>
    <w:p w:rsidR="00B74C0B" w:rsidRPr="00BE23C5" w:rsidRDefault="00B74C0B" w:rsidP="001159DF">
      <w:pPr>
        <w:pStyle w:val="ListParagraph"/>
        <w:widowControl/>
        <w:numPr>
          <w:ilvl w:val="1"/>
          <w:numId w:val="2"/>
        </w:numPr>
        <w:spacing w:before="120" w:after="120"/>
      </w:pPr>
      <w:r w:rsidRPr="00BE23C5">
        <w:t xml:space="preserve">OS data </w:t>
      </w:r>
      <w:r w:rsidR="004F77E7" w:rsidRPr="00BE23C5">
        <w:t xml:space="preserve">were </w:t>
      </w:r>
      <w:r w:rsidRPr="00BE23C5">
        <w:t xml:space="preserve">not presented </w:t>
      </w:r>
      <w:r w:rsidR="009161AE" w:rsidRPr="00BE23C5">
        <w:t xml:space="preserve">in </w:t>
      </w:r>
      <w:r w:rsidRPr="00BE23C5">
        <w:t>the submission</w:t>
      </w:r>
      <w:r w:rsidR="009161AE" w:rsidRPr="00BE23C5">
        <w:t xml:space="preserve"> and it was</w:t>
      </w:r>
      <w:r w:rsidRPr="00BE23C5">
        <w:t xml:space="preserve"> claimed that it will not be available until late 2019. However, OS data for the ITT population </w:t>
      </w:r>
      <w:r w:rsidR="009161AE" w:rsidRPr="00BE23C5">
        <w:t xml:space="preserve">were </w:t>
      </w:r>
      <w:r w:rsidRPr="00BE23C5">
        <w:t xml:space="preserve">included in the economic model. The PSCR claimed that OS data </w:t>
      </w:r>
      <w:r w:rsidR="004F77E7" w:rsidRPr="00BE23C5">
        <w:t xml:space="preserve">were </w:t>
      </w:r>
      <w:r w:rsidRPr="00BE23C5">
        <w:t xml:space="preserve">not used in the economic model. However, the ESC disagreed with this assertion and considered the base case </w:t>
      </w:r>
      <w:r w:rsidRPr="00BE23C5">
        <w:lastRenderedPageBreak/>
        <w:t>appeared to inc</w:t>
      </w:r>
      <w:r w:rsidR="00737231" w:rsidRPr="00BE23C5">
        <w:t xml:space="preserve">lude OS from the </w:t>
      </w:r>
      <w:proofErr w:type="spellStart"/>
      <w:r w:rsidR="00737231" w:rsidRPr="00BE23C5">
        <w:t>ExteNET</w:t>
      </w:r>
      <w:proofErr w:type="spellEnd"/>
      <w:r w:rsidR="00737231" w:rsidRPr="00BE23C5">
        <w:t xml:space="preserve"> trial and</w:t>
      </w:r>
      <w:r w:rsidRPr="00BE23C5">
        <w:t xml:space="preserve"> the proportion alive at each time point differ</w:t>
      </w:r>
      <w:r w:rsidR="00854D14" w:rsidRPr="00BE23C5">
        <w:t>ed</w:t>
      </w:r>
      <w:r w:rsidRPr="00BE23C5">
        <w:t xml:space="preserve"> for OS and </w:t>
      </w:r>
      <w:proofErr w:type="spellStart"/>
      <w:r w:rsidRPr="00BE23C5">
        <w:t>iDFS</w:t>
      </w:r>
      <w:proofErr w:type="spellEnd"/>
      <w:r w:rsidRPr="00BE23C5">
        <w:t>. The ESC noted that the base case of the model appear</w:t>
      </w:r>
      <w:r w:rsidR="00854D14" w:rsidRPr="00BE23C5">
        <w:t>ed</w:t>
      </w:r>
      <w:r w:rsidRPr="00BE23C5">
        <w:t xml:space="preserve"> to reference information from the OS-</w:t>
      </w:r>
      <w:proofErr w:type="spellStart"/>
      <w:r w:rsidRPr="00BE23C5">
        <w:t>ExteNET</w:t>
      </w:r>
      <w:proofErr w:type="spellEnd"/>
      <w:r w:rsidRPr="00BE23C5">
        <w:t xml:space="preserve"> sheet</w:t>
      </w:r>
      <w:r w:rsidR="00854D14" w:rsidRPr="00BE23C5">
        <w:t xml:space="preserve"> and that</w:t>
      </w:r>
      <w:r w:rsidRPr="00BE23C5">
        <w:t xml:space="preserve"> this can be altered from the OS &amp; DFS sheet. Furthermore, a source from the OS-</w:t>
      </w:r>
      <w:proofErr w:type="spellStart"/>
      <w:r w:rsidRPr="00BE23C5">
        <w:t>ExteNET</w:t>
      </w:r>
      <w:proofErr w:type="spellEnd"/>
      <w:r w:rsidRPr="00BE23C5">
        <w:t xml:space="preserve"> sheet in cell D24 suggests that an analysis of OS in the ITT population was conducted in March 2017. The source could not be verified. The ESC also noted that the OS data from the </w:t>
      </w:r>
      <w:proofErr w:type="spellStart"/>
      <w:r w:rsidRPr="00BE23C5">
        <w:t>ExteNET</w:t>
      </w:r>
      <w:proofErr w:type="spellEnd"/>
      <w:r w:rsidRPr="00BE23C5">
        <w:t xml:space="preserve"> trial includes the ITT population and not the HR+ subset.</w:t>
      </w:r>
    </w:p>
    <w:p w:rsidR="00C94154" w:rsidRPr="00BE23C5" w:rsidRDefault="00C94154" w:rsidP="001159DF">
      <w:pPr>
        <w:pStyle w:val="ListParagraph"/>
        <w:widowControl/>
        <w:numPr>
          <w:ilvl w:val="1"/>
          <w:numId w:val="2"/>
        </w:numPr>
        <w:spacing w:before="120" w:after="120"/>
      </w:pPr>
      <w:r w:rsidRPr="00BE23C5">
        <w:t>Three separate data sources (</w:t>
      </w:r>
      <w:proofErr w:type="spellStart"/>
      <w:r w:rsidRPr="00BE23C5">
        <w:t>ExteNET</w:t>
      </w:r>
      <w:proofErr w:type="spellEnd"/>
      <w:r w:rsidRPr="00BE23C5">
        <w:t xml:space="preserve"> trial, HERA trial, and UK general population data) informed </w:t>
      </w:r>
      <w:proofErr w:type="spellStart"/>
      <w:r w:rsidRPr="00BE23C5">
        <w:t>iDFS</w:t>
      </w:r>
      <w:proofErr w:type="spellEnd"/>
      <w:r w:rsidRPr="00BE23C5">
        <w:t xml:space="preserve"> and OS. </w:t>
      </w:r>
      <w:proofErr w:type="spellStart"/>
      <w:proofErr w:type="gramStart"/>
      <w:r w:rsidRPr="00BE23C5">
        <w:t>iDFS</w:t>
      </w:r>
      <w:proofErr w:type="spellEnd"/>
      <w:proofErr w:type="gramEnd"/>
      <w:r w:rsidRPr="00BE23C5">
        <w:t xml:space="preserve"> </w:t>
      </w:r>
      <w:r w:rsidR="006B3673" w:rsidRPr="00BE23C5">
        <w:t xml:space="preserve">in the </w:t>
      </w:r>
      <w:r w:rsidRPr="00BE23C5">
        <w:t>post</w:t>
      </w:r>
      <w:r w:rsidR="006B3673" w:rsidRPr="00BE23C5">
        <w:t>-</w:t>
      </w:r>
      <w:r w:rsidRPr="00BE23C5">
        <w:t xml:space="preserve">trial period was estimated from long-term follow-up data (median follow up 11 years) from the HERA trial (1 year </w:t>
      </w:r>
      <w:proofErr w:type="spellStart"/>
      <w:r w:rsidRPr="00BE23C5">
        <w:t>trastuzumab</w:t>
      </w:r>
      <w:proofErr w:type="spellEnd"/>
      <w:r w:rsidRPr="00BE23C5">
        <w:t xml:space="preserve"> arm). The PSCR stated that data from the HERA trial was used in the extrapolation because of a longer follow up period in the HERA trial compared to the </w:t>
      </w:r>
      <w:proofErr w:type="spellStart"/>
      <w:r w:rsidRPr="00BE23C5">
        <w:t>ExteNET</w:t>
      </w:r>
      <w:proofErr w:type="spellEnd"/>
      <w:r w:rsidRPr="00BE23C5">
        <w:t xml:space="preserve"> trial thus reducing uncertainty</w:t>
      </w:r>
      <w:r w:rsidR="00BE23C5">
        <w:t xml:space="preserve">. </w:t>
      </w:r>
      <w:r w:rsidRPr="00BE23C5">
        <w:t xml:space="preserve">The ESC considered there is </w:t>
      </w:r>
      <w:r w:rsidR="00737231" w:rsidRPr="00BE23C5">
        <w:t>an increased</w:t>
      </w:r>
      <w:r w:rsidRPr="00BE23C5">
        <w:t xml:space="preserve"> level of uncertainty </w:t>
      </w:r>
      <w:r w:rsidR="00854D14" w:rsidRPr="00BE23C5">
        <w:t xml:space="preserve">when </w:t>
      </w:r>
      <w:r w:rsidRPr="00BE23C5">
        <w:t xml:space="preserve">combining data from different studies. </w:t>
      </w:r>
      <w:r w:rsidR="006B3673" w:rsidRPr="00BE23C5">
        <w:t xml:space="preserve">Sensitivity analysis involving extrapolating only the clinical trial data was not conducted to explore the impact of this and the ESC considered that this would have been informative. </w:t>
      </w:r>
    </w:p>
    <w:p w:rsidR="004E0D62" w:rsidRPr="00BE23C5" w:rsidRDefault="004E0D62" w:rsidP="001159DF">
      <w:pPr>
        <w:spacing w:before="120" w:after="120"/>
        <w:rPr>
          <w:u w:val="single"/>
        </w:rPr>
      </w:pPr>
      <w:r w:rsidRPr="00BE23C5">
        <w:rPr>
          <w:u w:val="single"/>
        </w:rPr>
        <w:t>Transition probabilities:</w:t>
      </w:r>
    </w:p>
    <w:p w:rsidR="004E0D62" w:rsidRPr="00BE23C5" w:rsidRDefault="000853D1" w:rsidP="001159DF">
      <w:pPr>
        <w:pStyle w:val="ListParagraph"/>
        <w:widowControl/>
        <w:numPr>
          <w:ilvl w:val="1"/>
          <w:numId w:val="2"/>
        </w:numPr>
        <w:spacing w:before="120" w:after="120"/>
      </w:pPr>
      <w:r w:rsidRPr="00BE23C5">
        <w:t>Although not clear in the submission, t</w:t>
      </w:r>
      <w:r w:rsidR="00B949CE" w:rsidRPr="00BE23C5">
        <w:t xml:space="preserve">he PSCR </w:t>
      </w:r>
      <w:r w:rsidR="009A435B" w:rsidRPr="00BE23C5">
        <w:t xml:space="preserve">stated </w:t>
      </w:r>
      <w:r w:rsidR="00B949CE" w:rsidRPr="00BE23C5">
        <w:t xml:space="preserve">that the </w:t>
      </w:r>
      <w:proofErr w:type="spellStart"/>
      <w:r w:rsidR="00B949CE" w:rsidRPr="00BE23C5">
        <w:t>iDFS</w:t>
      </w:r>
      <w:proofErr w:type="spellEnd"/>
      <w:r w:rsidR="00B949CE" w:rsidRPr="00BE23C5">
        <w:t xml:space="preserve"> data from the </w:t>
      </w:r>
      <w:proofErr w:type="spellStart"/>
      <w:r w:rsidR="00B949CE" w:rsidRPr="00BE23C5">
        <w:t>ExteNET</w:t>
      </w:r>
      <w:proofErr w:type="spellEnd"/>
      <w:r w:rsidR="00B949CE" w:rsidRPr="00BE23C5">
        <w:t xml:space="preserve"> trial were applied directly for 5.25 years with extrapolation occurring after this time point. </w:t>
      </w:r>
      <w:r w:rsidRPr="00BE23C5">
        <w:t xml:space="preserve">In the </w:t>
      </w:r>
      <w:proofErr w:type="spellStart"/>
      <w:r w:rsidRPr="00BE23C5">
        <w:t>ExteNET</w:t>
      </w:r>
      <w:proofErr w:type="spellEnd"/>
      <w:r w:rsidRPr="00BE23C5">
        <w:t xml:space="preserve"> trial</w:t>
      </w:r>
      <w:r w:rsidR="004E0D62" w:rsidRPr="00BE23C5">
        <w:t xml:space="preserve"> at 60 months after randomisation 91.2% of HR+ patients in the </w:t>
      </w:r>
      <w:proofErr w:type="spellStart"/>
      <w:r w:rsidR="004E0D62" w:rsidRPr="00BE23C5">
        <w:t>neratinib</w:t>
      </w:r>
      <w:proofErr w:type="spellEnd"/>
      <w:r w:rsidR="004E0D62" w:rsidRPr="00BE23C5">
        <w:t xml:space="preserve"> arm and 86.8% of patients in the placebo arm had not progressed. At cycle 60 in the economic model (using base case assumptions), </w:t>
      </w:r>
      <w:proofErr w:type="spellStart"/>
      <w:r w:rsidR="004E0D62" w:rsidRPr="00BE23C5">
        <w:t>iDFS</w:t>
      </w:r>
      <w:proofErr w:type="spellEnd"/>
      <w:r w:rsidR="004E0D62" w:rsidRPr="00BE23C5">
        <w:t xml:space="preserve"> </w:t>
      </w:r>
      <w:r w:rsidR="009A435B" w:rsidRPr="00BE23C5">
        <w:t>was 92%</w:t>
      </w:r>
      <w:r w:rsidR="004E0D62" w:rsidRPr="00BE23C5">
        <w:t xml:space="preserve"> in the </w:t>
      </w:r>
      <w:proofErr w:type="spellStart"/>
      <w:r w:rsidR="004E0D62" w:rsidRPr="00BE23C5">
        <w:t>neratinib</w:t>
      </w:r>
      <w:proofErr w:type="spellEnd"/>
      <w:r w:rsidR="004E0D62" w:rsidRPr="00BE23C5">
        <w:t xml:space="preserve"> arm and </w:t>
      </w:r>
      <w:r w:rsidR="009A435B" w:rsidRPr="00BE23C5">
        <w:t>86%</w:t>
      </w:r>
      <w:r w:rsidR="004E0D62" w:rsidRPr="00BE23C5">
        <w:t xml:space="preserve"> in the placebo arm. </w:t>
      </w:r>
      <w:r w:rsidR="009A435B" w:rsidRPr="00BE23C5">
        <w:t xml:space="preserve">Thus </w:t>
      </w:r>
      <w:r w:rsidR="004E0D62" w:rsidRPr="00BE23C5">
        <w:t>the</w:t>
      </w:r>
      <w:r w:rsidR="009A435B" w:rsidRPr="00BE23C5">
        <w:t xml:space="preserve"> difference in </w:t>
      </w:r>
      <w:proofErr w:type="spellStart"/>
      <w:r w:rsidR="009A435B" w:rsidRPr="00BE23C5">
        <w:t>iDFS</w:t>
      </w:r>
      <w:proofErr w:type="spellEnd"/>
      <w:r w:rsidR="009A435B" w:rsidRPr="00BE23C5">
        <w:t xml:space="preserve"> at 60 months was larger in the model (6%) compared with </w:t>
      </w:r>
      <w:r w:rsidR="004E0D62" w:rsidRPr="00BE23C5">
        <w:t xml:space="preserve">the observed data </w:t>
      </w:r>
      <w:r w:rsidR="009A435B" w:rsidRPr="00BE23C5">
        <w:t>(4.4%)</w:t>
      </w:r>
      <w:r w:rsidR="004E0D62" w:rsidRPr="00BE23C5">
        <w:t xml:space="preserve">. The ESC considered that using observed data would </w:t>
      </w:r>
      <w:r w:rsidR="00D473AD" w:rsidRPr="00BE23C5">
        <w:t xml:space="preserve">likely </w:t>
      </w:r>
      <w:r w:rsidR="004E0D62" w:rsidRPr="00BE23C5">
        <w:t>result in an increased ICER but this was difficult to quantify.</w:t>
      </w:r>
    </w:p>
    <w:p w:rsidR="00B721A6" w:rsidRPr="00BE23C5" w:rsidRDefault="009A435B" w:rsidP="001159DF">
      <w:pPr>
        <w:pStyle w:val="ListParagraph"/>
        <w:widowControl/>
        <w:numPr>
          <w:ilvl w:val="1"/>
          <w:numId w:val="2"/>
        </w:numPr>
        <w:spacing w:before="120" w:after="120"/>
      </w:pPr>
      <w:r w:rsidRPr="00BE23C5">
        <w:t>T</w:t>
      </w:r>
      <w:r w:rsidR="00B721A6" w:rsidRPr="00BE23C5">
        <w:t xml:space="preserve">he </w:t>
      </w:r>
      <w:proofErr w:type="spellStart"/>
      <w:r w:rsidR="00B721A6" w:rsidRPr="00BE23C5">
        <w:t>iDFS</w:t>
      </w:r>
      <w:proofErr w:type="spellEnd"/>
      <w:r w:rsidR="00B721A6" w:rsidRPr="00BE23C5">
        <w:t xml:space="preserve"> and OS treatment effect tapered to a HR</w:t>
      </w:r>
      <w:r w:rsidR="00854D14" w:rsidRPr="00BE23C5">
        <w:t xml:space="preserve"> of</w:t>
      </w:r>
      <w:r w:rsidRPr="00BE23C5">
        <w:t xml:space="preserve"> </w:t>
      </w:r>
      <w:r w:rsidR="00B721A6" w:rsidRPr="00BE23C5">
        <w:t xml:space="preserve">1 between 5.25 years and 15.25 years. </w:t>
      </w:r>
      <w:r w:rsidR="00EC5B4B" w:rsidRPr="00BE23C5">
        <w:t xml:space="preserve">The </w:t>
      </w:r>
      <w:r w:rsidR="00465D74" w:rsidRPr="00BE23C5">
        <w:t>ESC</w:t>
      </w:r>
      <w:r w:rsidR="00EC5B4B" w:rsidRPr="00BE23C5">
        <w:t xml:space="preserve"> noted that in its consideration of </w:t>
      </w:r>
      <w:proofErr w:type="spellStart"/>
      <w:r w:rsidR="00EC5B4B" w:rsidRPr="00BE23C5">
        <w:t>pertuzumab</w:t>
      </w:r>
      <w:proofErr w:type="spellEnd"/>
      <w:r w:rsidR="00EC5B4B" w:rsidRPr="00BE23C5">
        <w:t xml:space="preserve"> in 2006 the PBAC considered it reasonable to assume null effect after 5 years </w:t>
      </w:r>
      <w:r w:rsidR="00B61E2F" w:rsidRPr="00BE23C5">
        <w:t>(P</w:t>
      </w:r>
      <w:r w:rsidR="002800A6">
        <w:t xml:space="preserve">ublic </w:t>
      </w:r>
      <w:r w:rsidR="00B61E2F" w:rsidRPr="00BE23C5">
        <w:t>S</w:t>
      </w:r>
      <w:r w:rsidR="002800A6">
        <w:t xml:space="preserve">ummary </w:t>
      </w:r>
      <w:r w:rsidR="00B61E2F" w:rsidRPr="00BE23C5">
        <w:t>D</w:t>
      </w:r>
      <w:r w:rsidR="002800A6">
        <w:t>ocument (PSD)</w:t>
      </w:r>
      <w:r w:rsidR="00B61E2F" w:rsidRPr="00BE23C5">
        <w:t>, Jul</w:t>
      </w:r>
      <w:r w:rsidR="002800A6">
        <w:t>y</w:t>
      </w:r>
      <w:r w:rsidR="00B61E2F" w:rsidRPr="00BE23C5">
        <w:t xml:space="preserve"> 2006 PBAC meeting, </w:t>
      </w:r>
      <w:proofErr w:type="spellStart"/>
      <w:r w:rsidR="00B61E2F" w:rsidRPr="00BE23C5">
        <w:t>Trastuzumab</w:t>
      </w:r>
      <w:proofErr w:type="spellEnd"/>
      <w:r w:rsidR="00B61E2F" w:rsidRPr="00BE23C5">
        <w:t xml:space="preserve">, powder for I.V. infusion, 150 mg, Herceptin) </w:t>
      </w:r>
      <w:r w:rsidR="00EC5B4B" w:rsidRPr="00BE23C5">
        <w:t xml:space="preserve">which was 3 years beyond </w:t>
      </w:r>
      <w:r w:rsidR="00B61E2F" w:rsidRPr="00BE23C5">
        <w:t xml:space="preserve">the </w:t>
      </w:r>
      <w:r w:rsidR="00EC5B4B" w:rsidRPr="00BE23C5">
        <w:t xml:space="preserve">trial follow-up, in comparison with 10 years </w:t>
      </w:r>
      <w:r w:rsidR="0089377D" w:rsidRPr="00BE23C5">
        <w:t xml:space="preserve">beyond the trial follow-up </w:t>
      </w:r>
      <w:r w:rsidR="00EC5B4B" w:rsidRPr="00BE23C5">
        <w:t xml:space="preserve">in this submission. The ESC noted that for </w:t>
      </w:r>
      <w:proofErr w:type="spellStart"/>
      <w:r w:rsidR="00EC5B4B" w:rsidRPr="00BE23C5">
        <w:t>pertuzumab</w:t>
      </w:r>
      <w:proofErr w:type="spellEnd"/>
      <w:r w:rsidR="00EC5B4B" w:rsidRPr="00BE23C5">
        <w:t xml:space="preserve"> in </w:t>
      </w:r>
      <w:proofErr w:type="spellStart"/>
      <w:r w:rsidR="00EC5B4B" w:rsidRPr="00BE23C5">
        <w:t>eBC</w:t>
      </w:r>
      <w:proofErr w:type="spellEnd"/>
      <w:r w:rsidR="00EC5B4B" w:rsidRPr="00BE23C5">
        <w:t xml:space="preserve"> the PBAC considered that the treatment effect may endure beyond five years, but there was uncertainty around the duration of benefit (PSD, July 2018 PBAC meeting, item 6.10 </w:t>
      </w:r>
      <w:proofErr w:type="spellStart"/>
      <w:r w:rsidR="00EC5B4B" w:rsidRPr="00BE23C5">
        <w:t>pertuzumab</w:t>
      </w:r>
      <w:proofErr w:type="spellEnd"/>
      <w:r w:rsidR="00EC5B4B" w:rsidRPr="00BE23C5">
        <w:t xml:space="preserve">, paragraph 6.44). </w:t>
      </w:r>
      <w:r w:rsidR="00487B7B" w:rsidRPr="00BE23C5">
        <w:t xml:space="preserve">The ESC agreed with the evaluation that </w:t>
      </w:r>
      <w:r w:rsidR="00EC5B4B" w:rsidRPr="00BE23C5">
        <w:t xml:space="preserve">the duration of treatment effect </w:t>
      </w:r>
      <w:r w:rsidR="00B721A6" w:rsidRPr="00BE23C5">
        <w:t>is highly uncertain</w:t>
      </w:r>
      <w:r w:rsidR="00487B7B" w:rsidRPr="00BE23C5">
        <w:t xml:space="preserve"> and</w:t>
      </w:r>
      <w:r w:rsidR="00194289" w:rsidRPr="00BE23C5">
        <w:t xml:space="preserve"> </w:t>
      </w:r>
      <w:r w:rsidR="00EC5B4B" w:rsidRPr="00BE23C5">
        <w:t>a</w:t>
      </w:r>
      <w:r w:rsidR="00B721A6" w:rsidRPr="00BE23C5">
        <w:t xml:space="preserve">lthough the 2 </w:t>
      </w:r>
      <w:r w:rsidR="00465D74" w:rsidRPr="00BE23C5">
        <w:t xml:space="preserve">and 5 </w:t>
      </w:r>
      <w:r w:rsidR="00B721A6" w:rsidRPr="00BE23C5">
        <w:t xml:space="preserve">year follow up data showed a significant improvement in </w:t>
      </w:r>
      <w:proofErr w:type="spellStart"/>
      <w:r w:rsidR="00B721A6" w:rsidRPr="00BE23C5">
        <w:t>iDFS</w:t>
      </w:r>
      <w:proofErr w:type="spellEnd"/>
      <w:r w:rsidR="00B721A6" w:rsidRPr="00BE23C5">
        <w:t>, the ESC considered this to be a</w:t>
      </w:r>
      <w:r w:rsidR="002A4F8C" w:rsidRPr="00BE23C5">
        <w:t xml:space="preserve"> small</w:t>
      </w:r>
      <w:r w:rsidR="00B721A6" w:rsidRPr="00BE23C5">
        <w:t xml:space="preserve"> result in absolute terms and questioned </w:t>
      </w:r>
      <w:r w:rsidR="00011B30" w:rsidRPr="00BE23C5">
        <w:t>how</w:t>
      </w:r>
      <w:r w:rsidR="00B721A6" w:rsidRPr="00BE23C5">
        <w:t xml:space="preserve"> </w:t>
      </w:r>
      <w:r w:rsidR="00011B30" w:rsidRPr="00BE23C5">
        <w:t>this was</w:t>
      </w:r>
      <w:r w:rsidR="00B721A6" w:rsidRPr="00BE23C5">
        <w:t xml:space="preserve"> applied in the model. </w:t>
      </w:r>
    </w:p>
    <w:p w:rsidR="00EC1528" w:rsidRPr="00BE23C5" w:rsidRDefault="00EC1528" w:rsidP="001159DF">
      <w:pPr>
        <w:pStyle w:val="ListParagraph"/>
        <w:widowControl/>
        <w:numPr>
          <w:ilvl w:val="1"/>
          <w:numId w:val="2"/>
        </w:numPr>
        <w:spacing w:before="120" w:after="120"/>
      </w:pPr>
      <w:r w:rsidRPr="00BE23C5">
        <w:t xml:space="preserve">The base case applied </w:t>
      </w:r>
      <w:r w:rsidR="00011B30" w:rsidRPr="00BE23C5">
        <w:t xml:space="preserve">a </w:t>
      </w:r>
      <w:proofErr w:type="spellStart"/>
      <w:r w:rsidRPr="00BE23C5">
        <w:t>Gompertz</w:t>
      </w:r>
      <w:proofErr w:type="spellEnd"/>
      <w:r w:rsidRPr="00BE23C5">
        <w:t xml:space="preserve"> function to extrapolate </w:t>
      </w:r>
      <w:r w:rsidR="00011B30" w:rsidRPr="00BE23C5">
        <w:t xml:space="preserve">the </w:t>
      </w:r>
      <w:r w:rsidRPr="00BE23C5">
        <w:t>data despite</w:t>
      </w:r>
      <w:r w:rsidR="00487B7B" w:rsidRPr="00BE23C5">
        <w:t xml:space="preserve"> the AIC and BIC results suggesting there were better fitting functions</w:t>
      </w:r>
      <w:r w:rsidRPr="00BE23C5">
        <w:t>.</w:t>
      </w:r>
      <w:r w:rsidR="003E7259" w:rsidRPr="00BE23C5">
        <w:t xml:space="preserve"> The clinical plausibility </w:t>
      </w:r>
      <w:r w:rsidR="00011B30" w:rsidRPr="00BE23C5">
        <w:t>and the</w:t>
      </w:r>
      <w:r w:rsidRPr="00BE23C5">
        <w:t xml:space="preserve"> best visually fitting extrapolation functions were unable to be verified from </w:t>
      </w:r>
      <w:r w:rsidRPr="00BE23C5">
        <w:lastRenderedPageBreak/>
        <w:t>the images provided</w:t>
      </w:r>
      <w:r w:rsidR="00645761" w:rsidRPr="00BE23C5">
        <w:t xml:space="preserve"> in the submission</w:t>
      </w:r>
      <w:r w:rsidRPr="00BE23C5">
        <w:t xml:space="preserve"> due to</w:t>
      </w:r>
      <w:r w:rsidR="004531ED" w:rsidRPr="00BE23C5">
        <w:t xml:space="preserve"> them not being included in the electronic model and</w:t>
      </w:r>
      <w:r w:rsidRPr="00BE23C5">
        <w:t xml:space="preserve"> their small size</w:t>
      </w:r>
      <w:r w:rsidR="004531ED" w:rsidRPr="00BE23C5">
        <w:t xml:space="preserve"> in the </w:t>
      </w:r>
      <w:r w:rsidR="002A4F8C" w:rsidRPr="00BE23C5">
        <w:t>accompanying slides</w:t>
      </w:r>
      <w:r w:rsidRPr="00BE23C5">
        <w:t>.</w:t>
      </w:r>
      <w:r w:rsidR="00316089" w:rsidRPr="00BE23C5">
        <w:t xml:space="preserve"> </w:t>
      </w:r>
      <w:r w:rsidRPr="00BE23C5">
        <w:t xml:space="preserve">The AIC and BIC results, and the shape and scale parameters were unable to be verified as the </w:t>
      </w:r>
      <w:r w:rsidR="00011B30" w:rsidRPr="00BE23C5">
        <w:t>statistical (</w:t>
      </w:r>
      <w:r w:rsidRPr="00BE23C5">
        <w:t>R</w:t>
      </w:r>
      <w:r w:rsidR="00011B30" w:rsidRPr="00BE23C5">
        <w:t>)</w:t>
      </w:r>
      <w:r w:rsidRPr="00BE23C5">
        <w:t xml:space="preserve"> output </w:t>
      </w:r>
      <w:r w:rsidR="00011B30" w:rsidRPr="00BE23C5">
        <w:t xml:space="preserve">was </w:t>
      </w:r>
      <w:r w:rsidRPr="00BE23C5">
        <w:t>not provided with the submission.</w:t>
      </w:r>
    </w:p>
    <w:p w:rsidR="00B721A6" w:rsidRPr="00BE23C5" w:rsidRDefault="00B721A6" w:rsidP="001159DF">
      <w:pPr>
        <w:widowControl/>
        <w:spacing w:before="120" w:after="120"/>
        <w:rPr>
          <w:u w:val="single"/>
        </w:rPr>
      </w:pPr>
      <w:r w:rsidRPr="00BE23C5">
        <w:rPr>
          <w:u w:val="single"/>
        </w:rPr>
        <w:t>Utilities:</w:t>
      </w:r>
    </w:p>
    <w:p w:rsidR="00954BD3" w:rsidRPr="00BE23C5" w:rsidRDefault="00954BD3" w:rsidP="001159DF">
      <w:pPr>
        <w:pStyle w:val="ListParagraph"/>
        <w:widowControl/>
        <w:numPr>
          <w:ilvl w:val="1"/>
          <w:numId w:val="2"/>
        </w:numPr>
        <w:spacing w:before="120" w:after="120"/>
      </w:pPr>
      <w:r w:rsidRPr="00BE23C5">
        <w:t xml:space="preserve">The submission </w:t>
      </w:r>
      <w:r w:rsidR="00EC1528" w:rsidRPr="00BE23C5">
        <w:t xml:space="preserve">applied </w:t>
      </w:r>
      <w:r w:rsidRPr="00BE23C5">
        <w:t>utility estimates from the literature rather than apply</w:t>
      </w:r>
      <w:r w:rsidR="00300B6A" w:rsidRPr="00BE23C5">
        <w:t>ing</w:t>
      </w:r>
      <w:r w:rsidRPr="00BE23C5">
        <w:t xml:space="preserve"> the utility estimates from the </w:t>
      </w:r>
      <w:proofErr w:type="spellStart"/>
      <w:r w:rsidRPr="00BE23C5">
        <w:t>ExteNET</w:t>
      </w:r>
      <w:proofErr w:type="spellEnd"/>
      <w:r w:rsidRPr="00BE23C5">
        <w:t xml:space="preserve"> trial for the </w:t>
      </w:r>
      <w:proofErr w:type="spellStart"/>
      <w:r w:rsidRPr="00BE23C5">
        <w:t>iDFS</w:t>
      </w:r>
      <w:proofErr w:type="spellEnd"/>
      <w:r w:rsidRPr="00BE23C5">
        <w:t xml:space="preserve"> health state. </w:t>
      </w:r>
      <w:r w:rsidR="009F5248" w:rsidRPr="00BE23C5">
        <w:t>Th</w:t>
      </w:r>
      <w:r w:rsidR="004531ED" w:rsidRPr="00BE23C5">
        <w:t>e impact of this on the model results is unknown</w:t>
      </w:r>
      <w:r w:rsidR="00AC6FE2" w:rsidRPr="00BE23C5">
        <w:t xml:space="preserve"> due to a lack of sensitivity analysis</w:t>
      </w:r>
      <w:r w:rsidR="009F5248" w:rsidRPr="00BE23C5">
        <w:t xml:space="preserve">. </w:t>
      </w:r>
      <w:r w:rsidR="00EC1528" w:rsidRPr="00BE23C5">
        <w:t xml:space="preserve">The utility estimates used in the base case could not be verified due to the original sources not being cited in the references used in the submission. </w:t>
      </w:r>
      <w:r w:rsidR="00C04A4B" w:rsidRPr="00BE23C5">
        <w:t xml:space="preserve">The PSCR argued utility values were not collected after recurrence and minimal data were available for patients with a recurrence (11 patients had utility data after recurrence). Therefore, utility values for each of the health states in the model could not be derived from the </w:t>
      </w:r>
      <w:proofErr w:type="spellStart"/>
      <w:r w:rsidR="00C04A4B" w:rsidRPr="00BE23C5">
        <w:t>ExteNET</w:t>
      </w:r>
      <w:proofErr w:type="spellEnd"/>
      <w:r w:rsidR="00C04A4B" w:rsidRPr="00BE23C5">
        <w:t xml:space="preserve"> data. There was no statistically significant difference observed in baseline utilities between the </w:t>
      </w:r>
      <w:proofErr w:type="spellStart"/>
      <w:r w:rsidR="00C04A4B" w:rsidRPr="00BE23C5">
        <w:t>neratinib</w:t>
      </w:r>
      <w:proofErr w:type="spellEnd"/>
      <w:r w:rsidR="00C04A4B" w:rsidRPr="00BE23C5">
        <w:t xml:space="preserve"> and placebo treatment groups (mean [95% CI], 0.855 [0.840-0.869]; 0.863 [0.850-0.876]</w:t>
      </w:r>
      <w:r w:rsidR="007547CE" w:rsidRPr="00BE23C5">
        <w:t>)</w:t>
      </w:r>
      <w:r w:rsidR="00C04A4B" w:rsidRPr="00BE23C5">
        <w:t>. These values are similar to the utility value for the disease-free health state in the model (0.9; Garrison et al., 2007).</w:t>
      </w:r>
    </w:p>
    <w:p w:rsidR="00954BD3" w:rsidRPr="00BE23C5" w:rsidRDefault="00954BD3" w:rsidP="001159DF">
      <w:pPr>
        <w:pStyle w:val="ListParagraph"/>
        <w:widowControl/>
        <w:numPr>
          <w:ilvl w:val="1"/>
          <w:numId w:val="2"/>
        </w:numPr>
        <w:spacing w:before="120" w:after="120"/>
      </w:pPr>
      <w:r w:rsidRPr="00BE23C5">
        <w:t xml:space="preserve">Utility estimates for the local recurrence and distant recurrence health states </w:t>
      </w:r>
      <w:r w:rsidR="00021DB5" w:rsidRPr="00BE23C5">
        <w:t>were</w:t>
      </w:r>
      <w:r w:rsidRPr="00BE23C5">
        <w:t xml:space="preserve"> identic</w:t>
      </w:r>
      <w:r w:rsidR="004F2484" w:rsidRPr="00BE23C5">
        <w:t>a</w:t>
      </w:r>
      <w:r w:rsidRPr="00BE23C5">
        <w:t>l. Th</w:t>
      </w:r>
      <w:r w:rsidR="007A7562" w:rsidRPr="00BE23C5">
        <w:t xml:space="preserve">ere are likely to be </w:t>
      </w:r>
      <w:r w:rsidR="000031C9" w:rsidRPr="00BE23C5">
        <w:t>differences in</w:t>
      </w:r>
      <w:r w:rsidRPr="00BE23C5">
        <w:t xml:space="preserve"> symptoms associated with the location of the metastases in the distant recurrence health state (e.g. bone pain).</w:t>
      </w:r>
    </w:p>
    <w:p w:rsidR="008446DD" w:rsidRPr="00BE23C5" w:rsidRDefault="008446DD" w:rsidP="001159DF">
      <w:pPr>
        <w:pStyle w:val="ListParagraph"/>
        <w:widowControl/>
        <w:numPr>
          <w:ilvl w:val="1"/>
          <w:numId w:val="2"/>
        </w:numPr>
        <w:spacing w:before="120" w:after="120"/>
      </w:pPr>
      <w:proofErr w:type="spellStart"/>
      <w:r w:rsidRPr="00BE23C5">
        <w:t>Disutilities</w:t>
      </w:r>
      <w:proofErr w:type="spellEnd"/>
      <w:r w:rsidRPr="00BE23C5">
        <w:t xml:space="preserve"> were only applied for diarrhoea</w:t>
      </w:r>
      <w:r w:rsidR="00D86D93" w:rsidRPr="00BE23C5">
        <w:t xml:space="preserve">, and the duration they were applied for was shorter for </w:t>
      </w:r>
      <w:proofErr w:type="spellStart"/>
      <w:r w:rsidR="00D86D93" w:rsidRPr="00BE23C5">
        <w:t>neratinib</w:t>
      </w:r>
      <w:proofErr w:type="spellEnd"/>
      <w:r w:rsidR="00D86D93" w:rsidRPr="00BE23C5">
        <w:t xml:space="preserve"> than for placebo for Grade ≤ 2 diarrhoea</w:t>
      </w:r>
      <w:r w:rsidR="004531ED" w:rsidRPr="00BE23C5">
        <w:t xml:space="preserve"> (</w:t>
      </w:r>
      <w:proofErr w:type="spellStart"/>
      <w:r w:rsidR="004531ED" w:rsidRPr="00BE23C5">
        <w:t>neratinib</w:t>
      </w:r>
      <w:proofErr w:type="spellEnd"/>
      <w:r w:rsidR="004531ED" w:rsidRPr="00BE23C5">
        <w:t xml:space="preserve"> 0.1 weeks vs placebo 0.3 weeks)</w:t>
      </w:r>
      <w:r w:rsidRPr="00BE23C5">
        <w:t>.</w:t>
      </w:r>
    </w:p>
    <w:p w:rsidR="00B721A6" w:rsidRPr="00BE23C5" w:rsidRDefault="00B721A6" w:rsidP="001159DF">
      <w:pPr>
        <w:widowControl/>
        <w:spacing w:before="120" w:after="120"/>
        <w:rPr>
          <w:u w:val="single"/>
        </w:rPr>
      </w:pPr>
      <w:r w:rsidRPr="00BE23C5">
        <w:rPr>
          <w:u w:val="single"/>
        </w:rPr>
        <w:t>Other issues:</w:t>
      </w:r>
    </w:p>
    <w:p w:rsidR="007A7562" w:rsidRPr="00BE23C5" w:rsidRDefault="007A7562" w:rsidP="001159DF">
      <w:pPr>
        <w:pStyle w:val="ListParagraph"/>
        <w:widowControl/>
        <w:numPr>
          <w:ilvl w:val="1"/>
          <w:numId w:val="2"/>
        </w:numPr>
        <w:spacing w:before="120" w:after="120"/>
      </w:pPr>
      <w:r w:rsidRPr="00BE23C5">
        <w:t xml:space="preserve">Other issues with the model that were identified </w:t>
      </w:r>
      <w:r w:rsidR="007547CE" w:rsidRPr="00BE23C5">
        <w:t>during the evaluation</w:t>
      </w:r>
      <w:r w:rsidRPr="00BE23C5">
        <w:t xml:space="preserve"> were:</w:t>
      </w:r>
    </w:p>
    <w:p w:rsidR="00C94154" w:rsidRPr="00BE23C5" w:rsidRDefault="00C94154" w:rsidP="001159DF">
      <w:pPr>
        <w:pStyle w:val="ListParagraph"/>
        <w:widowControl/>
        <w:numPr>
          <w:ilvl w:val="0"/>
          <w:numId w:val="7"/>
        </w:numPr>
        <w:spacing w:before="120" w:after="120"/>
        <w:ind w:left="1077" w:hanging="357"/>
      </w:pPr>
      <w:r w:rsidRPr="00BE23C5">
        <w:t xml:space="preserve">The time horizon in the base case (55 years) was long relative to the five year follow-up period of the </w:t>
      </w:r>
      <w:proofErr w:type="spellStart"/>
      <w:r w:rsidRPr="00BE23C5">
        <w:t>ExteNET</w:t>
      </w:r>
      <w:proofErr w:type="spellEnd"/>
      <w:r w:rsidRPr="00BE23C5">
        <w:t xml:space="preserve"> trial.</w:t>
      </w:r>
      <w:r w:rsidR="007A7562" w:rsidRPr="00BE23C5">
        <w:t xml:space="preserve"> </w:t>
      </w:r>
      <w:r w:rsidR="00F54D7E" w:rsidRPr="00BE23C5">
        <w:t>The ESC noted that a 55 year time horizon is clinically implausible, however</w:t>
      </w:r>
      <w:r w:rsidR="007A7562" w:rsidRPr="00BE23C5">
        <w:t>, the ICER was not sensitive to the time horizon unless shorter than 30 years</w:t>
      </w:r>
      <w:r w:rsidR="005908D0" w:rsidRPr="00BE23C5">
        <w:t xml:space="preserve"> (Table 14)</w:t>
      </w:r>
      <w:r w:rsidR="007A7562" w:rsidRPr="00BE23C5">
        <w:t>.</w:t>
      </w:r>
    </w:p>
    <w:p w:rsidR="00C94154" w:rsidRPr="00BE23C5" w:rsidRDefault="00C94154" w:rsidP="001159DF">
      <w:pPr>
        <w:pStyle w:val="ListParagraph"/>
        <w:widowControl/>
        <w:numPr>
          <w:ilvl w:val="0"/>
          <w:numId w:val="7"/>
        </w:numPr>
        <w:spacing w:before="120" w:after="120"/>
        <w:ind w:left="1077" w:hanging="357"/>
      </w:pPr>
      <w:r w:rsidRPr="00BE23C5">
        <w:t xml:space="preserve">The age of the cohort in the model was derived from the mean age in the </w:t>
      </w:r>
      <w:proofErr w:type="spellStart"/>
      <w:r w:rsidRPr="00BE23C5">
        <w:t>ExteNET</w:t>
      </w:r>
      <w:proofErr w:type="spellEnd"/>
      <w:r w:rsidRPr="00BE23C5">
        <w:t xml:space="preserve"> trial rather than the mean age of newly diagnosed breast cancer patients in Australia.</w:t>
      </w:r>
    </w:p>
    <w:p w:rsidR="00816552" w:rsidRPr="00BE23C5" w:rsidRDefault="008635AB" w:rsidP="001159DF">
      <w:pPr>
        <w:pStyle w:val="ListParagraph"/>
        <w:widowControl/>
        <w:numPr>
          <w:ilvl w:val="0"/>
          <w:numId w:val="7"/>
        </w:numPr>
        <w:spacing w:before="120" w:after="120"/>
        <w:ind w:left="1077" w:hanging="357"/>
      </w:pPr>
      <w:r w:rsidRPr="00BE23C5">
        <w:t xml:space="preserve">The use of </w:t>
      </w:r>
      <w:proofErr w:type="spellStart"/>
      <w:r w:rsidRPr="00BE23C5">
        <w:t>loperamide</w:t>
      </w:r>
      <w:proofErr w:type="spellEnd"/>
      <w:r w:rsidRPr="00BE23C5">
        <w:t xml:space="preserve"> </w:t>
      </w:r>
      <w:r w:rsidR="002805B9" w:rsidRPr="00BE23C5">
        <w:t>after the initial 55 days of prophylaxis appears to</w:t>
      </w:r>
      <w:r w:rsidRPr="00BE23C5">
        <w:t xml:space="preserve"> be underestimated</w:t>
      </w:r>
      <w:r w:rsidR="002805B9" w:rsidRPr="00BE23C5">
        <w:t>.</w:t>
      </w:r>
    </w:p>
    <w:p w:rsidR="00954BD3" w:rsidRPr="00BE23C5" w:rsidRDefault="0023530B" w:rsidP="001159DF">
      <w:pPr>
        <w:pStyle w:val="ListParagraph"/>
        <w:widowControl/>
        <w:numPr>
          <w:ilvl w:val="0"/>
          <w:numId w:val="7"/>
        </w:numPr>
        <w:spacing w:before="120" w:after="120"/>
        <w:ind w:left="1077" w:hanging="357"/>
      </w:pPr>
      <w:r w:rsidRPr="00BE23C5">
        <w:t>Several t</w:t>
      </w:r>
      <w:r w:rsidR="008635AB" w:rsidRPr="00BE23C5">
        <w:t>reatments</w:t>
      </w:r>
      <w:r w:rsidRPr="00BE23C5">
        <w:t xml:space="preserve"> and the PBS codes</w:t>
      </w:r>
      <w:r w:rsidR="008635AB" w:rsidRPr="00BE23C5">
        <w:t xml:space="preserve"> used for </w:t>
      </w:r>
      <w:r w:rsidRPr="00BE23C5">
        <w:t xml:space="preserve">the </w:t>
      </w:r>
      <w:r w:rsidR="0004773F" w:rsidRPr="00BE23C5">
        <w:t xml:space="preserve">treatments for </w:t>
      </w:r>
      <w:r w:rsidR="008635AB" w:rsidRPr="00BE23C5">
        <w:t xml:space="preserve">local and distant recurrence </w:t>
      </w:r>
      <w:r w:rsidR="00EC1528" w:rsidRPr="00BE23C5">
        <w:t xml:space="preserve">were </w:t>
      </w:r>
      <w:r w:rsidR="008635AB" w:rsidRPr="00BE23C5">
        <w:t xml:space="preserve">inappropriate. </w:t>
      </w:r>
    </w:p>
    <w:p w:rsidR="0023530B" w:rsidRPr="00BE23C5" w:rsidRDefault="00EC1528" w:rsidP="001159DF">
      <w:pPr>
        <w:pStyle w:val="ListParagraph"/>
        <w:widowControl/>
        <w:numPr>
          <w:ilvl w:val="0"/>
          <w:numId w:val="7"/>
        </w:numPr>
        <w:spacing w:before="120" w:after="120"/>
        <w:ind w:left="1077" w:hanging="357"/>
      </w:pPr>
      <w:r w:rsidRPr="00BE23C5">
        <w:t>The cost</w:t>
      </w:r>
      <w:r w:rsidR="00B25ACA" w:rsidRPr="00BE23C5">
        <w:t>s</w:t>
      </w:r>
      <w:r w:rsidRPr="00BE23C5">
        <w:t xml:space="preserve"> of e</w:t>
      </w:r>
      <w:r w:rsidR="0023530B" w:rsidRPr="00BE23C5">
        <w:t xml:space="preserve">ndocrine therapies were not included in the model, despite 93.4% of patients in the </w:t>
      </w:r>
      <w:proofErr w:type="spellStart"/>
      <w:r w:rsidR="0023530B" w:rsidRPr="00BE23C5">
        <w:t>ExteNET</w:t>
      </w:r>
      <w:proofErr w:type="spellEnd"/>
      <w:r w:rsidR="0023530B" w:rsidRPr="00BE23C5">
        <w:t xml:space="preserve"> trial using concomitant endocrine therapy.</w:t>
      </w:r>
      <w:r w:rsidRPr="00BE23C5">
        <w:t xml:space="preserve"> The cost of these therapies would increase if patients spend longer in the </w:t>
      </w:r>
      <w:proofErr w:type="spellStart"/>
      <w:r w:rsidRPr="00BE23C5">
        <w:t>iDFS</w:t>
      </w:r>
      <w:proofErr w:type="spellEnd"/>
      <w:r w:rsidRPr="00BE23C5">
        <w:t xml:space="preserve"> health state.</w:t>
      </w:r>
    </w:p>
    <w:p w:rsidR="0023530B" w:rsidRPr="00BE23C5" w:rsidRDefault="0023530B" w:rsidP="001159DF">
      <w:pPr>
        <w:pStyle w:val="ListParagraph"/>
        <w:widowControl/>
        <w:numPr>
          <w:ilvl w:val="0"/>
          <w:numId w:val="7"/>
        </w:numPr>
        <w:spacing w:before="120" w:after="120"/>
        <w:ind w:left="1077" w:hanging="357"/>
      </w:pPr>
      <w:r w:rsidRPr="00BE23C5">
        <w:lastRenderedPageBreak/>
        <w:t>The</w:t>
      </w:r>
      <w:r w:rsidR="0004773F" w:rsidRPr="00BE23C5">
        <w:t xml:space="preserve"> cost of an</w:t>
      </w:r>
      <w:r w:rsidRPr="00BE23C5">
        <w:t xml:space="preserve"> </w:t>
      </w:r>
      <w:r w:rsidR="00EC1528" w:rsidRPr="00BE23C5">
        <w:t>ISH</w:t>
      </w:r>
      <w:r w:rsidRPr="00BE23C5">
        <w:t xml:space="preserve"> test was applied to all patients who enter the local recurrence health state, despite </w:t>
      </w:r>
      <w:r w:rsidR="00D86D93" w:rsidRPr="00BE23C5">
        <w:t>patients</w:t>
      </w:r>
      <w:r w:rsidRPr="00BE23C5">
        <w:t xml:space="preserve"> having received the test prior to initial </w:t>
      </w:r>
      <w:proofErr w:type="spellStart"/>
      <w:r w:rsidRPr="00BE23C5">
        <w:t>trastuzumab</w:t>
      </w:r>
      <w:proofErr w:type="spellEnd"/>
      <w:r w:rsidRPr="00BE23C5">
        <w:t xml:space="preserve"> treatment </w:t>
      </w:r>
      <w:r w:rsidR="0004773F" w:rsidRPr="00BE23C5">
        <w:t>(i</w:t>
      </w:r>
      <w:r w:rsidR="002A4F8C" w:rsidRPr="00BE23C5">
        <w:t>.</w:t>
      </w:r>
      <w:r w:rsidR="0004773F" w:rsidRPr="00BE23C5">
        <w:t>e</w:t>
      </w:r>
      <w:r w:rsidR="002A4F8C" w:rsidRPr="00BE23C5">
        <w:t>.</w:t>
      </w:r>
      <w:r w:rsidR="0004773F" w:rsidRPr="00BE23C5">
        <w:t xml:space="preserve"> prior to</w:t>
      </w:r>
      <w:r w:rsidRPr="00BE23C5">
        <w:t xml:space="preserve"> </w:t>
      </w:r>
      <w:proofErr w:type="spellStart"/>
      <w:r w:rsidRPr="00BE23C5">
        <w:t>neratinib</w:t>
      </w:r>
      <w:proofErr w:type="spellEnd"/>
      <w:r w:rsidRPr="00BE23C5">
        <w:t xml:space="preserve"> therapy</w:t>
      </w:r>
      <w:r w:rsidR="0004773F" w:rsidRPr="00BE23C5">
        <w:t>)</w:t>
      </w:r>
      <w:r w:rsidRPr="00BE23C5">
        <w:t>.</w:t>
      </w:r>
    </w:p>
    <w:p w:rsidR="0023530B" w:rsidRPr="00BE23C5" w:rsidRDefault="0023530B" w:rsidP="001159DF">
      <w:pPr>
        <w:pStyle w:val="ListParagraph"/>
        <w:widowControl/>
        <w:numPr>
          <w:ilvl w:val="0"/>
          <w:numId w:val="7"/>
        </w:numPr>
        <w:spacing w:before="120" w:after="120"/>
        <w:ind w:left="1077" w:hanging="357"/>
      </w:pPr>
      <w:r w:rsidRPr="00BE23C5">
        <w:t>Several medical service/diagnostic costs were missing from the model, such as CT scans, blood tests etc.</w:t>
      </w:r>
      <w:r w:rsidR="0089377D" w:rsidRPr="00BE23C5">
        <w:t xml:space="preserve"> The PBAC noted that the </w:t>
      </w:r>
      <w:proofErr w:type="spellStart"/>
      <w:r w:rsidR="0089377D" w:rsidRPr="00BE23C5">
        <w:t>ExteNET</w:t>
      </w:r>
      <w:proofErr w:type="spellEnd"/>
      <w:r w:rsidR="0089377D" w:rsidRPr="00BE23C5">
        <w:t xml:space="preserve"> trial included monthly blood tests to m</w:t>
      </w:r>
      <w:r w:rsidR="002A4F8C" w:rsidRPr="00BE23C5">
        <w:t>onitor the impact o</w:t>
      </w:r>
      <w:r w:rsidR="0089377D" w:rsidRPr="00BE23C5">
        <w:t xml:space="preserve">f diarrhoea </w:t>
      </w:r>
      <w:r w:rsidR="002A4F8C" w:rsidRPr="00BE23C5">
        <w:t xml:space="preserve">on patients </w:t>
      </w:r>
      <w:r w:rsidR="0089377D" w:rsidRPr="00BE23C5">
        <w:t xml:space="preserve">and considered that patients treated with </w:t>
      </w:r>
      <w:proofErr w:type="spellStart"/>
      <w:r w:rsidR="0089377D" w:rsidRPr="00BE23C5">
        <w:t>neratinib</w:t>
      </w:r>
      <w:proofErr w:type="spellEnd"/>
      <w:r w:rsidR="0089377D" w:rsidRPr="00BE23C5">
        <w:t xml:space="preserve"> would require additional tests</w:t>
      </w:r>
      <w:r w:rsidR="00581D25" w:rsidRPr="00BE23C5">
        <w:t xml:space="preserve"> due to its toxicity.</w:t>
      </w:r>
    </w:p>
    <w:p w:rsidR="0023530B" w:rsidRPr="00BE23C5" w:rsidRDefault="0023530B" w:rsidP="001159DF">
      <w:pPr>
        <w:pStyle w:val="ListParagraph"/>
        <w:widowControl/>
        <w:numPr>
          <w:ilvl w:val="0"/>
          <w:numId w:val="7"/>
        </w:numPr>
        <w:spacing w:before="120" w:after="120"/>
        <w:ind w:left="1077" w:hanging="357"/>
      </w:pPr>
      <w:r w:rsidRPr="00BE23C5">
        <w:t>Several treatments for adverse events were inappropriate, such as the use of fentanyl for breakthrough pain when no therapy for baseline pain relief was proposed. Also the use of fentanyl and ondansetron do not align with their PBS restrictions.</w:t>
      </w:r>
    </w:p>
    <w:p w:rsidR="00AC6FE2" w:rsidRPr="00BE23C5" w:rsidRDefault="00AC6FE2" w:rsidP="001159DF">
      <w:pPr>
        <w:pStyle w:val="ListParagraph"/>
        <w:widowControl/>
        <w:numPr>
          <w:ilvl w:val="0"/>
          <w:numId w:val="7"/>
        </w:numPr>
        <w:spacing w:before="120" w:after="120"/>
        <w:ind w:left="1077" w:hanging="357"/>
      </w:pPr>
      <w:r w:rsidRPr="00BE23C5">
        <w:t>Drug wastage was not included and costs were based on a cost per tablet.</w:t>
      </w:r>
      <w:r w:rsidR="00613B69" w:rsidRPr="00BE23C5">
        <w:t xml:space="preserve"> </w:t>
      </w:r>
      <w:r w:rsidR="00C41CD3" w:rsidRPr="00BE23C5">
        <w:t>The PSCR included wastage in the univariate sensitivity analys</w:t>
      </w:r>
      <w:r w:rsidR="007547CE" w:rsidRPr="00BE23C5">
        <w:t>e</w:t>
      </w:r>
      <w:r w:rsidR="00C41CD3" w:rsidRPr="00BE23C5">
        <w:t xml:space="preserve">s and stated that </w:t>
      </w:r>
      <w:proofErr w:type="spellStart"/>
      <w:r w:rsidR="00C41CD3" w:rsidRPr="00BE23C5">
        <w:t>neratinib</w:t>
      </w:r>
      <w:proofErr w:type="spellEnd"/>
      <w:r w:rsidR="00C41CD3" w:rsidRPr="00BE23C5">
        <w:t xml:space="preserve"> is cost-effective when wastage was included in the economic model, however the ICER increased</w:t>
      </w:r>
      <w:r w:rsidR="00D060D8">
        <w:t xml:space="preserve"> </w:t>
      </w:r>
      <w:r w:rsidR="00C41CD3" w:rsidRPr="00BE23C5">
        <w:t>to $</w:t>
      </w:r>
      <w:r w:rsidR="008A2B95">
        <w:t>45,000 - $75,000</w:t>
      </w:r>
      <w:r w:rsidR="00C41CD3" w:rsidRPr="00BE23C5">
        <w:t xml:space="preserve"> per QALY.</w:t>
      </w:r>
    </w:p>
    <w:p w:rsidR="002C6D41" w:rsidRPr="00BE23C5" w:rsidRDefault="002C6D41" w:rsidP="001159DF">
      <w:pPr>
        <w:pStyle w:val="ListParagraph"/>
        <w:widowControl/>
        <w:numPr>
          <w:ilvl w:val="1"/>
          <w:numId w:val="2"/>
        </w:numPr>
        <w:spacing w:before="120" w:after="120"/>
      </w:pPr>
      <w:r w:rsidRPr="00BE23C5">
        <w:t xml:space="preserve">The ESC noted that the main cost driver was the cost of </w:t>
      </w:r>
      <w:proofErr w:type="spellStart"/>
      <w:r w:rsidRPr="00BE23C5">
        <w:t>neratinib</w:t>
      </w:r>
      <w:proofErr w:type="spellEnd"/>
      <w:r w:rsidRPr="00BE23C5">
        <w:t>, but some offsets were also included for delayed recurrence.</w:t>
      </w:r>
      <w:r w:rsidR="005A36C0" w:rsidRPr="00BE23C5">
        <w:t xml:space="preserve"> The PBAC noted that the </w:t>
      </w:r>
      <w:proofErr w:type="spellStart"/>
      <w:r w:rsidR="00A2684C" w:rsidRPr="00BE23C5">
        <w:t>neratinib</w:t>
      </w:r>
      <w:proofErr w:type="spellEnd"/>
      <w:r w:rsidR="00A2684C" w:rsidRPr="00BE23C5">
        <w:t xml:space="preserve"> </w:t>
      </w:r>
      <w:r w:rsidR="005A36C0" w:rsidRPr="00BE23C5">
        <w:t>cost per patient in the model appear</w:t>
      </w:r>
      <w:r w:rsidR="007547CE" w:rsidRPr="00BE23C5">
        <w:t>ed</w:t>
      </w:r>
      <w:r w:rsidR="005A36C0" w:rsidRPr="00BE23C5">
        <w:t xml:space="preserve"> to be too low. This is because the </w:t>
      </w:r>
      <w:r w:rsidR="00A2684C" w:rsidRPr="00BE23C5">
        <w:t xml:space="preserve">model calculated the </w:t>
      </w:r>
      <w:r w:rsidR="005A36C0" w:rsidRPr="00BE23C5">
        <w:t xml:space="preserve">drug cost </w:t>
      </w:r>
      <w:r w:rsidR="00A2684C" w:rsidRPr="00BE23C5">
        <w:t>by</w:t>
      </w:r>
      <w:r w:rsidR="005A36C0" w:rsidRPr="00BE23C5">
        <w:t xml:space="preserve"> multiply</w:t>
      </w:r>
      <w:r w:rsidR="00A2684C" w:rsidRPr="00BE23C5">
        <w:t>ing</w:t>
      </w:r>
      <w:r w:rsidR="005A36C0" w:rsidRPr="00BE23C5">
        <w:t xml:space="preserve"> the monthly cost by the proportion disease free for the duration of 8.23 months, however the mean duration</w:t>
      </w:r>
      <w:r w:rsidR="00A2684C" w:rsidRPr="00BE23C5">
        <w:t xml:space="preserve"> (of 8.23)</w:t>
      </w:r>
      <w:r w:rsidR="005A36C0" w:rsidRPr="00BE23C5">
        <w:t xml:space="preserve"> already accounts for </w:t>
      </w:r>
      <w:r w:rsidR="00D4761B" w:rsidRPr="00BE23C5">
        <w:t xml:space="preserve">discontinuation of </w:t>
      </w:r>
      <w:r w:rsidR="005A36C0" w:rsidRPr="00BE23C5">
        <w:t>patients who have progressed. When corrected, the drug cost per patient per month increased to $</w:t>
      </w:r>
      <w:r w:rsidR="008A2B95">
        <w:t xml:space="preserve"> less than $10 million</w:t>
      </w:r>
      <w:r w:rsidR="00D4761B" w:rsidRPr="00BE23C5">
        <w:t>, which increased the ICER to $</w:t>
      </w:r>
      <w:r w:rsidR="008A2B95">
        <w:t>45,000/QALY -$75,000</w:t>
      </w:r>
      <w:r w:rsidR="00D4761B" w:rsidRPr="00BE23C5">
        <w:t>/QALY. The drug cost and ICER</w:t>
      </w:r>
      <w:r w:rsidR="005A36C0" w:rsidRPr="00BE23C5">
        <w:t xml:space="preserve"> would increase further if wastage is included.</w:t>
      </w:r>
    </w:p>
    <w:p w:rsidR="007A4F05" w:rsidRPr="00BE23C5" w:rsidRDefault="00FF77E2" w:rsidP="001159DF">
      <w:pPr>
        <w:pStyle w:val="ListParagraph"/>
        <w:widowControl/>
        <w:numPr>
          <w:ilvl w:val="1"/>
          <w:numId w:val="2"/>
        </w:numPr>
        <w:spacing w:before="120" w:after="120"/>
      </w:pPr>
      <w:r w:rsidRPr="00BE23C5">
        <w:t>Table 1</w:t>
      </w:r>
      <w:r w:rsidR="00C41CD3" w:rsidRPr="00BE23C5">
        <w:t>2</w:t>
      </w:r>
      <w:r w:rsidR="004F2484" w:rsidRPr="00BE23C5">
        <w:t xml:space="preserve"> presents the </w:t>
      </w:r>
      <w:r w:rsidR="007A4F05" w:rsidRPr="00BE23C5">
        <w:t xml:space="preserve">sensitivity analyses </w:t>
      </w:r>
      <w:r w:rsidR="004F2484" w:rsidRPr="00BE23C5">
        <w:t>presented by the submission</w:t>
      </w:r>
      <w:r w:rsidR="007A4F05" w:rsidRPr="00BE23C5">
        <w:t>.</w:t>
      </w:r>
    </w:p>
    <w:p w:rsidR="00496482" w:rsidRPr="00BE23C5" w:rsidRDefault="00496482" w:rsidP="00496482">
      <w:pPr>
        <w:keepNext/>
        <w:widowControl/>
        <w:rPr>
          <w:rStyle w:val="CommentReference"/>
        </w:rPr>
      </w:pPr>
      <w:r w:rsidRPr="00BE23C5">
        <w:rPr>
          <w:rStyle w:val="CommentReference"/>
        </w:rPr>
        <w:lastRenderedPageBreak/>
        <w:t>Table 1</w:t>
      </w:r>
      <w:r w:rsidR="00C41CD3" w:rsidRPr="00BE23C5">
        <w:rPr>
          <w:rStyle w:val="CommentReference"/>
        </w:rPr>
        <w:t>2</w:t>
      </w:r>
      <w:r w:rsidRPr="00BE23C5">
        <w:rPr>
          <w:rStyle w:val="CommentReference"/>
        </w:rPr>
        <w:t>: Sensitivity analyses presented by the submission</w:t>
      </w:r>
    </w:p>
    <w:tbl>
      <w:tblPr>
        <w:tblStyle w:val="TableGrid"/>
        <w:tblW w:w="5000" w:type="pct"/>
        <w:tblLook w:val="04A0" w:firstRow="1" w:lastRow="0" w:firstColumn="1" w:lastColumn="0" w:noHBand="0" w:noVBand="1"/>
        <w:tblCaption w:val="Table 12: Sensitivity analyses presented by the submission"/>
      </w:tblPr>
      <w:tblGrid>
        <w:gridCol w:w="2830"/>
        <w:gridCol w:w="1417"/>
        <w:gridCol w:w="1562"/>
        <w:gridCol w:w="1558"/>
        <w:gridCol w:w="1650"/>
      </w:tblGrid>
      <w:tr w:rsidR="004051E4" w:rsidRPr="00BE23C5" w:rsidTr="00E031F5">
        <w:trPr>
          <w:trHeight w:val="58"/>
          <w:tblHeader/>
        </w:trPr>
        <w:tc>
          <w:tcPr>
            <w:tcW w:w="1569" w:type="pct"/>
          </w:tcPr>
          <w:p w:rsidR="004051E4" w:rsidRPr="00BE23C5" w:rsidRDefault="004051E4" w:rsidP="00165CCD">
            <w:pPr>
              <w:pStyle w:val="TableHeading"/>
              <w:spacing w:before="0" w:after="0"/>
            </w:pPr>
            <w:r w:rsidRPr="00BE23C5">
              <w:t>Variable</w:t>
            </w:r>
          </w:p>
        </w:tc>
        <w:tc>
          <w:tcPr>
            <w:tcW w:w="786" w:type="pct"/>
          </w:tcPr>
          <w:p w:rsidR="004051E4" w:rsidRPr="00BE23C5" w:rsidRDefault="004051E4" w:rsidP="000F2E0D">
            <w:pPr>
              <w:pStyle w:val="TableHeading"/>
              <w:spacing w:before="0" w:after="0"/>
              <w:jc w:val="center"/>
            </w:pPr>
            <w:r w:rsidRPr="00BE23C5">
              <w:t>Base Case</w:t>
            </w:r>
          </w:p>
        </w:tc>
        <w:tc>
          <w:tcPr>
            <w:tcW w:w="866" w:type="pct"/>
          </w:tcPr>
          <w:p w:rsidR="004051E4" w:rsidRPr="00BE23C5" w:rsidRDefault="004051E4" w:rsidP="000F2E0D">
            <w:pPr>
              <w:pStyle w:val="TableHeading"/>
              <w:spacing w:before="0" w:after="0"/>
              <w:jc w:val="center"/>
            </w:pPr>
            <w:r w:rsidRPr="00BE23C5">
              <w:t>Lower bound</w:t>
            </w:r>
          </w:p>
        </w:tc>
        <w:tc>
          <w:tcPr>
            <w:tcW w:w="864" w:type="pct"/>
          </w:tcPr>
          <w:p w:rsidR="004051E4" w:rsidRPr="00BE23C5" w:rsidRDefault="004051E4" w:rsidP="000F2E0D">
            <w:pPr>
              <w:pStyle w:val="TableHeading"/>
              <w:spacing w:before="0" w:after="0"/>
              <w:jc w:val="center"/>
            </w:pPr>
            <w:r w:rsidRPr="00BE23C5">
              <w:t>Upper bound</w:t>
            </w:r>
          </w:p>
        </w:tc>
        <w:tc>
          <w:tcPr>
            <w:tcW w:w="915" w:type="pct"/>
          </w:tcPr>
          <w:p w:rsidR="004051E4" w:rsidRPr="00BE23C5" w:rsidRDefault="004051E4" w:rsidP="000F2E0D">
            <w:pPr>
              <w:pStyle w:val="TableHeading"/>
              <w:spacing w:before="0" w:after="0"/>
              <w:jc w:val="center"/>
            </w:pPr>
            <w:r w:rsidRPr="00BE23C5">
              <w:t>ICER range</w:t>
            </w:r>
          </w:p>
        </w:tc>
      </w:tr>
      <w:tr w:rsidR="00361F39" w:rsidRPr="00BE23C5" w:rsidTr="00E031F5">
        <w:trPr>
          <w:trHeight w:val="317"/>
          <w:tblHeader/>
        </w:trPr>
        <w:tc>
          <w:tcPr>
            <w:tcW w:w="1569" w:type="pct"/>
          </w:tcPr>
          <w:p w:rsidR="00361F39" w:rsidRPr="00BE23C5" w:rsidRDefault="004A2C4C" w:rsidP="00165CCD">
            <w:pPr>
              <w:pStyle w:val="TableHeading"/>
              <w:spacing w:before="0" w:after="0"/>
              <w:rPr>
                <w:b w:val="0"/>
              </w:rPr>
            </w:pPr>
            <w:r w:rsidRPr="00BE23C5">
              <w:rPr>
                <w:b w:val="0"/>
              </w:rPr>
              <w:t>Discount rate</w:t>
            </w:r>
            <w:r w:rsidR="00361F39" w:rsidRPr="00BE23C5">
              <w:rPr>
                <w:b w:val="0"/>
              </w:rPr>
              <w:t>: Outcomes</w:t>
            </w:r>
          </w:p>
        </w:tc>
        <w:tc>
          <w:tcPr>
            <w:tcW w:w="786" w:type="pct"/>
          </w:tcPr>
          <w:p w:rsidR="00361F39" w:rsidRPr="00BE23C5" w:rsidRDefault="00361F39" w:rsidP="000F2E0D">
            <w:pPr>
              <w:pStyle w:val="TableHeading"/>
              <w:spacing w:before="0" w:after="0"/>
              <w:jc w:val="center"/>
              <w:rPr>
                <w:b w:val="0"/>
              </w:rPr>
            </w:pPr>
            <w:r w:rsidRPr="00BE23C5">
              <w:rPr>
                <w:b w:val="0"/>
              </w:rPr>
              <w:t>0.05</w:t>
            </w:r>
          </w:p>
        </w:tc>
        <w:tc>
          <w:tcPr>
            <w:tcW w:w="866" w:type="pct"/>
          </w:tcPr>
          <w:p w:rsidR="00361F39" w:rsidRPr="00BE23C5" w:rsidRDefault="00361F39" w:rsidP="000F2E0D">
            <w:pPr>
              <w:pStyle w:val="TableHeading"/>
              <w:spacing w:before="0" w:after="0"/>
              <w:jc w:val="center"/>
              <w:rPr>
                <w:b w:val="0"/>
              </w:rPr>
            </w:pPr>
            <w:r w:rsidRPr="00BE23C5">
              <w:rPr>
                <w:b w:val="0"/>
              </w:rPr>
              <w:t>0.00</w:t>
            </w:r>
          </w:p>
        </w:tc>
        <w:tc>
          <w:tcPr>
            <w:tcW w:w="864" w:type="pct"/>
          </w:tcPr>
          <w:p w:rsidR="00361F39" w:rsidRPr="00BE23C5" w:rsidRDefault="00361F39" w:rsidP="000F2E0D">
            <w:pPr>
              <w:pStyle w:val="TableHeading"/>
              <w:spacing w:before="0" w:after="0"/>
              <w:jc w:val="center"/>
              <w:rPr>
                <w:b w:val="0"/>
              </w:rPr>
            </w:pPr>
            <w:r w:rsidRPr="00BE23C5">
              <w:rPr>
                <w:b w:val="0"/>
              </w:rPr>
              <w:t>0.10</w:t>
            </w:r>
          </w:p>
        </w:tc>
        <w:tc>
          <w:tcPr>
            <w:tcW w:w="915" w:type="pct"/>
          </w:tcPr>
          <w:p w:rsidR="00361F39" w:rsidRPr="00BE23C5" w:rsidRDefault="00C72F38" w:rsidP="000F2E0D">
            <w:pPr>
              <w:pStyle w:val="TableHeading"/>
              <w:spacing w:before="0" w:after="0"/>
              <w:jc w:val="center"/>
              <w:rPr>
                <w:b w:val="0"/>
              </w:rPr>
            </w:pPr>
            <w:r w:rsidRPr="00BE23C5">
              <w:rPr>
                <w:b w:val="0"/>
              </w:rPr>
              <w:t>$</w:t>
            </w:r>
            <w:r w:rsidR="00FC3C5B">
              <w:rPr>
                <w:b w:val="0"/>
                <w:noProof/>
                <w:color w:val="000000"/>
                <w:highlight w:val="black"/>
              </w:rPr>
              <w:t>'''''''''''''''</w:t>
            </w:r>
            <w:r w:rsidRPr="00BE23C5">
              <w:rPr>
                <w:b w:val="0"/>
              </w:rPr>
              <w:t>-$</w:t>
            </w:r>
            <w:r w:rsidR="00FC3C5B">
              <w:rPr>
                <w:b w:val="0"/>
                <w:noProof/>
                <w:color w:val="000000"/>
                <w:highlight w:val="black"/>
              </w:rPr>
              <w:t>'''''''''''''''''</w:t>
            </w:r>
          </w:p>
        </w:tc>
      </w:tr>
      <w:tr w:rsidR="00361F39" w:rsidRPr="00BE23C5" w:rsidTr="00E031F5">
        <w:trPr>
          <w:trHeight w:val="215"/>
          <w:tblHeader/>
        </w:trPr>
        <w:tc>
          <w:tcPr>
            <w:tcW w:w="1569" w:type="pct"/>
          </w:tcPr>
          <w:p w:rsidR="00361F39" w:rsidRPr="00BE23C5" w:rsidRDefault="004A2C4C" w:rsidP="00165CCD">
            <w:pPr>
              <w:pStyle w:val="TableHeading"/>
              <w:spacing w:before="0" w:after="0"/>
              <w:rPr>
                <w:b w:val="0"/>
              </w:rPr>
            </w:pPr>
            <w:r w:rsidRPr="00BE23C5">
              <w:rPr>
                <w:b w:val="0"/>
              </w:rPr>
              <w:t>Discount rate</w:t>
            </w:r>
            <w:r w:rsidR="00361F39" w:rsidRPr="00BE23C5">
              <w:rPr>
                <w:b w:val="0"/>
              </w:rPr>
              <w:t>: Costs</w:t>
            </w:r>
          </w:p>
        </w:tc>
        <w:tc>
          <w:tcPr>
            <w:tcW w:w="786" w:type="pct"/>
          </w:tcPr>
          <w:p w:rsidR="00361F39" w:rsidRPr="00BE23C5" w:rsidRDefault="00361F39" w:rsidP="000F2E0D">
            <w:pPr>
              <w:pStyle w:val="TableHeading"/>
              <w:spacing w:before="0" w:after="0"/>
              <w:jc w:val="center"/>
              <w:rPr>
                <w:b w:val="0"/>
              </w:rPr>
            </w:pPr>
            <w:r w:rsidRPr="00BE23C5">
              <w:rPr>
                <w:b w:val="0"/>
              </w:rPr>
              <w:t>0.05</w:t>
            </w:r>
          </w:p>
        </w:tc>
        <w:tc>
          <w:tcPr>
            <w:tcW w:w="866" w:type="pct"/>
          </w:tcPr>
          <w:p w:rsidR="00361F39" w:rsidRPr="00BE23C5" w:rsidRDefault="00361F39" w:rsidP="000F2E0D">
            <w:pPr>
              <w:pStyle w:val="TableHeading"/>
              <w:spacing w:before="0" w:after="0"/>
              <w:jc w:val="center"/>
              <w:rPr>
                <w:b w:val="0"/>
              </w:rPr>
            </w:pPr>
            <w:r w:rsidRPr="00BE23C5">
              <w:rPr>
                <w:b w:val="0"/>
              </w:rPr>
              <w:t>0.00</w:t>
            </w:r>
          </w:p>
        </w:tc>
        <w:tc>
          <w:tcPr>
            <w:tcW w:w="864" w:type="pct"/>
          </w:tcPr>
          <w:p w:rsidR="00361F39" w:rsidRPr="00BE23C5" w:rsidRDefault="00361F39" w:rsidP="000F2E0D">
            <w:pPr>
              <w:pStyle w:val="TableHeading"/>
              <w:spacing w:before="0" w:after="0"/>
              <w:jc w:val="center"/>
              <w:rPr>
                <w:b w:val="0"/>
              </w:rPr>
            </w:pPr>
            <w:r w:rsidRPr="00BE23C5">
              <w:rPr>
                <w:b w:val="0"/>
              </w:rPr>
              <w:t>0.10</w:t>
            </w:r>
          </w:p>
        </w:tc>
        <w:tc>
          <w:tcPr>
            <w:tcW w:w="915" w:type="pct"/>
          </w:tcPr>
          <w:p w:rsidR="00361F39" w:rsidRPr="00BE23C5" w:rsidRDefault="00C72F38" w:rsidP="000F2E0D">
            <w:pPr>
              <w:pStyle w:val="TableHeading"/>
              <w:spacing w:before="0" w:after="0"/>
              <w:jc w:val="center"/>
              <w:rPr>
                <w:b w:val="0"/>
              </w:rPr>
            </w:pPr>
            <w:r w:rsidRPr="00BE23C5">
              <w:rPr>
                <w:b w:val="0"/>
              </w:rPr>
              <w:t>$</w:t>
            </w:r>
            <w:r w:rsidR="00FC3C5B">
              <w:rPr>
                <w:b w:val="0"/>
                <w:noProof/>
                <w:color w:val="000000"/>
                <w:highlight w:val="black"/>
              </w:rPr>
              <w:t>'''''''''''''''''</w:t>
            </w:r>
            <w:r w:rsidRPr="00BE23C5">
              <w:rPr>
                <w:b w:val="0"/>
              </w:rPr>
              <w:t>-$</w:t>
            </w:r>
            <w:r w:rsidR="00FC3C5B">
              <w:rPr>
                <w:b w:val="0"/>
                <w:noProof/>
                <w:color w:val="000000"/>
                <w:highlight w:val="black"/>
              </w:rPr>
              <w:t>''''''''''''''''</w:t>
            </w:r>
          </w:p>
        </w:tc>
      </w:tr>
      <w:tr w:rsidR="00361F39" w:rsidRPr="00BE23C5" w:rsidTr="00E031F5">
        <w:trPr>
          <w:trHeight w:val="62"/>
          <w:tblHeader/>
        </w:trPr>
        <w:tc>
          <w:tcPr>
            <w:tcW w:w="1569" w:type="pct"/>
          </w:tcPr>
          <w:p w:rsidR="00361F39" w:rsidRPr="00BE23C5" w:rsidRDefault="00361F39" w:rsidP="00165CCD">
            <w:pPr>
              <w:pStyle w:val="TableHeading"/>
              <w:spacing w:before="0" w:after="0"/>
              <w:rPr>
                <w:b w:val="0"/>
              </w:rPr>
            </w:pPr>
            <w:r w:rsidRPr="00BE23C5">
              <w:rPr>
                <w:b w:val="0"/>
              </w:rPr>
              <w:t>Disease-free</w:t>
            </w:r>
            <w:r w:rsidR="00C72F38" w:rsidRPr="00BE23C5">
              <w:rPr>
                <w:b w:val="0"/>
              </w:rPr>
              <w:t xml:space="preserve"> utility</w:t>
            </w:r>
          </w:p>
        </w:tc>
        <w:tc>
          <w:tcPr>
            <w:tcW w:w="786" w:type="pct"/>
          </w:tcPr>
          <w:p w:rsidR="00361F39" w:rsidRPr="00BE23C5" w:rsidRDefault="00361F39" w:rsidP="000F2E0D">
            <w:pPr>
              <w:pStyle w:val="TableHeading"/>
              <w:spacing w:before="0" w:after="0"/>
              <w:jc w:val="center"/>
              <w:rPr>
                <w:b w:val="0"/>
              </w:rPr>
            </w:pPr>
            <w:r w:rsidRPr="00BE23C5">
              <w:rPr>
                <w:b w:val="0"/>
              </w:rPr>
              <w:t>0.90</w:t>
            </w:r>
          </w:p>
        </w:tc>
        <w:tc>
          <w:tcPr>
            <w:tcW w:w="866" w:type="pct"/>
          </w:tcPr>
          <w:p w:rsidR="00361F39" w:rsidRPr="00BE23C5" w:rsidRDefault="00361F39" w:rsidP="000F2E0D">
            <w:pPr>
              <w:pStyle w:val="TableHeading"/>
              <w:spacing w:before="0" w:after="0"/>
              <w:jc w:val="center"/>
              <w:rPr>
                <w:b w:val="0"/>
              </w:rPr>
            </w:pPr>
            <w:r w:rsidRPr="00BE23C5">
              <w:rPr>
                <w:b w:val="0"/>
              </w:rPr>
              <w:t>0.81</w:t>
            </w:r>
          </w:p>
        </w:tc>
        <w:tc>
          <w:tcPr>
            <w:tcW w:w="864" w:type="pct"/>
          </w:tcPr>
          <w:p w:rsidR="00361F39" w:rsidRPr="00BE23C5" w:rsidRDefault="00361F39" w:rsidP="000F2E0D">
            <w:pPr>
              <w:pStyle w:val="TableHeading"/>
              <w:spacing w:before="0" w:after="0"/>
              <w:jc w:val="center"/>
              <w:rPr>
                <w:b w:val="0"/>
              </w:rPr>
            </w:pPr>
            <w:r w:rsidRPr="00BE23C5">
              <w:rPr>
                <w:b w:val="0"/>
              </w:rPr>
              <w:t>0.99</w:t>
            </w:r>
          </w:p>
        </w:tc>
        <w:tc>
          <w:tcPr>
            <w:tcW w:w="915" w:type="pct"/>
          </w:tcPr>
          <w:p w:rsidR="00361F39" w:rsidRPr="00BE23C5" w:rsidRDefault="00C72F38" w:rsidP="000F2E0D">
            <w:pPr>
              <w:pStyle w:val="TableHeading"/>
              <w:spacing w:before="0" w:after="0"/>
              <w:jc w:val="center"/>
              <w:rPr>
                <w:b w:val="0"/>
              </w:rPr>
            </w:pPr>
            <w:r w:rsidRPr="00BE23C5">
              <w:rPr>
                <w:b w:val="0"/>
              </w:rPr>
              <w:t>$</w:t>
            </w:r>
            <w:r w:rsidR="00FC3C5B">
              <w:rPr>
                <w:b w:val="0"/>
                <w:noProof/>
                <w:color w:val="000000"/>
                <w:highlight w:val="black"/>
              </w:rPr>
              <w:t>''''''''''''''''</w:t>
            </w:r>
            <w:r w:rsidRPr="00BE23C5">
              <w:rPr>
                <w:b w:val="0"/>
              </w:rPr>
              <w:t>-$</w:t>
            </w:r>
            <w:r w:rsidR="00FC3C5B">
              <w:rPr>
                <w:b w:val="0"/>
                <w:noProof/>
                <w:color w:val="000000"/>
                <w:highlight w:val="black"/>
              </w:rPr>
              <w:t>''''''''''''''''''</w:t>
            </w:r>
          </w:p>
        </w:tc>
      </w:tr>
      <w:tr w:rsidR="00361F39" w:rsidRPr="00BE23C5" w:rsidTr="00E031F5">
        <w:trPr>
          <w:trHeight w:val="58"/>
          <w:tblHeader/>
        </w:trPr>
        <w:tc>
          <w:tcPr>
            <w:tcW w:w="1569" w:type="pct"/>
          </w:tcPr>
          <w:p w:rsidR="00361F39" w:rsidRPr="00BE23C5" w:rsidRDefault="00361F39" w:rsidP="00165CCD">
            <w:pPr>
              <w:pStyle w:val="TableHeading"/>
              <w:spacing w:before="0" w:after="0"/>
              <w:rPr>
                <w:b w:val="0"/>
              </w:rPr>
            </w:pPr>
            <w:r w:rsidRPr="00BE23C5">
              <w:rPr>
                <w:b w:val="0"/>
              </w:rPr>
              <w:t>Mean age (years)</w:t>
            </w:r>
          </w:p>
        </w:tc>
        <w:tc>
          <w:tcPr>
            <w:tcW w:w="786" w:type="pct"/>
          </w:tcPr>
          <w:p w:rsidR="00361F39" w:rsidRPr="00BE23C5" w:rsidRDefault="00361F39" w:rsidP="000F2E0D">
            <w:pPr>
              <w:pStyle w:val="TableHeading"/>
              <w:spacing w:before="0" w:after="0"/>
              <w:jc w:val="center"/>
              <w:rPr>
                <w:b w:val="0"/>
              </w:rPr>
            </w:pPr>
            <w:r w:rsidRPr="00BE23C5">
              <w:rPr>
                <w:b w:val="0"/>
              </w:rPr>
              <w:t>52.29</w:t>
            </w:r>
          </w:p>
        </w:tc>
        <w:tc>
          <w:tcPr>
            <w:tcW w:w="866" w:type="pct"/>
          </w:tcPr>
          <w:p w:rsidR="00361F39" w:rsidRPr="00BE23C5" w:rsidRDefault="00361F39" w:rsidP="000F2E0D">
            <w:pPr>
              <w:pStyle w:val="TableHeading"/>
              <w:spacing w:before="0" w:after="0"/>
              <w:jc w:val="center"/>
              <w:rPr>
                <w:b w:val="0"/>
              </w:rPr>
            </w:pPr>
            <w:r w:rsidRPr="00BE23C5">
              <w:rPr>
                <w:b w:val="0"/>
              </w:rPr>
              <w:t>47.06</w:t>
            </w:r>
          </w:p>
        </w:tc>
        <w:tc>
          <w:tcPr>
            <w:tcW w:w="864" w:type="pct"/>
          </w:tcPr>
          <w:p w:rsidR="00361F39" w:rsidRPr="00BE23C5" w:rsidRDefault="00361F39" w:rsidP="000F2E0D">
            <w:pPr>
              <w:pStyle w:val="TableHeading"/>
              <w:spacing w:before="0" w:after="0"/>
              <w:jc w:val="center"/>
              <w:rPr>
                <w:b w:val="0"/>
              </w:rPr>
            </w:pPr>
            <w:r w:rsidRPr="00BE23C5">
              <w:rPr>
                <w:b w:val="0"/>
              </w:rPr>
              <w:t>57.52</w:t>
            </w:r>
          </w:p>
        </w:tc>
        <w:tc>
          <w:tcPr>
            <w:tcW w:w="915" w:type="pct"/>
          </w:tcPr>
          <w:p w:rsidR="00361F39" w:rsidRPr="00BE23C5" w:rsidRDefault="00C72F38" w:rsidP="000F2E0D">
            <w:pPr>
              <w:pStyle w:val="TableHeading"/>
              <w:spacing w:before="0" w:after="0"/>
              <w:jc w:val="center"/>
              <w:rPr>
                <w:b w:val="0"/>
              </w:rPr>
            </w:pPr>
            <w:r w:rsidRPr="00BE23C5">
              <w:rPr>
                <w:b w:val="0"/>
              </w:rPr>
              <w:t>$</w:t>
            </w:r>
            <w:r w:rsidR="00FC3C5B">
              <w:rPr>
                <w:b w:val="0"/>
                <w:noProof/>
                <w:color w:val="000000"/>
                <w:highlight w:val="black"/>
              </w:rPr>
              <w:t>''''''''''''''''</w:t>
            </w:r>
            <w:r w:rsidRPr="00BE23C5">
              <w:rPr>
                <w:b w:val="0"/>
              </w:rPr>
              <w:t>-</w:t>
            </w:r>
            <w:r w:rsidR="003B166D" w:rsidRPr="00BE23C5">
              <w:rPr>
                <w:b w:val="0"/>
              </w:rPr>
              <w:t>$</w:t>
            </w:r>
            <w:r w:rsidR="00FC3C5B">
              <w:rPr>
                <w:b w:val="0"/>
                <w:noProof/>
                <w:color w:val="000000"/>
                <w:highlight w:val="black"/>
              </w:rPr>
              <w:t>''''''''''''''''</w:t>
            </w:r>
          </w:p>
        </w:tc>
      </w:tr>
      <w:tr w:rsidR="00361F39" w:rsidRPr="00BE23C5" w:rsidTr="00E031F5">
        <w:trPr>
          <w:trHeight w:val="317"/>
          <w:tblHeader/>
        </w:trPr>
        <w:tc>
          <w:tcPr>
            <w:tcW w:w="1569" w:type="pct"/>
          </w:tcPr>
          <w:p w:rsidR="00361F39" w:rsidRPr="00BE23C5" w:rsidRDefault="00361F39" w:rsidP="00165CCD">
            <w:pPr>
              <w:pStyle w:val="TableHeading"/>
              <w:spacing w:before="0" w:after="0"/>
              <w:rPr>
                <w:b w:val="0"/>
              </w:rPr>
            </w:pPr>
            <w:r w:rsidRPr="00BE23C5">
              <w:rPr>
                <w:b w:val="0"/>
              </w:rPr>
              <w:t>Local Recurrence annual cost</w:t>
            </w:r>
          </w:p>
        </w:tc>
        <w:tc>
          <w:tcPr>
            <w:tcW w:w="786" w:type="pct"/>
          </w:tcPr>
          <w:p w:rsidR="00361F39" w:rsidRPr="00BE23C5" w:rsidRDefault="00361F39" w:rsidP="000F2E0D">
            <w:pPr>
              <w:pStyle w:val="TableHeading"/>
              <w:spacing w:before="0" w:after="0"/>
              <w:jc w:val="center"/>
              <w:rPr>
                <w:b w:val="0"/>
              </w:rPr>
            </w:pPr>
            <w:r w:rsidRPr="00BE23C5">
              <w:rPr>
                <w:b w:val="0"/>
              </w:rPr>
              <w:t>$</w:t>
            </w:r>
            <w:r w:rsidR="00FC3C5B">
              <w:rPr>
                <w:b w:val="0"/>
                <w:noProof/>
                <w:color w:val="000000"/>
                <w:highlight w:val="black"/>
              </w:rPr>
              <w:t>''''''''''''''''''''''''''''</w:t>
            </w:r>
          </w:p>
        </w:tc>
        <w:tc>
          <w:tcPr>
            <w:tcW w:w="866" w:type="pct"/>
          </w:tcPr>
          <w:p w:rsidR="00361F39" w:rsidRPr="00BE23C5" w:rsidRDefault="00361F39" w:rsidP="000F2E0D">
            <w:pPr>
              <w:pStyle w:val="TableHeading"/>
              <w:spacing w:before="0" w:after="0"/>
              <w:jc w:val="center"/>
              <w:rPr>
                <w:b w:val="0"/>
              </w:rPr>
            </w:pPr>
            <w:r w:rsidRPr="00BE23C5">
              <w:rPr>
                <w:b w:val="0"/>
              </w:rPr>
              <w:t>$</w:t>
            </w:r>
            <w:r w:rsidR="00FC3C5B">
              <w:rPr>
                <w:b w:val="0"/>
                <w:noProof/>
                <w:color w:val="000000"/>
                <w:highlight w:val="black"/>
              </w:rPr>
              <w:t>'''''''''''''''''''''''''''''</w:t>
            </w:r>
          </w:p>
        </w:tc>
        <w:tc>
          <w:tcPr>
            <w:tcW w:w="864" w:type="pct"/>
          </w:tcPr>
          <w:p w:rsidR="00361F39" w:rsidRPr="00BE23C5" w:rsidRDefault="00361F39" w:rsidP="000F2E0D">
            <w:pPr>
              <w:pStyle w:val="TableHeading"/>
              <w:spacing w:before="0" w:after="0"/>
              <w:jc w:val="center"/>
              <w:rPr>
                <w:b w:val="0"/>
              </w:rPr>
            </w:pPr>
            <w:r w:rsidRPr="00BE23C5">
              <w:rPr>
                <w:b w:val="0"/>
              </w:rPr>
              <w:t>$</w:t>
            </w:r>
            <w:r w:rsidR="00FC3C5B">
              <w:rPr>
                <w:b w:val="0"/>
                <w:noProof/>
                <w:color w:val="000000"/>
                <w:highlight w:val="black"/>
              </w:rPr>
              <w:t>''''''''''''''''''''''''''</w:t>
            </w:r>
          </w:p>
        </w:tc>
        <w:tc>
          <w:tcPr>
            <w:tcW w:w="915" w:type="pct"/>
          </w:tcPr>
          <w:p w:rsidR="00361F39" w:rsidRPr="00BE23C5" w:rsidRDefault="003B166D" w:rsidP="000F2E0D">
            <w:pPr>
              <w:pStyle w:val="TableHeading"/>
              <w:spacing w:before="0" w:after="0"/>
              <w:jc w:val="center"/>
              <w:rPr>
                <w:b w:val="0"/>
              </w:rPr>
            </w:pPr>
            <w:r w:rsidRPr="00BE23C5">
              <w:rPr>
                <w:b w:val="0"/>
              </w:rPr>
              <w:t>$</w:t>
            </w:r>
            <w:r w:rsidR="00FC3C5B">
              <w:rPr>
                <w:b w:val="0"/>
                <w:noProof/>
                <w:color w:val="000000"/>
                <w:highlight w:val="black"/>
              </w:rPr>
              <w:t>''''''''''''''''''</w:t>
            </w:r>
            <w:r w:rsidRPr="00BE23C5">
              <w:rPr>
                <w:b w:val="0"/>
              </w:rPr>
              <w:t>-$</w:t>
            </w:r>
            <w:r w:rsidR="00FC3C5B">
              <w:rPr>
                <w:b w:val="0"/>
                <w:noProof/>
                <w:color w:val="000000"/>
                <w:highlight w:val="black"/>
              </w:rPr>
              <w:t>'''''''''''''''''</w:t>
            </w:r>
          </w:p>
        </w:tc>
      </w:tr>
      <w:tr w:rsidR="00361F39" w:rsidRPr="00BE23C5" w:rsidTr="00E031F5">
        <w:trPr>
          <w:trHeight w:val="317"/>
          <w:tblHeader/>
        </w:trPr>
        <w:tc>
          <w:tcPr>
            <w:tcW w:w="1569" w:type="pct"/>
          </w:tcPr>
          <w:p w:rsidR="00361F39" w:rsidRPr="00BE23C5" w:rsidRDefault="00361F39" w:rsidP="00165CCD">
            <w:pPr>
              <w:pStyle w:val="TableHeading"/>
              <w:spacing w:before="0" w:after="0"/>
              <w:rPr>
                <w:b w:val="0"/>
              </w:rPr>
            </w:pPr>
            <w:r w:rsidRPr="00BE23C5">
              <w:rPr>
                <w:b w:val="0"/>
              </w:rPr>
              <w:t>Distant recurrence annual cost</w:t>
            </w:r>
          </w:p>
        </w:tc>
        <w:tc>
          <w:tcPr>
            <w:tcW w:w="786" w:type="pct"/>
          </w:tcPr>
          <w:p w:rsidR="00361F39" w:rsidRPr="00BE23C5" w:rsidRDefault="00361F39" w:rsidP="000F2E0D">
            <w:pPr>
              <w:pStyle w:val="TableHeading"/>
              <w:spacing w:before="0" w:after="0"/>
              <w:jc w:val="center"/>
              <w:rPr>
                <w:b w:val="0"/>
              </w:rPr>
            </w:pPr>
            <w:r w:rsidRPr="00BE23C5">
              <w:rPr>
                <w:b w:val="0"/>
              </w:rPr>
              <w:t>$</w:t>
            </w:r>
            <w:r w:rsidR="00FC3C5B">
              <w:rPr>
                <w:b w:val="0"/>
                <w:noProof/>
                <w:color w:val="000000"/>
                <w:highlight w:val="black"/>
              </w:rPr>
              <w:t>'''''''''''''''''''''</w:t>
            </w:r>
          </w:p>
        </w:tc>
        <w:tc>
          <w:tcPr>
            <w:tcW w:w="866" w:type="pct"/>
          </w:tcPr>
          <w:p w:rsidR="00361F39" w:rsidRPr="00BE23C5" w:rsidRDefault="00361F39" w:rsidP="000F2E0D">
            <w:pPr>
              <w:pStyle w:val="TableHeading"/>
              <w:spacing w:before="0" w:after="0"/>
              <w:jc w:val="center"/>
              <w:rPr>
                <w:b w:val="0"/>
              </w:rPr>
            </w:pPr>
            <w:r w:rsidRPr="00BE23C5">
              <w:rPr>
                <w:b w:val="0"/>
              </w:rPr>
              <w:t>$</w:t>
            </w:r>
            <w:r w:rsidR="00FC3C5B">
              <w:rPr>
                <w:b w:val="0"/>
                <w:noProof/>
                <w:color w:val="000000"/>
                <w:highlight w:val="black"/>
              </w:rPr>
              <w:t>''''''''''''''''''''''''</w:t>
            </w:r>
          </w:p>
        </w:tc>
        <w:tc>
          <w:tcPr>
            <w:tcW w:w="864" w:type="pct"/>
          </w:tcPr>
          <w:p w:rsidR="00361F39" w:rsidRPr="00BE23C5" w:rsidRDefault="00361F39" w:rsidP="000F2E0D">
            <w:pPr>
              <w:pStyle w:val="TableHeading"/>
              <w:spacing w:before="0" w:after="0"/>
              <w:jc w:val="center"/>
              <w:rPr>
                <w:b w:val="0"/>
              </w:rPr>
            </w:pPr>
            <w:r w:rsidRPr="00BE23C5">
              <w:rPr>
                <w:b w:val="0"/>
              </w:rPr>
              <w:t>$</w:t>
            </w:r>
            <w:r w:rsidR="00FC3C5B">
              <w:rPr>
                <w:b w:val="0"/>
                <w:noProof/>
                <w:color w:val="000000"/>
                <w:highlight w:val="black"/>
              </w:rPr>
              <w:t>''''''''''''''''''''''''</w:t>
            </w:r>
          </w:p>
        </w:tc>
        <w:tc>
          <w:tcPr>
            <w:tcW w:w="915" w:type="pct"/>
          </w:tcPr>
          <w:p w:rsidR="00361F39" w:rsidRPr="00BE23C5" w:rsidRDefault="003B166D" w:rsidP="000F2E0D">
            <w:pPr>
              <w:pStyle w:val="TableHeading"/>
              <w:spacing w:before="0" w:after="0"/>
              <w:jc w:val="center"/>
              <w:rPr>
                <w:b w:val="0"/>
              </w:rPr>
            </w:pPr>
            <w:r w:rsidRPr="00BE23C5">
              <w:rPr>
                <w:b w:val="0"/>
              </w:rPr>
              <w:t>$</w:t>
            </w:r>
            <w:r w:rsidR="00FC3C5B">
              <w:rPr>
                <w:b w:val="0"/>
                <w:noProof/>
                <w:color w:val="000000"/>
                <w:highlight w:val="black"/>
              </w:rPr>
              <w:t>''''''''''''''''</w:t>
            </w:r>
            <w:r w:rsidRPr="00BE23C5">
              <w:rPr>
                <w:b w:val="0"/>
              </w:rPr>
              <w:t>-$</w:t>
            </w:r>
            <w:r w:rsidR="00FC3C5B">
              <w:rPr>
                <w:b w:val="0"/>
                <w:noProof/>
                <w:color w:val="000000"/>
                <w:highlight w:val="black"/>
              </w:rPr>
              <w:t>''''''''''''''''</w:t>
            </w:r>
          </w:p>
        </w:tc>
      </w:tr>
      <w:tr w:rsidR="00361F39" w:rsidRPr="00BE23C5" w:rsidTr="00E031F5">
        <w:trPr>
          <w:trHeight w:val="317"/>
          <w:tblHeader/>
        </w:trPr>
        <w:tc>
          <w:tcPr>
            <w:tcW w:w="1569" w:type="pct"/>
          </w:tcPr>
          <w:p w:rsidR="00361F39" w:rsidRPr="00BE23C5" w:rsidRDefault="00361F39" w:rsidP="00165CCD">
            <w:pPr>
              <w:pStyle w:val="TableHeading"/>
              <w:spacing w:before="0" w:after="0"/>
              <w:rPr>
                <w:b w:val="0"/>
              </w:rPr>
            </w:pPr>
            <w:proofErr w:type="spellStart"/>
            <w:r w:rsidRPr="00BE23C5">
              <w:rPr>
                <w:b w:val="0"/>
              </w:rPr>
              <w:t>Loperamide</w:t>
            </w:r>
            <w:proofErr w:type="spellEnd"/>
            <w:r w:rsidRPr="00BE23C5">
              <w:rPr>
                <w:b w:val="0"/>
              </w:rPr>
              <w:t xml:space="preserve"> prophylaxis</w:t>
            </w:r>
            <w:r w:rsidR="004A2C4C" w:rsidRPr="00BE23C5">
              <w:rPr>
                <w:b w:val="0"/>
              </w:rPr>
              <w:t xml:space="preserve"> cost</w:t>
            </w:r>
          </w:p>
        </w:tc>
        <w:tc>
          <w:tcPr>
            <w:tcW w:w="786" w:type="pct"/>
          </w:tcPr>
          <w:p w:rsidR="00361F39" w:rsidRPr="00BE23C5" w:rsidRDefault="008658F5" w:rsidP="000F2E0D">
            <w:pPr>
              <w:pStyle w:val="TableHeading"/>
              <w:spacing w:before="0" w:after="0"/>
              <w:jc w:val="center"/>
              <w:rPr>
                <w:b w:val="0"/>
              </w:rPr>
            </w:pPr>
            <w:r w:rsidRPr="00BE23C5">
              <w:rPr>
                <w:b w:val="0"/>
              </w:rPr>
              <w:t>$</w:t>
            </w:r>
            <w:r w:rsidR="00FC3C5B">
              <w:rPr>
                <w:b w:val="0"/>
                <w:noProof/>
                <w:color w:val="000000"/>
                <w:highlight w:val="black"/>
              </w:rPr>
              <w:t>'''''''''''''''</w:t>
            </w:r>
          </w:p>
        </w:tc>
        <w:tc>
          <w:tcPr>
            <w:tcW w:w="866" w:type="pct"/>
          </w:tcPr>
          <w:p w:rsidR="00361F39" w:rsidRPr="00BE23C5" w:rsidRDefault="008658F5" w:rsidP="000F2E0D">
            <w:pPr>
              <w:pStyle w:val="TableHeading"/>
              <w:spacing w:before="0" w:after="0"/>
              <w:jc w:val="center"/>
              <w:rPr>
                <w:b w:val="0"/>
              </w:rPr>
            </w:pPr>
            <w:r w:rsidRPr="00BE23C5">
              <w:rPr>
                <w:b w:val="0"/>
              </w:rPr>
              <w:t>$</w:t>
            </w:r>
            <w:r w:rsidR="00FC3C5B">
              <w:rPr>
                <w:b w:val="0"/>
                <w:noProof/>
                <w:color w:val="000000"/>
                <w:highlight w:val="black"/>
              </w:rPr>
              <w:t>'''''''''''''''''</w:t>
            </w:r>
          </w:p>
        </w:tc>
        <w:tc>
          <w:tcPr>
            <w:tcW w:w="864" w:type="pct"/>
          </w:tcPr>
          <w:p w:rsidR="00361F39" w:rsidRPr="00BE23C5" w:rsidRDefault="008658F5" w:rsidP="000F2E0D">
            <w:pPr>
              <w:pStyle w:val="TableHeading"/>
              <w:spacing w:before="0" w:after="0"/>
              <w:jc w:val="center"/>
              <w:rPr>
                <w:b w:val="0"/>
              </w:rPr>
            </w:pPr>
            <w:r w:rsidRPr="00BE23C5">
              <w:rPr>
                <w:b w:val="0"/>
              </w:rPr>
              <w:t>$</w:t>
            </w:r>
            <w:r w:rsidR="00FC3C5B">
              <w:rPr>
                <w:b w:val="0"/>
                <w:noProof/>
                <w:color w:val="000000"/>
                <w:highlight w:val="black"/>
              </w:rPr>
              <w:t>''''''''''''''''</w:t>
            </w:r>
          </w:p>
        </w:tc>
        <w:tc>
          <w:tcPr>
            <w:tcW w:w="915" w:type="pct"/>
          </w:tcPr>
          <w:p w:rsidR="00361F39" w:rsidRPr="00BE23C5" w:rsidRDefault="003B166D" w:rsidP="000F2E0D">
            <w:pPr>
              <w:pStyle w:val="TableHeading"/>
              <w:spacing w:before="0" w:after="0"/>
              <w:jc w:val="center"/>
              <w:rPr>
                <w:b w:val="0"/>
              </w:rPr>
            </w:pPr>
            <w:r w:rsidRPr="00BE23C5">
              <w:rPr>
                <w:b w:val="0"/>
              </w:rPr>
              <w:t>$</w:t>
            </w:r>
            <w:r w:rsidR="00FC3C5B">
              <w:rPr>
                <w:b w:val="0"/>
                <w:noProof/>
                <w:color w:val="000000"/>
                <w:highlight w:val="black"/>
              </w:rPr>
              <w:t>''''''''''''''''</w:t>
            </w:r>
            <w:r w:rsidRPr="00BE23C5">
              <w:rPr>
                <w:b w:val="0"/>
              </w:rPr>
              <w:t>-$</w:t>
            </w:r>
            <w:r w:rsidR="00FC3C5B">
              <w:rPr>
                <w:b w:val="0"/>
                <w:noProof/>
                <w:color w:val="000000"/>
                <w:highlight w:val="black"/>
              </w:rPr>
              <w:t>'''''''''''''''</w:t>
            </w:r>
          </w:p>
        </w:tc>
      </w:tr>
      <w:tr w:rsidR="00361F39" w:rsidRPr="00BE23C5" w:rsidTr="00E031F5">
        <w:trPr>
          <w:trHeight w:val="317"/>
          <w:tblHeader/>
        </w:trPr>
        <w:tc>
          <w:tcPr>
            <w:tcW w:w="1569" w:type="pct"/>
          </w:tcPr>
          <w:p w:rsidR="00361F39" w:rsidRPr="00BE23C5" w:rsidRDefault="00361F39" w:rsidP="00165CCD">
            <w:pPr>
              <w:pStyle w:val="TableHeading"/>
              <w:spacing w:before="0" w:after="0"/>
              <w:rPr>
                <w:b w:val="0"/>
              </w:rPr>
            </w:pPr>
            <w:r w:rsidRPr="00BE23C5">
              <w:rPr>
                <w:b w:val="0"/>
              </w:rPr>
              <w:t>Cost per follow-up visit: Breast cancer clinic</w:t>
            </w:r>
          </w:p>
        </w:tc>
        <w:tc>
          <w:tcPr>
            <w:tcW w:w="786" w:type="pct"/>
          </w:tcPr>
          <w:p w:rsidR="00361F39" w:rsidRPr="00BE23C5" w:rsidRDefault="008658F5" w:rsidP="000F2E0D">
            <w:pPr>
              <w:pStyle w:val="TableHeading"/>
              <w:spacing w:before="0" w:after="0"/>
              <w:jc w:val="center"/>
              <w:rPr>
                <w:b w:val="0"/>
              </w:rPr>
            </w:pPr>
            <w:r w:rsidRPr="00BE23C5">
              <w:rPr>
                <w:b w:val="0"/>
              </w:rPr>
              <w:t>$</w:t>
            </w:r>
            <w:r w:rsidR="00FC3C5B">
              <w:rPr>
                <w:b w:val="0"/>
                <w:noProof/>
                <w:color w:val="000000"/>
                <w:highlight w:val="black"/>
              </w:rPr>
              <w:t>''''''''''''</w:t>
            </w:r>
          </w:p>
        </w:tc>
        <w:tc>
          <w:tcPr>
            <w:tcW w:w="866" w:type="pct"/>
          </w:tcPr>
          <w:p w:rsidR="00361F39" w:rsidRPr="00BE23C5" w:rsidRDefault="008658F5" w:rsidP="000F2E0D">
            <w:pPr>
              <w:pStyle w:val="TableHeading"/>
              <w:spacing w:before="0" w:after="0"/>
              <w:jc w:val="center"/>
              <w:rPr>
                <w:b w:val="0"/>
              </w:rPr>
            </w:pPr>
            <w:r w:rsidRPr="00BE23C5">
              <w:rPr>
                <w:b w:val="0"/>
              </w:rPr>
              <w:t>$</w:t>
            </w:r>
            <w:r w:rsidR="00FC3C5B">
              <w:rPr>
                <w:b w:val="0"/>
                <w:noProof/>
                <w:color w:val="000000"/>
                <w:highlight w:val="black"/>
              </w:rPr>
              <w:t>''''''''''''''</w:t>
            </w:r>
          </w:p>
        </w:tc>
        <w:tc>
          <w:tcPr>
            <w:tcW w:w="864" w:type="pct"/>
          </w:tcPr>
          <w:p w:rsidR="00361F39" w:rsidRPr="00BE23C5" w:rsidRDefault="008658F5" w:rsidP="000F2E0D">
            <w:pPr>
              <w:pStyle w:val="TableHeading"/>
              <w:spacing w:before="0" w:after="0"/>
              <w:jc w:val="center"/>
              <w:rPr>
                <w:b w:val="0"/>
              </w:rPr>
            </w:pPr>
            <w:r w:rsidRPr="00BE23C5">
              <w:rPr>
                <w:b w:val="0"/>
              </w:rPr>
              <w:t>$</w:t>
            </w:r>
            <w:r w:rsidR="00FC3C5B">
              <w:rPr>
                <w:b w:val="0"/>
                <w:noProof/>
                <w:color w:val="000000"/>
                <w:highlight w:val="black"/>
              </w:rPr>
              <w:t>'''''''''''''</w:t>
            </w:r>
          </w:p>
        </w:tc>
        <w:tc>
          <w:tcPr>
            <w:tcW w:w="915" w:type="pct"/>
          </w:tcPr>
          <w:p w:rsidR="00361F39" w:rsidRPr="00BE23C5" w:rsidRDefault="00496482" w:rsidP="000F2E0D">
            <w:pPr>
              <w:pStyle w:val="TableHeading"/>
              <w:spacing w:before="0" w:after="0"/>
              <w:jc w:val="center"/>
              <w:rPr>
                <w:b w:val="0"/>
              </w:rPr>
            </w:pPr>
            <w:r w:rsidRPr="00BE23C5">
              <w:rPr>
                <w:b w:val="0"/>
              </w:rPr>
              <w:t>$</w:t>
            </w:r>
            <w:r w:rsidR="00FC3C5B">
              <w:rPr>
                <w:b w:val="0"/>
                <w:noProof/>
                <w:color w:val="000000"/>
                <w:highlight w:val="black"/>
              </w:rPr>
              <w:t>'''''''''''''''''</w:t>
            </w:r>
            <w:r w:rsidRPr="00BE23C5">
              <w:rPr>
                <w:b w:val="0"/>
              </w:rPr>
              <w:t>-$</w:t>
            </w:r>
            <w:r w:rsidR="00FC3C5B">
              <w:rPr>
                <w:b w:val="0"/>
                <w:noProof/>
                <w:color w:val="000000"/>
                <w:highlight w:val="black"/>
              </w:rPr>
              <w:t>''''''''''''''''</w:t>
            </w:r>
          </w:p>
        </w:tc>
      </w:tr>
      <w:tr w:rsidR="00361F39" w:rsidRPr="00BE23C5" w:rsidTr="00E031F5">
        <w:trPr>
          <w:trHeight w:val="317"/>
          <w:tblHeader/>
        </w:trPr>
        <w:tc>
          <w:tcPr>
            <w:tcW w:w="1569" w:type="pct"/>
          </w:tcPr>
          <w:p w:rsidR="00361F39" w:rsidRPr="00BE23C5" w:rsidRDefault="00361F39" w:rsidP="00165CCD">
            <w:pPr>
              <w:pStyle w:val="TableHeading"/>
              <w:spacing w:before="0" w:after="0"/>
              <w:rPr>
                <w:b w:val="0"/>
              </w:rPr>
            </w:pPr>
            <w:r w:rsidRPr="00BE23C5">
              <w:rPr>
                <w:b w:val="0"/>
              </w:rPr>
              <w:t>AE costs: Diarrhoea grade ≥3</w:t>
            </w:r>
          </w:p>
        </w:tc>
        <w:tc>
          <w:tcPr>
            <w:tcW w:w="786" w:type="pct"/>
          </w:tcPr>
          <w:p w:rsidR="00361F39" w:rsidRPr="00BE23C5" w:rsidRDefault="008658F5" w:rsidP="000F2E0D">
            <w:pPr>
              <w:pStyle w:val="TableHeading"/>
              <w:spacing w:before="0" w:after="0"/>
              <w:jc w:val="center"/>
              <w:rPr>
                <w:b w:val="0"/>
              </w:rPr>
            </w:pPr>
            <w:r w:rsidRPr="00BE23C5">
              <w:rPr>
                <w:b w:val="0"/>
              </w:rPr>
              <w:t>$</w:t>
            </w:r>
            <w:r w:rsidR="00FC3C5B">
              <w:rPr>
                <w:b w:val="0"/>
                <w:noProof/>
                <w:color w:val="000000"/>
                <w:highlight w:val="black"/>
              </w:rPr>
              <w:t>'''''''''''''</w:t>
            </w:r>
          </w:p>
        </w:tc>
        <w:tc>
          <w:tcPr>
            <w:tcW w:w="866" w:type="pct"/>
          </w:tcPr>
          <w:p w:rsidR="00361F39" w:rsidRPr="00BE23C5" w:rsidRDefault="008658F5" w:rsidP="000F2E0D">
            <w:pPr>
              <w:pStyle w:val="TableHeading"/>
              <w:spacing w:before="0" w:after="0"/>
              <w:jc w:val="center"/>
              <w:rPr>
                <w:b w:val="0"/>
              </w:rPr>
            </w:pPr>
            <w:r w:rsidRPr="00BE23C5">
              <w:rPr>
                <w:b w:val="0"/>
              </w:rPr>
              <w:t>$</w:t>
            </w:r>
            <w:r w:rsidR="00FC3C5B">
              <w:rPr>
                <w:b w:val="0"/>
                <w:noProof/>
                <w:color w:val="000000"/>
                <w:highlight w:val="black"/>
              </w:rPr>
              <w:t>''''''''''''''</w:t>
            </w:r>
          </w:p>
        </w:tc>
        <w:tc>
          <w:tcPr>
            <w:tcW w:w="864" w:type="pct"/>
          </w:tcPr>
          <w:p w:rsidR="00361F39" w:rsidRPr="00BE23C5" w:rsidRDefault="008658F5" w:rsidP="000F2E0D">
            <w:pPr>
              <w:pStyle w:val="TableHeading"/>
              <w:spacing w:before="0" w:after="0"/>
              <w:jc w:val="center"/>
              <w:rPr>
                <w:b w:val="0"/>
              </w:rPr>
            </w:pPr>
            <w:r w:rsidRPr="00BE23C5">
              <w:rPr>
                <w:b w:val="0"/>
              </w:rPr>
              <w:t>$</w:t>
            </w:r>
            <w:r w:rsidR="00FC3C5B">
              <w:rPr>
                <w:b w:val="0"/>
                <w:noProof/>
                <w:color w:val="000000"/>
                <w:highlight w:val="black"/>
              </w:rPr>
              <w:t>'''''''''''''</w:t>
            </w:r>
          </w:p>
        </w:tc>
        <w:tc>
          <w:tcPr>
            <w:tcW w:w="915" w:type="pct"/>
          </w:tcPr>
          <w:p w:rsidR="00361F39" w:rsidRPr="00BE23C5" w:rsidRDefault="00496482" w:rsidP="000F2E0D">
            <w:pPr>
              <w:pStyle w:val="TableHeading"/>
              <w:spacing w:before="0" w:after="0"/>
              <w:jc w:val="center"/>
              <w:rPr>
                <w:b w:val="0"/>
              </w:rPr>
            </w:pPr>
            <w:r w:rsidRPr="00BE23C5">
              <w:rPr>
                <w:b w:val="0"/>
              </w:rPr>
              <w:t>$</w:t>
            </w:r>
            <w:r w:rsidR="00FC3C5B">
              <w:rPr>
                <w:b w:val="0"/>
                <w:noProof/>
                <w:color w:val="000000"/>
                <w:highlight w:val="black"/>
              </w:rPr>
              <w:t>''''''''''''''''''</w:t>
            </w:r>
            <w:r w:rsidRPr="00BE23C5">
              <w:rPr>
                <w:b w:val="0"/>
              </w:rPr>
              <w:t>-$</w:t>
            </w:r>
            <w:r w:rsidR="00FC3C5B">
              <w:rPr>
                <w:b w:val="0"/>
                <w:noProof/>
                <w:color w:val="000000"/>
                <w:highlight w:val="black"/>
              </w:rPr>
              <w:t>'''''''''''''''''</w:t>
            </w:r>
          </w:p>
        </w:tc>
      </w:tr>
      <w:tr w:rsidR="00361F39" w:rsidRPr="00BE23C5" w:rsidTr="00E031F5">
        <w:trPr>
          <w:trHeight w:val="307"/>
          <w:tblHeader/>
        </w:trPr>
        <w:tc>
          <w:tcPr>
            <w:tcW w:w="1569" w:type="pct"/>
          </w:tcPr>
          <w:p w:rsidR="00361F39" w:rsidRPr="00BE23C5" w:rsidRDefault="00361F39" w:rsidP="00165CCD">
            <w:pPr>
              <w:pStyle w:val="TableHeading"/>
              <w:spacing w:before="0" w:after="0"/>
              <w:rPr>
                <w:b w:val="0"/>
              </w:rPr>
            </w:pPr>
            <w:r w:rsidRPr="00BE23C5">
              <w:rPr>
                <w:b w:val="0"/>
              </w:rPr>
              <w:t>AE incidence: Diarrhoea grade ≥3</w:t>
            </w:r>
            <w:r w:rsidR="008658F5" w:rsidRPr="00BE23C5">
              <w:rPr>
                <w:b w:val="0"/>
              </w:rPr>
              <w:t xml:space="preserve"> </w:t>
            </w:r>
            <w:proofErr w:type="spellStart"/>
            <w:r w:rsidR="008658F5" w:rsidRPr="00BE23C5">
              <w:rPr>
                <w:b w:val="0"/>
              </w:rPr>
              <w:t>neratinib</w:t>
            </w:r>
            <w:proofErr w:type="spellEnd"/>
            <w:r w:rsidR="008658F5" w:rsidRPr="00BE23C5">
              <w:rPr>
                <w:b w:val="0"/>
              </w:rPr>
              <w:t xml:space="preserve"> with prophylaxis</w:t>
            </w:r>
          </w:p>
        </w:tc>
        <w:tc>
          <w:tcPr>
            <w:tcW w:w="786" w:type="pct"/>
          </w:tcPr>
          <w:p w:rsidR="00361F39" w:rsidRPr="00BE23C5" w:rsidRDefault="004A2C4C" w:rsidP="000F2E0D">
            <w:pPr>
              <w:pStyle w:val="TableHeading"/>
              <w:spacing w:before="0" w:after="0"/>
              <w:jc w:val="center"/>
              <w:rPr>
                <w:b w:val="0"/>
              </w:rPr>
            </w:pPr>
            <w:r w:rsidRPr="00BE23C5">
              <w:rPr>
                <w:b w:val="0"/>
              </w:rPr>
              <w:t>31</w:t>
            </w:r>
            <w:r w:rsidR="00DA3099" w:rsidRPr="00BE23C5">
              <w:rPr>
                <w:b w:val="0"/>
              </w:rPr>
              <w:t>%</w:t>
            </w:r>
          </w:p>
        </w:tc>
        <w:tc>
          <w:tcPr>
            <w:tcW w:w="866" w:type="pct"/>
          </w:tcPr>
          <w:p w:rsidR="00361F39" w:rsidRPr="00BE23C5" w:rsidRDefault="008658F5" w:rsidP="000F2E0D">
            <w:pPr>
              <w:pStyle w:val="TableHeading"/>
              <w:spacing w:before="0" w:after="0"/>
              <w:jc w:val="center"/>
              <w:rPr>
                <w:b w:val="0"/>
              </w:rPr>
            </w:pPr>
            <w:r w:rsidRPr="00BE23C5">
              <w:rPr>
                <w:b w:val="0"/>
              </w:rPr>
              <w:t>28</w:t>
            </w:r>
            <w:r w:rsidR="004A2C4C" w:rsidRPr="00BE23C5">
              <w:rPr>
                <w:b w:val="0"/>
              </w:rPr>
              <w:t>%</w:t>
            </w:r>
          </w:p>
        </w:tc>
        <w:tc>
          <w:tcPr>
            <w:tcW w:w="864" w:type="pct"/>
          </w:tcPr>
          <w:p w:rsidR="00361F39" w:rsidRPr="00BE23C5" w:rsidRDefault="008658F5" w:rsidP="000F2E0D">
            <w:pPr>
              <w:pStyle w:val="TableHeading"/>
              <w:spacing w:before="0" w:after="0"/>
              <w:jc w:val="center"/>
              <w:rPr>
                <w:b w:val="0"/>
              </w:rPr>
            </w:pPr>
            <w:r w:rsidRPr="00BE23C5">
              <w:rPr>
                <w:b w:val="0"/>
              </w:rPr>
              <w:t>34</w:t>
            </w:r>
            <w:r w:rsidR="004A2C4C" w:rsidRPr="00BE23C5">
              <w:rPr>
                <w:b w:val="0"/>
              </w:rPr>
              <w:t>%</w:t>
            </w:r>
          </w:p>
        </w:tc>
        <w:tc>
          <w:tcPr>
            <w:tcW w:w="915" w:type="pct"/>
          </w:tcPr>
          <w:p w:rsidR="00361F39" w:rsidRPr="00BE23C5" w:rsidRDefault="00496482" w:rsidP="000F2E0D">
            <w:pPr>
              <w:pStyle w:val="TableHeading"/>
              <w:spacing w:before="0" w:after="0"/>
              <w:jc w:val="center"/>
              <w:rPr>
                <w:b w:val="0"/>
              </w:rPr>
            </w:pPr>
            <w:r w:rsidRPr="00BE23C5">
              <w:rPr>
                <w:b w:val="0"/>
              </w:rPr>
              <w:t>$</w:t>
            </w:r>
            <w:r w:rsidR="00FC3C5B">
              <w:rPr>
                <w:b w:val="0"/>
                <w:noProof/>
                <w:color w:val="000000"/>
                <w:highlight w:val="black"/>
              </w:rPr>
              <w:t>'''''''''''''''</w:t>
            </w:r>
            <w:r w:rsidRPr="00BE23C5">
              <w:rPr>
                <w:b w:val="0"/>
              </w:rPr>
              <w:t>-$</w:t>
            </w:r>
            <w:r w:rsidR="00FC3C5B">
              <w:rPr>
                <w:b w:val="0"/>
                <w:noProof/>
                <w:color w:val="000000"/>
                <w:highlight w:val="black"/>
              </w:rPr>
              <w:t>'''''''''''''''''</w:t>
            </w:r>
          </w:p>
        </w:tc>
      </w:tr>
      <w:tr w:rsidR="00361F39" w:rsidRPr="00BE23C5" w:rsidTr="00E031F5">
        <w:trPr>
          <w:trHeight w:val="317"/>
          <w:tblHeader/>
        </w:trPr>
        <w:tc>
          <w:tcPr>
            <w:tcW w:w="1569" w:type="pct"/>
          </w:tcPr>
          <w:p w:rsidR="00361F39" w:rsidRPr="00BE23C5" w:rsidRDefault="004A2C4C" w:rsidP="00165CCD">
            <w:pPr>
              <w:pStyle w:val="TableHeading"/>
              <w:spacing w:before="0" w:after="0"/>
              <w:rPr>
                <w:b w:val="0"/>
              </w:rPr>
            </w:pPr>
            <w:r w:rsidRPr="00BE23C5">
              <w:rPr>
                <w:b w:val="0"/>
              </w:rPr>
              <w:t xml:space="preserve">Number of </w:t>
            </w:r>
            <w:r w:rsidR="00361F39" w:rsidRPr="00BE23C5">
              <w:rPr>
                <w:b w:val="0"/>
              </w:rPr>
              <w:t>AE</w:t>
            </w:r>
            <w:r w:rsidRPr="00BE23C5">
              <w:rPr>
                <w:b w:val="0"/>
              </w:rPr>
              <w:t>s experienced</w:t>
            </w:r>
            <w:r w:rsidR="00361F39" w:rsidRPr="00BE23C5">
              <w:rPr>
                <w:b w:val="0"/>
              </w:rPr>
              <w:t>: Diarrhoea grade ≥3</w:t>
            </w:r>
          </w:p>
        </w:tc>
        <w:tc>
          <w:tcPr>
            <w:tcW w:w="786" w:type="pct"/>
          </w:tcPr>
          <w:p w:rsidR="00361F39" w:rsidRPr="00BE23C5" w:rsidRDefault="008658F5" w:rsidP="000F2E0D">
            <w:pPr>
              <w:pStyle w:val="TableHeading"/>
              <w:spacing w:before="0" w:after="0"/>
              <w:jc w:val="center"/>
              <w:rPr>
                <w:b w:val="0"/>
              </w:rPr>
            </w:pPr>
            <w:r w:rsidRPr="00BE23C5">
              <w:rPr>
                <w:b w:val="0"/>
              </w:rPr>
              <w:t>1.00</w:t>
            </w:r>
          </w:p>
        </w:tc>
        <w:tc>
          <w:tcPr>
            <w:tcW w:w="866" w:type="pct"/>
          </w:tcPr>
          <w:p w:rsidR="00361F39" w:rsidRPr="00BE23C5" w:rsidRDefault="008658F5" w:rsidP="000F2E0D">
            <w:pPr>
              <w:pStyle w:val="TableHeading"/>
              <w:spacing w:before="0" w:after="0"/>
              <w:jc w:val="center"/>
              <w:rPr>
                <w:b w:val="0"/>
              </w:rPr>
            </w:pPr>
            <w:r w:rsidRPr="00BE23C5">
              <w:rPr>
                <w:b w:val="0"/>
              </w:rPr>
              <w:t>0.90</w:t>
            </w:r>
          </w:p>
        </w:tc>
        <w:tc>
          <w:tcPr>
            <w:tcW w:w="864" w:type="pct"/>
          </w:tcPr>
          <w:p w:rsidR="00361F39" w:rsidRPr="00BE23C5" w:rsidRDefault="008658F5" w:rsidP="000F2E0D">
            <w:pPr>
              <w:pStyle w:val="TableHeading"/>
              <w:spacing w:before="0" w:after="0"/>
              <w:jc w:val="center"/>
              <w:rPr>
                <w:b w:val="0"/>
              </w:rPr>
            </w:pPr>
            <w:r w:rsidRPr="00BE23C5">
              <w:rPr>
                <w:b w:val="0"/>
              </w:rPr>
              <w:t>1.10</w:t>
            </w:r>
          </w:p>
        </w:tc>
        <w:tc>
          <w:tcPr>
            <w:tcW w:w="915" w:type="pct"/>
          </w:tcPr>
          <w:p w:rsidR="00361F39" w:rsidRPr="00BE23C5" w:rsidRDefault="00496482" w:rsidP="000F2E0D">
            <w:pPr>
              <w:pStyle w:val="TableHeading"/>
              <w:spacing w:before="0" w:after="0"/>
              <w:jc w:val="center"/>
              <w:rPr>
                <w:b w:val="0"/>
              </w:rPr>
            </w:pPr>
            <w:r w:rsidRPr="00BE23C5">
              <w:rPr>
                <w:b w:val="0"/>
              </w:rPr>
              <w:t>$</w:t>
            </w:r>
            <w:r w:rsidR="00FC3C5B">
              <w:rPr>
                <w:b w:val="0"/>
                <w:noProof/>
                <w:color w:val="000000"/>
                <w:highlight w:val="black"/>
              </w:rPr>
              <w:t>''''''''''''''''</w:t>
            </w:r>
            <w:r w:rsidRPr="00BE23C5">
              <w:rPr>
                <w:b w:val="0"/>
              </w:rPr>
              <w:t>-$</w:t>
            </w:r>
            <w:r w:rsidR="00FC3C5B">
              <w:rPr>
                <w:b w:val="0"/>
                <w:noProof/>
                <w:color w:val="000000"/>
                <w:highlight w:val="black"/>
              </w:rPr>
              <w:t>''''''''''''''''</w:t>
            </w:r>
          </w:p>
        </w:tc>
      </w:tr>
      <w:tr w:rsidR="00361F39" w:rsidRPr="00BE23C5" w:rsidTr="00E031F5">
        <w:trPr>
          <w:trHeight w:val="317"/>
          <w:tblHeader/>
        </w:trPr>
        <w:tc>
          <w:tcPr>
            <w:tcW w:w="1569" w:type="pct"/>
            <w:tcBorders>
              <w:bottom w:val="single" w:sz="4" w:space="0" w:color="auto"/>
            </w:tcBorders>
          </w:tcPr>
          <w:p w:rsidR="00361F39" w:rsidRPr="00BE23C5" w:rsidRDefault="00361F39" w:rsidP="00165CCD">
            <w:pPr>
              <w:pStyle w:val="TableHeading"/>
              <w:spacing w:before="0" w:after="0"/>
              <w:rPr>
                <w:b w:val="0"/>
              </w:rPr>
            </w:pPr>
            <w:r w:rsidRPr="00BE23C5">
              <w:rPr>
                <w:b w:val="0"/>
              </w:rPr>
              <w:t>AE utility decrements: Diarrhoea grade ≥3</w:t>
            </w:r>
          </w:p>
        </w:tc>
        <w:tc>
          <w:tcPr>
            <w:tcW w:w="786" w:type="pct"/>
            <w:tcBorders>
              <w:bottom w:val="single" w:sz="4" w:space="0" w:color="auto"/>
            </w:tcBorders>
          </w:tcPr>
          <w:p w:rsidR="00361F39" w:rsidRPr="00BE23C5" w:rsidRDefault="00CA2E69" w:rsidP="000F2E0D">
            <w:pPr>
              <w:pStyle w:val="TableHeading"/>
              <w:spacing w:before="0" w:after="0"/>
              <w:jc w:val="center"/>
              <w:rPr>
                <w:b w:val="0"/>
              </w:rPr>
            </w:pPr>
            <w:r w:rsidRPr="00BE23C5">
              <w:rPr>
                <w:b w:val="0"/>
              </w:rPr>
              <w:t>-0.10</w:t>
            </w:r>
          </w:p>
        </w:tc>
        <w:tc>
          <w:tcPr>
            <w:tcW w:w="866" w:type="pct"/>
            <w:tcBorders>
              <w:bottom w:val="single" w:sz="4" w:space="0" w:color="auto"/>
            </w:tcBorders>
          </w:tcPr>
          <w:p w:rsidR="00361F39" w:rsidRPr="00BE23C5" w:rsidRDefault="00CA2E69" w:rsidP="000F2E0D">
            <w:pPr>
              <w:pStyle w:val="TableHeading"/>
              <w:spacing w:before="0" w:after="0"/>
              <w:jc w:val="center"/>
              <w:rPr>
                <w:b w:val="0"/>
              </w:rPr>
            </w:pPr>
            <w:r w:rsidRPr="00BE23C5">
              <w:rPr>
                <w:b w:val="0"/>
              </w:rPr>
              <w:t>-0.09</w:t>
            </w:r>
          </w:p>
        </w:tc>
        <w:tc>
          <w:tcPr>
            <w:tcW w:w="864" w:type="pct"/>
            <w:tcBorders>
              <w:bottom w:val="single" w:sz="4" w:space="0" w:color="auto"/>
            </w:tcBorders>
          </w:tcPr>
          <w:p w:rsidR="00361F39" w:rsidRPr="00BE23C5" w:rsidRDefault="00CA2E69" w:rsidP="000F2E0D">
            <w:pPr>
              <w:pStyle w:val="TableHeading"/>
              <w:spacing w:before="0" w:after="0"/>
              <w:jc w:val="center"/>
              <w:rPr>
                <w:b w:val="0"/>
              </w:rPr>
            </w:pPr>
            <w:r w:rsidRPr="00BE23C5">
              <w:rPr>
                <w:b w:val="0"/>
              </w:rPr>
              <w:t>-0.11</w:t>
            </w:r>
          </w:p>
        </w:tc>
        <w:tc>
          <w:tcPr>
            <w:tcW w:w="915" w:type="pct"/>
            <w:tcBorders>
              <w:bottom w:val="single" w:sz="4" w:space="0" w:color="auto"/>
            </w:tcBorders>
          </w:tcPr>
          <w:p w:rsidR="00361F39" w:rsidRPr="00BE23C5" w:rsidRDefault="00496482" w:rsidP="000F2E0D">
            <w:pPr>
              <w:pStyle w:val="TableHeading"/>
              <w:spacing w:before="0" w:after="0"/>
              <w:jc w:val="center"/>
              <w:rPr>
                <w:b w:val="0"/>
              </w:rPr>
            </w:pPr>
            <w:r w:rsidRPr="00BE23C5">
              <w:rPr>
                <w:b w:val="0"/>
              </w:rPr>
              <w:t>$</w:t>
            </w:r>
            <w:r w:rsidR="00FC3C5B">
              <w:rPr>
                <w:b w:val="0"/>
                <w:noProof/>
                <w:color w:val="000000"/>
                <w:highlight w:val="black"/>
              </w:rPr>
              <w:t>'''''''''''''''</w:t>
            </w:r>
            <w:r w:rsidRPr="00BE23C5">
              <w:rPr>
                <w:b w:val="0"/>
              </w:rPr>
              <w:t>-$</w:t>
            </w:r>
            <w:r w:rsidR="00FC3C5B">
              <w:rPr>
                <w:b w:val="0"/>
                <w:noProof/>
                <w:color w:val="000000"/>
                <w:highlight w:val="black"/>
              </w:rPr>
              <w:t>'''''''''''''''''</w:t>
            </w:r>
          </w:p>
        </w:tc>
      </w:tr>
      <w:tr w:rsidR="00361F39" w:rsidRPr="00BE23C5" w:rsidTr="00E031F5">
        <w:trPr>
          <w:trHeight w:val="317"/>
          <w:tblHeader/>
        </w:trPr>
        <w:tc>
          <w:tcPr>
            <w:tcW w:w="1569" w:type="pct"/>
            <w:tcBorders>
              <w:top w:val="single" w:sz="4" w:space="0" w:color="auto"/>
              <w:left w:val="single" w:sz="4" w:space="0" w:color="auto"/>
              <w:bottom w:val="single" w:sz="4" w:space="0" w:color="auto"/>
              <w:right w:val="single" w:sz="4" w:space="0" w:color="auto"/>
            </w:tcBorders>
          </w:tcPr>
          <w:p w:rsidR="00361F39" w:rsidRPr="00BE23C5" w:rsidRDefault="00361F39" w:rsidP="00165CCD">
            <w:pPr>
              <w:pStyle w:val="TableHeading"/>
              <w:spacing w:before="0" w:after="0"/>
              <w:rPr>
                <w:b w:val="0"/>
              </w:rPr>
            </w:pPr>
            <w:r w:rsidRPr="00BE23C5">
              <w:rPr>
                <w:b w:val="0"/>
              </w:rPr>
              <w:t>AE utility duration: Diarrhoea grade ≥3</w:t>
            </w:r>
            <w:r w:rsidR="00CA2E69" w:rsidRPr="00BE23C5">
              <w:rPr>
                <w:b w:val="0"/>
              </w:rPr>
              <w:t xml:space="preserve"> </w:t>
            </w:r>
            <w:proofErr w:type="spellStart"/>
            <w:r w:rsidR="00CA2E69" w:rsidRPr="00BE23C5">
              <w:rPr>
                <w:b w:val="0"/>
              </w:rPr>
              <w:t>Neratinib</w:t>
            </w:r>
            <w:proofErr w:type="spellEnd"/>
            <w:r w:rsidR="004A2C4C" w:rsidRPr="00BE23C5">
              <w:rPr>
                <w:b w:val="0"/>
              </w:rPr>
              <w:t xml:space="preserve"> (weeks)</w:t>
            </w:r>
          </w:p>
        </w:tc>
        <w:tc>
          <w:tcPr>
            <w:tcW w:w="786" w:type="pct"/>
            <w:tcBorders>
              <w:top w:val="single" w:sz="4" w:space="0" w:color="auto"/>
              <w:left w:val="single" w:sz="4" w:space="0" w:color="auto"/>
              <w:bottom w:val="single" w:sz="4" w:space="0" w:color="auto"/>
              <w:right w:val="single" w:sz="4" w:space="0" w:color="auto"/>
            </w:tcBorders>
          </w:tcPr>
          <w:p w:rsidR="00361F39" w:rsidRPr="00BE23C5" w:rsidRDefault="004A2C4C" w:rsidP="000F2E0D">
            <w:pPr>
              <w:pStyle w:val="TableHeading"/>
              <w:spacing w:before="0" w:after="0"/>
              <w:jc w:val="center"/>
              <w:rPr>
                <w:b w:val="0"/>
              </w:rPr>
            </w:pPr>
            <w:r w:rsidRPr="00BE23C5">
              <w:rPr>
                <w:b w:val="0"/>
              </w:rPr>
              <w:t>0.29</w:t>
            </w:r>
          </w:p>
        </w:tc>
        <w:tc>
          <w:tcPr>
            <w:tcW w:w="866" w:type="pct"/>
            <w:tcBorders>
              <w:top w:val="single" w:sz="4" w:space="0" w:color="auto"/>
              <w:left w:val="single" w:sz="4" w:space="0" w:color="auto"/>
              <w:bottom w:val="single" w:sz="4" w:space="0" w:color="auto"/>
              <w:right w:val="single" w:sz="4" w:space="0" w:color="auto"/>
            </w:tcBorders>
          </w:tcPr>
          <w:p w:rsidR="00361F39" w:rsidRPr="00BE23C5" w:rsidRDefault="00CA2E69" w:rsidP="000F2E0D">
            <w:pPr>
              <w:pStyle w:val="TableHeading"/>
              <w:spacing w:before="0" w:after="0"/>
              <w:jc w:val="center"/>
              <w:rPr>
                <w:b w:val="0"/>
              </w:rPr>
            </w:pPr>
            <w:r w:rsidRPr="00BE23C5">
              <w:rPr>
                <w:b w:val="0"/>
              </w:rPr>
              <w:t>0.26</w:t>
            </w:r>
          </w:p>
        </w:tc>
        <w:tc>
          <w:tcPr>
            <w:tcW w:w="864" w:type="pct"/>
            <w:tcBorders>
              <w:top w:val="single" w:sz="4" w:space="0" w:color="auto"/>
              <w:left w:val="single" w:sz="4" w:space="0" w:color="auto"/>
              <w:bottom w:val="single" w:sz="4" w:space="0" w:color="auto"/>
              <w:right w:val="single" w:sz="4" w:space="0" w:color="auto"/>
            </w:tcBorders>
          </w:tcPr>
          <w:p w:rsidR="00361F39" w:rsidRPr="00BE23C5" w:rsidRDefault="00CA2E69" w:rsidP="000F2E0D">
            <w:pPr>
              <w:pStyle w:val="TableHeading"/>
              <w:spacing w:before="0" w:after="0"/>
              <w:jc w:val="center"/>
              <w:rPr>
                <w:b w:val="0"/>
              </w:rPr>
            </w:pPr>
            <w:r w:rsidRPr="00BE23C5">
              <w:rPr>
                <w:b w:val="0"/>
              </w:rPr>
              <w:t>0.31</w:t>
            </w:r>
          </w:p>
        </w:tc>
        <w:tc>
          <w:tcPr>
            <w:tcW w:w="915" w:type="pct"/>
            <w:tcBorders>
              <w:top w:val="single" w:sz="4" w:space="0" w:color="auto"/>
              <w:left w:val="single" w:sz="4" w:space="0" w:color="auto"/>
              <w:bottom w:val="single" w:sz="4" w:space="0" w:color="auto"/>
              <w:right w:val="single" w:sz="4" w:space="0" w:color="auto"/>
            </w:tcBorders>
          </w:tcPr>
          <w:p w:rsidR="00361F39" w:rsidRPr="00BE23C5" w:rsidRDefault="00496482" w:rsidP="000F2E0D">
            <w:pPr>
              <w:pStyle w:val="TableHeading"/>
              <w:spacing w:before="0" w:after="0"/>
              <w:jc w:val="center"/>
              <w:rPr>
                <w:b w:val="0"/>
              </w:rPr>
            </w:pPr>
            <w:r w:rsidRPr="00BE23C5">
              <w:rPr>
                <w:b w:val="0"/>
              </w:rPr>
              <w:t>$</w:t>
            </w:r>
            <w:r w:rsidR="00FC3C5B">
              <w:rPr>
                <w:b w:val="0"/>
                <w:noProof/>
                <w:color w:val="000000"/>
                <w:highlight w:val="black"/>
              </w:rPr>
              <w:t>'''''''''''''''</w:t>
            </w:r>
            <w:r w:rsidRPr="00BE23C5">
              <w:rPr>
                <w:b w:val="0"/>
              </w:rPr>
              <w:t>-$</w:t>
            </w:r>
            <w:r w:rsidR="00FC3C5B">
              <w:rPr>
                <w:b w:val="0"/>
                <w:noProof/>
                <w:color w:val="000000"/>
                <w:highlight w:val="black"/>
              </w:rPr>
              <w:t>'''''''''''''''''</w:t>
            </w:r>
          </w:p>
        </w:tc>
      </w:tr>
      <w:tr w:rsidR="00361F39" w:rsidRPr="00BE23C5" w:rsidTr="00E031F5">
        <w:trPr>
          <w:trHeight w:val="317"/>
          <w:tblHeader/>
        </w:trPr>
        <w:tc>
          <w:tcPr>
            <w:tcW w:w="1569" w:type="pct"/>
            <w:tcBorders>
              <w:top w:val="single" w:sz="4" w:space="0" w:color="auto"/>
              <w:left w:val="single" w:sz="4" w:space="0" w:color="auto"/>
              <w:bottom w:val="single" w:sz="4" w:space="0" w:color="auto"/>
              <w:right w:val="single" w:sz="4" w:space="0" w:color="auto"/>
            </w:tcBorders>
          </w:tcPr>
          <w:p w:rsidR="00361F39" w:rsidRPr="00BE23C5" w:rsidRDefault="00361F39" w:rsidP="00165CCD">
            <w:pPr>
              <w:pStyle w:val="TableHeading"/>
              <w:spacing w:before="0" w:after="0"/>
              <w:rPr>
                <w:b w:val="0"/>
              </w:rPr>
            </w:pPr>
            <w:r w:rsidRPr="00BE23C5">
              <w:rPr>
                <w:b w:val="0"/>
              </w:rPr>
              <w:t>AE incidence: ALT increase grade ≥3</w:t>
            </w:r>
            <w:r w:rsidR="00DA3099" w:rsidRPr="00BE23C5">
              <w:rPr>
                <w:b w:val="0"/>
              </w:rPr>
              <w:t xml:space="preserve"> </w:t>
            </w:r>
            <w:proofErr w:type="spellStart"/>
            <w:r w:rsidR="00DA3099" w:rsidRPr="00BE23C5">
              <w:rPr>
                <w:b w:val="0"/>
              </w:rPr>
              <w:t>Neratinib</w:t>
            </w:r>
            <w:proofErr w:type="spellEnd"/>
          </w:p>
        </w:tc>
        <w:tc>
          <w:tcPr>
            <w:tcW w:w="786" w:type="pct"/>
            <w:tcBorders>
              <w:top w:val="single" w:sz="4" w:space="0" w:color="auto"/>
              <w:left w:val="single" w:sz="4" w:space="0" w:color="auto"/>
              <w:bottom w:val="single" w:sz="4" w:space="0" w:color="auto"/>
              <w:right w:val="single" w:sz="4" w:space="0" w:color="auto"/>
            </w:tcBorders>
          </w:tcPr>
          <w:p w:rsidR="00361F39" w:rsidRPr="00BE23C5" w:rsidRDefault="004A2C4C" w:rsidP="000F2E0D">
            <w:pPr>
              <w:pStyle w:val="TableHeading"/>
              <w:spacing w:before="0" w:after="0"/>
              <w:jc w:val="center"/>
              <w:rPr>
                <w:b w:val="0"/>
              </w:rPr>
            </w:pPr>
            <w:r w:rsidRPr="00BE23C5">
              <w:rPr>
                <w:b w:val="0"/>
              </w:rPr>
              <w:t>1.3%</w:t>
            </w:r>
          </w:p>
        </w:tc>
        <w:tc>
          <w:tcPr>
            <w:tcW w:w="866" w:type="pct"/>
            <w:tcBorders>
              <w:top w:val="single" w:sz="4" w:space="0" w:color="auto"/>
              <w:left w:val="single" w:sz="4" w:space="0" w:color="auto"/>
              <w:bottom w:val="single" w:sz="4" w:space="0" w:color="auto"/>
              <w:right w:val="single" w:sz="4" w:space="0" w:color="auto"/>
            </w:tcBorders>
          </w:tcPr>
          <w:p w:rsidR="00361F39" w:rsidRPr="00BE23C5" w:rsidRDefault="004A2C4C" w:rsidP="000F2E0D">
            <w:pPr>
              <w:pStyle w:val="TableHeading"/>
              <w:spacing w:before="0" w:after="0"/>
              <w:jc w:val="center"/>
              <w:rPr>
                <w:b w:val="0"/>
              </w:rPr>
            </w:pPr>
            <w:r w:rsidRPr="00BE23C5">
              <w:rPr>
                <w:b w:val="0"/>
              </w:rPr>
              <w:t>1.2%</w:t>
            </w:r>
          </w:p>
        </w:tc>
        <w:tc>
          <w:tcPr>
            <w:tcW w:w="864" w:type="pct"/>
            <w:tcBorders>
              <w:top w:val="single" w:sz="4" w:space="0" w:color="auto"/>
              <w:left w:val="single" w:sz="4" w:space="0" w:color="auto"/>
              <w:bottom w:val="single" w:sz="4" w:space="0" w:color="auto"/>
              <w:right w:val="single" w:sz="4" w:space="0" w:color="auto"/>
            </w:tcBorders>
          </w:tcPr>
          <w:p w:rsidR="00361F39" w:rsidRPr="00BE23C5" w:rsidRDefault="004A2C4C" w:rsidP="000F2E0D">
            <w:pPr>
              <w:pStyle w:val="TableHeading"/>
              <w:spacing w:before="0" w:after="0"/>
              <w:jc w:val="center"/>
              <w:rPr>
                <w:b w:val="0"/>
              </w:rPr>
            </w:pPr>
            <w:r w:rsidRPr="00BE23C5">
              <w:rPr>
                <w:b w:val="0"/>
              </w:rPr>
              <w:t>1.4%</w:t>
            </w:r>
          </w:p>
        </w:tc>
        <w:tc>
          <w:tcPr>
            <w:tcW w:w="915" w:type="pct"/>
            <w:tcBorders>
              <w:top w:val="single" w:sz="4" w:space="0" w:color="auto"/>
              <w:left w:val="single" w:sz="4" w:space="0" w:color="auto"/>
              <w:bottom w:val="single" w:sz="4" w:space="0" w:color="auto"/>
              <w:right w:val="single" w:sz="4" w:space="0" w:color="auto"/>
            </w:tcBorders>
          </w:tcPr>
          <w:p w:rsidR="00361F39" w:rsidRPr="00BE23C5" w:rsidRDefault="00496482" w:rsidP="000F2E0D">
            <w:pPr>
              <w:pStyle w:val="TableHeading"/>
              <w:spacing w:before="0" w:after="0"/>
              <w:jc w:val="center"/>
              <w:rPr>
                <w:b w:val="0"/>
              </w:rPr>
            </w:pPr>
            <w:r w:rsidRPr="00BE23C5">
              <w:rPr>
                <w:b w:val="0"/>
              </w:rPr>
              <w:t>$</w:t>
            </w:r>
            <w:r w:rsidR="00FC3C5B">
              <w:rPr>
                <w:b w:val="0"/>
                <w:noProof/>
                <w:color w:val="000000"/>
                <w:highlight w:val="black"/>
              </w:rPr>
              <w:t>''''''''''''''''</w:t>
            </w:r>
            <w:r w:rsidRPr="00BE23C5">
              <w:rPr>
                <w:b w:val="0"/>
              </w:rPr>
              <w:t>-$</w:t>
            </w:r>
            <w:r w:rsidR="00FC3C5B">
              <w:rPr>
                <w:b w:val="0"/>
                <w:noProof/>
                <w:color w:val="000000"/>
                <w:highlight w:val="black"/>
              </w:rPr>
              <w:t>'''''''''''''''''</w:t>
            </w:r>
          </w:p>
        </w:tc>
      </w:tr>
      <w:tr w:rsidR="00361F39" w:rsidRPr="00BE23C5" w:rsidTr="00E031F5">
        <w:trPr>
          <w:trHeight w:val="317"/>
          <w:tblHeader/>
        </w:trPr>
        <w:tc>
          <w:tcPr>
            <w:tcW w:w="1569" w:type="pct"/>
            <w:tcBorders>
              <w:top w:val="single" w:sz="4" w:space="0" w:color="auto"/>
              <w:left w:val="single" w:sz="4" w:space="0" w:color="auto"/>
              <w:bottom w:val="single" w:sz="4" w:space="0" w:color="auto"/>
              <w:right w:val="single" w:sz="4" w:space="0" w:color="auto"/>
            </w:tcBorders>
          </w:tcPr>
          <w:p w:rsidR="00361F39" w:rsidRPr="00BE23C5" w:rsidRDefault="004A2C4C" w:rsidP="00165CCD">
            <w:pPr>
              <w:pStyle w:val="TableHeading"/>
              <w:spacing w:before="0" w:after="0"/>
              <w:rPr>
                <w:b w:val="0"/>
              </w:rPr>
            </w:pPr>
            <w:r w:rsidRPr="00BE23C5">
              <w:rPr>
                <w:b w:val="0"/>
              </w:rPr>
              <w:t>Number of AEs experienced</w:t>
            </w:r>
            <w:r w:rsidR="00361F39" w:rsidRPr="00BE23C5">
              <w:rPr>
                <w:b w:val="0"/>
              </w:rPr>
              <w:t>: ALT increase grade ≥3</w:t>
            </w:r>
            <w:r w:rsidR="00DA3099" w:rsidRPr="00BE23C5">
              <w:rPr>
                <w:b w:val="0"/>
              </w:rPr>
              <w:t xml:space="preserve"> </w:t>
            </w:r>
            <w:proofErr w:type="spellStart"/>
            <w:r w:rsidR="00DA3099" w:rsidRPr="00BE23C5">
              <w:rPr>
                <w:b w:val="0"/>
              </w:rPr>
              <w:t>Neratinib</w:t>
            </w:r>
            <w:proofErr w:type="spellEnd"/>
          </w:p>
        </w:tc>
        <w:tc>
          <w:tcPr>
            <w:tcW w:w="786" w:type="pct"/>
            <w:tcBorders>
              <w:top w:val="single" w:sz="4" w:space="0" w:color="auto"/>
              <w:left w:val="single" w:sz="4" w:space="0" w:color="auto"/>
              <w:bottom w:val="single" w:sz="4" w:space="0" w:color="auto"/>
              <w:right w:val="single" w:sz="4" w:space="0" w:color="auto"/>
            </w:tcBorders>
          </w:tcPr>
          <w:p w:rsidR="00361F39" w:rsidRPr="00BE23C5" w:rsidRDefault="00DA3099" w:rsidP="000F2E0D">
            <w:pPr>
              <w:pStyle w:val="TableHeading"/>
              <w:spacing w:before="0" w:after="0"/>
              <w:jc w:val="center"/>
              <w:rPr>
                <w:b w:val="0"/>
              </w:rPr>
            </w:pPr>
            <w:r w:rsidRPr="00BE23C5">
              <w:rPr>
                <w:b w:val="0"/>
              </w:rPr>
              <w:t>1.00</w:t>
            </w:r>
          </w:p>
        </w:tc>
        <w:tc>
          <w:tcPr>
            <w:tcW w:w="866" w:type="pct"/>
            <w:tcBorders>
              <w:top w:val="single" w:sz="4" w:space="0" w:color="auto"/>
              <w:left w:val="single" w:sz="4" w:space="0" w:color="auto"/>
              <w:bottom w:val="single" w:sz="4" w:space="0" w:color="auto"/>
              <w:right w:val="single" w:sz="4" w:space="0" w:color="auto"/>
            </w:tcBorders>
          </w:tcPr>
          <w:p w:rsidR="00361F39" w:rsidRPr="00BE23C5" w:rsidRDefault="00DA3099" w:rsidP="000F2E0D">
            <w:pPr>
              <w:pStyle w:val="TableHeading"/>
              <w:spacing w:before="0" w:after="0"/>
              <w:jc w:val="center"/>
              <w:rPr>
                <w:b w:val="0"/>
              </w:rPr>
            </w:pPr>
            <w:r w:rsidRPr="00BE23C5">
              <w:rPr>
                <w:b w:val="0"/>
              </w:rPr>
              <w:t>0.90</w:t>
            </w:r>
          </w:p>
        </w:tc>
        <w:tc>
          <w:tcPr>
            <w:tcW w:w="864" w:type="pct"/>
            <w:tcBorders>
              <w:top w:val="single" w:sz="4" w:space="0" w:color="auto"/>
              <w:left w:val="single" w:sz="4" w:space="0" w:color="auto"/>
              <w:bottom w:val="single" w:sz="4" w:space="0" w:color="auto"/>
              <w:right w:val="single" w:sz="4" w:space="0" w:color="auto"/>
            </w:tcBorders>
          </w:tcPr>
          <w:p w:rsidR="00361F39" w:rsidRPr="00BE23C5" w:rsidRDefault="00DA3099" w:rsidP="000F2E0D">
            <w:pPr>
              <w:pStyle w:val="TableHeading"/>
              <w:spacing w:before="0" w:after="0"/>
              <w:jc w:val="center"/>
              <w:rPr>
                <w:b w:val="0"/>
              </w:rPr>
            </w:pPr>
            <w:r w:rsidRPr="00BE23C5">
              <w:rPr>
                <w:b w:val="0"/>
              </w:rPr>
              <w:t>1.10</w:t>
            </w:r>
          </w:p>
        </w:tc>
        <w:tc>
          <w:tcPr>
            <w:tcW w:w="915" w:type="pct"/>
            <w:tcBorders>
              <w:top w:val="single" w:sz="4" w:space="0" w:color="auto"/>
              <w:left w:val="single" w:sz="4" w:space="0" w:color="auto"/>
              <w:bottom w:val="single" w:sz="4" w:space="0" w:color="auto"/>
              <w:right w:val="single" w:sz="4" w:space="0" w:color="auto"/>
            </w:tcBorders>
          </w:tcPr>
          <w:p w:rsidR="00361F39" w:rsidRPr="00BE23C5" w:rsidRDefault="00496482" w:rsidP="000F2E0D">
            <w:pPr>
              <w:pStyle w:val="TableHeading"/>
              <w:spacing w:before="0" w:after="0"/>
              <w:jc w:val="center"/>
              <w:rPr>
                <w:b w:val="0"/>
              </w:rPr>
            </w:pPr>
            <w:r w:rsidRPr="00BE23C5">
              <w:rPr>
                <w:b w:val="0"/>
              </w:rPr>
              <w:t>$</w:t>
            </w:r>
            <w:r w:rsidR="00FC3C5B">
              <w:rPr>
                <w:b w:val="0"/>
                <w:noProof/>
                <w:color w:val="000000"/>
                <w:highlight w:val="black"/>
              </w:rPr>
              <w:t>''''''''''''''''</w:t>
            </w:r>
            <w:r w:rsidRPr="00BE23C5">
              <w:rPr>
                <w:b w:val="0"/>
              </w:rPr>
              <w:t>-$</w:t>
            </w:r>
            <w:r w:rsidR="00FC3C5B">
              <w:rPr>
                <w:b w:val="0"/>
                <w:noProof/>
                <w:color w:val="000000"/>
                <w:highlight w:val="black"/>
              </w:rPr>
              <w:t>''''''''''''''''</w:t>
            </w:r>
          </w:p>
        </w:tc>
      </w:tr>
    </w:tbl>
    <w:p w:rsidR="0084307C" w:rsidRPr="00BE23C5" w:rsidRDefault="00496482" w:rsidP="003F2537">
      <w:pPr>
        <w:pStyle w:val="TableHeading"/>
        <w:rPr>
          <w:rFonts w:cs="Arial"/>
          <w:b w:val="0"/>
          <w:bCs w:val="0"/>
          <w:snapToGrid w:val="0"/>
          <w:sz w:val="18"/>
        </w:rPr>
      </w:pPr>
      <w:r w:rsidRPr="00BE23C5">
        <w:rPr>
          <w:rFonts w:cs="Arial"/>
          <w:b w:val="0"/>
          <w:bCs w:val="0"/>
          <w:snapToGrid w:val="0"/>
          <w:sz w:val="18"/>
        </w:rPr>
        <w:t>ICER: incremental cost-effectiveness ratio; AE: adverse event; ALT: alanine aminotransferase</w:t>
      </w:r>
    </w:p>
    <w:p w:rsidR="00496482" w:rsidRPr="00BE23C5" w:rsidRDefault="00496482" w:rsidP="003F2537">
      <w:pPr>
        <w:pStyle w:val="TableHeading"/>
        <w:rPr>
          <w:rFonts w:cs="Arial"/>
          <w:b w:val="0"/>
          <w:bCs w:val="0"/>
          <w:snapToGrid w:val="0"/>
          <w:sz w:val="18"/>
        </w:rPr>
      </w:pPr>
      <w:r w:rsidRPr="00BE23C5">
        <w:rPr>
          <w:rFonts w:cs="Arial"/>
          <w:b w:val="0"/>
          <w:bCs w:val="0"/>
          <w:snapToGrid w:val="0"/>
          <w:sz w:val="18"/>
        </w:rPr>
        <w:t>Source</w:t>
      </w:r>
      <w:r w:rsidR="00FE7F08" w:rsidRPr="00BE23C5">
        <w:rPr>
          <w:rFonts w:cs="Arial"/>
          <w:b w:val="0"/>
          <w:bCs w:val="0"/>
          <w:snapToGrid w:val="0"/>
          <w:sz w:val="18"/>
        </w:rPr>
        <w:t>s</w:t>
      </w:r>
      <w:r w:rsidRPr="00BE23C5">
        <w:rPr>
          <w:rFonts w:cs="Arial"/>
          <w:b w:val="0"/>
          <w:bCs w:val="0"/>
          <w:snapToGrid w:val="0"/>
          <w:sz w:val="18"/>
        </w:rPr>
        <w:t xml:space="preserve">: </w:t>
      </w:r>
      <w:r w:rsidR="00FE7F08" w:rsidRPr="00BE23C5">
        <w:rPr>
          <w:rFonts w:cs="Arial"/>
          <w:b w:val="0"/>
          <w:bCs w:val="0"/>
          <w:snapToGrid w:val="0"/>
          <w:sz w:val="18"/>
        </w:rPr>
        <w:t xml:space="preserve">Figure 37, p119 of the submission; OWSA </w:t>
      </w:r>
      <w:proofErr w:type="spellStart"/>
      <w:r w:rsidR="00FE7F08" w:rsidRPr="00BE23C5">
        <w:rPr>
          <w:rFonts w:cs="Arial"/>
          <w:b w:val="0"/>
          <w:bCs w:val="0"/>
          <w:snapToGrid w:val="0"/>
          <w:sz w:val="18"/>
        </w:rPr>
        <w:t>calcs</w:t>
      </w:r>
      <w:proofErr w:type="spellEnd"/>
      <w:r w:rsidR="00FE7F08" w:rsidRPr="00BE23C5">
        <w:rPr>
          <w:rFonts w:cs="Arial"/>
          <w:b w:val="0"/>
          <w:bCs w:val="0"/>
          <w:snapToGrid w:val="0"/>
          <w:sz w:val="18"/>
        </w:rPr>
        <w:t xml:space="preserve"> sheet of the Nerlynx_PBAC_Section3_Nov2018 workbook.</w:t>
      </w:r>
    </w:p>
    <w:p w:rsidR="00F825E7" w:rsidRPr="00BE23C5" w:rsidRDefault="00F825E7" w:rsidP="003F2537">
      <w:pPr>
        <w:pStyle w:val="TableFooter"/>
      </w:pPr>
    </w:p>
    <w:p w:rsidR="004D310A" w:rsidRPr="00BE23C5" w:rsidRDefault="004D310A" w:rsidP="001159DF">
      <w:pPr>
        <w:pStyle w:val="ListParagraph"/>
        <w:widowControl/>
        <w:numPr>
          <w:ilvl w:val="1"/>
          <w:numId w:val="2"/>
        </w:numPr>
        <w:spacing w:before="120" w:after="120"/>
      </w:pPr>
      <w:r w:rsidRPr="00BE23C5">
        <w:t>Table 1</w:t>
      </w:r>
      <w:r w:rsidR="00816487" w:rsidRPr="00BE23C5">
        <w:t>3</w:t>
      </w:r>
      <w:r w:rsidRPr="00BE23C5">
        <w:t xml:space="preserve"> presents the key sensitivity analyses conducted during the evaluation</w:t>
      </w:r>
      <w:r w:rsidR="006D4E3D" w:rsidRPr="00BE23C5">
        <w:t xml:space="preserve">. </w:t>
      </w:r>
      <w:r w:rsidRPr="00BE23C5">
        <w:t>Table 1</w:t>
      </w:r>
      <w:r w:rsidR="00816487" w:rsidRPr="00BE23C5">
        <w:t>4</w:t>
      </w:r>
      <w:r w:rsidRPr="00BE23C5">
        <w:t xml:space="preserve"> presents sensitivity </w:t>
      </w:r>
      <w:r w:rsidR="0089377D" w:rsidRPr="00BE23C5">
        <w:t>analys</w:t>
      </w:r>
      <w:r w:rsidR="00A2684C" w:rsidRPr="00BE23C5">
        <w:t>e</w:t>
      </w:r>
      <w:r w:rsidR="0089377D" w:rsidRPr="00BE23C5">
        <w:t xml:space="preserve">s </w:t>
      </w:r>
      <w:r w:rsidRPr="00BE23C5">
        <w:t>around the time horizon</w:t>
      </w:r>
      <w:r w:rsidR="002C6D41" w:rsidRPr="00BE23C5">
        <w:t>.</w:t>
      </w:r>
    </w:p>
    <w:p w:rsidR="002C6D41" w:rsidRPr="00BE23C5" w:rsidRDefault="002C6D41" w:rsidP="001159DF">
      <w:pPr>
        <w:pStyle w:val="ListParagraph"/>
        <w:widowControl/>
        <w:numPr>
          <w:ilvl w:val="1"/>
          <w:numId w:val="2"/>
        </w:numPr>
        <w:spacing w:before="120" w:after="120"/>
      </w:pPr>
      <w:r w:rsidRPr="00BE23C5">
        <w:t>The base case ICER presented in the submission was $</w:t>
      </w:r>
      <w:r w:rsidR="00BE324F">
        <w:t>45,000</w:t>
      </w:r>
      <w:r w:rsidRPr="00BE23C5">
        <w:t>/QALY</w:t>
      </w:r>
      <w:r w:rsidR="00BE324F">
        <w:t xml:space="preserve"> - $75,000/QALY</w:t>
      </w:r>
      <w:r w:rsidRPr="00BE23C5">
        <w:t>. The ESC noted the ICER was sensitive to the following:</w:t>
      </w:r>
    </w:p>
    <w:p w:rsidR="002C6D41" w:rsidRPr="00BE23C5" w:rsidRDefault="002C6D41" w:rsidP="001159DF">
      <w:pPr>
        <w:pStyle w:val="ListParagraph"/>
        <w:widowControl/>
        <w:numPr>
          <w:ilvl w:val="0"/>
          <w:numId w:val="7"/>
        </w:numPr>
        <w:spacing w:before="120" w:after="120"/>
        <w:ind w:left="1077" w:hanging="357"/>
      </w:pPr>
      <w:proofErr w:type="gramStart"/>
      <w:r w:rsidRPr="00BE23C5">
        <w:t>using</w:t>
      </w:r>
      <w:proofErr w:type="gramEnd"/>
      <w:r w:rsidRPr="00BE23C5">
        <w:t xml:space="preserve"> the HR+ group rather than the overall population. When the overall population is used the ICER increased to $</w:t>
      </w:r>
      <w:r w:rsidR="00BE324F">
        <w:t>45,000</w:t>
      </w:r>
      <w:r w:rsidRPr="00BE23C5">
        <w:t>/QALY</w:t>
      </w:r>
      <w:r w:rsidR="00BE324F">
        <w:t xml:space="preserve"> - $75,000/QALY</w:t>
      </w:r>
      <w:r w:rsidRPr="00BE23C5">
        <w:t xml:space="preserve">. The ESC noted it was unclear whether the difference in risk between HR+ and HR- </w:t>
      </w:r>
      <w:r w:rsidR="002A4F8C" w:rsidRPr="00BE23C5">
        <w:t xml:space="preserve">patients </w:t>
      </w:r>
      <w:r w:rsidRPr="00BE23C5">
        <w:t xml:space="preserve">was plausible. </w:t>
      </w:r>
    </w:p>
    <w:p w:rsidR="002C6D41" w:rsidRPr="00BE23C5" w:rsidRDefault="002C6D41" w:rsidP="001159DF">
      <w:pPr>
        <w:pStyle w:val="ListParagraph"/>
        <w:widowControl/>
        <w:numPr>
          <w:ilvl w:val="0"/>
          <w:numId w:val="7"/>
        </w:numPr>
        <w:spacing w:before="120" w:after="120"/>
        <w:ind w:left="1077" w:hanging="357"/>
      </w:pPr>
      <w:proofErr w:type="gramStart"/>
      <w:r w:rsidRPr="00BE23C5">
        <w:t>assuming</w:t>
      </w:r>
      <w:proofErr w:type="gramEnd"/>
      <w:r w:rsidRPr="00BE23C5">
        <w:t xml:space="preserve"> ongoing effect beyond trial follow-up. Where there is no treatment effect after trial follow-up the ICER increased to $</w:t>
      </w:r>
      <w:r w:rsidR="00BE324F">
        <w:t>45,000</w:t>
      </w:r>
      <w:r w:rsidRPr="00BE23C5">
        <w:t>/QALY</w:t>
      </w:r>
      <w:r w:rsidR="00BE324F">
        <w:t xml:space="preserve"> - $75,000/QALY</w:t>
      </w:r>
      <w:r w:rsidRPr="00BE23C5">
        <w:t>.</w:t>
      </w:r>
      <w:r w:rsidR="002A4F8C" w:rsidRPr="00BE23C5">
        <w:t xml:space="preserve"> This analysis assumed a HR of 1 after 5 years rather than assuming the same survival for both treatment groups beyond the trial follow-up.</w:t>
      </w:r>
    </w:p>
    <w:p w:rsidR="002C6D41" w:rsidRPr="00BE23C5" w:rsidRDefault="002C6D41" w:rsidP="001159DF">
      <w:pPr>
        <w:pStyle w:val="ListParagraph"/>
        <w:widowControl/>
        <w:numPr>
          <w:ilvl w:val="0"/>
          <w:numId w:val="7"/>
        </w:numPr>
        <w:spacing w:before="120" w:after="120"/>
        <w:ind w:left="1077" w:hanging="357"/>
      </w:pPr>
      <w:proofErr w:type="gramStart"/>
      <w:r w:rsidRPr="00BE23C5">
        <w:t>using</w:t>
      </w:r>
      <w:proofErr w:type="gramEnd"/>
      <w:r w:rsidRPr="00BE23C5">
        <w:t xml:space="preserve"> the recommended daily dose (240mg) rather than the dispensed trial average dose (214.3mg) increased the ICER to $</w:t>
      </w:r>
      <w:r w:rsidR="00BE324F">
        <w:t>45,000</w:t>
      </w:r>
      <w:r w:rsidRPr="00BE23C5">
        <w:t>/QALY</w:t>
      </w:r>
      <w:r w:rsidR="00BE324F">
        <w:t xml:space="preserve"> - $75,000/QALY</w:t>
      </w:r>
      <w:r w:rsidRPr="00BE23C5">
        <w:t>. The ESC noted that it was unclear what the likely dosing would be in clinical practice.</w:t>
      </w:r>
    </w:p>
    <w:p w:rsidR="0023530B" w:rsidRPr="00BE23C5" w:rsidRDefault="0023530B" w:rsidP="00033521">
      <w:pPr>
        <w:keepNext/>
        <w:keepLines/>
        <w:widowControl/>
        <w:rPr>
          <w:rStyle w:val="CommentReference"/>
        </w:rPr>
      </w:pPr>
      <w:r w:rsidRPr="00BE23C5">
        <w:rPr>
          <w:rStyle w:val="CommentReference"/>
        </w:rPr>
        <w:lastRenderedPageBreak/>
        <w:t>Table 1</w:t>
      </w:r>
      <w:r w:rsidR="00816487" w:rsidRPr="00BE23C5">
        <w:rPr>
          <w:rStyle w:val="CommentReference"/>
        </w:rPr>
        <w:t>3</w:t>
      </w:r>
      <w:r w:rsidRPr="00BE23C5">
        <w:rPr>
          <w:rStyle w:val="CommentReference"/>
        </w:rPr>
        <w:t>: Summary of sensitivity analysis results</w:t>
      </w:r>
    </w:p>
    <w:tbl>
      <w:tblPr>
        <w:tblStyle w:val="TableGrid"/>
        <w:tblW w:w="5000" w:type="pct"/>
        <w:tblLook w:val="04A0" w:firstRow="1" w:lastRow="0" w:firstColumn="1" w:lastColumn="0" w:noHBand="0" w:noVBand="1"/>
        <w:tblCaption w:val="Table 13: Summary of sensitivity analysis results"/>
      </w:tblPr>
      <w:tblGrid>
        <w:gridCol w:w="3398"/>
        <w:gridCol w:w="1129"/>
        <w:gridCol w:w="1136"/>
        <w:gridCol w:w="1138"/>
        <w:gridCol w:w="1107"/>
        <w:gridCol w:w="23"/>
        <w:gridCol w:w="1086"/>
      </w:tblGrid>
      <w:tr w:rsidR="00A96B8E" w:rsidRPr="00BE23C5" w:rsidTr="00A96B8E">
        <w:trPr>
          <w:tblHeader/>
        </w:trPr>
        <w:tc>
          <w:tcPr>
            <w:tcW w:w="1884" w:type="pct"/>
            <w:tcBorders>
              <w:bottom w:val="single" w:sz="4" w:space="0" w:color="auto"/>
            </w:tcBorders>
            <w:tcMar>
              <w:left w:w="28" w:type="dxa"/>
              <w:right w:w="28" w:type="dxa"/>
            </w:tcMar>
          </w:tcPr>
          <w:p w:rsidR="00A96B8E" w:rsidRPr="00BE23C5" w:rsidRDefault="00A96B8E" w:rsidP="000F2E0D">
            <w:pPr>
              <w:keepNext/>
              <w:keepLines/>
              <w:rPr>
                <w:rFonts w:ascii="Arial Narrow" w:hAnsi="Arial Narrow" w:cs="Times New Roman"/>
                <w:b/>
                <w:snapToGrid/>
                <w:sz w:val="20"/>
              </w:rPr>
            </w:pPr>
            <w:r w:rsidRPr="00BE23C5">
              <w:rPr>
                <w:rFonts w:ascii="Arial Narrow" w:hAnsi="Arial Narrow" w:cs="Times New Roman"/>
                <w:b/>
                <w:snapToGrid/>
                <w:sz w:val="20"/>
              </w:rPr>
              <w:t>Analyses</w:t>
            </w:r>
          </w:p>
        </w:tc>
        <w:tc>
          <w:tcPr>
            <w:tcW w:w="626" w:type="pct"/>
            <w:tcBorders>
              <w:bottom w:val="single" w:sz="4" w:space="0" w:color="auto"/>
            </w:tcBorders>
            <w:tcMar>
              <w:left w:w="28" w:type="dxa"/>
              <w:right w:w="28" w:type="dxa"/>
            </w:tcMar>
          </w:tcPr>
          <w:p w:rsidR="00A96B8E" w:rsidRPr="00BE23C5" w:rsidRDefault="00A96B8E" w:rsidP="000F2E0D">
            <w:pPr>
              <w:keepNext/>
              <w:keepLines/>
              <w:rPr>
                <w:rFonts w:ascii="Arial Narrow" w:hAnsi="Arial Narrow" w:cs="Times New Roman"/>
                <w:b/>
                <w:snapToGrid/>
                <w:sz w:val="20"/>
              </w:rPr>
            </w:pPr>
            <w:r w:rsidRPr="00BE23C5">
              <w:rPr>
                <w:rFonts w:ascii="Arial Narrow" w:hAnsi="Arial Narrow" w:cs="Times New Roman"/>
                <w:b/>
                <w:snapToGrid/>
                <w:sz w:val="20"/>
              </w:rPr>
              <w:t>Incremental cost</w:t>
            </w:r>
          </w:p>
        </w:tc>
        <w:tc>
          <w:tcPr>
            <w:tcW w:w="630" w:type="pct"/>
            <w:tcBorders>
              <w:bottom w:val="single" w:sz="4" w:space="0" w:color="auto"/>
            </w:tcBorders>
            <w:tcMar>
              <w:left w:w="28" w:type="dxa"/>
              <w:right w:w="28" w:type="dxa"/>
            </w:tcMar>
          </w:tcPr>
          <w:p w:rsidR="00A96B8E" w:rsidRPr="00BE23C5" w:rsidRDefault="00A96B8E" w:rsidP="000F2E0D">
            <w:pPr>
              <w:keepNext/>
              <w:keepLines/>
              <w:rPr>
                <w:rFonts w:ascii="Arial Narrow" w:hAnsi="Arial Narrow" w:cs="Times New Roman"/>
                <w:b/>
                <w:snapToGrid/>
                <w:sz w:val="20"/>
              </w:rPr>
            </w:pPr>
            <w:r w:rsidRPr="00BE23C5">
              <w:rPr>
                <w:rFonts w:ascii="Arial Narrow" w:hAnsi="Arial Narrow" w:cs="Times New Roman"/>
                <w:b/>
                <w:snapToGrid/>
                <w:sz w:val="20"/>
              </w:rPr>
              <w:t>Incremental LYs</w:t>
            </w:r>
          </w:p>
        </w:tc>
        <w:tc>
          <w:tcPr>
            <w:tcW w:w="631" w:type="pct"/>
            <w:tcBorders>
              <w:bottom w:val="single" w:sz="4" w:space="0" w:color="auto"/>
            </w:tcBorders>
            <w:tcMar>
              <w:left w:w="28" w:type="dxa"/>
              <w:right w:w="28" w:type="dxa"/>
            </w:tcMar>
          </w:tcPr>
          <w:p w:rsidR="00A96B8E" w:rsidRPr="00BE23C5" w:rsidRDefault="00A96B8E" w:rsidP="000F2E0D">
            <w:pPr>
              <w:keepNext/>
              <w:keepLines/>
              <w:rPr>
                <w:rFonts w:ascii="Arial Narrow" w:hAnsi="Arial Narrow" w:cs="Times New Roman"/>
                <w:b/>
                <w:snapToGrid/>
                <w:sz w:val="20"/>
              </w:rPr>
            </w:pPr>
            <w:r w:rsidRPr="00BE23C5">
              <w:rPr>
                <w:rFonts w:ascii="Arial Narrow" w:hAnsi="Arial Narrow" w:cs="Times New Roman"/>
                <w:b/>
                <w:snapToGrid/>
                <w:sz w:val="20"/>
              </w:rPr>
              <w:t>Incremental QALYs</w:t>
            </w:r>
          </w:p>
        </w:tc>
        <w:tc>
          <w:tcPr>
            <w:tcW w:w="614" w:type="pct"/>
            <w:tcMar>
              <w:left w:w="28" w:type="dxa"/>
              <w:right w:w="28" w:type="dxa"/>
            </w:tcMar>
          </w:tcPr>
          <w:p w:rsidR="00A96B8E" w:rsidRPr="00BE23C5" w:rsidRDefault="00A96B8E" w:rsidP="000F2E0D">
            <w:pPr>
              <w:keepNext/>
              <w:keepLines/>
              <w:rPr>
                <w:rFonts w:ascii="Arial Narrow" w:hAnsi="Arial Narrow" w:cs="Times New Roman"/>
                <w:b/>
                <w:snapToGrid/>
                <w:sz w:val="20"/>
              </w:rPr>
            </w:pPr>
            <w:r w:rsidRPr="00BE23C5">
              <w:rPr>
                <w:rFonts w:ascii="Arial Narrow" w:hAnsi="Arial Narrow" w:cs="Times New Roman"/>
                <w:b/>
                <w:snapToGrid/>
                <w:sz w:val="20"/>
              </w:rPr>
              <w:t xml:space="preserve">ICER </w:t>
            </w:r>
          </w:p>
          <w:p w:rsidR="00A96B8E" w:rsidRPr="00BE23C5" w:rsidRDefault="00A96B8E" w:rsidP="000F2E0D">
            <w:pPr>
              <w:keepNext/>
              <w:keepLines/>
              <w:rPr>
                <w:rFonts w:ascii="Arial Narrow" w:hAnsi="Arial Narrow" w:cs="Times New Roman"/>
                <w:b/>
                <w:snapToGrid/>
                <w:sz w:val="20"/>
              </w:rPr>
            </w:pPr>
            <w:r w:rsidRPr="00BE23C5">
              <w:rPr>
                <w:rFonts w:ascii="Arial Narrow" w:hAnsi="Arial Narrow" w:cs="Times New Roman"/>
                <w:b/>
                <w:snapToGrid/>
                <w:sz w:val="20"/>
              </w:rPr>
              <w:t>($/LY)</w:t>
            </w:r>
          </w:p>
        </w:tc>
        <w:tc>
          <w:tcPr>
            <w:tcW w:w="615" w:type="pct"/>
            <w:gridSpan w:val="2"/>
          </w:tcPr>
          <w:p w:rsidR="00A96B8E" w:rsidRPr="00BE23C5" w:rsidRDefault="00A96B8E" w:rsidP="000F2E0D">
            <w:pPr>
              <w:keepNext/>
              <w:keepLines/>
              <w:rPr>
                <w:rFonts w:ascii="Arial Narrow" w:hAnsi="Arial Narrow" w:cs="Times New Roman"/>
                <w:b/>
                <w:snapToGrid/>
                <w:sz w:val="20"/>
              </w:rPr>
            </w:pPr>
            <w:r w:rsidRPr="00BE23C5">
              <w:rPr>
                <w:rFonts w:ascii="Arial Narrow" w:hAnsi="Arial Narrow" w:cs="Times New Roman"/>
                <w:b/>
                <w:snapToGrid/>
                <w:sz w:val="20"/>
              </w:rPr>
              <w:t>ICER ($/QALY)</w:t>
            </w:r>
          </w:p>
        </w:tc>
      </w:tr>
      <w:tr w:rsidR="0023530B" w:rsidRPr="00BE23C5" w:rsidTr="0051562B">
        <w:tc>
          <w:tcPr>
            <w:tcW w:w="1884" w:type="pct"/>
            <w:tcBorders>
              <w:bottom w:val="single" w:sz="4" w:space="0" w:color="auto"/>
            </w:tcBorders>
            <w:tcMar>
              <w:left w:w="28" w:type="dxa"/>
              <w:right w:w="28" w:type="dxa"/>
            </w:tcMar>
          </w:tcPr>
          <w:p w:rsidR="0023530B" w:rsidRPr="00BE23C5" w:rsidRDefault="0023530B" w:rsidP="000F2E0D">
            <w:pPr>
              <w:keepNext/>
              <w:keepLines/>
              <w:rPr>
                <w:rFonts w:ascii="Arial Narrow" w:hAnsi="Arial Narrow" w:cs="Times New Roman"/>
                <w:b/>
                <w:snapToGrid/>
                <w:sz w:val="20"/>
              </w:rPr>
            </w:pPr>
            <w:r w:rsidRPr="00BE23C5">
              <w:rPr>
                <w:rFonts w:ascii="Arial Narrow" w:hAnsi="Arial Narrow" w:cs="Times New Roman"/>
                <w:b/>
                <w:snapToGrid/>
                <w:sz w:val="20"/>
              </w:rPr>
              <w:t>Base case</w:t>
            </w:r>
          </w:p>
        </w:tc>
        <w:tc>
          <w:tcPr>
            <w:tcW w:w="626" w:type="pct"/>
            <w:tcBorders>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b/>
                <w:snapToGrid/>
                <w:sz w:val="20"/>
              </w:rPr>
            </w:pPr>
            <w:r w:rsidRPr="00BE23C5">
              <w:rPr>
                <w:rFonts w:ascii="Arial Narrow" w:hAnsi="Arial Narrow" w:cs="Times New Roman"/>
                <w:b/>
                <w:snapToGrid/>
                <w:sz w:val="20"/>
              </w:rPr>
              <w:t>$</w:t>
            </w:r>
            <w:r w:rsidR="00FC3C5B">
              <w:rPr>
                <w:rFonts w:ascii="Arial Narrow" w:hAnsi="Arial Narrow" w:cs="Times New Roman"/>
                <w:b/>
                <w:noProof/>
                <w:snapToGrid/>
                <w:color w:val="000000"/>
                <w:sz w:val="20"/>
                <w:highlight w:val="black"/>
              </w:rPr>
              <w:t>'''''''''''''</w:t>
            </w:r>
          </w:p>
        </w:tc>
        <w:tc>
          <w:tcPr>
            <w:tcW w:w="630" w:type="pct"/>
            <w:tcBorders>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b/>
                <w:snapToGrid/>
                <w:sz w:val="20"/>
              </w:rPr>
            </w:pPr>
            <w:r w:rsidRPr="00BE23C5">
              <w:rPr>
                <w:rFonts w:ascii="Arial Narrow" w:hAnsi="Arial Narrow" w:cs="Times New Roman"/>
                <w:b/>
                <w:snapToGrid/>
                <w:sz w:val="20"/>
              </w:rPr>
              <w:t>0.78</w:t>
            </w:r>
          </w:p>
        </w:tc>
        <w:tc>
          <w:tcPr>
            <w:tcW w:w="631" w:type="pct"/>
            <w:tcBorders>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b/>
                <w:snapToGrid/>
                <w:sz w:val="20"/>
              </w:rPr>
            </w:pPr>
            <w:r w:rsidRPr="00BE23C5">
              <w:rPr>
                <w:rFonts w:ascii="Arial Narrow" w:hAnsi="Arial Narrow" w:cs="Times New Roman"/>
                <w:b/>
                <w:snapToGrid/>
                <w:sz w:val="20"/>
              </w:rPr>
              <w:t>0.70</w:t>
            </w:r>
          </w:p>
        </w:tc>
        <w:tc>
          <w:tcPr>
            <w:tcW w:w="627" w:type="pct"/>
            <w:gridSpan w:val="2"/>
            <w:tcBorders>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b/>
                <w:snapToGrid/>
                <w:sz w:val="20"/>
              </w:rPr>
            </w:pPr>
            <w:r w:rsidRPr="00BE23C5">
              <w:rPr>
                <w:rFonts w:ascii="Arial Narrow" w:hAnsi="Arial Narrow" w:cs="Times New Roman"/>
                <w:b/>
                <w:snapToGrid/>
                <w:sz w:val="20"/>
              </w:rPr>
              <w:t>$</w:t>
            </w:r>
            <w:r w:rsidR="00FC3C5B">
              <w:rPr>
                <w:rFonts w:ascii="Arial Narrow" w:hAnsi="Arial Narrow" w:cs="Times New Roman"/>
                <w:b/>
                <w:noProof/>
                <w:snapToGrid/>
                <w:color w:val="000000"/>
                <w:sz w:val="20"/>
                <w:highlight w:val="black"/>
              </w:rPr>
              <w:t>'''''''''''''</w:t>
            </w:r>
          </w:p>
        </w:tc>
        <w:tc>
          <w:tcPr>
            <w:tcW w:w="602" w:type="pct"/>
            <w:tcBorders>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b/>
                <w:snapToGrid/>
                <w:sz w:val="20"/>
              </w:rPr>
            </w:pPr>
            <w:r w:rsidRPr="00BE23C5">
              <w:rPr>
                <w:rFonts w:ascii="Arial Narrow" w:hAnsi="Arial Narrow" w:cs="Times New Roman"/>
                <w:b/>
                <w:snapToGrid/>
                <w:sz w:val="20"/>
              </w:rPr>
              <w:t>$</w:t>
            </w:r>
            <w:r w:rsidR="00FC3C5B">
              <w:rPr>
                <w:rFonts w:ascii="Arial Narrow" w:hAnsi="Arial Narrow" w:cs="Times New Roman"/>
                <w:b/>
                <w:noProof/>
                <w:snapToGrid/>
                <w:color w:val="000000"/>
                <w:sz w:val="20"/>
                <w:highlight w:val="black"/>
              </w:rPr>
              <w:t>'''''''''''''</w:t>
            </w:r>
          </w:p>
        </w:tc>
      </w:tr>
      <w:tr w:rsidR="00C864ED" w:rsidRPr="00BE23C5" w:rsidTr="0051562B">
        <w:tc>
          <w:tcPr>
            <w:tcW w:w="5000" w:type="pct"/>
            <w:gridSpan w:val="7"/>
            <w:tcBorders>
              <w:bottom w:val="nil"/>
            </w:tcBorders>
            <w:tcMar>
              <w:left w:w="28" w:type="dxa"/>
              <w:right w:w="28" w:type="dxa"/>
            </w:tcMar>
            <w:vAlign w:val="center"/>
          </w:tcPr>
          <w:p w:rsidR="00C864ED" w:rsidRPr="00BE23C5" w:rsidRDefault="00C864ED" w:rsidP="0051562B">
            <w:pPr>
              <w:keepNext/>
              <w:keepLines/>
              <w:jc w:val="left"/>
              <w:rPr>
                <w:rFonts w:ascii="Arial Narrow" w:hAnsi="Arial Narrow" w:cs="Times New Roman"/>
                <w:snapToGrid/>
                <w:sz w:val="20"/>
              </w:rPr>
            </w:pPr>
            <w:r w:rsidRPr="00BE23C5">
              <w:rPr>
                <w:rFonts w:ascii="Arial Narrow" w:hAnsi="Arial Narrow" w:cs="Times New Roman"/>
                <w:b/>
                <w:snapToGrid/>
                <w:sz w:val="20"/>
              </w:rPr>
              <w:t>Univariate</w:t>
            </w:r>
          </w:p>
        </w:tc>
      </w:tr>
      <w:tr w:rsidR="0023530B" w:rsidRPr="00BE23C5" w:rsidTr="0051562B">
        <w:tc>
          <w:tcPr>
            <w:tcW w:w="1884" w:type="pct"/>
            <w:tcBorders>
              <w:bottom w:val="nil"/>
            </w:tcBorders>
            <w:tcMar>
              <w:left w:w="28" w:type="dxa"/>
              <w:right w:w="28" w:type="dxa"/>
            </w:tcMar>
          </w:tcPr>
          <w:p w:rsidR="0023530B" w:rsidRPr="00BE23C5" w:rsidRDefault="0023530B" w:rsidP="000F2E0D">
            <w:pPr>
              <w:keepNext/>
              <w:keepLines/>
              <w:jc w:val="left"/>
              <w:rPr>
                <w:rFonts w:ascii="Arial Narrow" w:hAnsi="Arial Narrow" w:cs="Times New Roman"/>
                <w:snapToGrid/>
                <w:sz w:val="20"/>
              </w:rPr>
            </w:pPr>
            <w:r w:rsidRPr="00BE23C5">
              <w:rPr>
                <w:rFonts w:ascii="Arial Narrow" w:hAnsi="Arial Narrow" w:cs="Times New Roman"/>
                <w:snapToGrid/>
                <w:sz w:val="20"/>
              </w:rPr>
              <w:t>Population (base case HR+)</w:t>
            </w:r>
          </w:p>
        </w:tc>
        <w:tc>
          <w:tcPr>
            <w:tcW w:w="626"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30"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31"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27" w:type="pct"/>
            <w:gridSpan w:val="2"/>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02"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r>
      <w:tr w:rsidR="0023530B" w:rsidRPr="00BE23C5" w:rsidTr="0051562B">
        <w:tc>
          <w:tcPr>
            <w:tcW w:w="1884" w:type="pct"/>
            <w:tcBorders>
              <w:top w:val="nil"/>
            </w:tcBorders>
            <w:tcMar>
              <w:left w:w="28" w:type="dxa"/>
              <w:right w:w="28" w:type="dxa"/>
            </w:tcMar>
          </w:tcPr>
          <w:p w:rsidR="0023530B" w:rsidRPr="00BE23C5" w:rsidRDefault="0023530B" w:rsidP="000F2E0D">
            <w:pPr>
              <w:keepNext/>
              <w:keepLines/>
              <w:ind w:left="284"/>
              <w:jc w:val="left"/>
              <w:rPr>
                <w:rFonts w:ascii="Arial Narrow" w:hAnsi="Arial Narrow" w:cs="Times New Roman"/>
                <w:snapToGrid/>
                <w:sz w:val="20"/>
              </w:rPr>
            </w:pPr>
            <w:r w:rsidRPr="00BE23C5">
              <w:rPr>
                <w:rFonts w:ascii="Arial Narrow" w:hAnsi="Arial Narrow" w:cs="Times New Roman"/>
                <w:snapToGrid/>
                <w:sz w:val="20"/>
              </w:rPr>
              <w:t>Overall population</w:t>
            </w:r>
          </w:p>
        </w:tc>
        <w:tc>
          <w:tcPr>
            <w:tcW w:w="626"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30"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0.61</w:t>
            </w:r>
          </w:p>
        </w:tc>
        <w:tc>
          <w:tcPr>
            <w:tcW w:w="631"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0.55</w:t>
            </w:r>
          </w:p>
        </w:tc>
        <w:tc>
          <w:tcPr>
            <w:tcW w:w="627" w:type="pct"/>
            <w:gridSpan w:val="2"/>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02"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r>
      <w:tr w:rsidR="0023530B" w:rsidRPr="00BE23C5" w:rsidTr="0051562B">
        <w:trPr>
          <w:trHeight w:val="223"/>
        </w:trPr>
        <w:tc>
          <w:tcPr>
            <w:tcW w:w="1884" w:type="pct"/>
            <w:tcBorders>
              <w:bottom w:val="nil"/>
            </w:tcBorders>
            <w:tcMar>
              <w:left w:w="28" w:type="dxa"/>
              <w:right w:w="28" w:type="dxa"/>
            </w:tcMar>
          </w:tcPr>
          <w:p w:rsidR="0023530B" w:rsidRPr="00BE23C5" w:rsidRDefault="0023530B" w:rsidP="000F2E0D">
            <w:pPr>
              <w:keepNext/>
              <w:keepLines/>
              <w:jc w:val="left"/>
              <w:rPr>
                <w:rFonts w:ascii="Arial Narrow" w:hAnsi="Arial Narrow" w:cs="Times New Roman"/>
                <w:snapToGrid/>
                <w:sz w:val="20"/>
              </w:rPr>
            </w:pPr>
            <w:r w:rsidRPr="00BE23C5">
              <w:rPr>
                <w:rFonts w:ascii="Arial Narrow" w:hAnsi="Arial Narrow" w:cs="Times New Roman"/>
                <w:snapToGrid/>
                <w:sz w:val="20"/>
              </w:rPr>
              <w:t>Age of cohort (base case 52.3 years)</w:t>
            </w:r>
          </w:p>
        </w:tc>
        <w:tc>
          <w:tcPr>
            <w:tcW w:w="626"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30"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31"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27" w:type="pct"/>
            <w:gridSpan w:val="2"/>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02"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r>
      <w:tr w:rsidR="0023530B" w:rsidRPr="00BE23C5" w:rsidTr="0051562B">
        <w:tc>
          <w:tcPr>
            <w:tcW w:w="1884" w:type="pct"/>
            <w:tcBorders>
              <w:top w:val="nil"/>
            </w:tcBorders>
            <w:tcMar>
              <w:left w:w="28" w:type="dxa"/>
              <w:right w:w="28" w:type="dxa"/>
            </w:tcMar>
          </w:tcPr>
          <w:p w:rsidR="0023530B" w:rsidRPr="00BE23C5" w:rsidRDefault="0023530B" w:rsidP="000F2E0D">
            <w:pPr>
              <w:keepNext/>
              <w:keepLines/>
              <w:ind w:left="284"/>
              <w:jc w:val="left"/>
              <w:rPr>
                <w:rFonts w:ascii="Arial Narrow" w:hAnsi="Arial Narrow" w:cs="Times New Roman"/>
                <w:snapToGrid/>
                <w:sz w:val="20"/>
              </w:rPr>
            </w:pPr>
            <w:r w:rsidRPr="00BE23C5">
              <w:rPr>
                <w:rFonts w:ascii="Arial Narrow" w:hAnsi="Arial Narrow" w:cs="Times New Roman"/>
                <w:snapToGrid/>
                <w:sz w:val="20"/>
              </w:rPr>
              <w:t>Mean age at diagnosis in Australia (60 years)</w:t>
            </w:r>
          </w:p>
        </w:tc>
        <w:tc>
          <w:tcPr>
            <w:tcW w:w="626" w:type="pct"/>
            <w:tcBorders>
              <w:top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30" w:type="pct"/>
            <w:tcBorders>
              <w:top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0.7</w:t>
            </w:r>
          </w:p>
        </w:tc>
        <w:tc>
          <w:tcPr>
            <w:tcW w:w="631" w:type="pct"/>
            <w:tcBorders>
              <w:top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0.63</w:t>
            </w:r>
          </w:p>
        </w:tc>
        <w:tc>
          <w:tcPr>
            <w:tcW w:w="627" w:type="pct"/>
            <w:gridSpan w:val="2"/>
            <w:tcBorders>
              <w:top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02" w:type="pct"/>
            <w:tcBorders>
              <w:top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r>
      <w:tr w:rsidR="0023530B" w:rsidRPr="00BE23C5" w:rsidTr="0051562B">
        <w:tc>
          <w:tcPr>
            <w:tcW w:w="1884" w:type="pct"/>
            <w:tcBorders>
              <w:bottom w:val="nil"/>
            </w:tcBorders>
            <w:tcMar>
              <w:left w:w="28" w:type="dxa"/>
              <w:right w:w="28" w:type="dxa"/>
            </w:tcMar>
          </w:tcPr>
          <w:p w:rsidR="0023530B" w:rsidRPr="00BE23C5" w:rsidRDefault="0023530B" w:rsidP="000F2E0D">
            <w:pPr>
              <w:keepNext/>
              <w:keepLines/>
              <w:jc w:val="left"/>
              <w:rPr>
                <w:rFonts w:ascii="Arial Narrow" w:hAnsi="Arial Narrow" w:cs="Times New Roman"/>
                <w:snapToGrid/>
                <w:sz w:val="20"/>
              </w:rPr>
            </w:pPr>
            <w:r w:rsidRPr="00BE23C5">
              <w:rPr>
                <w:rFonts w:ascii="Arial Narrow" w:hAnsi="Arial Narrow" w:cs="Times New Roman"/>
                <w:snapToGrid/>
                <w:sz w:val="20"/>
              </w:rPr>
              <w:t xml:space="preserve">Treatment effect (base case taper to HR=1 at </w:t>
            </w:r>
            <w:r w:rsidR="008B0A9F" w:rsidRPr="00BE23C5">
              <w:rPr>
                <w:rFonts w:ascii="Arial Narrow" w:hAnsi="Arial Narrow" w:cs="Times New Roman"/>
                <w:snapToGrid/>
                <w:sz w:val="20"/>
              </w:rPr>
              <w:t>15.25</w:t>
            </w:r>
            <w:r w:rsidRPr="00BE23C5">
              <w:rPr>
                <w:rFonts w:ascii="Arial Narrow" w:hAnsi="Arial Narrow" w:cs="Times New Roman"/>
                <w:snapToGrid/>
                <w:sz w:val="20"/>
              </w:rPr>
              <w:t xml:space="preserve"> years after </w:t>
            </w:r>
            <w:proofErr w:type="spellStart"/>
            <w:r w:rsidRPr="00BE23C5">
              <w:rPr>
                <w:rFonts w:ascii="Arial Narrow" w:hAnsi="Arial Narrow" w:cs="Times New Roman"/>
                <w:snapToGrid/>
                <w:sz w:val="20"/>
              </w:rPr>
              <w:t>ExteNET</w:t>
            </w:r>
            <w:proofErr w:type="spellEnd"/>
            <w:r w:rsidRPr="00BE23C5">
              <w:rPr>
                <w:rFonts w:ascii="Arial Narrow" w:hAnsi="Arial Narrow" w:cs="Times New Roman"/>
                <w:snapToGrid/>
                <w:sz w:val="20"/>
              </w:rPr>
              <w:t xml:space="preserve"> trial foll</w:t>
            </w:r>
            <w:r w:rsidR="008B0A9F" w:rsidRPr="00BE23C5">
              <w:rPr>
                <w:rFonts w:ascii="Arial Narrow" w:hAnsi="Arial Narrow" w:cs="Times New Roman"/>
                <w:snapToGrid/>
                <w:sz w:val="20"/>
              </w:rPr>
              <w:t>ow-</w:t>
            </w:r>
            <w:r w:rsidRPr="00BE23C5">
              <w:rPr>
                <w:rFonts w:ascii="Arial Narrow" w:hAnsi="Arial Narrow" w:cs="Times New Roman"/>
                <w:snapToGrid/>
                <w:sz w:val="20"/>
              </w:rPr>
              <w:t>up)</w:t>
            </w:r>
          </w:p>
        </w:tc>
        <w:tc>
          <w:tcPr>
            <w:tcW w:w="626"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30"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31"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27" w:type="pct"/>
            <w:gridSpan w:val="2"/>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02"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r>
      <w:tr w:rsidR="0023530B" w:rsidRPr="00BE23C5" w:rsidTr="0051562B">
        <w:tc>
          <w:tcPr>
            <w:tcW w:w="1884" w:type="pct"/>
            <w:tcBorders>
              <w:top w:val="nil"/>
              <w:bottom w:val="single" w:sz="4" w:space="0" w:color="auto"/>
            </w:tcBorders>
            <w:tcMar>
              <w:left w:w="28" w:type="dxa"/>
              <w:right w:w="28" w:type="dxa"/>
            </w:tcMar>
          </w:tcPr>
          <w:p w:rsidR="0023530B" w:rsidRPr="00BE23C5" w:rsidRDefault="0023530B" w:rsidP="000F2E0D">
            <w:pPr>
              <w:keepNext/>
              <w:keepLines/>
              <w:ind w:left="284"/>
              <w:jc w:val="left"/>
              <w:rPr>
                <w:rFonts w:ascii="Arial Narrow" w:hAnsi="Arial Narrow" w:cs="Times New Roman"/>
                <w:snapToGrid/>
                <w:sz w:val="20"/>
              </w:rPr>
            </w:pPr>
            <w:r w:rsidRPr="00BE23C5">
              <w:rPr>
                <w:rFonts w:ascii="Arial Narrow" w:hAnsi="Arial Narrow" w:cs="Times New Roman"/>
                <w:snapToGrid/>
                <w:sz w:val="20"/>
              </w:rPr>
              <w:t>Assume no treatment effect after trial follow</w:t>
            </w:r>
            <w:r w:rsidR="008B0A9F" w:rsidRPr="00BE23C5">
              <w:rPr>
                <w:rFonts w:ascii="Arial Narrow" w:hAnsi="Arial Narrow" w:cs="Times New Roman"/>
                <w:snapToGrid/>
                <w:sz w:val="20"/>
              </w:rPr>
              <w:t>-</w:t>
            </w:r>
            <w:r w:rsidRPr="00BE23C5">
              <w:rPr>
                <w:rFonts w:ascii="Arial Narrow" w:hAnsi="Arial Narrow" w:cs="Times New Roman"/>
                <w:snapToGrid/>
                <w:sz w:val="20"/>
              </w:rPr>
              <w:t>up</w:t>
            </w:r>
          </w:p>
        </w:tc>
        <w:tc>
          <w:tcPr>
            <w:tcW w:w="626"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30"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0.67</w:t>
            </w:r>
          </w:p>
        </w:tc>
        <w:tc>
          <w:tcPr>
            <w:tcW w:w="631"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0.60</w:t>
            </w:r>
          </w:p>
        </w:tc>
        <w:tc>
          <w:tcPr>
            <w:tcW w:w="627" w:type="pct"/>
            <w:gridSpan w:val="2"/>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02"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r>
      <w:tr w:rsidR="0023530B" w:rsidRPr="00BE23C5" w:rsidTr="0051562B">
        <w:tc>
          <w:tcPr>
            <w:tcW w:w="1884" w:type="pct"/>
            <w:tcBorders>
              <w:top w:val="single" w:sz="4" w:space="0" w:color="auto"/>
              <w:bottom w:val="nil"/>
            </w:tcBorders>
            <w:tcMar>
              <w:left w:w="28" w:type="dxa"/>
              <w:right w:w="28" w:type="dxa"/>
            </w:tcMar>
          </w:tcPr>
          <w:p w:rsidR="0023530B" w:rsidRPr="00BE23C5" w:rsidRDefault="0023530B" w:rsidP="000F2E0D">
            <w:pPr>
              <w:keepNext/>
              <w:keepLines/>
              <w:jc w:val="left"/>
              <w:rPr>
                <w:rFonts w:ascii="Arial Narrow" w:hAnsi="Arial Narrow" w:cs="Times New Roman"/>
                <w:snapToGrid/>
                <w:sz w:val="20"/>
              </w:rPr>
            </w:pPr>
            <w:r w:rsidRPr="00BE23C5">
              <w:rPr>
                <w:rFonts w:ascii="Arial Narrow" w:hAnsi="Arial Narrow" w:cs="Times New Roman"/>
                <w:snapToGrid/>
                <w:sz w:val="20"/>
              </w:rPr>
              <w:t>Dose per day (base case 214.3mg)</w:t>
            </w:r>
          </w:p>
        </w:tc>
        <w:tc>
          <w:tcPr>
            <w:tcW w:w="626" w:type="pct"/>
            <w:tcBorders>
              <w:top w:val="single" w:sz="4" w:space="0" w:color="auto"/>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30" w:type="pct"/>
            <w:tcBorders>
              <w:top w:val="single" w:sz="4" w:space="0" w:color="auto"/>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31" w:type="pct"/>
            <w:tcBorders>
              <w:top w:val="single" w:sz="4" w:space="0" w:color="auto"/>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27" w:type="pct"/>
            <w:gridSpan w:val="2"/>
            <w:tcBorders>
              <w:top w:val="single" w:sz="4" w:space="0" w:color="auto"/>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02" w:type="pct"/>
            <w:tcBorders>
              <w:top w:val="single" w:sz="4" w:space="0" w:color="auto"/>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r>
      <w:tr w:rsidR="0023530B" w:rsidRPr="00BE23C5" w:rsidTr="0051562B">
        <w:tc>
          <w:tcPr>
            <w:tcW w:w="1884" w:type="pct"/>
            <w:tcBorders>
              <w:top w:val="nil"/>
              <w:bottom w:val="single" w:sz="4" w:space="0" w:color="auto"/>
            </w:tcBorders>
            <w:tcMar>
              <w:left w:w="28" w:type="dxa"/>
              <w:right w:w="28" w:type="dxa"/>
            </w:tcMar>
          </w:tcPr>
          <w:p w:rsidR="0023530B" w:rsidRPr="00BE23C5" w:rsidRDefault="0023530B" w:rsidP="000F2E0D">
            <w:pPr>
              <w:keepNext/>
              <w:keepLines/>
              <w:ind w:left="284"/>
              <w:jc w:val="left"/>
              <w:rPr>
                <w:rFonts w:ascii="Arial Narrow" w:hAnsi="Arial Narrow" w:cs="Times New Roman"/>
                <w:snapToGrid/>
                <w:sz w:val="20"/>
              </w:rPr>
            </w:pPr>
            <w:r w:rsidRPr="00BE23C5">
              <w:rPr>
                <w:rFonts w:ascii="Arial Narrow" w:hAnsi="Arial Narrow" w:cs="Times New Roman"/>
                <w:snapToGrid/>
                <w:sz w:val="20"/>
              </w:rPr>
              <w:t>240mg (recommended dose)</w:t>
            </w:r>
          </w:p>
        </w:tc>
        <w:tc>
          <w:tcPr>
            <w:tcW w:w="626"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30"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0.78</w:t>
            </w:r>
          </w:p>
        </w:tc>
        <w:tc>
          <w:tcPr>
            <w:tcW w:w="631"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0.70</w:t>
            </w:r>
          </w:p>
        </w:tc>
        <w:tc>
          <w:tcPr>
            <w:tcW w:w="627" w:type="pct"/>
            <w:gridSpan w:val="2"/>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02"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r>
      <w:tr w:rsidR="0023530B" w:rsidRPr="00BE23C5" w:rsidTr="0051562B">
        <w:tc>
          <w:tcPr>
            <w:tcW w:w="1884" w:type="pct"/>
            <w:tcBorders>
              <w:bottom w:val="nil"/>
            </w:tcBorders>
            <w:tcMar>
              <w:left w:w="28" w:type="dxa"/>
              <w:right w:w="28" w:type="dxa"/>
            </w:tcMar>
          </w:tcPr>
          <w:p w:rsidR="0023530B" w:rsidRPr="00BE23C5" w:rsidRDefault="0023530B" w:rsidP="000F2E0D">
            <w:pPr>
              <w:keepNext/>
              <w:keepLines/>
              <w:jc w:val="left"/>
              <w:rPr>
                <w:rFonts w:ascii="Arial Narrow" w:hAnsi="Arial Narrow" w:cs="Times New Roman"/>
                <w:snapToGrid/>
                <w:sz w:val="20"/>
              </w:rPr>
            </w:pPr>
            <w:r w:rsidRPr="00BE23C5">
              <w:rPr>
                <w:rFonts w:ascii="Arial Narrow" w:hAnsi="Arial Narrow" w:cs="Times New Roman"/>
                <w:snapToGrid/>
                <w:sz w:val="20"/>
              </w:rPr>
              <w:t xml:space="preserve">Extrapolation (base case </w:t>
            </w:r>
            <w:proofErr w:type="spellStart"/>
            <w:r w:rsidRPr="00BE23C5">
              <w:rPr>
                <w:rFonts w:ascii="Arial Narrow" w:hAnsi="Arial Narrow" w:cs="Times New Roman"/>
                <w:snapToGrid/>
                <w:sz w:val="20"/>
              </w:rPr>
              <w:t>Gompertz</w:t>
            </w:r>
            <w:proofErr w:type="spellEnd"/>
            <w:r w:rsidRPr="00BE23C5">
              <w:rPr>
                <w:rFonts w:ascii="Arial Narrow" w:hAnsi="Arial Narrow" w:cs="Times New Roman"/>
                <w:snapToGrid/>
                <w:sz w:val="20"/>
              </w:rPr>
              <w:t xml:space="preserve"> applied to both </w:t>
            </w:r>
            <w:proofErr w:type="spellStart"/>
            <w:r w:rsidRPr="00BE23C5">
              <w:rPr>
                <w:rFonts w:ascii="Arial Narrow" w:hAnsi="Arial Narrow" w:cs="Times New Roman"/>
                <w:snapToGrid/>
                <w:sz w:val="20"/>
              </w:rPr>
              <w:t>ExteNET</w:t>
            </w:r>
            <w:proofErr w:type="spellEnd"/>
            <w:r w:rsidRPr="00BE23C5">
              <w:rPr>
                <w:rFonts w:ascii="Arial Narrow" w:hAnsi="Arial Narrow" w:cs="Times New Roman"/>
                <w:snapToGrid/>
                <w:sz w:val="20"/>
              </w:rPr>
              <w:t xml:space="preserve"> trial and external study data)</w:t>
            </w:r>
          </w:p>
        </w:tc>
        <w:tc>
          <w:tcPr>
            <w:tcW w:w="626"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30"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31"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27" w:type="pct"/>
            <w:gridSpan w:val="2"/>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02"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r>
      <w:tr w:rsidR="0023530B" w:rsidRPr="00BE23C5" w:rsidTr="0051562B">
        <w:tc>
          <w:tcPr>
            <w:tcW w:w="1884" w:type="pct"/>
            <w:tcBorders>
              <w:top w:val="nil"/>
              <w:bottom w:val="single" w:sz="4" w:space="0" w:color="auto"/>
            </w:tcBorders>
            <w:tcMar>
              <w:left w:w="28" w:type="dxa"/>
              <w:right w:w="28" w:type="dxa"/>
            </w:tcMar>
          </w:tcPr>
          <w:p w:rsidR="0023530B" w:rsidRPr="00BE23C5" w:rsidRDefault="0023530B" w:rsidP="000F2E0D">
            <w:pPr>
              <w:keepNext/>
              <w:keepLines/>
              <w:widowControl/>
              <w:tabs>
                <w:tab w:val="left" w:pos="142"/>
              </w:tabs>
              <w:ind w:left="284"/>
              <w:jc w:val="left"/>
              <w:rPr>
                <w:rFonts w:ascii="Arial Narrow" w:hAnsi="Arial Narrow" w:cs="Times New Roman"/>
                <w:snapToGrid/>
                <w:sz w:val="20"/>
              </w:rPr>
            </w:pPr>
            <w:r w:rsidRPr="00BE23C5">
              <w:rPr>
                <w:rFonts w:ascii="Arial Narrow" w:hAnsi="Arial Narrow" w:cs="Times New Roman"/>
                <w:snapToGrid/>
                <w:sz w:val="20"/>
              </w:rPr>
              <w:t xml:space="preserve">Flexible Weibull (1 knot) to </w:t>
            </w:r>
            <w:proofErr w:type="spellStart"/>
            <w:r w:rsidRPr="00BE23C5">
              <w:rPr>
                <w:rFonts w:ascii="Arial Narrow" w:hAnsi="Arial Narrow" w:cs="Times New Roman"/>
                <w:snapToGrid/>
                <w:sz w:val="20"/>
              </w:rPr>
              <w:t>ExteNET</w:t>
            </w:r>
            <w:proofErr w:type="spellEnd"/>
            <w:r w:rsidRPr="00BE23C5">
              <w:rPr>
                <w:rFonts w:ascii="Arial Narrow" w:hAnsi="Arial Narrow" w:cs="Times New Roman"/>
                <w:snapToGrid/>
                <w:sz w:val="20"/>
              </w:rPr>
              <w:t xml:space="preserve"> trial data and </w:t>
            </w:r>
            <w:proofErr w:type="spellStart"/>
            <w:r w:rsidRPr="00BE23C5">
              <w:rPr>
                <w:rFonts w:ascii="Arial Narrow" w:hAnsi="Arial Narrow" w:cs="Times New Roman"/>
                <w:snapToGrid/>
                <w:sz w:val="20"/>
              </w:rPr>
              <w:t>Gompertz</w:t>
            </w:r>
            <w:proofErr w:type="spellEnd"/>
            <w:r w:rsidRPr="00BE23C5">
              <w:rPr>
                <w:rFonts w:ascii="Arial Narrow" w:hAnsi="Arial Narrow" w:cs="Times New Roman"/>
                <w:snapToGrid/>
                <w:sz w:val="20"/>
              </w:rPr>
              <w:t xml:space="preserve"> to external study*</w:t>
            </w:r>
          </w:p>
        </w:tc>
        <w:tc>
          <w:tcPr>
            <w:tcW w:w="626"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30"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0.80</w:t>
            </w:r>
          </w:p>
        </w:tc>
        <w:tc>
          <w:tcPr>
            <w:tcW w:w="631"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0.72</w:t>
            </w:r>
          </w:p>
        </w:tc>
        <w:tc>
          <w:tcPr>
            <w:tcW w:w="627" w:type="pct"/>
            <w:gridSpan w:val="2"/>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02"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r>
      <w:tr w:rsidR="0023530B" w:rsidRPr="00BE23C5" w:rsidTr="0051562B">
        <w:tc>
          <w:tcPr>
            <w:tcW w:w="1884" w:type="pct"/>
            <w:tcBorders>
              <w:top w:val="nil"/>
              <w:bottom w:val="single" w:sz="4" w:space="0" w:color="auto"/>
            </w:tcBorders>
            <w:tcMar>
              <w:left w:w="28" w:type="dxa"/>
              <w:right w:w="28" w:type="dxa"/>
            </w:tcMar>
          </w:tcPr>
          <w:p w:rsidR="0023530B" w:rsidRPr="00BE23C5" w:rsidRDefault="0023530B" w:rsidP="000F2E0D">
            <w:pPr>
              <w:keepNext/>
              <w:keepLines/>
              <w:ind w:left="284"/>
              <w:jc w:val="left"/>
              <w:rPr>
                <w:rFonts w:ascii="Arial Narrow" w:hAnsi="Arial Narrow" w:cs="Times New Roman"/>
                <w:snapToGrid/>
                <w:sz w:val="20"/>
              </w:rPr>
            </w:pPr>
            <w:r w:rsidRPr="00BE23C5">
              <w:rPr>
                <w:rFonts w:ascii="Arial Narrow" w:hAnsi="Arial Narrow" w:cs="Times New Roman"/>
                <w:snapToGrid/>
                <w:sz w:val="20"/>
              </w:rPr>
              <w:t xml:space="preserve">Flexible Weibull (2 knots) to </w:t>
            </w:r>
            <w:proofErr w:type="spellStart"/>
            <w:r w:rsidRPr="00BE23C5">
              <w:rPr>
                <w:rFonts w:ascii="Arial Narrow" w:hAnsi="Arial Narrow" w:cs="Times New Roman"/>
                <w:snapToGrid/>
                <w:sz w:val="20"/>
              </w:rPr>
              <w:t>ExteNET</w:t>
            </w:r>
            <w:proofErr w:type="spellEnd"/>
            <w:r w:rsidRPr="00BE23C5">
              <w:rPr>
                <w:rFonts w:ascii="Arial Narrow" w:hAnsi="Arial Narrow" w:cs="Times New Roman"/>
                <w:snapToGrid/>
                <w:sz w:val="20"/>
              </w:rPr>
              <w:t xml:space="preserve"> trial data and </w:t>
            </w:r>
            <w:proofErr w:type="spellStart"/>
            <w:r w:rsidRPr="00BE23C5">
              <w:rPr>
                <w:rFonts w:ascii="Arial Narrow" w:hAnsi="Arial Narrow" w:cs="Times New Roman"/>
                <w:snapToGrid/>
                <w:sz w:val="20"/>
              </w:rPr>
              <w:t>Gompertz</w:t>
            </w:r>
            <w:proofErr w:type="spellEnd"/>
            <w:r w:rsidRPr="00BE23C5">
              <w:rPr>
                <w:rFonts w:ascii="Arial Narrow" w:hAnsi="Arial Narrow" w:cs="Times New Roman"/>
                <w:snapToGrid/>
                <w:sz w:val="20"/>
              </w:rPr>
              <w:t xml:space="preserve"> to external study data</w:t>
            </w:r>
          </w:p>
        </w:tc>
        <w:tc>
          <w:tcPr>
            <w:tcW w:w="626"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30"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0.63</w:t>
            </w:r>
          </w:p>
        </w:tc>
        <w:tc>
          <w:tcPr>
            <w:tcW w:w="631"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0.57</w:t>
            </w:r>
          </w:p>
        </w:tc>
        <w:tc>
          <w:tcPr>
            <w:tcW w:w="627" w:type="pct"/>
            <w:gridSpan w:val="2"/>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02"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r>
      <w:tr w:rsidR="0023530B" w:rsidRPr="00BE23C5" w:rsidTr="0051562B">
        <w:tc>
          <w:tcPr>
            <w:tcW w:w="1884" w:type="pct"/>
            <w:tcBorders>
              <w:bottom w:val="nil"/>
            </w:tcBorders>
            <w:tcMar>
              <w:left w:w="28" w:type="dxa"/>
              <w:right w:w="28" w:type="dxa"/>
            </w:tcMar>
          </w:tcPr>
          <w:p w:rsidR="0023530B" w:rsidRPr="00BE23C5" w:rsidRDefault="0023530B" w:rsidP="000F2E0D">
            <w:pPr>
              <w:keepNext/>
              <w:keepLines/>
              <w:jc w:val="left"/>
              <w:rPr>
                <w:rFonts w:ascii="Arial Narrow" w:hAnsi="Arial Narrow" w:cs="Times New Roman"/>
                <w:snapToGrid/>
                <w:sz w:val="20"/>
              </w:rPr>
            </w:pPr>
            <w:r w:rsidRPr="00BE23C5">
              <w:rPr>
                <w:rFonts w:ascii="Arial Narrow" w:hAnsi="Arial Narrow" w:cs="Times New Roman"/>
                <w:snapToGrid/>
                <w:sz w:val="20"/>
              </w:rPr>
              <w:t>Utilities (base case Garrison 2007)</w:t>
            </w:r>
          </w:p>
        </w:tc>
        <w:tc>
          <w:tcPr>
            <w:tcW w:w="626"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30"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31"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27" w:type="pct"/>
            <w:gridSpan w:val="2"/>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02" w:type="pct"/>
            <w:tcBorders>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r>
      <w:tr w:rsidR="0023530B" w:rsidRPr="00BE23C5" w:rsidTr="0051562B">
        <w:tc>
          <w:tcPr>
            <w:tcW w:w="1884" w:type="pct"/>
            <w:tcBorders>
              <w:top w:val="nil"/>
              <w:bottom w:val="nil"/>
            </w:tcBorders>
            <w:tcMar>
              <w:left w:w="28" w:type="dxa"/>
              <w:right w:w="28" w:type="dxa"/>
            </w:tcMar>
          </w:tcPr>
          <w:p w:rsidR="0023530B" w:rsidRPr="00BE23C5" w:rsidRDefault="0023530B" w:rsidP="000F2E0D">
            <w:pPr>
              <w:keepNext/>
              <w:keepLines/>
              <w:ind w:left="284"/>
              <w:jc w:val="left"/>
              <w:rPr>
                <w:rFonts w:ascii="Arial Narrow" w:hAnsi="Arial Narrow" w:cs="Times New Roman"/>
                <w:snapToGrid/>
                <w:sz w:val="20"/>
              </w:rPr>
            </w:pPr>
            <w:r w:rsidRPr="00BE23C5">
              <w:rPr>
                <w:rFonts w:ascii="Arial Narrow" w:hAnsi="Arial Narrow" w:cs="Times New Roman"/>
                <w:snapToGrid/>
                <w:sz w:val="20"/>
              </w:rPr>
              <w:t>Earle (2000)</w:t>
            </w:r>
          </w:p>
        </w:tc>
        <w:tc>
          <w:tcPr>
            <w:tcW w:w="626" w:type="pct"/>
            <w:tcBorders>
              <w:top w:val="nil"/>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30" w:type="pct"/>
            <w:tcBorders>
              <w:top w:val="nil"/>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0.78</w:t>
            </w:r>
          </w:p>
        </w:tc>
        <w:tc>
          <w:tcPr>
            <w:tcW w:w="631" w:type="pct"/>
            <w:tcBorders>
              <w:top w:val="nil"/>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0.76</w:t>
            </w:r>
          </w:p>
        </w:tc>
        <w:tc>
          <w:tcPr>
            <w:tcW w:w="627" w:type="pct"/>
            <w:gridSpan w:val="2"/>
            <w:tcBorders>
              <w:top w:val="nil"/>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02" w:type="pct"/>
            <w:tcBorders>
              <w:top w:val="nil"/>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r>
      <w:tr w:rsidR="0023530B" w:rsidRPr="00BE23C5" w:rsidTr="0051562B">
        <w:tc>
          <w:tcPr>
            <w:tcW w:w="1884" w:type="pct"/>
            <w:tcBorders>
              <w:top w:val="nil"/>
              <w:bottom w:val="nil"/>
            </w:tcBorders>
            <w:tcMar>
              <w:left w:w="28" w:type="dxa"/>
              <w:right w:w="28" w:type="dxa"/>
            </w:tcMar>
          </w:tcPr>
          <w:p w:rsidR="0023530B" w:rsidRPr="00BE23C5" w:rsidRDefault="0023530B" w:rsidP="000F2E0D">
            <w:pPr>
              <w:keepNext/>
              <w:keepLines/>
              <w:ind w:left="284"/>
              <w:jc w:val="left"/>
              <w:rPr>
                <w:rFonts w:ascii="Arial Narrow" w:hAnsi="Arial Narrow" w:cs="Times New Roman"/>
                <w:snapToGrid/>
                <w:sz w:val="20"/>
              </w:rPr>
            </w:pPr>
            <w:r w:rsidRPr="00BE23C5">
              <w:rPr>
                <w:rFonts w:ascii="Arial Narrow" w:hAnsi="Arial Narrow" w:cs="Times New Roman"/>
                <w:snapToGrid/>
                <w:sz w:val="20"/>
              </w:rPr>
              <w:t>Hall (2011)</w:t>
            </w:r>
          </w:p>
        </w:tc>
        <w:tc>
          <w:tcPr>
            <w:tcW w:w="626" w:type="pct"/>
            <w:tcBorders>
              <w:top w:val="nil"/>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30" w:type="pct"/>
            <w:tcBorders>
              <w:top w:val="nil"/>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0.78</w:t>
            </w:r>
          </w:p>
        </w:tc>
        <w:tc>
          <w:tcPr>
            <w:tcW w:w="631" w:type="pct"/>
            <w:tcBorders>
              <w:top w:val="nil"/>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0.61</w:t>
            </w:r>
          </w:p>
        </w:tc>
        <w:tc>
          <w:tcPr>
            <w:tcW w:w="627" w:type="pct"/>
            <w:gridSpan w:val="2"/>
            <w:tcBorders>
              <w:top w:val="nil"/>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02" w:type="pct"/>
            <w:tcBorders>
              <w:top w:val="nil"/>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r>
      <w:tr w:rsidR="0023530B" w:rsidRPr="00BE23C5" w:rsidTr="0051562B">
        <w:tc>
          <w:tcPr>
            <w:tcW w:w="1884" w:type="pct"/>
            <w:tcBorders>
              <w:top w:val="nil"/>
              <w:bottom w:val="single" w:sz="4" w:space="0" w:color="auto"/>
            </w:tcBorders>
            <w:tcMar>
              <w:left w:w="28" w:type="dxa"/>
              <w:right w:w="28" w:type="dxa"/>
            </w:tcMar>
          </w:tcPr>
          <w:p w:rsidR="0023530B" w:rsidRPr="00BE23C5" w:rsidRDefault="0023530B" w:rsidP="000F2E0D">
            <w:pPr>
              <w:keepNext/>
              <w:keepLines/>
              <w:ind w:left="284"/>
              <w:jc w:val="left"/>
              <w:rPr>
                <w:rFonts w:ascii="Arial Narrow" w:hAnsi="Arial Narrow" w:cs="Times New Roman"/>
                <w:snapToGrid/>
                <w:sz w:val="20"/>
              </w:rPr>
            </w:pPr>
            <w:r w:rsidRPr="00BE23C5">
              <w:rPr>
                <w:rFonts w:ascii="Arial Narrow" w:hAnsi="Arial Narrow" w:cs="Times New Roman"/>
                <w:snapToGrid/>
                <w:sz w:val="20"/>
              </w:rPr>
              <w:t>Lloyd (2006) (</w:t>
            </w:r>
            <w:proofErr w:type="spellStart"/>
            <w:r w:rsidRPr="00BE23C5">
              <w:rPr>
                <w:rFonts w:ascii="Arial Narrow" w:hAnsi="Arial Narrow" w:cs="Times New Roman"/>
                <w:snapToGrid/>
                <w:sz w:val="20"/>
              </w:rPr>
              <w:t>iDFS</w:t>
            </w:r>
            <w:proofErr w:type="spellEnd"/>
            <w:r w:rsidRPr="00BE23C5">
              <w:rPr>
                <w:rFonts w:ascii="Arial Narrow" w:hAnsi="Arial Narrow" w:cs="Times New Roman"/>
                <w:snapToGrid/>
                <w:sz w:val="20"/>
              </w:rPr>
              <w:t>: 0.72; local and distant recurrence: 0.45)</w:t>
            </w:r>
          </w:p>
        </w:tc>
        <w:tc>
          <w:tcPr>
            <w:tcW w:w="626"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30"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0.78</w:t>
            </w:r>
          </w:p>
        </w:tc>
        <w:tc>
          <w:tcPr>
            <w:tcW w:w="631"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0.56</w:t>
            </w:r>
          </w:p>
        </w:tc>
        <w:tc>
          <w:tcPr>
            <w:tcW w:w="627" w:type="pct"/>
            <w:gridSpan w:val="2"/>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02" w:type="pct"/>
            <w:tcBorders>
              <w:top w:val="nil"/>
              <w:bottom w:val="single" w:sz="4" w:space="0" w:color="auto"/>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r>
      <w:tr w:rsidR="00C864ED" w:rsidRPr="00BE23C5" w:rsidTr="0051562B">
        <w:tc>
          <w:tcPr>
            <w:tcW w:w="5000" w:type="pct"/>
            <w:gridSpan w:val="7"/>
            <w:tcBorders>
              <w:top w:val="single" w:sz="4" w:space="0" w:color="auto"/>
              <w:bottom w:val="nil"/>
            </w:tcBorders>
            <w:tcMar>
              <w:left w:w="28" w:type="dxa"/>
              <w:right w:w="28" w:type="dxa"/>
            </w:tcMar>
            <w:vAlign w:val="center"/>
          </w:tcPr>
          <w:p w:rsidR="00C864ED" w:rsidRPr="00BE23C5" w:rsidRDefault="00C864ED" w:rsidP="0051562B">
            <w:pPr>
              <w:keepNext/>
              <w:keepLines/>
              <w:jc w:val="left"/>
              <w:rPr>
                <w:rFonts w:ascii="Arial Narrow" w:hAnsi="Arial Narrow" w:cs="Times New Roman"/>
                <w:snapToGrid/>
                <w:sz w:val="20"/>
              </w:rPr>
            </w:pPr>
            <w:r w:rsidRPr="00BE23C5">
              <w:rPr>
                <w:rFonts w:ascii="Arial Narrow" w:hAnsi="Arial Narrow" w:cs="Times New Roman"/>
                <w:b/>
                <w:snapToGrid/>
                <w:sz w:val="20"/>
              </w:rPr>
              <w:t>Multivariate</w:t>
            </w:r>
          </w:p>
        </w:tc>
      </w:tr>
      <w:tr w:rsidR="0023530B" w:rsidRPr="00BE23C5" w:rsidTr="0051562B">
        <w:tc>
          <w:tcPr>
            <w:tcW w:w="1884" w:type="pct"/>
            <w:tcBorders>
              <w:top w:val="single" w:sz="4" w:space="0" w:color="auto"/>
              <w:bottom w:val="nil"/>
            </w:tcBorders>
            <w:tcMar>
              <w:left w:w="28" w:type="dxa"/>
              <w:right w:w="28" w:type="dxa"/>
            </w:tcMar>
          </w:tcPr>
          <w:p w:rsidR="0023530B" w:rsidRPr="00BE23C5" w:rsidRDefault="0023530B" w:rsidP="000F2E0D">
            <w:pPr>
              <w:keepNext/>
              <w:keepLines/>
              <w:jc w:val="left"/>
              <w:rPr>
                <w:rFonts w:ascii="Arial Narrow" w:hAnsi="Arial Narrow" w:cs="Times New Roman"/>
                <w:snapToGrid/>
                <w:sz w:val="20"/>
              </w:rPr>
            </w:pPr>
            <w:r w:rsidRPr="00BE23C5">
              <w:rPr>
                <w:rFonts w:ascii="Arial Narrow" w:hAnsi="Arial Narrow" w:cs="Times New Roman"/>
                <w:snapToGrid/>
                <w:sz w:val="20"/>
              </w:rPr>
              <w:t>No wastage (240mg per day) and 9.37 scripts per patient (base case 214.3mg per day for 8.23 months)</w:t>
            </w:r>
          </w:p>
        </w:tc>
        <w:tc>
          <w:tcPr>
            <w:tcW w:w="626" w:type="pct"/>
            <w:tcBorders>
              <w:top w:val="single" w:sz="4" w:space="0" w:color="auto"/>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30" w:type="pct"/>
            <w:tcBorders>
              <w:top w:val="single" w:sz="4" w:space="0" w:color="auto"/>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31" w:type="pct"/>
            <w:tcBorders>
              <w:top w:val="single" w:sz="4" w:space="0" w:color="auto"/>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27" w:type="pct"/>
            <w:gridSpan w:val="2"/>
            <w:tcBorders>
              <w:top w:val="single" w:sz="4" w:space="0" w:color="auto"/>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c>
          <w:tcPr>
            <w:tcW w:w="602" w:type="pct"/>
            <w:tcBorders>
              <w:top w:val="single" w:sz="4" w:space="0" w:color="auto"/>
              <w:bottom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p>
        </w:tc>
      </w:tr>
      <w:tr w:rsidR="0023530B" w:rsidRPr="00BE23C5" w:rsidTr="0051562B">
        <w:tc>
          <w:tcPr>
            <w:tcW w:w="1884" w:type="pct"/>
            <w:tcBorders>
              <w:top w:val="nil"/>
            </w:tcBorders>
            <w:tcMar>
              <w:left w:w="28" w:type="dxa"/>
              <w:right w:w="28" w:type="dxa"/>
            </w:tcMar>
          </w:tcPr>
          <w:p w:rsidR="0023530B" w:rsidRPr="00BE23C5" w:rsidRDefault="0023530B" w:rsidP="000F2E0D">
            <w:pPr>
              <w:keepNext/>
              <w:keepLines/>
              <w:ind w:left="284"/>
              <w:jc w:val="left"/>
              <w:rPr>
                <w:rFonts w:ascii="Arial Narrow" w:hAnsi="Arial Narrow" w:cs="Times New Roman"/>
                <w:snapToGrid/>
                <w:sz w:val="20"/>
              </w:rPr>
            </w:pPr>
            <w:r w:rsidRPr="00BE23C5">
              <w:rPr>
                <w:rFonts w:ascii="Arial Narrow" w:hAnsi="Arial Narrow" w:cs="Times New Roman"/>
                <w:snapToGrid/>
                <w:sz w:val="20"/>
              </w:rPr>
              <w:t>To match Section 4</w:t>
            </w:r>
          </w:p>
        </w:tc>
        <w:tc>
          <w:tcPr>
            <w:tcW w:w="626" w:type="pct"/>
            <w:tcBorders>
              <w:top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30" w:type="pct"/>
            <w:tcBorders>
              <w:top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0.78</w:t>
            </w:r>
          </w:p>
        </w:tc>
        <w:tc>
          <w:tcPr>
            <w:tcW w:w="631" w:type="pct"/>
            <w:tcBorders>
              <w:top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0.70</w:t>
            </w:r>
          </w:p>
        </w:tc>
        <w:tc>
          <w:tcPr>
            <w:tcW w:w="627" w:type="pct"/>
            <w:gridSpan w:val="2"/>
            <w:tcBorders>
              <w:top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02" w:type="pct"/>
            <w:tcBorders>
              <w:top w:val="nil"/>
            </w:tcBorders>
            <w:tcMar>
              <w:left w:w="28" w:type="dxa"/>
              <w:right w:w="28" w:type="dxa"/>
            </w:tcMar>
            <w:vAlign w:val="center"/>
          </w:tcPr>
          <w:p w:rsidR="0023530B" w:rsidRPr="00BE23C5" w:rsidRDefault="0023530B"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r>
    </w:tbl>
    <w:p w:rsidR="00D86D93" w:rsidRPr="00BE23C5" w:rsidRDefault="00D86D93" w:rsidP="00033521">
      <w:pPr>
        <w:pStyle w:val="TableFooter"/>
        <w:keepNext/>
        <w:keepLines/>
      </w:pPr>
      <w:r w:rsidRPr="00BE23C5">
        <w:t xml:space="preserve">LY: life year; QALY: quality adjusted life years; ICER: incremental cost-effectiveness ratio; HR+: hormone receptor positive; HR: hazard rate; </w:t>
      </w:r>
      <w:proofErr w:type="spellStart"/>
      <w:r w:rsidRPr="00BE23C5">
        <w:t>iDFS</w:t>
      </w:r>
      <w:proofErr w:type="spellEnd"/>
      <w:r w:rsidRPr="00BE23C5">
        <w:t>: invasive disease free survival</w:t>
      </w:r>
    </w:p>
    <w:p w:rsidR="0023530B" w:rsidRPr="00BE23C5" w:rsidRDefault="00C864ED" w:rsidP="00033521">
      <w:pPr>
        <w:pStyle w:val="TableFooter"/>
        <w:keepNext/>
        <w:keepLines/>
      </w:pPr>
      <w:r w:rsidRPr="00BE23C5">
        <w:t>Source: Compiled during the evaluation</w:t>
      </w:r>
    </w:p>
    <w:p w:rsidR="00C864ED" w:rsidRPr="00BE23C5" w:rsidRDefault="00C864ED" w:rsidP="00C864ED">
      <w:pPr>
        <w:pStyle w:val="ListParagraph"/>
        <w:widowControl/>
      </w:pPr>
    </w:p>
    <w:p w:rsidR="00C864ED" w:rsidRPr="00BE23C5" w:rsidRDefault="007A4F05" w:rsidP="007F5EE0">
      <w:pPr>
        <w:pStyle w:val="TableHeading"/>
        <w:keepLines/>
      </w:pPr>
      <w:r w:rsidRPr="00BE23C5">
        <w:lastRenderedPageBreak/>
        <w:t>Table 1</w:t>
      </w:r>
      <w:r w:rsidR="00816487" w:rsidRPr="00BE23C5">
        <w:t>4</w:t>
      </w:r>
      <w:r w:rsidRPr="00BE23C5">
        <w:t>: Sensitivity of ICER to time horizon.</w:t>
      </w:r>
    </w:p>
    <w:tbl>
      <w:tblPr>
        <w:tblStyle w:val="TableGrid"/>
        <w:tblW w:w="5000" w:type="pct"/>
        <w:tblLook w:val="04A0" w:firstRow="1" w:lastRow="0" w:firstColumn="1" w:lastColumn="0" w:noHBand="0" w:noVBand="1"/>
        <w:tblCaption w:val="Table 14: Sensitivity of ICER to time horizon"/>
      </w:tblPr>
      <w:tblGrid>
        <w:gridCol w:w="993"/>
        <w:gridCol w:w="1009"/>
        <w:gridCol w:w="997"/>
        <w:gridCol w:w="1004"/>
        <w:gridCol w:w="997"/>
        <w:gridCol w:w="1004"/>
        <w:gridCol w:w="997"/>
        <w:gridCol w:w="1008"/>
        <w:gridCol w:w="1008"/>
      </w:tblGrid>
      <w:tr w:rsidR="00D86D93" w:rsidRPr="00BE23C5" w:rsidTr="00E031F5">
        <w:trPr>
          <w:trHeight w:val="58"/>
          <w:tblHeader/>
        </w:trPr>
        <w:tc>
          <w:tcPr>
            <w:tcW w:w="550" w:type="pct"/>
            <w:vMerge w:val="restart"/>
          </w:tcPr>
          <w:p w:rsidR="00D86D93" w:rsidRPr="00BE23C5" w:rsidRDefault="00D86D93" w:rsidP="007F5EE0">
            <w:pPr>
              <w:pStyle w:val="Tabletext"/>
              <w:keepNext/>
              <w:keepLines/>
              <w:rPr>
                <w:b/>
              </w:rPr>
            </w:pPr>
            <w:bookmarkStart w:id="15" w:name="_GoBack"/>
            <w:r w:rsidRPr="00BE23C5">
              <w:rPr>
                <w:b/>
              </w:rPr>
              <w:t>Time Horizon (years)</w:t>
            </w:r>
          </w:p>
        </w:tc>
        <w:tc>
          <w:tcPr>
            <w:tcW w:w="1112" w:type="pct"/>
            <w:gridSpan w:val="2"/>
            <w:vAlign w:val="center"/>
          </w:tcPr>
          <w:p w:rsidR="00D86D93" w:rsidRPr="00BE23C5" w:rsidRDefault="00D86D93" w:rsidP="007F5EE0">
            <w:pPr>
              <w:pStyle w:val="Tabletext"/>
              <w:keepNext/>
              <w:keepLines/>
              <w:jc w:val="center"/>
              <w:rPr>
                <w:b/>
              </w:rPr>
            </w:pPr>
            <w:r w:rsidRPr="00BE23C5">
              <w:rPr>
                <w:b/>
              </w:rPr>
              <w:t>Total Cost</w:t>
            </w:r>
          </w:p>
        </w:tc>
        <w:tc>
          <w:tcPr>
            <w:tcW w:w="1110" w:type="pct"/>
            <w:gridSpan w:val="2"/>
            <w:vAlign w:val="center"/>
          </w:tcPr>
          <w:p w:rsidR="00D86D93" w:rsidRPr="00BE23C5" w:rsidRDefault="00D86D93" w:rsidP="007F5EE0">
            <w:pPr>
              <w:pStyle w:val="Tabletext"/>
              <w:keepNext/>
              <w:keepLines/>
              <w:jc w:val="center"/>
              <w:rPr>
                <w:b/>
              </w:rPr>
            </w:pPr>
            <w:r w:rsidRPr="00BE23C5">
              <w:rPr>
                <w:b/>
              </w:rPr>
              <w:t>Life Years</w:t>
            </w:r>
          </w:p>
        </w:tc>
        <w:tc>
          <w:tcPr>
            <w:tcW w:w="1110" w:type="pct"/>
            <w:gridSpan w:val="2"/>
            <w:vAlign w:val="center"/>
          </w:tcPr>
          <w:p w:rsidR="00D86D93" w:rsidRPr="00BE23C5" w:rsidRDefault="00D86D93" w:rsidP="007F5EE0">
            <w:pPr>
              <w:pStyle w:val="Tabletext"/>
              <w:keepNext/>
              <w:keepLines/>
              <w:jc w:val="center"/>
              <w:rPr>
                <w:b/>
              </w:rPr>
            </w:pPr>
            <w:r w:rsidRPr="00BE23C5">
              <w:rPr>
                <w:b/>
              </w:rPr>
              <w:t>QALYs</w:t>
            </w:r>
          </w:p>
        </w:tc>
        <w:tc>
          <w:tcPr>
            <w:tcW w:w="1119" w:type="pct"/>
            <w:gridSpan w:val="2"/>
            <w:vAlign w:val="center"/>
          </w:tcPr>
          <w:p w:rsidR="00D86D93" w:rsidRPr="00BE23C5" w:rsidRDefault="00D86D93" w:rsidP="007F5EE0">
            <w:pPr>
              <w:pStyle w:val="Tabletext"/>
              <w:keepNext/>
              <w:keepLines/>
              <w:jc w:val="center"/>
              <w:rPr>
                <w:b/>
              </w:rPr>
            </w:pPr>
            <w:r w:rsidRPr="00BE23C5">
              <w:rPr>
                <w:b/>
              </w:rPr>
              <w:t>ICER</w:t>
            </w:r>
          </w:p>
        </w:tc>
      </w:tr>
      <w:tr w:rsidR="00D86D93" w:rsidRPr="00BE23C5" w:rsidTr="00E031F5">
        <w:trPr>
          <w:tblHeader/>
        </w:trPr>
        <w:tc>
          <w:tcPr>
            <w:tcW w:w="550" w:type="pct"/>
            <w:vMerge/>
          </w:tcPr>
          <w:p w:rsidR="00D86D93" w:rsidRPr="00BE23C5" w:rsidRDefault="00D86D93" w:rsidP="007F5EE0">
            <w:pPr>
              <w:pStyle w:val="Tabletext"/>
              <w:keepNext/>
              <w:keepLines/>
              <w:rPr>
                <w:b/>
              </w:rPr>
            </w:pPr>
          </w:p>
        </w:tc>
        <w:tc>
          <w:tcPr>
            <w:tcW w:w="559" w:type="pct"/>
            <w:vAlign w:val="center"/>
          </w:tcPr>
          <w:p w:rsidR="00D86D93" w:rsidRPr="00BE23C5" w:rsidRDefault="00D86D93" w:rsidP="007F5EE0">
            <w:pPr>
              <w:pStyle w:val="Tabletext"/>
              <w:keepNext/>
              <w:keepLines/>
              <w:jc w:val="center"/>
              <w:rPr>
                <w:b/>
              </w:rPr>
            </w:pPr>
            <w:proofErr w:type="spellStart"/>
            <w:r w:rsidRPr="00BE23C5">
              <w:rPr>
                <w:b/>
              </w:rPr>
              <w:t>Neratinib</w:t>
            </w:r>
            <w:proofErr w:type="spellEnd"/>
          </w:p>
        </w:tc>
        <w:tc>
          <w:tcPr>
            <w:tcW w:w="552" w:type="pct"/>
            <w:vAlign w:val="center"/>
          </w:tcPr>
          <w:p w:rsidR="00D86D93" w:rsidRPr="00BE23C5" w:rsidRDefault="00D86D93" w:rsidP="007F5EE0">
            <w:pPr>
              <w:pStyle w:val="Tabletext"/>
              <w:keepNext/>
              <w:keepLines/>
              <w:jc w:val="center"/>
              <w:rPr>
                <w:b/>
              </w:rPr>
            </w:pPr>
            <w:r w:rsidRPr="00BE23C5">
              <w:rPr>
                <w:b/>
              </w:rPr>
              <w:t>Placebo</w:t>
            </w:r>
          </w:p>
        </w:tc>
        <w:tc>
          <w:tcPr>
            <w:tcW w:w="557" w:type="pct"/>
            <w:vAlign w:val="center"/>
          </w:tcPr>
          <w:p w:rsidR="00D86D93" w:rsidRPr="00BE23C5" w:rsidRDefault="00D86D93" w:rsidP="007F5EE0">
            <w:pPr>
              <w:pStyle w:val="Tabletext"/>
              <w:keepNext/>
              <w:keepLines/>
              <w:jc w:val="center"/>
              <w:rPr>
                <w:b/>
              </w:rPr>
            </w:pPr>
            <w:proofErr w:type="spellStart"/>
            <w:r w:rsidRPr="00BE23C5">
              <w:rPr>
                <w:b/>
              </w:rPr>
              <w:t>Neratinib</w:t>
            </w:r>
            <w:proofErr w:type="spellEnd"/>
          </w:p>
        </w:tc>
        <w:tc>
          <w:tcPr>
            <w:tcW w:w="552" w:type="pct"/>
            <w:vAlign w:val="center"/>
          </w:tcPr>
          <w:p w:rsidR="00D86D93" w:rsidRPr="00BE23C5" w:rsidRDefault="00D86D93" w:rsidP="007F5EE0">
            <w:pPr>
              <w:pStyle w:val="Tabletext"/>
              <w:keepNext/>
              <w:keepLines/>
              <w:jc w:val="center"/>
              <w:rPr>
                <w:b/>
              </w:rPr>
            </w:pPr>
            <w:r w:rsidRPr="00BE23C5">
              <w:rPr>
                <w:b/>
              </w:rPr>
              <w:t>Placebo</w:t>
            </w:r>
          </w:p>
        </w:tc>
        <w:tc>
          <w:tcPr>
            <w:tcW w:w="557" w:type="pct"/>
            <w:vAlign w:val="center"/>
          </w:tcPr>
          <w:p w:rsidR="00D86D93" w:rsidRPr="00BE23C5" w:rsidRDefault="00D86D93" w:rsidP="007F5EE0">
            <w:pPr>
              <w:pStyle w:val="Tabletext"/>
              <w:keepNext/>
              <w:keepLines/>
              <w:jc w:val="center"/>
              <w:rPr>
                <w:b/>
              </w:rPr>
            </w:pPr>
            <w:proofErr w:type="spellStart"/>
            <w:r w:rsidRPr="00BE23C5">
              <w:rPr>
                <w:b/>
              </w:rPr>
              <w:t>Neratinib</w:t>
            </w:r>
            <w:proofErr w:type="spellEnd"/>
          </w:p>
        </w:tc>
        <w:tc>
          <w:tcPr>
            <w:tcW w:w="552" w:type="pct"/>
            <w:vAlign w:val="center"/>
          </w:tcPr>
          <w:p w:rsidR="00D86D93" w:rsidRPr="00BE23C5" w:rsidRDefault="00D86D93" w:rsidP="007F5EE0">
            <w:pPr>
              <w:pStyle w:val="Tabletext"/>
              <w:keepNext/>
              <w:keepLines/>
              <w:jc w:val="center"/>
              <w:rPr>
                <w:b/>
              </w:rPr>
            </w:pPr>
            <w:r w:rsidRPr="00BE23C5">
              <w:rPr>
                <w:b/>
              </w:rPr>
              <w:t>Placebo</w:t>
            </w:r>
          </w:p>
        </w:tc>
        <w:tc>
          <w:tcPr>
            <w:tcW w:w="559" w:type="pct"/>
            <w:vAlign w:val="center"/>
          </w:tcPr>
          <w:p w:rsidR="00D86D93" w:rsidRPr="00BE23C5" w:rsidRDefault="00D86D93" w:rsidP="007F5EE0">
            <w:pPr>
              <w:pStyle w:val="Tabletext"/>
              <w:keepNext/>
              <w:keepLines/>
              <w:jc w:val="center"/>
              <w:rPr>
                <w:b/>
              </w:rPr>
            </w:pPr>
            <w:r w:rsidRPr="00BE23C5">
              <w:rPr>
                <w:b/>
              </w:rPr>
              <w:t>Per LY gained</w:t>
            </w:r>
          </w:p>
        </w:tc>
        <w:tc>
          <w:tcPr>
            <w:tcW w:w="559" w:type="pct"/>
            <w:vAlign w:val="center"/>
          </w:tcPr>
          <w:p w:rsidR="00D86D93" w:rsidRPr="00BE23C5" w:rsidRDefault="00D86D93" w:rsidP="007F5EE0">
            <w:pPr>
              <w:pStyle w:val="Tabletext"/>
              <w:keepNext/>
              <w:keepLines/>
              <w:jc w:val="center"/>
              <w:rPr>
                <w:b/>
              </w:rPr>
            </w:pPr>
            <w:r w:rsidRPr="00BE23C5">
              <w:rPr>
                <w:b/>
              </w:rPr>
              <w:t>Per QALY gained</w:t>
            </w:r>
          </w:p>
        </w:tc>
      </w:tr>
      <w:tr w:rsidR="007A4F05" w:rsidRPr="00BE23C5" w:rsidTr="00E031F5">
        <w:trPr>
          <w:tblHeader/>
        </w:trPr>
        <w:tc>
          <w:tcPr>
            <w:tcW w:w="550" w:type="pct"/>
          </w:tcPr>
          <w:p w:rsidR="007A4F05" w:rsidRPr="00BE23C5" w:rsidRDefault="007A4F05" w:rsidP="007F5EE0">
            <w:pPr>
              <w:pStyle w:val="Tabletext"/>
              <w:keepNext/>
              <w:keepLines/>
            </w:pPr>
            <w:r w:rsidRPr="00BE23C5">
              <w:t>5</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2"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7" w:type="pct"/>
            <w:vAlign w:val="center"/>
          </w:tcPr>
          <w:p w:rsidR="007A4F05" w:rsidRPr="00BE23C5" w:rsidRDefault="007A4F05" w:rsidP="007F5EE0">
            <w:pPr>
              <w:pStyle w:val="Tabletext"/>
              <w:keepNext/>
              <w:keepLines/>
              <w:jc w:val="center"/>
            </w:pPr>
            <w:r w:rsidRPr="00BE23C5">
              <w:t>4.50</w:t>
            </w:r>
          </w:p>
        </w:tc>
        <w:tc>
          <w:tcPr>
            <w:tcW w:w="552" w:type="pct"/>
            <w:vAlign w:val="center"/>
          </w:tcPr>
          <w:p w:rsidR="007A4F05" w:rsidRPr="00BE23C5" w:rsidRDefault="007A4F05" w:rsidP="007F5EE0">
            <w:pPr>
              <w:pStyle w:val="Tabletext"/>
              <w:keepNext/>
              <w:keepLines/>
              <w:jc w:val="center"/>
            </w:pPr>
            <w:r w:rsidRPr="00BE23C5">
              <w:t>4.36</w:t>
            </w:r>
          </w:p>
        </w:tc>
        <w:tc>
          <w:tcPr>
            <w:tcW w:w="557" w:type="pct"/>
            <w:vAlign w:val="center"/>
          </w:tcPr>
          <w:p w:rsidR="007A4F05" w:rsidRPr="00BE23C5" w:rsidRDefault="007A4F05" w:rsidP="007F5EE0">
            <w:pPr>
              <w:pStyle w:val="Tabletext"/>
              <w:keepNext/>
              <w:keepLines/>
              <w:jc w:val="center"/>
            </w:pPr>
            <w:r w:rsidRPr="00BE23C5">
              <w:t>3.99</w:t>
            </w:r>
          </w:p>
        </w:tc>
        <w:tc>
          <w:tcPr>
            <w:tcW w:w="552" w:type="pct"/>
            <w:vAlign w:val="center"/>
          </w:tcPr>
          <w:p w:rsidR="007A4F05" w:rsidRPr="00BE23C5" w:rsidRDefault="007A4F05" w:rsidP="007F5EE0">
            <w:pPr>
              <w:pStyle w:val="Tabletext"/>
              <w:keepNext/>
              <w:keepLines/>
              <w:jc w:val="center"/>
            </w:pPr>
            <w:r w:rsidRPr="00BE23C5">
              <w:t>3.87</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r>
      <w:tr w:rsidR="007A4F05" w:rsidRPr="00BE23C5" w:rsidTr="00E031F5">
        <w:trPr>
          <w:tblHeader/>
        </w:trPr>
        <w:tc>
          <w:tcPr>
            <w:tcW w:w="550" w:type="pct"/>
          </w:tcPr>
          <w:p w:rsidR="007A4F05" w:rsidRPr="00BE23C5" w:rsidRDefault="007A4F05" w:rsidP="007F5EE0">
            <w:pPr>
              <w:pStyle w:val="Tabletext"/>
              <w:keepNext/>
              <w:keepLines/>
            </w:pPr>
            <w:r w:rsidRPr="00BE23C5">
              <w:t>10</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2"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7" w:type="pct"/>
            <w:vAlign w:val="center"/>
          </w:tcPr>
          <w:p w:rsidR="007A4F05" w:rsidRPr="00BE23C5" w:rsidRDefault="007A4F05" w:rsidP="007F5EE0">
            <w:pPr>
              <w:pStyle w:val="Tabletext"/>
              <w:keepNext/>
              <w:keepLines/>
              <w:jc w:val="center"/>
            </w:pPr>
            <w:r w:rsidRPr="00BE23C5">
              <w:t>7.92</w:t>
            </w:r>
          </w:p>
        </w:tc>
        <w:tc>
          <w:tcPr>
            <w:tcW w:w="552" w:type="pct"/>
            <w:vAlign w:val="center"/>
          </w:tcPr>
          <w:p w:rsidR="007A4F05" w:rsidRPr="00BE23C5" w:rsidRDefault="007A4F05" w:rsidP="007F5EE0">
            <w:pPr>
              <w:pStyle w:val="Tabletext"/>
              <w:keepNext/>
              <w:keepLines/>
              <w:jc w:val="center"/>
            </w:pPr>
            <w:r w:rsidRPr="00BE23C5">
              <w:t>7.57</w:t>
            </w:r>
          </w:p>
        </w:tc>
        <w:tc>
          <w:tcPr>
            <w:tcW w:w="557" w:type="pct"/>
            <w:vAlign w:val="center"/>
          </w:tcPr>
          <w:p w:rsidR="007A4F05" w:rsidRPr="00BE23C5" w:rsidRDefault="007A4F05" w:rsidP="007F5EE0">
            <w:pPr>
              <w:pStyle w:val="Tabletext"/>
              <w:keepNext/>
              <w:keepLines/>
              <w:jc w:val="center"/>
            </w:pPr>
            <w:r w:rsidRPr="00BE23C5">
              <w:t>6.99</w:t>
            </w:r>
          </w:p>
        </w:tc>
        <w:tc>
          <w:tcPr>
            <w:tcW w:w="552" w:type="pct"/>
            <w:vAlign w:val="center"/>
          </w:tcPr>
          <w:p w:rsidR="007A4F05" w:rsidRPr="00BE23C5" w:rsidRDefault="007A4F05" w:rsidP="007F5EE0">
            <w:pPr>
              <w:pStyle w:val="Tabletext"/>
              <w:keepNext/>
              <w:keepLines/>
              <w:jc w:val="center"/>
            </w:pPr>
            <w:r w:rsidRPr="00BE23C5">
              <w:t>6.68</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r>
      <w:tr w:rsidR="007A4F05" w:rsidRPr="00BE23C5" w:rsidTr="00E031F5">
        <w:trPr>
          <w:tblHeader/>
        </w:trPr>
        <w:tc>
          <w:tcPr>
            <w:tcW w:w="550" w:type="pct"/>
          </w:tcPr>
          <w:p w:rsidR="007A4F05" w:rsidRPr="00BE23C5" w:rsidRDefault="007A4F05" w:rsidP="007F5EE0">
            <w:pPr>
              <w:pStyle w:val="Tabletext"/>
              <w:keepNext/>
              <w:keepLines/>
            </w:pPr>
            <w:r w:rsidRPr="00BE23C5">
              <w:t>15</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2"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7" w:type="pct"/>
            <w:vAlign w:val="center"/>
          </w:tcPr>
          <w:p w:rsidR="007A4F05" w:rsidRPr="00BE23C5" w:rsidRDefault="007A4F05" w:rsidP="007F5EE0">
            <w:pPr>
              <w:pStyle w:val="Tabletext"/>
              <w:keepNext/>
              <w:keepLines/>
              <w:jc w:val="center"/>
            </w:pPr>
            <w:r w:rsidRPr="00BE23C5">
              <w:t>10.44</w:t>
            </w:r>
          </w:p>
        </w:tc>
        <w:tc>
          <w:tcPr>
            <w:tcW w:w="552" w:type="pct"/>
            <w:vAlign w:val="center"/>
          </w:tcPr>
          <w:p w:rsidR="007A4F05" w:rsidRPr="00BE23C5" w:rsidRDefault="007A4F05" w:rsidP="007F5EE0">
            <w:pPr>
              <w:pStyle w:val="Tabletext"/>
              <w:keepNext/>
              <w:keepLines/>
              <w:jc w:val="center"/>
            </w:pPr>
            <w:r w:rsidRPr="00BE23C5">
              <w:t>9.93</w:t>
            </w:r>
          </w:p>
        </w:tc>
        <w:tc>
          <w:tcPr>
            <w:tcW w:w="557" w:type="pct"/>
            <w:vAlign w:val="center"/>
          </w:tcPr>
          <w:p w:rsidR="007A4F05" w:rsidRPr="00BE23C5" w:rsidRDefault="007A4F05" w:rsidP="007F5EE0">
            <w:pPr>
              <w:pStyle w:val="Tabletext"/>
              <w:keepNext/>
              <w:keepLines/>
              <w:jc w:val="center"/>
            </w:pPr>
            <w:r w:rsidRPr="00BE23C5">
              <w:t>9.20</w:t>
            </w:r>
          </w:p>
        </w:tc>
        <w:tc>
          <w:tcPr>
            <w:tcW w:w="552" w:type="pct"/>
            <w:vAlign w:val="center"/>
          </w:tcPr>
          <w:p w:rsidR="007A4F05" w:rsidRPr="00BE23C5" w:rsidRDefault="007A4F05" w:rsidP="007F5EE0">
            <w:pPr>
              <w:pStyle w:val="Tabletext"/>
              <w:keepNext/>
              <w:keepLines/>
              <w:jc w:val="center"/>
            </w:pPr>
            <w:r w:rsidRPr="00BE23C5">
              <w:t>8.74</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r>
      <w:tr w:rsidR="007A4F05" w:rsidRPr="00BE23C5" w:rsidTr="00E031F5">
        <w:trPr>
          <w:tblHeader/>
        </w:trPr>
        <w:tc>
          <w:tcPr>
            <w:tcW w:w="550" w:type="pct"/>
          </w:tcPr>
          <w:p w:rsidR="007A4F05" w:rsidRPr="00BE23C5" w:rsidRDefault="007A4F05" w:rsidP="007F5EE0">
            <w:pPr>
              <w:pStyle w:val="Tabletext"/>
              <w:keepNext/>
              <w:keepLines/>
            </w:pPr>
            <w:r w:rsidRPr="00BE23C5">
              <w:t>20</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2"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7" w:type="pct"/>
            <w:vAlign w:val="center"/>
          </w:tcPr>
          <w:p w:rsidR="007A4F05" w:rsidRPr="00BE23C5" w:rsidRDefault="007A4F05" w:rsidP="007F5EE0">
            <w:pPr>
              <w:pStyle w:val="Tabletext"/>
              <w:keepNext/>
              <w:keepLines/>
              <w:jc w:val="center"/>
            </w:pPr>
            <w:r w:rsidRPr="00BE23C5">
              <w:t>12.25</w:t>
            </w:r>
          </w:p>
        </w:tc>
        <w:tc>
          <w:tcPr>
            <w:tcW w:w="552" w:type="pct"/>
            <w:vAlign w:val="center"/>
          </w:tcPr>
          <w:p w:rsidR="007A4F05" w:rsidRPr="00BE23C5" w:rsidRDefault="007A4F05" w:rsidP="007F5EE0">
            <w:pPr>
              <w:pStyle w:val="Tabletext"/>
              <w:keepNext/>
              <w:keepLines/>
              <w:jc w:val="center"/>
            </w:pPr>
            <w:r w:rsidRPr="00BE23C5">
              <w:t>11.62</w:t>
            </w:r>
          </w:p>
        </w:tc>
        <w:tc>
          <w:tcPr>
            <w:tcW w:w="557" w:type="pct"/>
            <w:vAlign w:val="center"/>
          </w:tcPr>
          <w:p w:rsidR="007A4F05" w:rsidRPr="00BE23C5" w:rsidRDefault="007A4F05" w:rsidP="007F5EE0">
            <w:pPr>
              <w:pStyle w:val="Tabletext"/>
              <w:keepNext/>
              <w:keepLines/>
              <w:jc w:val="center"/>
            </w:pPr>
            <w:r w:rsidRPr="00BE23C5">
              <w:t>10.78</w:t>
            </w:r>
          </w:p>
        </w:tc>
        <w:tc>
          <w:tcPr>
            <w:tcW w:w="552" w:type="pct"/>
            <w:vAlign w:val="center"/>
          </w:tcPr>
          <w:p w:rsidR="007A4F05" w:rsidRPr="00BE23C5" w:rsidRDefault="007A4F05" w:rsidP="007F5EE0">
            <w:pPr>
              <w:pStyle w:val="Tabletext"/>
              <w:keepNext/>
              <w:keepLines/>
              <w:jc w:val="center"/>
            </w:pPr>
            <w:r w:rsidRPr="00BE23C5">
              <w:t>10.22</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r>
      <w:tr w:rsidR="007A4F05" w:rsidRPr="00BE23C5" w:rsidTr="00E031F5">
        <w:trPr>
          <w:tblHeader/>
        </w:trPr>
        <w:tc>
          <w:tcPr>
            <w:tcW w:w="550" w:type="pct"/>
          </w:tcPr>
          <w:p w:rsidR="007A4F05" w:rsidRPr="00BE23C5" w:rsidRDefault="007A4F05" w:rsidP="007F5EE0">
            <w:pPr>
              <w:pStyle w:val="Tabletext"/>
              <w:keepNext/>
              <w:keepLines/>
            </w:pPr>
            <w:r w:rsidRPr="00BE23C5">
              <w:t>25</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2"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7" w:type="pct"/>
            <w:vAlign w:val="center"/>
          </w:tcPr>
          <w:p w:rsidR="007A4F05" w:rsidRPr="00BE23C5" w:rsidRDefault="007A4F05" w:rsidP="007F5EE0">
            <w:pPr>
              <w:pStyle w:val="Tabletext"/>
              <w:keepNext/>
              <w:keepLines/>
              <w:jc w:val="center"/>
            </w:pPr>
            <w:r w:rsidRPr="00BE23C5">
              <w:t>13.46</w:t>
            </w:r>
          </w:p>
        </w:tc>
        <w:tc>
          <w:tcPr>
            <w:tcW w:w="552" w:type="pct"/>
            <w:vAlign w:val="center"/>
          </w:tcPr>
          <w:p w:rsidR="007A4F05" w:rsidRPr="00BE23C5" w:rsidRDefault="007A4F05" w:rsidP="007F5EE0">
            <w:pPr>
              <w:pStyle w:val="Tabletext"/>
              <w:keepNext/>
              <w:keepLines/>
              <w:jc w:val="center"/>
            </w:pPr>
            <w:r w:rsidRPr="00BE23C5">
              <w:t>12.76</w:t>
            </w:r>
          </w:p>
        </w:tc>
        <w:tc>
          <w:tcPr>
            <w:tcW w:w="557" w:type="pct"/>
            <w:vAlign w:val="center"/>
          </w:tcPr>
          <w:p w:rsidR="007A4F05" w:rsidRPr="00BE23C5" w:rsidRDefault="007A4F05" w:rsidP="007F5EE0">
            <w:pPr>
              <w:pStyle w:val="Tabletext"/>
              <w:keepNext/>
              <w:keepLines/>
              <w:jc w:val="center"/>
            </w:pPr>
            <w:r w:rsidRPr="00BE23C5">
              <w:t>11.83</w:t>
            </w:r>
          </w:p>
        </w:tc>
        <w:tc>
          <w:tcPr>
            <w:tcW w:w="552" w:type="pct"/>
            <w:vAlign w:val="center"/>
          </w:tcPr>
          <w:p w:rsidR="007A4F05" w:rsidRPr="00BE23C5" w:rsidRDefault="007A4F05" w:rsidP="007F5EE0">
            <w:pPr>
              <w:pStyle w:val="Tabletext"/>
              <w:keepNext/>
              <w:keepLines/>
              <w:jc w:val="center"/>
            </w:pPr>
            <w:r w:rsidRPr="00BE23C5">
              <w:t>11.19</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r>
      <w:tr w:rsidR="007A4F05" w:rsidRPr="00BE23C5" w:rsidTr="00E031F5">
        <w:trPr>
          <w:tblHeader/>
        </w:trPr>
        <w:tc>
          <w:tcPr>
            <w:tcW w:w="550" w:type="pct"/>
          </w:tcPr>
          <w:p w:rsidR="007A4F05" w:rsidRPr="00BE23C5" w:rsidRDefault="007A4F05" w:rsidP="007F5EE0">
            <w:pPr>
              <w:pStyle w:val="Tabletext"/>
              <w:keepNext/>
              <w:keepLines/>
            </w:pPr>
            <w:r w:rsidRPr="00BE23C5">
              <w:t>30</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2"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7" w:type="pct"/>
            <w:vAlign w:val="center"/>
          </w:tcPr>
          <w:p w:rsidR="007A4F05" w:rsidRPr="00BE23C5" w:rsidRDefault="007A4F05" w:rsidP="007F5EE0">
            <w:pPr>
              <w:pStyle w:val="Tabletext"/>
              <w:keepNext/>
              <w:keepLines/>
              <w:jc w:val="center"/>
            </w:pPr>
            <w:r w:rsidRPr="00BE23C5">
              <w:t>14.18</w:t>
            </w:r>
          </w:p>
        </w:tc>
        <w:tc>
          <w:tcPr>
            <w:tcW w:w="552" w:type="pct"/>
            <w:vAlign w:val="center"/>
          </w:tcPr>
          <w:p w:rsidR="007A4F05" w:rsidRPr="00BE23C5" w:rsidRDefault="007A4F05" w:rsidP="007F5EE0">
            <w:pPr>
              <w:pStyle w:val="Tabletext"/>
              <w:keepNext/>
              <w:keepLines/>
              <w:jc w:val="center"/>
            </w:pPr>
            <w:r w:rsidRPr="00BE23C5">
              <w:t>13.43</w:t>
            </w:r>
          </w:p>
        </w:tc>
        <w:tc>
          <w:tcPr>
            <w:tcW w:w="557" w:type="pct"/>
            <w:vAlign w:val="center"/>
          </w:tcPr>
          <w:p w:rsidR="007A4F05" w:rsidRPr="00BE23C5" w:rsidRDefault="007A4F05" w:rsidP="007F5EE0">
            <w:pPr>
              <w:pStyle w:val="Tabletext"/>
              <w:keepNext/>
              <w:keepLines/>
              <w:jc w:val="center"/>
            </w:pPr>
            <w:r w:rsidRPr="00BE23C5">
              <w:t>12.44</w:t>
            </w:r>
          </w:p>
        </w:tc>
        <w:tc>
          <w:tcPr>
            <w:tcW w:w="552" w:type="pct"/>
            <w:vAlign w:val="center"/>
          </w:tcPr>
          <w:p w:rsidR="007A4F05" w:rsidRPr="00BE23C5" w:rsidRDefault="007A4F05" w:rsidP="007F5EE0">
            <w:pPr>
              <w:pStyle w:val="Tabletext"/>
              <w:keepNext/>
              <w:keepLines/>
              <w:jc w:val="center"/>
            </w:pPr>
            <w:r w:rsidRPr="00BE23C5">
              <w:t>11.77</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r>
      <w:tr w:rsidR="007A4F05" w:rsidRPr="00BE23C5" w:rsidTr="00E031F5">
        <w:trPr>
          <w:tblHeader/>
        </w:trPr>
        <w:tc>
          <w:tcPr>
            <w:tcW w:w="550" w:type="pct"/>
          </w:tcPr>
          <w:p w:rsidR="007A4F05" w:rsidRPr="00BE23C5" w:rsidRDefault="007A4F05" w:rsidP="007F5EE0">
            <w:pPr>
              <w:pStyle w:val="Tabletext"/>
              <w:keepNext/>
              <w:keepLines/>
            </w:pPr>
            <w:r w:rsidRPr="00BE23C5">
              <w:t>35</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2"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7" w:type="pct"/>
            <w:vAlign w:val="center"/>
          </w:tcPr>
          <w:p w:rsidR="007A4F05" w:rsidRPr="00BE23C5" w:rsidRDefault="007A4F05" w:rsidP="007F5EE0">
            <w:pPr>
              <w:pStyle w:val="Tabletext"/>
              <w:keepNext/>
              <w:keepLines/>
              <w:jc w:val="center"/>
            </w:pPr>
            <w:r w:rsidRPr="00BE23C5">
              <w:t>14.53</w:t>
            </w:r>
          </w:p>
        </w:tc>
        <w:tc>
          <w:tcPr>
            <w:tcW w:w="552" w:type="pct"/>
            <w:vAlign w:val="center"/>
          </w:tcPr>
          <w:p w:rsidR="007A4F05" w:rsidRPr="00BE23C5" w:rsidRDefault="007A4F05" w:rsidP="007F5EE0">
            <w:pPr>
              <w:pStyle w:val="Tabletext"/>
              <w:keepNext/>
              <w:keepLines/>
              <w:jc w:val="center"/>
            </w:pPr>
            <w:r w:rsidRPr="00BE23C5">
              <w:t>13.76</w:t>
            </w:r>
          </w:p>
        </w:tc>
        <w:tc>
          <w:tcPr>
            <w:tcW w:w="557" w:type="pct"/>
            <w:vAlign w:val="center"/>
          </w:tcPr>
          <w:p w:rsidR="007A4F05" w:rsidRPr="00BE23C5" w:rsidRDefault="007A4F05" w:rsidP="007F5EE0">
            <w:pPr>
              <w:pStyle w:val="Tabletext"/>
              <w:keepNext/>
              <w:keepLines/>
              <w:jc w:val="center"/>
            </w:pPr>
            <w:r w:rsidRPr="00BE23C5">
              <w:t>12.73</w:t>
            </w:r>
          </w:p>
        </w:tc>
        <w:tc>
          <w:tcPr>
            <w:tcW w:w="552" w:type="pct"/>
            <w:vAlign w:val="center"/>
          </w:tcPr>
          <w:p w:rsidR="007A4F05" w:rsidRPr="00BE23C5" w:rsidRDefault="007A4F05" w:rsidP="007F5EE0">
            <w:pPr>
              <w:pStyle w:val="Tabletext"/>
              <w:keepNext/>
              <w:keepLines/>
              <w:jc w:val="center"/>
            </w:pPr>
            <w:r w:rsidRPr="00BE23C5">
              <w:t>12.04</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r>
      <w:tr w:rsidR="007A4F05" w:rsidRPr="00BE23C5" w:rsidTr="00E031F5">
        <w:trPr>
          <w:tblHeader/>
        </w:trPr>
        <w:tc>
          <w:tcPr>
            <w:tcW w:w="550" w:type="pct"/>
          </w:tcPr>
          <w:p w:rsidR="007A4F05" w:rsidRPr="00BE23C5" w:rsidRDefault="007A4F05" w:rsidP="007F5EE0">
            <w:pPr>
              <w:pStyle w:val="Tabletext"/>
              <w:keepNext/>
              <w:keepLines/>
            </w:pPr>
            <w:r w:rsidRPr="00BE23C5">
              <w:t>40</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2"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7" w:type="pct"/>
            <w:vAlign w:val="center"/>
          </w:tcPr>
          <w:p w:rsidR="007A4F05" w:rsidRPr="00BE23C5" w:rsidRDefault="007A4F05" w:rsidP="007F5EE0">
            <w:pPr>
              <w:pStyle w:val="Tabletext"/>
              <w:keepNext/>
              <w:keepLines/>
              <w:jc w:val="center"/>
            </w:pPr>
            <w:r w:rsidRPr="00BE23C5">
              <w:t>14.64</w:t>
            </w:r>
          </w:p>
        </w:tc>
        <w:tc>
          <w:tcPr>
            <w:tcW w:w="552" w:type="pct"/>
            <w:vAlign w:val="center"/>
          </w:tcPr>
          <w:p w:rsidR="007A4F05" w:rsidRPr="00BE23C5" w:rsidRDefault="007A4F05" w:rsidP="007F5EE0">
            <w:pPr>
              <w:pStyle w:val="Tabletext"/>
              <w:keepNext/>
              <w:keepLines/>
              <w:jc w:val="center"/>
            </w:pPr>
            <w:r w:rsidRPr="00BE23C5">
              <w:t>13.87</w:t>
            </w:r>
          </w:p>
        </w:tc>
        <w:tc>
          <w:tcPr>
            <w:tcW w:w="557" w:type="pct"/>
            <w:vAlign w:val="center"/>
          </w:tcPr>
          <w:p w:rsidR="007A4F05" w:rsidRPr="00BE23C5" w:rsidRDefault="007A4F05" w:rsidP="007F5EE0">
            <w:pPr>
              <w:pStyle w:val="Tabletext"/>
              <w:keepNext/>
              <w:keepLines/>
              <w:jc w:val="center"/>
            </w:pPr>
            <w:r w:rsidRPr="00BE23C5">
              <w:t>12.83</w:t>
            </w:r>
          </w:p>
        </w:tc>
        <w:tc>
          <w:tcPr>
            <w:tcW w:w="552" w:type="pct"/>
            <w:vAlign w:val="center"/>
          </w:tcPr>
          <w:p w:rsidR="007A4F05" w:rsidRPr="00BE23C5" w:rsidRDefault="007A4F05" w:rsidP="007F5EE0">
            <w:pPr>
              <w:pStyle w:val="Tabletext"/>
              <w:keepNext/>
              <w:keepLines/>
              <w:jc w:val="center"/>
            </w:pPr>
            <w:r w:rsidRPr="00BE23C5">
              <w:t>12.13</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r>
      <w:tr w:rsidR="007A4F05" w:rsidRPr="00BE23C5" w:rsidTr="00E031F5">
        <w:trPr>
          <w:tblHeader/>
        </w:trPr>
        <w:tc>
          <w:tcPr>
            <w:tcW w:w="550" w:type="pct"/>
          </w:tcPr>
          <w:p w:rsidR="007A4F05" w:rsidRPr="00BE23C5" w:rsidRDefault="007A4F05" w:rsidP="007F5EE0">
            <w:pPr>
              <w:pStyle w:val="Tabletext"/>
              <w:keepNext/>
              <w:keepLines/>
            </w:pPr>
            <w:r w:rsidRPr="00BE23C5">
              <w:t>45</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2"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7" w:type="pct"/>
            <w:vAlign w:val="center"/>
          </w:tcPr>
          <w:p w:rsidR="007A4F05" w:rsidRPr="00BE23C5" w:rsidRDefault="007A4F05" w:rsidP="007F5EE0">
            <w:pPr>
              <w:pStyle w:val="Tabletext"/>
              <w:keepNext/>
              <w:keepLines/>
              <w:jc w:val="center"/>
            </w:pPr>
            <w:r w:rsidRPr="00BE23C5">
              <w:t>14.66</w:t>
            </w:r>
          </w:p>
        </w:tc>
        <w:tc>
          <w:tcPr>
            <w:tcW w:w="552" w:type="pct"/>
            <w:vAlign w:val="center"/>
          </w:tcPr>
          <w:p w:rsidR="007A4F05" w:rsidRPr="00BE23C5" w:rsidRDefault="007A4F05" w:rsidP="007F5EE0">
            <w:pPr>
              <w:pStyle w:val="Tabletext"/>
              <w:keepNext/>
              <w:keepLines/>
              <w:jc w:val="center"/>
            </w:pPr>
            <w:r w:rsidRPr="00BE23C5">
              <w:t>13.89</w:t>
            </w:r>
          </w:p>
        </w:tc>
        <w:tc>
          <w:tcPr>
            <w:tcW w:w="557" w:type="pct"/>
            <w:vAlign w:val="center"/>
          </w:tcPr>
          <w:p w:rsidR="007A4F05" w:rsidRPr="00BE23C5" w:rsidRDefault="007A4F05" w:rsidP="007F5EE0">
            <w:pPr>
              <w:pStyle w:val="Tabletext"/>
              <w:keepNext/>
              <w:keepLines/>
              <w:jc w:val="center"/>
            </w:pPr>
            <w:r w:rsidRPr="00BE23C5">
              <w:t>12.84</w:t>
            </w:r>
          </w:p>
        </w:tc>
        <w:tc>
          <w:tcPr>
            <w:tcW w:w="552" w:type="pct"/>
            <w:vAlign w:val="center"/>
          </w:tcPr>
          <w:p w:rsidR="007A4F05" w:rsidRPr="00BE23C5" w:rsidRDefault="007A4F05" w:rsidP="007F5EE0">
            <w:pPr>
              <w:pStyle w:val="Tabletext"/>
              <w:keepNext/>
              <w:keepLines/>
              <w:jc w:val="center"/>
            </w:pPr>
            <w:r w:rsidRPr="00BE23C5">
              <w:t>12.14</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r>
      <w:tr w:rsidR="007A4F05" w:rsidRPr="00BE23C5" w:rsidTr="00E031F5">
        <w:trPr>
          <w:tblHeader/>
        </w:trPr>
        <w:tc>
          <w:tcPr>
            <w:tcW w:w="550" w:type="pct"/>
          </w:tcPr>
          <w:p w:rsidR="007A4F05" w:rsidRPr="00BE23C5" w:rsidRDefault="007A4F05" w:rsidP="007F5EE0">
            <w:pPr>
              <w:pStyle w:val="Tabletext"/>
              <w:keepNext/>
              <w:keepLines/>
            </w:pPr>
            <w:r w:rsidRPr="00BE23C5">
              <w:t>50</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2"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7" w:type="pct"/>
            <w:vAlign w:val="center"/>
          </w:tcPr>
          <w:p w:rsidR="007A4F05" w:rsidRPr="00BE23C5" w:rsidRDefault="007A4F05" w:rsidP="007F5EE0">
            <w:pPr>
              <w:pStyle w:val="Tabletext"/>
              <w:keepNext/>
              <w:keepLines/>
              <w:jc w:val="center"/>
            </w:pPr>
            <w:r w:rsidRPr="00BE23C5">
              <w:t>14.66</w:t>
            </w:r>
          </w:p>
        </w:tc>
        <w:tc>
          <w:tcPr>
            <w:tcW w:w="552" w:type="pct"/>
            <w:vAlign w:val="center"/>
          </w:tcPr>
          <w:p w:rsidR="007A4F05" w:rsidRPr="00BE23C5" w:rsidRDefault="007A4F05" w:rsidP="007F5EE0">
            <w:pPr>
              <w:pStyle w:val="Tabletext"/>
              <w:keepNext/>
              <w:keepLines/>
              <w:jc w:val="center"/>
            </w:pPr>
            <w:r w:rsidRPr="00BE23C5">
              <w:t>13.89</w:t>
            </w:r>
          </w:p>
        </w:tc>
        <w:tc>
          <w:tcPr>
            <w:tcW w:w="557" w:type="pct"/>
            <w:vAlign w:val="center"/>
          </w:tcPr>
          <w:p w:rsidR="007A4F05" w:rsidRPr="00BE23C5" w:rsidRDefault="007A4F05" w:rsidP="007F5EE0">
            <w:pPr>
              <w:pStyle w:val="Tabletext"/>
              <w:keepNext/>
              <w:keepLines/>
              <w:jc w:val="center"/>
            </w:pPr>
            <w:r w:rsidRPr="00BE23C5">
              <w:t>12.84</w:t>
            </w:r>
          </w:p>
        </w:tc>
        <w:tc>
          <w:tcPr>
            <w:tcW w:w="552" w:type="pct"/>
            <w:vAlign w:val="center"/>
          </w:tcPr>
          <w:p w:rsidR="007A4F05" w:rsidRPr="00BE23C5" w:rsidRDefault="007A4F05" w:rsidP="007F5EE0">
            <w:pPr>
              <w:pStyle w:val="Tabletext"/>
              <w:keepNext/>
              <w:keepLines/>
              <w:jc w:val="center"/>
            </w:pPr>
            <w:r w:rsidRPr="00BE23C5">
              <w:t>12.14</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r>
      <w:tr w:rsidR="007A4F05" w:rsidRPr="00BE23C5" w:rsidTr="00E031F5">
        <w:trPr>
          <w:tblHeader/>
        </w:trPr>
        <w:tc>
          <w:tcPr>
            <w:tcW w:w="550" w:type="pct"/>
          </w:tcPr>
          <w:p w:rsidR="007A4F05" w:rsidRPr="00BE23C5" w:rsidRDefault="007A4F05" w:rsidP="007F5EE0">
            <w:pPr>
              <w:pStyle w:val="Tabletext"/>
              <w:keepNext/>
              <w:keepLines/>
            </w:pPr>
            <w:r w:rsidRPr="00BE23C5">
              <w:t>55 (base case)</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2"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7" w:type="pct"/>
            <w:vAlign w:val="center"/>
          </w:tcPr>
          <w:p w:rsidR="007A4F05" w:rsidRPr="00BE23C5" w:rsidRDefault="007A4F05" w:rsidP="007F5EE0">
            <w:pPr>
              <w:pStyle w:val="Tabletext"/>
              <w:keepNext/>
              <w:keepLines/>
              <w:jc w:val="center"/>
            </w:pPr>
            <w:r w:rsidRPr="00BE23C5">
              <w:t>14.66</w:t>
            </w:r>
          </w:p>
        </w:tc>
        <w:tc>
          <w:tcPr>
            <w:tcW w:w="552" w:type="pct"/>
            <w:vAlign w:val="center"/>
          </w:tcPr>
          <w:p w:rsidR="007A4F05" w:rsidRPr="00BE23C5" w:rsidRDefault="007A4F05" w:rsidP="007F5EE0">
            <w:pPr>
              <w:pStyle w:val="Tabletext"/>
              <w:keepNext/>
              <w:keepLines/>
              <w:jc w:val="center"/>
            </w:pPr>
            <w:r w:rsidRPr="00BE23C5">
              <w:t>13.89</w:t>
            </w:r>
          </w:p>
        </w:tc>
        <w:tc>
          <w:tcPr>
            <w:tcW w:w="557" w:type="pct"/>
            <w:vAlign w:val="center"/>
          </w:tcPr>
          <w:p w:rsidR="007A4F05" w:rsidRPr="00BE23C5" w:rsidRDefault="007A4F05" w:rsidP="007F5EE0">
            <w:pPr>
              <w:pStyle w:val="Tabletext"/>
              <w:keepNext/>
              <w:keepLines/>
              <w:jc w:val="center"/>
            </w:pPr>
            <w:r w:rsidRPr="00BE23C5">
              <w:t>12.84</w:t>
            </w:r>
          </w:p>
        </w:tc>
        <w:tc>
          <w:tcPr>
            <w:tcW w:w="552" w:type="pct"/>
            <w:vAlign w:val="center"/>
          </w:tcPr>
          <w:p w:rsidR="007A4F05" w:rsidRPr="00BE23C5" w:rsidRDefault="007A4F05" w:rsidP="007F5EE0">
            <w:pPr>
              <w:pStyle w:val="Tabletext"/>
              <w:keepNext/>
              <w:keepLines/>
              <w:jc w:val="center"/>
            </w:pPr>
            <w:r w:rsidRPr="00BE23C5">
              <w:t>12.14</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c>
          <w:tcPr>
            <w:tcW w:w="559" w:type="pct"/>
            <w:vAlign w:val="center"/>
          </w:tcPr>
          <w:p w:rsidR="007A4F05" w:rsidRPr="00BE23C5" w:rsidRDefault="007A4F05" w:rsidP="007F5EE0">
            <w:pPr>
              <w:pStyle w:val="Tabletext"/>
              <w:keepNext/>
              <w:keepLines/>
              <w:jc w:val="center"/>
            </w:pPr>
            <w:r w:rsidRPr="00BE23C5">
              <w:t>$</w:t>
            </w:r>
            <w:r w:rsidR="00FC3C5B">
              <w:rPr>
                <w:noProof/>
                <w:color w:val="000000"/>
                <w:highlight w:val="black"/>
              </w:rPr>
              <w:t>'''''''''''''''</w:t>
            </w:r>
          </w:p>
        </w:tc>
      </w:tr>
    </w:tbl>
    <w:bookmarkEnd w:id="15"/>
    <w:p w:rsidR="007A4F05" w:rsidRPr="00BE23C5" w:rsidRDefault="007A4F05" w:rsidP="007F5EE0">
      <w:pPr>
        <w:keepNext/>
        <w:keepLines/>
        <w:rPr>
          <w:rFonts w:ascii="Arial Narrow" w:hAnsi="Arial Narrow"/>
          <w:sz w:val="18"/>
        </w:rPr>
      </w:pPr>
      <w:r w:rsidRPr="00BE23C5">
        <w:rPr>
          <w:rFonts w:ascii="Arial Narrow" w:hAnsi="Arial Narrow"/>
          <w:sz w:val="18"/>
        </w:rPr>
        <w:t>Source: Created during the evaluation from altering the time horizon in Nerlynx_PBAC_Section3_Nov2018</w:t>
      </w:r>
    </w:p>
    <w:p w:rsidR="007A4F05" w:rsidRPr="00BE23C5" w:rsidRDefault="007A4F05" w:rsidP="007F5EE0">
      <w:pPr>
        <w:keepNext/>
        <w:keepLines/>
        <w:rPr>
          <w:rFonts w:ascii="Arial Narrow" w:hAnsi="Arial Narrow"/>
          <w:sz w:val="18"/>
        </w:rPr>
      </w:pPr>
      <w:r w:rsidRPr="00BE23C5">
        <w:rPr>
          <w:rFonts w:ascii="Arial Narrow" w:hAnsi="Arial Narrow"/>
          <w:sz w:val="18"/>
        </w:rPr>
        <w:t>QALY: quality adjusted life year; ICER: incremental cost-effectiveness ratio; LY: life year</w:t>
      </w:r>
    </w:p>
    <w:p w:rsidR="002C6D41" w:rsidRPr="00BE23C5" w:rsidRDefault="002C6D41" w:rsidP="001159DF">
      <w:pPr>
        <w:pStyle w:val="ListParagraph"/>
        <w:widowControl/>
        <w:numPr>
          <w:ilvl w:val="1"/>
          <w:numId w:val="2"/>
        </w:numPr>
        <w:spacing w:before="120" w:after="120"/>
      </w:pPr>
      <w:r w:rsidRPr="00BE23C5">
        <w:t xml:space="preserve">Table 15 presents the additional sensitivity analysis for the inclusion of </w:t>
      </w:r>
      <w:proofErr w:type="spellStart"/>
      <w:r w:rsidRPr="00BE23C5">
        <w:t>ExteNET</w:t>
      </w:r>
      <w:proofErr w:type="spellEnd"/>
      <w:r w:rsidRPr="00BE23C5">
        <w:t xml:space="preserve"> trial utility values for </w:t>
      </w:r>
      <w:proofErr w:type="spellStart"/>
      <w:proofErr w:type="gramStart"/>
      <w:r w:rsidRPr="00BE23C5">
        <w:t>iDFS</w:t>
      </w:r>
      <w:proofErr w:type="spellEnd"/>
      <w:r w:rsidRPr="00BE23C5">
        <w:t xml:space="preserve"> .</w:t>
      </w:r>
      <w:proofErr w:type="gramEnd"/>
      <w:r w:rsidRPr="00BE23C5">
        <w:t xml:space="preserve"> The PSCR stated that the </w:t>
      </w:r>
      <w:proofErr w:type="spellStart"/>
      <w:r w:rsidRPr="00BE23C5">
        <w:t>iDFS</w:t>
      </w:r>
      <w:proofErr w:type="spellEnd"/>
      <w:r w:rsidRPr="00BE23C5">
        <w:t xml:space="preserve"> utility value from the </w:t>
      </w:r>
      <w:proofErr w:type="spellStart"/>
      <w:r w:rsidRPr="00BE23C5">
        <w:t>ExteNET</w:t>
      </w:r>
      <w:proofErr w:type="spellEnd"/>
      <w:r w:rsidRPr="00BE23C5">
        <w:t xml:space="preserve"> trial was 0.855 (95% CI: 0.840 0.869) for </w:t>
      </w:r>
      <w:proofErr w:type="spellStart"/>
      <w:r w:rsidRPr="00BE23C5">
        <w:t>neratinib</w:t>
      </w:r>
      <w:proofErr w:type="spellEnd"/>
      <w:r w:rsidRPr="00BE23C5">
        <w:t xml:space="preserve">; and 0.863 (0.850 0.876) for placebo. The PSCR also provided utility values for those patients who experienced grade 3 diarrhoea (0.826) and those without experiencing diarrhoea (0.838 (95% CI: 0.809, 0.843)). The PSCR did not provide 95% CI’s for patients who experienced grade 3 diarrhoea. The utility values provided for </w:t>
      </w:r>
      <w:proofErr w:type="spellStart"/>
      <w:r w:rsidRPr="00BE23C5">
        <w:t>iDFS</w:t>
      </w:r>
      <w:proofErr w:type="spellEnd"/>
      <w:r w:rsidRPr="00BE23C5">
        <w:t xml:space="preserve"> were unable to be verified. The ICER from the sensitivity analysis using the mean baseline utility value of 0.86 from the </w:t>
      </w:r>
      <w:proofErr w:type="spellStart"/>
      <w:r w:rsidRPr="00BE23C5">
        <w:t>ExteNET</w:t>
      </w:r>
      <w:proofErr w:type="spellEnd"/>
      <w:r w:rsidRPr="00BE23C5">
        <w:t xml:space="preserve"> trial was $</w:t>
      </w:r>
      <w:r w:rsidR="00C3111C">
        <w:t>45,000</w:t>
      </w:r>
      <w:r w:rsidRPr="00BE23C5">
        <w:t>/QALY</w:t>
      </w:r>
      <w:r w:rsidR="00C3111C">
        <w:t xml:space="preserve"> - $75,000/QALY</w:t>
      </w:r>
      <w:r w:rsidRPr="00BE23C5">
        <w:t>. It is unclear whether this calculation included the PSCR</w:t>
      </w:r>
      <w:r w:rsidR="00137D19" w:rsidRPr="00BE23C5">
        <w:t>’</w:t>
      </w:r>
      <w:r w:rsidRPr="00BE23C5">
        <w:t xml:space="preserve">s estimate for the disutility of diarrhoea. The ESC noted that </w:t>
      </w:r>
      <w:r w:rsidR="00137D19" w:rsidRPr="00BE23C5">
        <w:t xml:space="preserve">applying </w:t>
      </w:r>
      <w:r w:rsidRPr="00BE23C5">
        <w:t>the utility of 0.86 for the disease-free state while leaving the disutility for diarrhoea at 0.1 yielded an ICER of $</w:t>
      </w:r>
      <w:r w:rsidR="00C3111C">
        <w:t>45,000</w:t>
      </w:r>
      <w:r w:rsidRPr="00BE23C5">
        <w:t>/QALY</w:t>
      </w:r>
      <w:r w:rsidR="00C3111C">
        <w:t xml:space="preserve"> - $75,000/QALY</w:t>
      </w:r>
      <w:r w:rsidRPr="00BE23C5">
        <w:t>.</w:t>
      </w:r>
    </w:p>
    <w:p w:rsidR="00C04A4B" w:rsidRPr="00BE23C5" w:rsidRDefault="00C04A4B" w:rsidP="00C04A4B">
      <w:pPr>
        <w:pStyle w:val="TableHeading"/>
        <w:rPr>
          <w:szCs w:val="20"/>
        </w:rPr>
      </w:pPr>
      <w:bookmarkStart w:id="16" w:name="_Ref528657839"/>
      <w:bookmarkStart w:id="17" w:name="_Toc528680825"/>
      <w:r w:rsidRPr="00BE23C5">
        <w:rPr>
          <w:szCs w:val="20"/>
        </w:rPr>
        <w:t>Table</w:t>
      </w:r>
      <w:bookmarkEnd w:id="16"/>
      <w:r w:rsidRPr="00BE23C5">
        <w:rPr>
          <w:szCs w:val="20"/>
        </w:rPr>
        <w:t xml:space="preserve"> </w:t>
      </w:r>
      <w:r w:rsidR="000F2E0D" w:rsidRPr="00BE23C5">
        <w:rPr>
          <w:szCs w:val="20"/>
        </w:rPr>
        <w:t>15</w:t>
      </w:r>
      <w:r w:rsidRPr="00BE23C5">
        <w:rPr>
          <w:szCs w:val="20"/>
        </w:rPr>
        <w:t xml:space="preserve">: </w:t>
      </w:r>
      <w:bookmarkEnd w:id="17"/>
      <w:r w:rsidR="00906AAA" w:rsidRPr="00BE23C5">
        <w:rPr>
          <w:szCs w:val="20"/>
        </w:rPr>
        <w:t xml:space="preserve">Sensitivity </w:t>
      </w:r>
      <w:r w:rsidR="00B47168" w:rsidRPr="00BE23C5">
        <w:rPr>
          <w:szCs w:val="20"/>
        </w:rPr>
        <w:t xml:space="preserve">of ICER to trial utility values for </w:t>
      </w:r>
      <w:r w:rsidR="00581D25" w:rsidRPr="00BE23C5">
        <w:rPr>
          <w:szCs w:val="20"/>
        </w:rPr>
        <w:t xml:space="preserve">invasive disease free state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Sensitivity of ICER to trial utility values for invasive disease free state"/>
      </w:tblPr>
      <w:tblGrid>
        <w:gridCol w:w="4320"/>
        <w:gridCol w:w="938"/>
        <w:gridCol w:w="847"/>
        <w:gridCol w:w="1137"/>
        <w:gridCol w:w="1775"/>
      </w:tblGrid>
      <w:tr w:rsidR="00661A26" w:rsidRPr="00BE23C5" w:rsidTr="00816487">
        <w:trPr>
          <w:trHeight w:val="300"/>
          <w:tblHeader/>
        </w:trPr>
        <w:tc>
          <w:tcPr>
            <w:tcW w:w="2406" w:type="pct"/>
            <w:tcBorders>
              <w:bottom w:val="single" w:sz="4" w:space="0" w:color="auto"/>
            </w:tcBorders>
            <w:shd w:val="clear" w:color="auto" w:fill="auto"/>
            <w:noWrap/>
            <w:vAlign w:val="bottom"/>
          </w:tcPr>
          <w:p w:rsidR="00661A26" w:rsidRPr="00BE23C5" w:rsidRDefault="00661A26" w:rsidP="00EB2138">
            <w:pPr>
              <w:pStyle w:val="TableText0"/>
              <w:keepNext/>
              <w:widowControl w:val="0"/>
              <w:spacing w:before="0" w:after="0"/>
              <w:rPr>
                <w:szCs w:val="20"/>
              </w:rPr>
            </w:pPr>
          </w:p>
        </w:tc>
        <w:tc>
          <w:tcPr>
            <w:tcW w:w="500" w:type="pct"/>
            <w:tcBorders>
              <w:bottom w:val="single" w:sz="4" w:space="0" w:color="auto"/>
            </w:tcBorders>
            <w:shd w:val="clear" w:color="auto" w:fill="auto"/>
            <w:noWrap/>
          </w:tcPr>
          <w:p w:rsidR="00661A26" w:rsidRPr="00BE23C5" w:rsidRDefault="000A577A" w:rsidP="00EB2138">
            <w:pPr>
              <w:pStyle w:val="TableText0"/>
              <w:keepNext/>
              <w:widowControl w:val="0"/>
              <w:spacing w:before="0" w:after="0"/>
              <w:jc w:val="center"/>
              <w:rPr>
                <w:b/>
                <w:szCs w:val="20"/>
              </w:rPr>
            </w:pPr>
            <w:proofErr w:type="spellStart"/>
            <w:r w:rsidRPr="00BE23C5">
              <w:rPr>
                <w:b/>
                <w:szCs w:val="20"/>
              </w:rPr>
              <w:t>Neratinib</w:t>
            </w:r>
            <w:proofErr w:type="spellEnd"/>
          </w:p>
        </w:tc>
        <w:tc>
          <w:tcPr>
            <w:tcW w:w="469" w:type="pct"/>
            <w:tcBorders>
              <w:bottom w:val="single" w:sz="4" w:space="0" w:color="auto"/>
            </w:tcBorders>
            <w:shd w:val="clear" w:color="auto" w:fill="auto"/>
            <w:noWrap/>
          </w:tcPr>
          <w:p w:rsidR="00661A26" w:rsidRPr="00BE23C5" w:rsidRDefault="00661A26" w:rsidP="00EB2138">
            <w:pPr>
              <w:pStyle w:val="TableText0"/>
              <w:keepNext/>
              <w:widowControl w:val="0"/>
              <w:spacing w:before="0" w:after="0"/>
              <w:jc w:val="center"/>
              <w:rPr>
                <w:b/>
                <w:szCs w:val="20"/>
              </w:rPr>
            </w:pPr>
            <w:r w:rsidRPr="00BE23C5">
              <w:rPr>
                <w:b/>
                <w:szCs w:val="20"/>
              </w:rPr>
              <w:t>Placebo</w:t>
            </w:r>
          </w:p>
        </w:tc>
        <w:tc>
          <w:tcPr>
            <w:tcW w:w="630" w:type="pct"/>
            <w:tcBorders>
              <w:bottom w:val="single" w:sz="4" w:space="0" w:color="auto"/>
            </w:tcBorders>
          </w:tcPr>
          <w:p w:rsidR="00661A26" w:rsidRPr="00BE23C5" w:rsidRDefault="00661A26" w:rsidP="00EB2138">
            <w:pPr>
              <w:pStyle w:val="TableText0"/>
              <w:keepNext/>
              <w:widowControl w:val="0"/>
              <w:spacing w:before="0" w:after="0"/>
              <w:jc w:val="center"/>
              <w:rPr>
                <w:b/>
                <w:szCs w:val="20"/>
              </w:rPr>
            </w:pPr>
            <w:r w:rsidRPr="00BE23C5">
              <w:rPr>
                <w:b/>
                <w:szCs w:val="20"/>
              </w:rPr>
              <w:t>Incremental</w:t>
            </w:r>
          </w:p>
        </w:tc>
        <w:tc>
          <w:tcPr>
            <w:tcW w:w="995" w:type="pct"/>
            <w:tcBorders>
              <w:bottom w:val="single" w:sz="4" w:space="0" w:color="auto"/>
            </w:tcBorders>
          </w:tcPr>
          <w:p w:rsidR="00661A26" w:rsidRPr="00BE23C5" w:rsidRDefault="00661A26" w:rsidP="00EB2138">
            <w:pPr>
              <w:pStyle w:val="TableText0"/>
              <w:keepNext/>
              <w:widowControl w:val="0"/>
              <w:spacing w:before="0" w:after="0"/>
              <w:jc w:val="center"/>
              <w:rPr>
                <w:b/>
                <w:szCs w:val="20"/>
              </w:rPr>
            </w:pPr>
            <w:r w:rsidRPr="00BE23C5">
              <w:rPr>
                <w:b/>
                <w:szCs w:val="20"/>
              </w:rPr>
              <w:t>ICER</w:t>
            </w:r>
          </w:p>
        </w:tc>
      </w:tr>
      <w:tr w:rsidR="00661A26" w:rsidRPr="00BE23C5" w:rsidTr="00816487">
        <w:trPr>
          <w:trHeight w:val="285"/>
        </w:trPr>
        <w:tc>
          <w:tcPr>
            <w:tcW w:w="2406" w:type="pct"/>
            <w:tcBorders>
              <w:right w:val="nil"/>
            </w:tcBorders>
            <w:shd w:val="clear" w:color="auto" w:fill="auto"/>
            <w:noWrap/>
            <w:vAlign w:val="bottom"/>
          </w:tcPr>
          <w:p w:rsidR="00661A26" w:rsidRPr="00BE23C5" w:rsidRDefault="00661A26" w:rsidP="00EB2138">
            <w:pPr>
              <w:pStyle w:val="TableText0"/>
              <w:keepNext/>
              <w:widowControl w:val="0"/>
              <w:spacing w:before="0" w:after="0"/>
              <w:rPr>
                <w:b/>
                <w:szCs w:val="20"/>
              </w:rPr>
            </w:pPr>
            <w:r w:rsidRPr="00BE23C5">
              <w:rPr>
                <w:b/>
                <w:szCs w:val="20"/>
              </w:rPr>
              <w:t>Base case</w:t>
            </w:r>
          </w:p>
        </w:tc>
        <w:tc>
          <w:tcPr>
            <w:tcW w:w="500" w:type="pct"/>
            <w:tcBorders>
              <w:left w:val="nil"/>
              <w:right w:val="nil"/>
            </w:tcBorders>
            <w:shd w:val="clear" w:color="auto" w:fill="auto"/>
            <w:noWrap/>
            <w:vAlign w:val="bottom"/>
          </w:tcPr>
          <w:p w:rsidR="00661A26" w:rsidRPr="00BE23C5" w:rsidRDefault="00661A26" w:rsidP="00EB2138">
            <w:pPr>
              <w:pStyle w:val="TableText0"/>
              <w:keepNext/>
              <w:widowControl w:val="0"/>
              <w:spacing w:before="0" w:after="0"/>
              <w:rPr>
                <w:b/>
                <w:szCs w:val="20"/>
              </w:rPr>
            </w:pPr>
          </w:p>
        </w:tc>
        <w:tc>
          <w:tcPr>
            <w:tcW w:w="469" w:type="pct"/>
            <w:tcBorders>
              <w:left w:val="nil"/>
              <w:right w:val="nil"/>
            </w:tcBorders>
            <w:shd w:val="clear" w:color="auto" w:fill="auto"/>
            <w:noWrap/>
          </w:tcPr>
          <w:p w:rsidR="00661A26" w:rsidRPr="00BE23C5" w:rsidRDefault="00661A26" w:rsidP="00EB2138">
            <w:pPr>
              <w:pStyle w:val="TableText0"/>
              <w:keepNext/>
              <w:widowControl w:val="0"/>
              <w:spacing w:before="0" w:after="0"/>
              <w:rPr>
                <w:b/>
                <w:szCs w:val="20"/>
              </w:rPr>
            </w:pPr>
          </w:p>
        </w:tc>
        <w:tc>
          <w:tcPr>
            <w:tcW w:w="630" w:type="pct"/>
            <w:tcBorders>
              <w:left w:val="nil"/>
              <w:right w:val="nil"/>
            </w:tcBorders>
            <w:shd w:val="clear" w:color="auto" w:fill="auto"/>
          </w:tcPr>
          <w:p w:rsidR="00661A26" w:rsidRPr="00BE23C5" w:rsidRDefault="00661A26" w:rsidP="00EB2138">
            <w:pPr>
              <w:pStyle w:val="TableText0"/>
              <w:keepNext/>
              <w:widowControl w:val="0"/>
              <w:spacing w:before="0" w:after="0"/>
              <w:rPr>
                <w:b/>
                <w:szCs w:val="20"/>
              </w:rPr>
            </w:pPr>
          </w:p>
        </w:tc>
        <w:tc>
          <w:tcPr>
            <w:tcW w:w="995" w:type="pct"/>
            <w:tcBorders>
              <w:left w:val="nil"/>
            </w:tcBorders>
            <w:shd w:val="clear" w:color="auto" w:fill="auto"/>
          </w:tcPr>
          <w:p w:rsidR="00661A26" w:rsidRPr="00BE23C5" w:rsidRDefault="00661A26" w:rsidP="00EB2138">
            <w:pPr>
              <w:pStyle w:val="TableText0"/>
              <w:keepNext/>
              <w:widowControl w:val="0"/>
              <w:spacing w:before="0" w:after="0"/>
              <w:rPr>
                <w:b/>
                <w:szCs w:val="20"/>
              </w:rPr>
            </w:pPr>
          </w:p>
        </w:tc>
      </w:tr>
      <w:tr w:rsidR="00661A26" w:rsidRPr="00BE23C5" w:rsidTr="00816487">
        <w:trPr>
          <w:trHeight w:val="285"/>
        </w:trPr>
        <w:tc>
          <w:tcPr>
            <w:tcW w:w="2406" w:type="pct"/>
            <w:shd w:val="clear" w:color="auto" w:fill="auto"/>
            <w:noWrap/>
            <w:vAlign w:val="bottom"/>
          </w:tcPr>
          <w:p w:rsidR="00661A26" w:rsidRPr="00BE23C5" w:rsidRDefault="00661A26" w:rsidP="00EB2138">
            <w:pPr>
              <w:pStyle w:val="TableText0"/>
              <w:keepNext/>
              <w:widowControl w:val="0"/>
              <w:spacing w:before="0" w:after="0"/>
              <w:rPr>
                <w:szCs w:val="20"/>
              </w:rPr>
            </w:pPr>
            <w:r w:rsidRPr="00BE23C5">
              <w:rPr>
                <w:szCs w:val="20"/>
              </w:rPr>
              <w:t>Total cost ($)</w:t>
            </w:r>
          </w:p>
        </w:tc>
        <w:tc>
          <w:tcPr>
            <w:tcW w:w="500" w:type="pct"/>
            <w:shd w:val="clear" w:color="auto" w:fill="auto"/>
            <w:noWrap/>
            <w:vAlign w:val="bottom"/>
          </w:tcPr>
          <w:p w:rsidR="00661A26" w:rsidRPr="00BE23C5" w:rsidRDefault="00661A26" w:rsidP="00EB2138">
            <w:pPr>
              <w:pStyle w:val="TableText0"/>
              <w:keepNext/>
              <w:widowControl w:val="0"/>
              <w:spacing w:before="0" w:after="0"/>
              <w:jc w:val="center"/>
              <w:rPr>
                <w:szCs w:val="20"/>
              </w:rPr>
            </w:pPr>
            <w:r w:rsidRPr="00BE23C5">
              <w:rPr>
                <w:szCs w:val="20"/>
              </w:rPr>
              <w:t>$</w:t>
            </w:r>
            <w:r w:rsidR="00FC3C5B">
              <w:rPr>
                <w:noProof/>
                <w:color w:val="000000"/>
                <w:szCs w:val="20"/>
                <w:highlight w:val="black"/>
              </w:rPr>
              <w:t>'''''''''''''''''''</w:t>
            </w:r>
          </w:p>
        </w:tc>
        <w:tc>
          <w:tcPr>
            <w:tcW w:w="469" w:type="pct"/>
            <w:shd w:val="clear" w:color="auto" w:fill="auto"/>
            <w:noWrap/>
            <w:vAlign w:val="bottom"/>
          </w:tcPr>
          <w:p w:rsidR="00661A26" w:rsidRPr="00BE23C5" w:rsidRDefault="00661A26" w:rsidP="00EB2138">
            <w:pPr>
              <w:pStyle w:val="TableText0"/>
              <w:keepNext/>
              <w:widowControl w:val="0"/>
              <w:spacing w:before="0" w:after="0"/>
              <w:jc w:val="center"/>
              <w:rPr>
                <w:szCs w:val="20"/>
              </w:rPr>
            </w:pPr>
            <w:r w:rsidRPr="00BE23C5">
              <w:rPr>
                <w:szCs w:val="20"/>
              </w:rPr>
              <w:t>$</w:t>
            </w:r>
            <w:r w:rsidR="00FC3C5B">
              <w:rPr>
                <w:noProof/>
                <w:color w:val="000000"/>
                <w:szCs w:val="20"/>
                <w:highlight w:val="black"/>
              </w:rPr>
              <w:t>''''''''''''''''</w:t>
            </w:r>
          </w:p>
        </w:tc>
        <w:tc>
          <w:tcPr>
            <w:tcW w:w="630" w:type="pct"/>
            <w:shd w:val="clear" w:color="auto" w:fill="auto"/>
            <w:vAlign w:val="bottom"/>
          </w:tcPr>
          <w:p w:rsidR="00661A26" w:rsidRPr="00BE23C5" w:rsidRDefault="00661A26" w:rsidP="00EB2138">
            <w:pPr>
              <w:pStyle w:val="TableText0"/>
              <w:keepNext/>
              <w:widowControl w:val="0"/>
              <w:spacing w:before="0" w:after="0"/>
              <w:jc w:val="center"/>
              <w:rPr>
                <w:szCs w:val="20"/>
              </w:rPr>
            </w:pPr>
            <w:r w:rsidRPr="00BE23C5">
              <w:rPr>
                <w:szCs w:val="20"/>
              </w:rPr>
              <w:t>$</w:t>
            </w:r>
            <w:r w:rsidR="00FC3C5B">
              <w:rPr>
                <w:noProof/>
                <w:color w:val="000000"/>
                <w:szCs w:val="20"/>
                <w:highlight w:val="black"/>
              </w:rPr>
              <w:t>''''''''''''''''</w:t>
            </w:r>
          </w:p>
        </w:tc>
        <w:tc>
          <w:tcPr>
            <w:tcW w:w="995" w:type="pct"/>
            <w:shd w:val="clear" w:color="auto" w:fill="auto"/>
            <w:vAlign w:val="bottom"/>
          </w:tcPr>
          <w:p w:rsidR="00661A26" w:rsidRPr="00BE23C5" w:rsidRDefault="00661A26" w:rsidP="00EB2138">
            <w:pPr>
              <w:pStyle w:val="TableText0"/>
              <w:keepNext/>
              <w:widowControl w:val="0"/>
              <w:spacing w:before="0" w:after="0"/>
              <w:jc w:val="center"/>
              <w:rPr>
                <w:szCs w:val="20"/>
              </w:rPr>
            </w:pPr>
          </w:p>
        </w:tc>
      </w:tr>
      <w:tr w:rsidR="00661A26" w:rsidRPr="00BE23C5" w:rsidTr="00816487">
        <w:trPr>
          <w:trHeight w:val="285"/>
        </w:trPr>
        <w:tc>
          <w:tcPr>
            <w:tcW w:w="2406" w:type="pct"/>
            <w:tcBorders>
              <w:bottom w:val="single" w:sz="4" w:space="0" w:color="auto"/>
            </w:tcBorders>
            <w:shd w:val="clear" w:color="auto" w:fill="auto"/>
            <w:noWrap/>
            <w:vAlign w:val="bottom"/>
          </w:tcPr>
          <w:p w:rsidR="00661A26" w:rsidRPr="00BE23C5" w:rsidRDefault="00661A26" w:rsidP="00EB2138">
            <w:pPr>
              <w:pStyle w:val="TableText0"/>
              <w:keepNext/>
              <w:widowControl w:val="0"/>
              <w:spacing w:before="0" w:after="0"/>
              <w:rPr>
                <w:szCs w:val="20"/>
              </w:rPr>
            </w:pPr>
            <w:r w:rsidRPr="00BE23C5">
              <w:rPr>
                <w:szCs w:val="20"/>
              </w:rPr>
              <w:t>QALYs</w:t>
            </w:r>
          </w:p>
        </w:tc>
        <w:tc>
          <w:tcPr>
            <w:tcW w:w="500" w:type="pct"/>
            <w:tcBorders>
              <w:bottom w:val="single" w:sz="4" w:space="0" w:color="auto"/>
            </w:tcBorders>
            <w:shd w:val="clear" w:color="auto" w:fill="auto"/>
            <w:noWrap/>
            <w:vAlign w:val="bottom"/>
          </w:tcPr>
          <w:p w:rsidR="00661A26" w:rsidRPr="00BE23C5" w:rsidRDefault="00661A26" w:rsidP="00EB2138">
            <w:pPr>
              <w:pStyle w:val="TableText0"/>
              <w:keepNext/>
              <w:widowControl w:val="0"/>
              <w:spacing w:before="0" w:after="0"/>
              <w:jc w:val="center"/>
              <w:rPr>
                <w:szCs w:val="20"/>
              </w:rPr>
            </w:pPr>
            <w:r w:rsidRPr="00BE23C5">
              <w:rPr>
                <w:szCs w:val="20"/>
              </w:rPr>
              <w:t>12.84</w:t>
            </w:r>
          </w:p>
        </w:tc>
        <w:tc>
          <w:tcPr>
            <w:tcW w:w="469" w:type="pct"/>
            <w:tcBorders>
              <w:bottom w:val="single" w:sz="4" w:space="0" w:color="auto"/>
            </w:tcBorders>
            <w:shd w:val="clear" w:color="auto" w:fill="auto"/>
            <w:noWrap/>
            <w:vAlign w:val="bottom"/>
          </w:tcPr>
          <w:p w:rsidR="00661A26" w:rsidRPr="00BE23C5" w:rsidRDefault="00661A26" w:rsidP="00EB2138">
            <w:pPr>
              <w:pStyle w:val="TableText0"/>
              <w:keepNext/>
              <w:widowControl w:val="0"/>
              <w:spacing w:before="0" w:after="0"/>
              <w:jc w:val="center"/>
              <w:rPr>
                <w:szCs w:val="20"/>
              </w:rPr>
            </w:pPr>
            <w:r w:rsidRPr="00BE23C5">
              <w:rPr>
                <w:szCs w:val="20"/>
              </w:rPr>
              <w:t>12.14</w:t>
            </w:r>
          </w:p>
        </w:tc>
        <w:tc>
          <w:tcPr>
            <w:tcW w:w="630" w:type="pct"/>
            <w:tcBorders>
              <w:bottom w:val="single" w:sz="4" w:space="0" w:color="auto"/>
            </w:tcBorders>
            <w:vAlign w:val="bottom"/>
          </w:tcPr>
          <w:p w:rsidR="00661A26" w:rsidRPr="00BE23C5" w:rsidRDefault="00661A26" w:rsidP="00EB2138">
            <w:pPr>
              <w:pStyle w:val="TableText0"/>
              <w:keepNext/>
              <w:widowControl w:val="0"/>
              <w:spacing w:before="0" w:after="0"/>
              <w:jc w:val="center"/>
              <w:rPr>
                <w:szCs w:val="20"/>
              </w:rPr>
            </w:pPr>
            <w:r w:rsidRPr="00BE23C5">
              <w:rPr>
                <w:szCs w:val="20"/>
              </w:rPr>
              <w:t>0.70</w:t>
            </w:r>
          </w:p>
        </w:tc>
        <w:tc>
          <w:tcPr>
            <w:tcW w:w="995" w:type="pct"/>
            <w:tcBorders>
              <w:bottom w:val="single" w:sz="4" w:space="0" w:color="auto"/>
            </w:tcBorders>
            <w:vAlign w:val="bottom"/>
          </w:tcPr>
          <w:p w:rsidR="00661A26" w:rsidRPr="00BE23C5" w:rsidRDefault="00661A26" w:rsidP="00EB2138">
            <w:pPr>
              <w:pStyle w:val="TableText0"/>
              <w:keepNext/>
              <w:widowControl w:val="0"/>
              <w:spacing w:before="0" w:after="0"/>
              <w:jc w:val="center"/>
              <w:rPr>
                <w:b/>
                <w:szCs w:val="20"/>
              </w:rPr>
            </w:pPr>
            <w:r w:rsidRPr="00BE23C5">
              <w:rPr>
                <w:b/>
                <w:szCs w:val="20"/>
              </w:rPr>
              <w:t>$</w:t>
            </w:r>
            <w:r w:rsidR="00FC3C5B">
              <w:rPr>
                <w:b/>
                <w:noProof/>
                <w:color w:val="000000"/>
                <w:szCs w:val="20"/>
                <w:highlight w:val="black"/>
              </w:rPr>
              <w:t>'''''''''''''</w:t>
            </w:r>
            <w:r w:rsidRPr="00C3111C">
              <w:rPr>
                <w:b/>
                <w:szCs w:val="20"/>
              </w:rPr>
              <w:t>/QALY</w:t>
            </w:r>
          </w:p>
        </w:tc>
      </w:tr>
      <w:tr w:rsidR="00661A26" w:rsidRPr="00BE23C5" w:rsidTr="00816487">
        <w:trPr>
          <w:trHeight w:val="285"/>
        </w:trPr>
        <w:tc>
          <w:tcPr>
            <w:tcW w:w="2406" w:type="pct"/>
            <w:tcBorders>
              <w:right w:val="nil"/>
            </w:tcBorders>
            <w:shd w:val="clear" w:color="auto" w:fill="auto"/>
            <w:noWrap/>
            <w:vAlign w:val="bottom"/>
          </w:tcPr>
          <w:p w:rsidR="00661A26" w:rsidRPr="00BE23C5" w:rsidRDefault="00661A26" w:rsidP="00EB2138">
            <w:pPr>
              <w:pStyle w:val="TableText0"/>
              <w:keepNext/>
              <w:widowControl w:val="0"/>
              <w:spacing w:before="0" w:after="0"/>
              <w:rPr>
                <w:b/>
                <w:szCs w:val="20"/>
              </w:rPr>
            </w:pPr>
            <w:r w:rsidRPr="00BE23C5">
              <w:rPr>
                <w:b/>
                <w:szCs w:val="20"/>
              </w:rPr>
              <w:t xml:space="preserve">Utility values: </w:t>
            </w:r>
            <w:proofErr w:type="spellStart"/>
            <w:r w:rsidRPr="00BE23C5">
              <w:rPr>
                <w:b/>
                <w:szCs w:val="20"/>
              </w:rPr>
              <w:t>ExteNET</w:t>
            </w:r>
            <w:proofErr w:type="spellEnd"/>
          </w:p>
        </w:tc>
        <w:tc>
          <w:tcPr>
            <w:tcW w:w="500" w:type="pct"/>
            <w:tcBorders>
              <w:left w:val="nil"/>
              <w:right w:val="nil"/>
            </w:tcBorders>
            <w:shd w:val="clear" w:color="auto" w:fill="auto"/>
            <w:noWrap/>
            <w:vAlign w:val="bottom"/>
          </w:tcPr>
          <w:p w:rsidR="00661A26" w:rsidRPr="00BE23C5" w:rsidRDefault="00661A26" w:rsidP="00EB2138">
            <w:pPr>
              <w:pStyle w:val="TableText0"/>
              <w:keepNext/>
              <w:widowControl w:val="0"/>
              <w:spacing w:before="0" w:after="0"/>
              <w:rPr>
                <w:b/>
                <w:szCs w:val="20"/>
              </w:rPr>
            </w:pPr>
          </w:p>
        </w:tc>
        <w:tc>
          <w:tcPr>
            <w:tcW w:w="469" w:type="pct"/>
            <w:tcBorders>
              <w:left w:val="nil"/>
              <w:right w:val="nil"/>
            </w:tcBorders>
            <w:shd w:val="clear" w:color="auto" w:fill="auto"/>
            <w:noWrap/>
          </w:tcPr>
          <w:p w:rsidR="00661A26" w:rsidRPr="00BE23C5" w:rsidRDefault="00661A26" w:rsidP="00EB2138">
            <w:pPr>
              <w:pStyle w:val="TableText0"/>
              <w:keepNext/>
              <w:widowControl w:val="0"/>
              <w:spacing w:before="0" w:after="0"/>
              <w:rPr>
                <w:b/>
                <w:szCs w:val="20"/>
              </w:rPr>
            </w:pPr>
          </w:p>
        </w:tc>
        <w:tc>
          <w:tcPr>
            <w:tcW w:w="630" w:type="pct"/>
            <w:tcBorders>
              <w:left w:val="nil"/>
              <w:right w:val="nil"/>
            </w:tcBorders>
            <w:shd w:val="clear" w:color="auto" w:fill="auto"/>
          </w:tcPr>
          <w:p w:rsidR="00661A26" w:rsidRPr="00BE23C5" w:rsidRDefault="00661A26" w:rsidP="00EB2138">
            <w:pPr>
              <w:pStyle w:val="TableText0"/>
              <w:keepNext/>
              <w:widowControl w:val="0"/>
              <w:spacing w:before="0" w:after="0"/>
              <w:rPr>
                <w:b/>
                <w:szCs w:val="20"/>
              </w:rPr>
            </w:pPr>
          </w:p>
        </w:tc>
        <w:tc>
          <w:tcPr>
            <w:tcW w:w="995" w:type="pct"/>
            <w:tcBorders>
              <w:left w:val="nil"/>
            </w:tcBorders>
            <w:shd w:val="clear" w:color="auto" w:fill="auto"/>
          </w:tcPr>
          <w:p w:rsidR="00661A26" w:rsidRPr="00BE23C5" w:rsidRDefault="00661A26" w:rsidP="00EB2138">
            <w:pPr>
              <w:pStyle w:val="TableText0"/>
              <w:keepNext/>
              <w:widowControl w:val="0"/>
              <w:spacing w:before="0" w:after="0"/>
              <w:rPr>
                <w:b/>
                <w:szCs w:val="20"/>
              </w:rPr>
            </w:pPr>
          </w:p>
        </w:tc>
      </w:tr>
      <w:tr w:rsidR="00661A26" w:rsidRPr="00BE23C5" w:rsidTr="00816487">
        <w:trPr>
          <w:trHeight w:val="285"/>
        </w:trPr>
        <w:tc>
          <w:tcPr>
            <w:tcW w:w="2406" w:type="pct"/>
            <w:shd w:val="clear" w:color="auto" w:fill="auto"/>
            <w:noWrap/>
            <w:vAlign w:val="bottom"/>
          </w:tcPr>
          <w:p w:rsidR="00661A26" w:rsidRPr="00BE23C5" w:rsidRDefault="00661A26" w:rsidP="00EB2138">
            <w:pPr>
              <w:pStyle w:val="TableText0"/>
              <w:keepNext/>
              <w:widowControl w:val="0"/>
              <w:spacing w:before="0" w:after="0"/>
              <w:rPr>
                <w:szCs w:val="20"/>
              </w:rPr>
            </w:pPr>
            <w:r w:rsidRPr="00BE23C5">
              <w:rPr>
                <w:szCs w:val="20"/>
              </w:rPr>
              <w:t>Total cost ($)</w:t>
            </w:r>
          </w:p>
        </w:tc>
        <w:tc>
          <w:tcPr>
            <w:tcW w:w="500" w:type="pct"/>
            <w:shd w:val="clear" w:color="auto" w:fill="auto"/>
            <w:noWrap/>
            <w:vAlign w:val="bottom"/>
          </w:tcPr>
          <w:p w:rsidR="00661A26" w:rsidRPr="00BE23C5" w:rsidRDefault="00661A26" w:rsidP="00EB2138">
            <w:pPr>
              <w:pStyle w:val="TableText0"/>
              <w:keepNext/>
              <w:widowControl w:val="0"/>
              <w:spacing w:before="0" w:after="0"/>
              <w:jc w:val="center"/>
              <w:rPr>
                <w:szCs w:val="20"/>
              </w:rPr>
            </w:pPr>
            <w:r w:rsidRPr="00BE23C5">
              <w:rPr>
                <w:szCs w:val="20"/>
              </w:rPr>
              <w:t>$</w:t>
            </w:r>
            <w:r w:rsidR="00FC3C5B">
              <w:rPr>
                <w:noProof/>
                <w:color w:val="000000"/>
                <w:szCs w:val="20"/>
                <w:highlight w:val="black"/>
              </w:rPr>
              <w:t>''''''''''''''''''''</w:t>
            </w:r>
          </w:p>
        </w:tc>
        <w:tc>
          <w:tcPr>
            <w:tcW w:w="469" w:type="pct"/>
            <w:shd w:val="clear" w:color="auto" w:fill="auto"/>
            <w:noWrap/>
            <w:vAlign w:val="bottom"/>
          </w:tcPr>
          <w:p w:rsidR="00661A26" w:rsidRPr="00BE23C5" w:rsidRDefault="00661A26" w:rsidP="00EB2138">
            <w:pPr>
              <w:pStyle w:val="TableText0"/>
              <w:keepNext/>
              <w:widowControl w:val="0"/>
              <w:spacing w:before="0" w:after="0"/>
              <w:jc w:val="center"/>
              <w:rPr>
                <w:szCs w:val="20"/>
              </w:rPr>
            </w:pPr>
            <w:r w:rsidRPr="00BE23C5">
              <w:rPr>
                <w:szCs w:val="20"/>
              </w:rPr>
              <w:t>$</w:t>
            </w:r>
            <w:r w:rsidR="00FC3C5B">
              <w:rPr>
                <w:noProof/>
                <w:color w:val="000000"/>
                <w:szCs w:val="20"/>
                <w:highlight w:val="black"/>
              </w:rPr>
              <w:t>'''''''''''''''''</w:t>
            </w:r>
          </w:p>
        </w:tc>
        <w:tc>
          <w:tcPr>
            <w:tcW w:w="630" w:type="pct"/>
            <w:vAlign w:val="bottom"/>
          </w:tcPr>
          <w:p w:rsidR="00661A26" w:rsidRPr="00BE23C5" w:rsidRDefault="00661A26" w:rsidP="00EB2138">
            <w:pPr>
              <w:pStyle w:val="TableText0"/>
              <w:keepNext/>
              <w:widowControl w:val="0"/>
              <w:spacing w:before="0" w:after="0"/>
              <w:jc w:val="center"/>
              <w:rPr>
                <w:szCs w:val="20"/>
              </w:rPr>
            </w:pPr>
            <w:r w:rsidRPr="00BE23C5">
              <w:rPr>
                <w:szCs w:val="20"/>
              </w:rPr>
              <w:t>$</w:t>
            </w:r>
            <w:r w:rsidR="00FC3C5B">
              <w:rPr>
                <w:noProof/>
                <w:color w:val="000000"/>
                <w:szCs w:val="20"/>
                <w:highlight w:val="black"/>
              </w:rPr>
              <w:t>''''''''''''''''</w:t>
            </w:r>
          </w:p>
        </w:tc>
        <w:tc>
          <w:tcPr>
            <w:tcW w:w="995" w:type="pct"/>
            <w:vAlign w:val="bottom"/>
          </w:tcPr>
          <w:p w:rsidR="00661A26" w:rsidRPr="00BE23C5" w:rsidRDefault="00661A26" w:rsidP="00EB2138">
            <w:pPr>
              <w:pStyle w:val="TableText0"/>
              <w:keepNext/>
              <w:widowControl w:val="0"/>
              <w:spacing w:before="0" w:after="0"/>
              <w:jc w:val="center"/>
              <w:rPr>
                <w:b/>
                <w:szCs w:val="20"/>
              </w:rPr>
            </w:pPr>
          </w:p>
        </w:tc>
      </w:tr>
      <w:tr w:rsidR="00661A26" w:rsidRPr="00BE23C5" w:rsidTr="00816487">
        <w:trPr>
          <w:trHeight w:val="285"/>
        </w:trPr>
        <w:tc>
          <w:tcPr>
            <w:tcW w:w="2406" w:type="pct"/>
            <w:shd w:val="clear" w:color="auto" w:fill="auto"/>
            <w:noWrap/>
            <w:vAlign w:val="bottom"/>
          </w:tcPr>
          <w:p w:rsidR="00661A26" w:rsidRPr="00BE23C5" w:rsidRDefault="00661A26" w:rsidP="00EB2138">
            <w:pPr>
              <w:pStyle w:val="TableText0"/>
              <w:keepNext/>
              <w:widowControl w:val="0"/>
              <w:spacing w:before="0" w:after="0"/>
              <w:rPr>
                <w:szCs w:val="20"/>
              </w:rPr>
            </w:pPr>
            <w:r w:rsidRPr="00BE23C5">
              <w:rPr>
                <w:szCs w:val="20"/>
              </w:rPr>
              <w:t>QALYs</w:t>
            </w:r>
          </w:p>
        </w:tc>
        <w:tc>
          <w:tcPr>
            <w:tcW w:w="500" w:type="pct"/>
            <w:shd w:val="clear" w:color="auto" w:fill="auto"/>
            <w:noWrap/>
            <w:vAlign w:val="bottom"/>
          </w:tcPr>
          <w:p w:rsidR="00661A26" w:rsidRPr="00BE23C5" w:rsidRDefault="00661A26" w:rsidP="00EB2138">
            <w:pPr>
              <w:pStyle w:val="TableText0"/>
              <w:keepNext/>
              <w:widowControl w:val="0"/>
              <w:spacing w:before="0" w:after="0"/>
              <w:jc w:val="center"/>
              <w:rPr>
                <w:szCs w:val="20"/>
              </w:rPr>
            </w:pPr>
            <w:r w:rsidRPr="00BE23C5">
              <w:rPr>
                <w:szCs w:val="20"/>
              </w:rPr>
              <w:t>12.04</w:t>
            </w:r>
          </w:p>
        </w:tc>
        <w:tc>
          <w:tcPr>
            <w:tcW w:w="469" w:type="pct"/>
            <w:shd w:val="clear" w:color="auto" w:fill="auto"/>
            <w:noWrap/>
            <w:vAlign w:val="bottom"/>
          </w:tcPr>
          <w:p w:rsidR="00661A26" w:rsidRPr="00BE23C5" w:rsidRDefault="00661A26" w:rsidP="00EB2138">
            <w:pPr>
              <w:pStyle w:val="TableText0"/>
              <w:keepNext/>
              <w:widowControl w:val="0"/>
              <w:spacing w:before="0" w:after="0"/>
              <w:jc w:val="center"/>
              <w:rPr>
                <w:szCs w:val="20"/>
              </w:rPr>
            </w:pPr>
            <w:r w:rsidRPr="00BE23C5">
              <w:rPr>
                <w:szCs w:val="20"/>
              </w:rPr>
              <w:t>11.38</w:t>
            </w:r>
          </w:p>
        </w:tc>
        <w:tc>
          <w:tcPr>
            <w:tcW w:w="630" w:type="pct"/>
            <w:vAlign w:val="bottom"/>
          </w:tcPr>
          <w:p w:rsidR="00661A26" w:rsidRPr="00BE23C5" w:rsidRDefault="00661A26" w:rsidP="00EB2138">
            <w:pPr>
              <w:pStyle w:val="TableText0"/>
              <w:keepNext/>
              <w:widowControl w:val="0"/>
              <w:spacing w:before="0" w:after="0"/>
              <w:jc w:val="center"/>
              <w:rPr>
                <w:szCs w:val="20"/>
              </w:rPr>
            </w:pPr>
            <w:r w:rsidRPr="00BE23C5">
              <w:rPr>
                <w:szCs w:val="20"/>
              </w:rPr>
              <w:t>0.65</w:t>
            </w:r>
          </w:p>
        </w:tc>
        <w:tc>
          <w:tcPr>
            <w:tcW w:w="995" w:type="pct"/>
            <w:vAlign w:val="bottom"/>
          </w:tcPr>
          <w:p w:rsidR="00661A26" w:rsidRPr="00BE23C5" w:rsidRDefault="00661A26" w:rsidP="00EB2138">
            <w:pPr>
              <w:pStyle w:val="TableText0"/>
              <w:keepNext/>
              <w:widowControl w:val="0"/>
              <w:spacing w:before="0" w:after="0"/>
              <w:jc w:val="center"/>
              <w:rPr>
                <w:b/>
                <w:szCs w:val="20"/>
              </w:rPr>
            </w:pPr>
            <w:r w:rsidRPr="00BE23C5">
              <w:rPr>
                <w:b/>
                <w:szCs w:val="20"/>
              </w:rPr>
              <w:t>$</w:t>
            </w:r>
            <w:r w:rsidR="00FC3C5B">
              <w:rPr>
                <w:b/>
                <w:noProof/>
                <w:color w:val="000000"/>
                <w:szCs w:val="20"/>
                <w:highlight w:val="black"/>
              </w:rPr>
              <w:t>''''''''''''''</w:t>
            </w:r>
            <w:r w:rsidRPr="00BE23C5">
              <w:rPr>
                <w:b/>
                <w:szCs w:val="20"/>
              </w:rPr>
              <w:t>/QALY</w:t>
            </w:r>
          </w:p>
        </w:tc>
      </w:tr>
      <w:tr w:rsidR="00661A26" w:rsidRPr="00BE23C5" w:rsidTr="00070689">
        <w:trPr>
          <w:trHeight w:val="285"/>
        </w:trPr>
        <w:tc>
          <w:tcPr>
            <w:tcW w:w="5000" w:type="pct"/>
            <w:gridSpan w:val="5"/>
            <w:shd w:val="clear" w:color="auto" w:fill="auto"/>
            <w:noWrap/>
            <w:vAlign w:val="bottom"/>
          </w:tcPr>
          <w:p w:rsidR="00661A26" w:rsidRPr="00BE23C5" w:rsidRDefault="00661A26" w:rsidP="00EB2138">
            <w:pPr>
              <w:pStyle w:val="TableText0"/>
              <w:keepNext/>
              <w:widowControl w:val="0"/>
              <w:spacing w:before="0" w:after="0"/>
              <w:rPr>
                <w:b/>
                <w:szCs w:val="20"/>
              </w:rPr>
            </w:pPr>
            <w:r w:rsidRPr="00BE23C5">
              <w:rPr>
                <w:b/>
                <w:szCs w:val="20"/>
              </w:rPr>
              <w:t xml:space="preserve">Recalculated using utility of 0.86 for </w:t>
            </w:r>
            <w:proofErr w:type="spellStart"/>
            <w:r w:rsidRPr="00BE23C5">
              <w:rPr>
                <w:b/>
                <w:szCs w:val="20"/>
              </w:rPr>
              <w:t>iDFS</w:t>
            </w:r>
            <w:proofErr w:type="spellEnd"/>
            <w:r w:rsidRPr="00BE23C5">
              <w:rPr>
                <w:b/>
                <w:szCs w:val="20"/>
              </w:rPr>
              <w:t xml:space="preserve"> and leaving the disutility for diarrhoea at 0.1</w:t>
            </w:r>
            <w:r w:rsidR="0061247F" w:rsidRPr="00BE23C5">
              <w:rPr>
                <w:b/>
                <w:szCs w:val="20"/>
              </w:rPr>
              <w:t>*</w:t>
            </w:r>
          </w:p>
        </w:tc>
      </w:tr>
      <w:tr w:rsidR="00661A26" w:rsidRPr="00BE23C5" w:rsidTr="00816487">
        <w:trPr>
          <w:trHeight w:val="285"/>
        </w:trPr>
        <w:tc>
          <w:tcPr>
            <w:tcW w:w="2406" w:type="pct"/>
            <w:shd w:val="clear" w:color="auto" w:fill="auto"/>
            <w:noWrap/>
            <w:vAlign w:val="bottom"/>
          </w:tcPr>
          <w:p w:rsidR="00661A26" w:rsidRPr="00BE23C5" w:rsidRDefault="00661A26" w:rsidP="00EB2138">
            <w:pPr>
              <w:pStyle w:val="TableText0"/>
              <w:keepNext/>
              <w:widowControl w:val="0"/>
              <w:spacing w:before="0" w:after="0"/>
              <w:rPr>
                <w:szCs w:val="20"/>
              </w:rPr>
            </w:pPr>
            <w:r w:rsidRPr="00BE23C5">
              <w:rPr>
                <w:szCs w:val="20"/>
              </w:rPr>
              <w:t>Total cost ($)</w:t>
            </w:r>
          </w:p>
        </w:tc>
        <w:tc>
          <w:tcPr>
            <w:tcW w:w="500" w:type="pct"/>
            <w:shd w:val="clear" w:color="auto" w:fill="auto"/>
            <w:noWrap/>
            <w:vAlign w:val="bottom"/>
          </w:tcPr>
          <w:p w:rsidR="00661A26" w:rsidRPr="00BE23C5" w:rsidRDefault="00661A26" w:rsidP="00EB2138">
            <w:pPr>
              <w:pStyle w:val="TableText0"/>
              <w:keepNext/>
              <w:widowControl w:val="0"/>
              <w:spacing w:before="0" w:after="0"/>
              <w:jc w:val="center"/>
              <w:rPr>
                <w:szCs w:val="20"/>
              </w:rPr>
            </w:pPr>
            <w:r w:rsidRPr="00BE23C5">
              <w:rPr>
                <w:szCs w:val="20"/>
              </w:rPr>
              <w:t>$</w:t>
            </w:r>
            <w:r w:rsidR="00FC3C5B">
              <w:rPr>
                <w:noProof/>
                <w:color w:val="000000"/>
                <w:szCs w:val="20"/>
                <w:highlight w:val="black"/>
              </w:rPr>
              <w:t>''''''''''''''''''</w:t>
            </w:r>
          </w:p>
        </w:tc>
        <w:tc>
          <w:tcPr>
            <w:tcW w:w="469" w:type="pct"/>
            <w:shd w:val="clear" w:color="auto" w:fill="auto"/>
            <w:noWrap/>
            <w:vAlign w:val="bottom"/>
          </w:tcPr>
          <w:p w:rsidR="00661A26" w:rsidRPr="00BE23C5" w:rsidRDefault="00661A26" w:rsidP="00EB2138">
            <w:pPr>
              <w:pStyle w:val="TableText0"/>
              <w:keepNext/>
              <w:widowControl w:val="0"/>
              <w:spacing w:before="0" w:after="0"/>
              <w:jc w:val="center"/>
              <w:rPr>
                <w:szCs w:val="20"/>
              </w:rPr>
            </w:pPr>
            <w:r w:rsidRPr="00BE23C5">
              <w:rPr>
                <w:szCs w:val="20"/>
              </w:rPr>
              <w:t>$</w:t>
            </w:r>
            <w:r w:rsidR="00FC3C5B">
              <w:rPr>
                <w:noProof/>
                <w:color w:val="000000"/>
                <w:szCs w:val="20"/>
                <w:highlight w:val="black"/>
              </w:rPr>
              <w:t>'''''''''''''''''</w:t>
            </w:r>
          </w:p>
        </w:tc>
        <w:tc>
          <w:tcPr>
            <w:tcW w:w="630" w:type="pct"/>
            <w:vAlign w:val="bottom"/>
          </w:tcPr>
          <w:p w:rsidR="00661A26" w:rsidRPr="00BE23C5" w:rsidRDefault="00661A26" w:rsidP="00EB2138">
            <w:pPr>
              <w:pStyle w:val="TableText0"/>
              <w:keepNext/>
              <w:widowControl w:val="0"/>
              <w:spacing w:before="0" w:after="0"/>
              <w:jc w:val="center"/>
              <w:rPr>
                <w:szCs w:val="20"/>
              </w:rPr>
            </w:pPr>
            <w:r w:rsidRPr="00BE23C5">
              <w:rPr>
                <w:szCs w:val="20"/>
              </w:rPr>
              <w:t>$</w:t>
            </w:r>
            <w:r w:rsidR="00FC3C5B">
              <w:rPr>
                <w:noProof/>
                <w:color w:val="000000"/>
                <w:szCs w:val="20"/>
                <w:highlight w:val="black"/>
              </w:rPr>
              <w:t>'''''''''''''''''</w:t>
            </w:r>
          </w:p>
        </w:tc>
        <w:tc>
          <w:tcPr>
            <w:tcW w:w="995" w:type="pct"/>
            <w:vAlign w:val="bottom"/>
          </w:tcPr>
          <w:p w:rsidR="00661A26" w:rsidRPr="00BE23C5" w:rsidRDefault="00661A26" w:rsidP="00EB2138">
            <w:pPr>
              <w:pStyle w:val="TableText0"/>
              <w:keepNext/>
              <w:widowControl w:val="0"/>
              <w:spacing w:before="0" w:after="0"/>
              <w:jc w:val="center"/>
              <w:rPr>
                <w:b/>
                <w:szCs w:val="20"/>
              </w:rPr>
            </w:pPr>
          </w:p>
        </w:tc>
      </w:tr>
      <w:tr w:rsidR="00661A26" w:rsidRPr="00BE23C5" w:rsidTr="00816487">
        <w:trPr>
          <w:trHeight w:val="285"/>
        </w:trPr>
        <w:tc>
          <w:tcPr>
            <w:tcW w:w="2406" w:type="pct"/>
            <w:tcBorders>
              <w:bottom w:val="single" w:sz="4" w:space="0" w:color="auto"/>
            </w:tcBorders>
            <w:shd w:val="clear" w:color="auto" w:fill="auto"/>
            <w:noWrap/>
            <w:vAlign w:val="bottom"/>
          </w:tcPr>
          <w:p w:rsidR="00661A26" w:rsidRPr="00BE23C5" w:rsidRDefault="00661A26" w:rsidP="00EB2138">
            <w:pPr>
              <w:pStyle w:val="TableText0"/>
              <w:keepNext/>
              <w:widowControl w:val="0"/>
              <w:spacing w:before="0" w:after="0"/>
              <w:rPr>
                <w:szCs w:val="20"/>
              </w:rPr>
            </w:pPr>
            <w:r w:rsidRPr="00BE23C5">
              <w:rPr>
                <w:szCs w:val="20"/>
              </w:rPr>
              <w:t>QALYs</w:t>
            </w:r>
          </w:p>
        </w:tc>
        <w:tc>
          <w:tcPr>
            <w:tcW w:w="500" w:type="pct"/>
            <w:tcBorders>
              <w:bottom w:val="single" w:sz="4" w:space="0" w:color="auto"/>
            </w:tcBorders>
            <w:shd w:val="clear" w:color="auto" w:fill="auto"/>
            <w:noWrap/>
            <w:vAlign w:val="bottom"/>
          </w:tcPr>
          <w:p w:rsidR="00661A26" w:rsidRPr="00BE23C5" w:rsidRDefault="00661A26" w:rsidP="00EB2138">
            <w:pPr>
              <w:pStyle w:val="TableText0"/>
              <w:keepNext/>
              <w:widowControl w:val="0"/>
              <w:spacing w:before="0" w:after="0"/>
              <w:jc w:val="center"/>
              <w:rPr>
                <w:szCs w:val="20"/>
              </w:rPr>
            </w:pPr>
            <w:r w:rsidRPr="00BE23C5">
              <w:rPr>
                <w:szCs w:val="20"/>
              </w:rPr>
              <w:t>12.31</w:t>
            </w:r>
          </w:p>
        </w:tc>
        <w:tc>
          <w:tcPr>
            <w:tcW w:w="469" w:type="pct"/>
            <w:tcBorders>
              <w:bottom w:val="single" w:sz="4" w:space="0" w:color="auto"/>
            </w:tcBorders>
            <w:shd w:val="clear" w:color="auto" w:fill="auto"/>
            <w:noWrap/>
            <w:vAlign w:val="bottom"/>
          </w:tcPr>
          <w:p w:rsidR="00661A26" w:rsidRPr="00BE23C5" w:rsidRDefault="00661A26" w:rsidP="00EB2138">
            <w:pPr>
              <w:pStyle w:val="TableText0"/>
              <w:keepNext/>
              <w:widowControl w:val="0"/>
              <w:spacing w:before="0" w:after="0"/>
              <w:jc w:val="center"/>
              <w:rPr>
                <w:szCs w:val="20"/>
              </w:rPr>
            </w:pPr>
            <w:r w:rsidRPr="00BE23C5">
              <w:rPr>
                <w:szCs w:val="20"/>
              </w:rPr>
              <w:t>11.64</w:t>
            </w:r>
          </w:p>
        </w:tc>
        <w:tc>
          <w:tcPr>
            <w:tcW w:w="630" w:type="pct"/>
            <w:tcBorders>
              <w:bottom w:val="single" w:sz="4" w:space="0" w:color="auto"/>
            </w:tcBorders>
            <w:vAlign w:val="bottom"/>
          </w:tcPr>
          <w:p w:rsidR="00661A26" w:rsidRPr="00BE23C5" w:rsidRDefault="00661A26" w:rsidP="00EB2138">
            <w:pPr>
              <w:pStyle w:val="TableText0"/>
              <w:keepNext/>
              <w:widowControl w:val="0"/>
              <w:spacing w:before="0" w:after="0"/>
              <w:jc w:val="center"/>
              <w:rPr>
                <w:szCs w:val="20"/>
              </w:rPr>
            </w:pPr>
            <w:r w:rsidRPr="00BE23C5">
              <w:rPr>
                <w:szCs w:val="20"/>
              </w:rPr>
              <w:t>0.67</w:t>
            </w:r>
          </w:p>
        </w:tc>
        <w:tc>
          <w:tcPr>
            <w:tcW w:w="995" w:type="pct"/>
            <w:tcBorders>
              <w:bottom w:val="single" w:sz="4" w:space="0" w:color="auto"/>
            </w:tcBorders>
            <w:vAlign w:val="bottom"/>
          </w:tcPr>
          <w:p w:rsidR="00661A26" w:rsidRPr="00BE23C5" w:rsidRDefault="00661A26" w:rsidP="00EB2138">
            <w:pPr>
              <w:pStyle w:val="TableText0"/>
              <w:keepNext/>
              <w:widowControl w:val="0"/>
              <w:spacing w:before="0" w:after="0"/>
              <w:jc w:val="center"/>
              <w:rPr>
                <w:b/>
                <w:szCs w:val="20"/>
              </w:rPr>
            </w:pPr>
            <w:r w:rsidRPr="00BE23C5">
              <w:rPr>
                <w:b/>
                <w:szCs w:val="20"/>
              </w:rPr>
              <w:t>$</w:t>
            </w:r>
            <w:r w:rsidR="00FC3C5B">
              <w:rPr>
                <w:b/>
                <w:noProof/>
                <w:color w:val="000000"/>
                <w:szCs w:val="20"/>
                <w:highlight w:val="black"/>
              </w:rPr>
              <w:t>'''''''''''''''</w:t>
            </w:r>
            <w:r w:rsidRPr="00BE23C5">
              <w:rPr>
                <w:b/>
                <w:szCs w:val="20"/>
              </w:rPr>
              <w:t>/QALY</w:t>
            </w:r>
          </w:p>
        </w:tc>
      </w:tr>
    </w:tbl>
    <w:p w:rsidR="00906AAA" w:rsidRPr="00BE23C5" w:rsidRDefault="00906AAA" w:rsidP="00906AAA">
      <w:pPr>
        <w:pStyle w:val="Subtitle"/>
        <w:jc w:val="left"/>
        <w:rPr>
          <w:rFonts w:ascii="Arial Narrow" w:hAnsi="Arial Narrow"/>
          <w:sz w:val="18"/>
          <w:szCs w:val="18"/>
        </w:rPr>
      </w:pPr>
      <w:r w:rsidRPr="00BE23C5">
        <w:rPr>
          <w:rFonts w:ascii="Arial Narrow" w:hAnsi="Arial Narrow"/>
          <w:sz w:val="18"/>
          <w:szCs w:val="18"/>
        </w:rPr>
        <w:t>QALY: quality adjusted life year; ICER: incremental cost-effectiveness ratio</w:t>
      </w:r>
    </w:p>
    <w:p w:rsidR="00906AAA" w:rsidRPr="00BE23C5" w:rsidRDefault="00906AAA" w:rsidP="00906AAA">
      <w:pPr>
        <w:pStyle w:val="Subtitle"/>
        <w:jc w:val="left"/>
        <w:rPr>
          <w:rFonts w:ascii="Arial Narrow" w:hAnsi="Arial Narrow"/>
          <w:sz w:val="18"/>
          <w:szCs w:val="18"/>
        </w:rPr>
      </w:pPr>
      <w:r w:rsidRPr="00BE23C5">
        <w:rPr>
          <w:rFonts w:ascii="Arial Narrow" w:hAnsi="Arial Narrow"/>
          <w:sz w:val="18"/>
          <w:szCs w:val="18"/>
        </w:rPr>
        <w:t>Source: Table 4, p6 of the PSCR</w:t>
      </w:r>
    </w:p>
    <w:p w:rsidR="0061247F" w:rsidRPr="00BE23C5" w:rsidRDefault="0061247F" w:rsidP="00906AAA">
      <w:pPr>
        <w:pStyle w:val="Subtitle"/>
        <w:jc w:val="left"/>
        <w:rPr>
          <w:rFonts w:ascii="Arial Narrow" w:hAnsi="Arial Narrow"/>
          <w:sz w:val="18"/>
          <w:szCs w:val="18"/>
        </w:rPr>
      </w:pPr>
      <w:r w:rsidRPr="00BE23C5">
        <w:rPr>
          <w:rFonts w:ascii="Arial Narrow" w:hAnsi="Arial Narrow"/>
          <w:sz w:val="18"/>
          <w:szCs w:val="18"/>
        </w:rPr>
        <w:t>*calculated during the ESC evaluation</w:t>
      </w:r>
    </w:p>
    <w:p w:rsidR="00C04A4B" w:rsidRPr="00BE23C5" w:rsidRDefault="00C04A4B" w:rsidP="007A4F05">
      <w:pPr>
        <w:widowControl/>
      </w:pPr>
    </w:p>
    <w:p w:rsidR="00575F33" w:rsidRPr="00BE23C5" w:rsidRDefault="00575F33" w:rsidP="001159DF">
      <w:pPr>
        <w:pStyle w:val="Heading2"/>
        <w:keepNext/>
        <w:spacing w:before="120" w:after="120"/>
      </w:pPr>
      <w:bookmarkStart w:id="18" w:name="_Toc535857355"/>
      <w:r w:rsidRPr="00BE23C5">
        <w:lastRenderedPageBreak/>
        <w:t>Drug cost/patient/course</w:t>
      </w:r>
      <w:bookmarkEnd w:id="18"/>
    </w:p>
    <w:p w:rsidR="00434C26" w:rsidRPr="00BE23C5" w:rsidRDefault="003B460C" w:rsidP="001159DF">
      <w:pPr>
        <w:pStyle w:val="ListParagraph"/>
        <w:keepNext/>
        <w:widowControl/>
        <w:numPr>
          <w:ilvl w:val="1"/>
          <w:numId w:val="2"/>
        </w:numPr>
        <w:spacing w:before="120" w:after="120"/>
      </w:pPr>
      <w:r w:rsidRPr="00BE23C5">
        <w:t>The cost per patient per course (one year) was $</w:t>
      </w:r>
      <w:r w:rsidR="00FC3C5B">
        <w:rPr>
          <w:noProof/>
          <w:color w:val="000000"/>
          <w:highlight w:val="black"/>
        </w:rPr>
        <w:t>''''''''''''</w:t>
      </w:r>
      <w:r w:rsidRPr="00BE23C5">
        <w:t>. This was based on the expected dose of 240</w:t>
      </w:r>
      <w:r w:rsidR="00A96B8E" w:rsidRPr="00BE23C5">
        <w:t xml:space="preserve"> </w:t>
      </w:r>
      <w:r w:rsidRPr="00BE23C5">
        <w:t>mg daily for 12 months.</w:t>
      </w:r>
      <w:r w:rsidRPr="00BE23C5" w:rsidDel="003B460C">
        <w:t xml:space="preserve"> </w:t>
      </w:r>
      <w:r w:rsidR="009D1A6C" w:rsidRPr="00BE23C5">
        <w:t>The cost per patient per course based on the trial data</w:t>
      </w:r>
      <w:r w:rsidR="005A36C0" w:rsidRPr="00BE23C5">
        <w:t xml:space="preserve">; from </w:t>
      </w:r>
      <w:r w:rsidR="009D1A6C" w:rsidRPr="00BE23C5">
        <w:t xml:space="preserve">the model and </w:t>
      </w:r>
      <w:r w:rsidR="005A36C0" w:rsidRPr="00BE23C5">
        <w:t xml:space="preserve">from </w:t>
      </w:r>
      <w:r w:rsidR="009D1A6C" w:rsidRPr="00BE23C5">
        <w:t xml:space="preserve">the financial estimates is shown in Table 16. </w:t>
      </w:r>
      <w:r w:rsidR="005A36C0" w:rsidRPr="00BE23C5">
        <w:t xml:space="preserve">As noted above, the PBAC considered that drug costs in the model appear to be </w:t>
      </w:r>
      <w:r w:rsidR="008E4EB6" w:rsidRPr="00BE23C5">
        <w:t>too low. The PBAC also agreed with the DUSC that</w:t>
      </w:r>
      <w:r w:rsidR="005A36C0" w:rsidRPr="00BE23C5">
        <w:t xml:space="preserve"> drug costs in the financial estimates appear to be too high.</w:t>
      </w:r>
    </w:p>
    <w:p w:rsidR="00581D25" w:rsidRPr="00BE23C5" w:rsidRDefault="00581D25" w:rsidP="00581D25">
      <w:pPr>
        <w:keepNext/>
        <w:keepLines/>
        <w:widowControl/>
        <w:rPr>
          <w:rStyle w:val="CommentReference"/>
        </w:rPr>
      </w:pPr>
      <w:r w:rsidRPr="00BE23C5">
        <w:rPr>
          <w:rStyle w:val="CommentReference"/>
        </w:rPr>
        <w:t xml:space="preserve">Table 16: Drug cost per patient for </w:t>
      </w:r>
      <w:proofErr w:type="spellStart"/>
      <w:r w:rsidRPr="00BE23C5">
        <w:rPr>
          <w:rStyle w:val="CommentReference"/>
        </w:rPr>
        <w:t>neratinib</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6: Drug cost per patient for neratinib"/>
      </w:tblPr>
      <w:tblGrid>
        <w:gridCol w:w="2370"/>
        <w:gridCol w:w="1955"/>
        <w:gridCol w:w="2750"/>
        <w:gridCol w:w="1942"/>
      </w:tblGrid>
      <w:tr w:rsidR="009D1A6C" w:rsidRPr="00BE23C5" w:rsidTr="009D1A6C">
        <w:trPr>
          <w:jc w:val="center"/>
        </w:trPr>
        <w:tc>
          <w:tcPr>
            <w:tcW w:w="1314" w:type="pct"/>
            <w:shd w:val="clear" w:color="auto" w:fill="auto"/>
            <w:vAlign w:val="center"/>
          </w:tcPr>
          <w:p w:rsidR="009D1A6C" w:rsidRPr="00BE23C5" w:rsidRDefault="009D1A6C" w:rsidP="00C25A22">
            <w:pPr>
              <w:keepNext/>
              <w:widowControl/>
              <w:jc w:val="left"/>
              <w:rPr>
                <w:rFonts w:ascii="Arial Narrow" w:hAnsi="Arial Narrow"/>
                <w:b/>
                <w:sz w:val="20"/>
              </w:rPr>
            </w:pPr>
          </w:p>
        </w:tc>
        <w:tc>
          <w:tcPr>
            <w:tcW w:w="1084" w:type="pct"/>
            <w:shd w:val="clear" w:color="auto" w:fill="auto"/>
            <w:vAlign w:val="center"/>
          </w:tcPr>
          <w:p w:rsidR="009D1A6C" w:rsidRPr="00BE23C5" w:rsidRDefault="009D1A6C" w:rsidP="00C25A22">
            <w:pPr>
              <w:keepNext/>
              <w:widowControl/>
              <w:jc w:val="center"/>
              <w:rPr>
                <w:rFonts w:ascii="Arial Narrow" w:hAnsi="Arial Narrow"/>
                <w:b/>
                <w:sz w:val="20"/>
              </w:rPr>
            </w:pPr>
            <w:r w:rsidRPr="00BE23C5">
              <w:rPr>
                <w:rFonts w:ascii="Arial Narrow" w:hAnsi="Arial Narrow"/>
                <w:b/>
                <w:sz w:val="20"/>
              </w:rPr>
              <w:t>Trial dose and duration</w:t>
            </w:r>
          </w:p>
        </w:tc>
        <w:tc>
          <w:tcPr>
            <w:tcW w:w="1525" w:type="pct"/>
            <w:shd w:val="clear" w:color="auto" w:fill="auto"/>
            <w:vAlign w:val="center"/>
          </w:tcPr>
          <w:p w:rsidR="009D1A6C" w:rsidRPr="00BE23C5" w:rsidRDefault="009D1A6C" w:rsidP="00C25A22">
            <w:pPr>
              <w:keepNext/>
              <w:widowControl/>
              <w:jc w:val="center"/>
              <w:rPr>
                <w:rFonts w:ascii="Arial Narrow" w:hAnsi="Arial Narrow"/>
                <w:b/>
                <w:sz w:val="20"/>
              </w:rPr>
            </w:pPr>
            <w:r w:rsidRPr="00BE23C5">
              <w:rPr>
                <w:rFonts w:ascii="Arial Narrow" w:hAnsi="Arial Narrow"/>
                <w:b/>
                <w:sz w:val="20"/>
              </w:rPr>
              <w:t>Model</w:t>
            </w:r>
          </w:p>
        </w:tc>
        <w:tc>
          <w:tcPr>
            <w:tcW w:w="1077" w:type="pct"/>
            <w:shd w:val="clear" w:color="auto" w:fill="auto"/>
            <w:vAlign w:val="center"/>
          </w:tcPr>
          <w:p w:rsidR="009D1A6C" w:rsidRPr="00BE23C5" w:rsidRDefault="009D1A6C" w:rsidP="00C25A22">
            <w:pPr>
              <w:keepNext/>
              <w:widowControl/>
              <w:jc w:val="center"/>
              <w:rPr>
                <w:rFonts w:ascii="Arial Narrow" w:hAnsi="Arial Narrow"/>
                <w:b/>
                <w:sz w:val="20"/>
              </w:rPr>
            </w:pPr>
            <w:r w:rsidRPr="00BE23C5">
              <w:rPr>
                <w:rFonts w:ascii="Arial Narrow" w:hAnsi="Arial Narrow"/>
                <w:b/>
                <w:sz w:val="20"/>
              </w:rPr>
              <w:t>Financial estimates</w:t>
            </w:r>
          </w:p>
        </w:tc>
      </w:tr>
      <w:tr w:rsidR="009D1A6C" w:rsidRPr="00BE23C5" w:rsidTr="009D1A6C">
        <w:trPr>
          <w:jc w:val="center"/>
        </w:trPr>
        <w:tc>
          <w:tcPr>
            <w:tcW w:w="1314" w:type="pct"/>
            <w:shd w:val="clear" w:color="auto" w:fill="auto"/>
            <w:vAlign w:val="center"/>
          </w:tcPr>
          <w:p w:rsidR="009D1A6C" w:rsidRPr="00BE23C5" w:rsidRDefault="009D1A6C" w:rsidP="00C25A22">
            <w:pPr>
              <w:keepNext/>
              <w:widowControl/>
              <w:jc w:val="left"/>
              <w:rPr>
                <w:rFonts w:ascii="Arial Narrow" w:hAnsi="Arial Narrow"/>
                <w:sz w:val="20"/>
              </w:rPr>
            </w:pPr>
            <w:r w:rsidRPr="00BE23C5">
              <w:rPr>
                <w:rFonts w:ascii="Arial Narrow" w:hAnsi="Arial Narrow"/>
                <w:sz w:val="20"/>
              </w:rPr>
              <w:t>Mean dose</w:t>
            </w:r>
          </w:p>
        </w:tc>
        <w:tc>
          <w:tcPr>
            <w:tcW w:w="1084" w:type="pct"/>
            <w:shd w:val="clear" w:color="auto" w:fill="auto"/>
            <w:vAlign w:val="center"/>
          </w:tcPr>
          <w:p w:rsidR="009D1A6C" w:rsidRPr="00BE23C5" w:rsidRDefault="009D1A6C" w:rsidP="00C25A22">
            <w:pPr>
              <w:keepNext/>
              <w:widowControl/>
              <w:jc w:val="center"/>
              <w:rPr>
                <w:rFonts w:ascii="Arial Narrow" w:hAnsi="Arial Narrow"/>
                <w:sz w:val="20"/>
              </w:rPr>
            </w:pPr>
            <w:r w:rsidRPr="00BE23C5">
              <w:rPr>
                <w:rFonts w:ascii="Arial Narrow" w:hAnsi="Arial Narrow"/>
                <w:sz w:val="20"/>
              </w:rPr>
              <w:t>210.4 mg/</w:t>
            </w:r>
            <w:proofErr w:type="spellStart"/>
            <w:r w:rsidRPr="00BE23C5">
              <w:rPr>
                <w:rFonts w:ascii="Arial Narrow" w:hAnsi="Arial Narrow"/>
                <w:sz w:val="20"/>
              </w:rPr>
              <w:t>day</w:t>
            </w:r>
            <w:r w:rsidRPr="00BE23C5">
              <w:rPr>
                <w:rFonts w:ascii="Arial Narrow" w:hAnsi="Arial Narrow"/>
                <w:sz w:val="20"/>
                <w:vertAlign w:val="superscript"/>
              </w:rPr>
              <w:t>a</w:t>
            </w:r>
            <w:proofErr w:type="spellEnd"/>
          </w:p>
        </w:tc>
        <w:tc>
          <w:tcPr>
            <w:tcW w:w="1525" w:type="pct"/>
            <w:shd w:val="clear" w:color="auto" w:fill="auto"/>
            <w:vAlign w:val="center"/>
          </w:tcPr>
          <w:p w:rsidR="009D1A6C" w:rsidRPr="00BE23C5" w:rsidRDefault="009D1A6C" w:rsidP="00C25A22">
            <w:pPr>
              <w:keepNext/>
              <w:widowControl/>
              <w:jc w:val="center"/>
              <w:rPr>
                <w:rFonts w:ascii="Arial Narrow" w:hAnsi="Arial Narrow"/>
                <w:sz w:val="20"/>
              </w:rPr>
            </w:pPr>
            <w:r w:rsidRPr="00BE23C5">
              <w:rPr>
                <w:rFonts w:ascii="Arial Narrow" w:hAnsi="Arial Narrow"/>
                <w:sz w:val="20"/>
              </w:rPr>
              <w:t>214.3 mg/</w:t>
            </w:r>
            <w:proofErr w:type="spellStart"/>
            <w:r w:rsidRPr="00BE23C5">
              <w:rPr>
                <w:rFonts w:ascii="Arial Narrow" w:hAnsi="Arial Narrow"/>
                <w:sz w:val="20"/>
              </w:rPr>
              <w:t>day</w:t>
            </w:r>
            <w:r w:rsidRPr="00BE23C5">
              <w:rPr>
                <w:rFonts w:ascii="Arial Narrow" w:hAnsi="Arial Narrow"/>
                <w:sz w:val="20"/>
                <w:vertAlign w:val="superscript"/>
              </w:rPr>
              <w:t>b</w:t>
            </w:r>
            <w:proofErr w:type="spellEnd"/>
          </w:p>
        </w:tc>
        <w:tc>
          <w:tcPr>
            <w:tcW w:w="1077" w:type="pct"/>
            <w:shd w:val="clear" w:color="auto" w:fill="auto"/>
            <w:vAlign w:val="center"/>
          </w:tcPr>
          <w:p w:rsidR="009D1A6C" w:rsidRPr="00BE23C5" w:rsidRDefault="009D1A6C" w:rsidP="00C25A22">
            <w:pPr>
              <w:keepNext/>
              <w:widowControl/>
              <w:jc w:val="center"/>
              <w:rPr>
                <w:rFonts w:ascii="Arial Narrow" w:hAnsi="Arial Narrow"/>
                <w:sz w:val="20"/>
              </w:rPr>
            </w:pPr>
            <w:r w:rsidRPr="00BE23C5">
              <w:rPr>
                <w:rFonts w:ascii="Arial Narrow" w:hAnsi="Arial Narrow"/>
                <w:sz w:val="20"/>
              </w:rPr>
              <w:t>240 mg/day</w:t>
            </w:r>
          </w:p>
        </w:tc>
      </w:tr>
      <w:tr w:rsidR="009D1A6C" w:rsidRPr="00BE23C5" w:rsidTr="009D1A6C">
        <w:trPr>
          <w:jc w:val="center"/>
        </w:trPr>
        <w:tc>
          <w:tcPr>
            <w:tcW w:w="1314" w:type="pct"/>
            <w:shd w:val="clear" w:color="auto" w:fill="auto"/>
            <w:vAlign w:val="center"/>
          </w:tcPr>
          <w:p w:rsidR="009D1A6C" w:rsidRPr="00BE23C5" w:rsidRDefault="009D1A6C" w:rsidP="00C25A22">
            <w:pPr>
              <w:keepNext/>
              <w:widowControl/>
              <w:jc w:val="left"/>
              <w:rPr>
                <w:rFonts w:ascii="Arial Narrow" w:hAnsi="Arial Narrow"/>
                <w:sz w:val="20"/>
              </w:rPr>
            </w:pPr>
            <w:r w:rsidRPr="00BE23C5">
              <w:rPr>
                <w:rFonts w:ascii="Arial Narrow" w:hAnsi="Arial Narrow"/>
                <w:sz w:val="20"/>
              </w:rPr>
              <w:t>Mean duration</w:t>
            </w:r>
          </w:p>
        </w:tc>
        <w:tc>
          <w:tcPr>
            <w:tcW w:w="1084" w:type="pct"/>
            <w:shd w:val="clear" w:color="auto" w:fill="auto"/>
            <w:vAlign w:val="center"/>
          </w:tcPr>
          <w:p w:rsidR="009D1A6C" w:rsidRPr="00BE23C5" w:rsidRDefault="009D1A6C" w:rsidP="00C25A22">
            <w:pPr>
              <w:keepNext/>
              <w:widowControl/>
              <w:jc w:val="center"/>
              <w:rPr>
                <w:rFonts w:ascii="Arial Narrow" w:hAnsi="Arial Narrow"/>
                <w:sz w:val="20"/>
              </w:rPr>
            </w:pPr>
            <w:r w:rsidRPr="00BE23C5">
              <w:rPr>
                <w:rFonts w:ascii="Arial Narrow" w:hAnsi="Arial Narrow"/>
                <w:sz w:val="20"/>
              </w:rPr>
              <w:t>8.23 months</w:t>
            </w:r>
          </w:p>
        </w:tc>
        <w:tc>
          <w:tcPr>
            <w:tcW w:w="1525" w:type="pct"/>
            <w:shd w:val="clear" w:color="auto" w:fill="auto"/>
            <w:vAlign w:val="center"/>
          </w:tcPr>
          <w:p w:rsidR="009D1A6C" w:rsidRPr="00BE23C5" w:rsidRDefault="009D1A6C" w:rsidP="00C25A22">
            <w:pPr>
              <w:keepNext/>
              <w:widowControl/>
              <w:jc w:val="center"/>
              <w:rPr>
                <w:rFonts w:ascii="Arial Narrow" w:hAnsi="Arial Narrow"/>
                <w:sz w:val="20"/>
              </w:rPr>
            </w:pPr>
            <w:r w:rsidRPr="00BE23C5">
              <w:rPr>
                <w:rFonts w:ascii="Arial Narrow" w:hAnsi="Arial Narrow"/>
                <w:sz w:val="20"/>
              </w:rPr>
              <w:t>8.23 months</w:t>
            </w:r>
          </w:p>
        </w:tc>
        <w:tc>
          <w:tcPr>
            <w:tcW w:w="1077" w:type="pct"/>
            <w:shd w:val="clear" w:color="auto" w:fill="auto"/>
            <w:vAlign w:val="center"/>
          </w:tcPr>
          <w:p w:rsidR="009D1A6C" w:rsidRPr="00BE23C5" w:rsidRDefault="009D1A6C" w:rsidP="00C25A22">
            <w:pPr>
              <w:keepNext/>
              <w:widowControl/>
              <w:jc w:val="center"/>
              <w:rPr>
                <w:rFonts w:ascii="Arial Narrow" w:hAnsi="Arial Narrow"/>
                <w:sz w:val="20"/>
              </w:rPr>
            </w:pPr>
            <w:r w:rsidRPr="00BE23C5">
              <w:rPr>
                <w:rFonts w:ascii="Arial Narrow" w:hAnsi="Arial Narrow"/>
                <w:sz w:val="20"/>
              </w:rPr>
              <w:t xml:space="preserve">9.37 </w:t>
            </w:r>
            <w:proofErr w:type="spellStart"/>
            <w:r w:rsidRPr="00BE23C5">
              <w:rPr>
                <w:rFonts w:ascii="Arial Narrow" w:hAnsi="Arial Narrow"/>
                <w:sz w:val="20"/>
              </w:rPr>
              <w:t>months</w:t>
            </w:r>
            <w:r w:rsidRPr="00BE23C5">
              <w:rPr>
                <w:rFonts w:ascii="Arial Narrow" w:hAnsi="Arial Narrow"/>
                <w:sz w:val="20"/>
                <w:vertAlign w:val="superscript"/>
              </w:rPr>
              <w:t>c</w:t>
            </w:r>
            <w:proofErr w:type="spellEnd"/>
          </w:p>
        </w:tc>
      </w:tr>
      <w:tr w:rsidR="009D1A6C" w:rsidRPr="00BE23C5" w:rsidTr="009D1A6C">
        <w:trPr>
          <w:jc w:val="center"/>
        </w:trPr>
        <w:tc>
          <w:tcPr>
            <w:tcW w:w="1314" w:type="pct"/>
            <w:shd w:val="clear" w:color="auto" w:fill="auto"/>
            <w:vAlign w:val="center"/>
          </w:tcPr>
          <w:p w:rsidR="009D1A6C" w:rsidRPr="00BE23C5" w:rsidRDefault="009D1A6C" w:rsidP="00C25A22">
            <w:pPr>
              <w:keepNext/>
              <w:widowControl/>
              <w:jc w:val="left"/>
              <w:rPr>
                <w:rFonts w:ascii="Arial Narrow" w:hAnsi="Arial Narrow"/>
                <w:sz w:val="20"/>
              </w:rPr>
            </w:pPr>
            <w:r w:rsidRPr="00BE23C5">
              <w:rPr>
                <w:rFonts w:ascii="Arial Narrow" w:hAnsi="Arial Narrow"/>
                <w:sz w:val="20"/>
              </w:rPr>
              <w:t>Total mg administered</w:t>
            </w:r>
          </w:p>
        </w:tc>
        <w:tc>
          <w:tcPr>
            <w:tcW w:w="1084" w:type="pct"/>
            <w:shd w:val="clear" w:color="auto" w:fill="auto"/>
            <w:vAlign w:val="center"/>
          </w:tcPr>
          <w:p w:rsidR="009D1A6C" w:rsidRPr="00BE23C5" w:rsidRDefault="009D1A6C" w:rsidP="00C25A22">
            <w:pPr>
              <w:keepNext/>
              <w:widowControl/>
              <w:jc w:val="center"/>
              <w:rPr>
                <w:rFonts w:ascii="Arial Narrow" w:hAnsi="Arial Narrow"/>
                <w:sz w:val="20"/>
              </w:rPr>
            </w:pPr>
            <w:r w:rsidRPr="00BE23C5">
              <w:rPr>
                <w:rFonts w:ascii="Arial Narrow" w:hAnsi="Arial Narrow"/>
                <w:sz w:val="20"/>
              </w:rPr>
              <w:t xml:space="preserve">54,194 </w:t>
            </w:r>
            <w:proofErr w:type="spellStart"/>
            <w:r w:rsidRPr="00BE23C5">
              <w:rPr>
                <w:rFonts w:ascii="Arial Narrow" w:hAnsi="Arial Narrow"/>
                <w:sz w:val="20"/>
              </w:rPr>
              <w:t>mg</w:t>
            </w:r>
            <w:r w:rsidRPr="00BE23C5">
              <w:rPr>
                <w:rFonts w:ascii="Arial Narrow" w:hAnsi="Arial Narrow"/>
                <w:sz w:val="20"/>
                <w:vertAlign w:val="superscript"/>
              </w:rPr>
              <w:t>d</w:t>
            </w:r>
            <w:proofErr w:type="spellEnd"/>
          </w:p>
        </w:tc>
        <w:tc>
          <w:tcPr>
            <w:tcW w:w="1525" w:type="pct"/>
            <w:shd w:val="clear" w:color="auto" w:fill="auto"/>
            <w:vAlign w:val="center"/>
          </w:tcPr>
          <w:p w:rsidR="009D1A6C" w:rsidRPr="00BE23C5" w:rsidRDefault="009D1A6C" w:rsidP="00C25A22">
            <w:pPr>
              <w:keepNext/>
              <w:widowControl/>
              <w:jc w:val="center"/>
              <w:rPr>
                <w:rFonts w:ascii="Arial Narrow" w:hAnsi="Arial Narrow"/>
                <w:i/>
                <w:sz w:val="20"/>
              </w:rPr>
            </w:pPr>
            <w:r w:rsidRPr="00BE23C5">
              <w:rPr>
                <w:rFonts w:ascii="Arial Narrow" w:hAnsi="Arial Narrow"/>
                <w:i/>
                <w:sz w:val="20"/>
              </w:rPr>
              <w:t xml:space="preserve">52,911 </w:t>
            </w:r>
            <w:proofErr w:type="spellStart"/>
            <w:r w:rsidRPr="00BE23C5">
              <w:rPr>
                <w:rFonts w:ascii="Arial Narrow" w:hAnsi="Arial Narrow"/>
                <w:i/>
                <w:sz w:val="20"/>
              </w:rPr>
              <w:t>mg</w:t>
            </w:r>
            <w:r w:rsidRPr="00BE23C5">
              <w:rPr>
                <w:rFonts w:ascii="Arial Narrow" w:hAnsi="Arial Narrow"/>
                <w:i/>
                <w:sz w:val="20"/>
                <w:vertAlign w:val="superscript"/>
              </w:rPr>
              <w:t>e</w:t>
            </w:r>
            <w:proofErr w:type="spellEnd"/>
          </w:p>
        </w:tc>
        <w:tc>
          <w:tcPr>
            <w:tcW w:w="1077" w:type="pct"/>
            <w:shd w:val="clear" w:color="auto" w:fill="auto"/>
            <w:vAlign w:val="center"/>
          </w:tcPr>
          <w:p w:rsidR="009D1A6C" w:rsidRPr="00BE23C5" w:rsidRDefault="009D1A6C" w:rsidP="00C25A22">
            <w:pPr>
              <w:keepNext/>
              <w:widowControl/>
              <w:jc w:val="center"/>
              <w:rPr>
                <w:rFonts w:ascii="Arial Narrow" w:hAnsi="Arial Narrow"/>
                <w:i/>
                <w:sz w:val="20"/>
              </w:rPr>
            </w:pPr>
            <w:r w:rsidRPr="00BE23C5">
              <w:rPr>
                <w:rFonts w:ascii="Arial Narrow" w:hAnsi="Arial Narrow"/>
                <w:i/>
                <w:sz w:val="20"/>
              </w:rPr>
              <w:t xml:space="preserve">67,464 </w:t>
            </w:r>
            <w:proofErr w:type="spellStart"/>
            <w:r w:rsidRPr="00BE23C5">
              <w:rPr>
                <w:rFonts w:ascii="Arial Narrow" w:hAnsi="Arial Narrow"/>
                <w:i/>
                <w:sz w:val="20"/>
              </w:rPr>
              <w:t>mg</w:t>
            </w:r>
            <w:r w:rsidRPr="00BE23C5">
              <w:rPr>
                <w:rFonts w:ascii="Arial Narrow" w:hAnsi="Arial Narrow"/>
                <w:i/>
                <w:sz w:val="20"/>
                <w:vertAlign w:val="superscript"/>
              </w:rPr>
              <w:t>e</w:t>
            </w:r>
            <w:proofErr w:type="spellEnd"/>
          </w:p>
        </w:tc>
      </w:tr>
      <w:tr w:rsidR="009D1A6C" w:rsidRPr="00BE23C5" w:rsidTr="009D1A6C">
        <w:trPr>
          <w:jc w:val="center"/>
        </w:trPr>
        <w:tc>
          <w:tcPr>
            <w:tcW w:w="1314" w:type="pct"/>
            <w:shd w:val="clear" w:color="auto" w:fill="auto"/>
            <w:vAlign w:val="center"/>
          </w:tcPr>
          <w:p w:rsidR="009D1A6C" w:rsidRPr="00BE23C5" w:rsidRDefault="009D1A6C" w:rsidP="00C25A22">
            <w:pPr>
              <w:keepNext/>
              <w:widowControl/>
              <w:jc w:val="left"/>
              <w:rPr>
                <w:rFonts w:ascii="Arial Narrow" w:hAnsi="Arial Narrow"/>
                <w:sz w:val="20"/>
              </w:rPr>
            </w:pPr>
            <w:r w:rsidRPr="00BE23C5">
              <w:rPr>
                <w:rFonts w:ascii="Arial Narrow" w:hAnsi="Arial Narrow"/>
                <w:sz w:val="20"/>
              </w:rPr>
              <w:t>Cost/patient/month</w:t>
            </w:r>
          </w:p>
        </w:tc>
        <w:tc>
          <w:tcPr>
            <w:tcW w:w="1084" w:type="pct"/>
            <w:shd w:val="clear" w:color="auto" w:fill="auto"/>
            <w:vAlign w:val="center"/>
          </w:tcPr>
          <w:p w:rsidR="009D1A6C" w:rsidRPr="00BE23C5" w:rsidRDefault="009D1A6C" w:rsidP="00C25A22">
            <w:pPr>
              <w:keepNext/>
              <w:widowControl/>
              <w:jc w:val="center"/>
              <w:rPr>
                <w:rFonts w:ascii="Arial Narrow" w:hAnsi="Arial Narrow"/>
                <w:i/>
                <w:sz w:val="20"/>
              </w:rPr>
            </w:pPr>
            <w:r w:rsidRPr="00BE23C5">
              <w:rPr>
                <w:rFonts w:ascii="Arial Narrow" w:hAnsi="Arial Narrow"/>
                <w:i/>
                <w:sz w:val="20"/>
              </w:rPr>
              <w:t>$</w:t>
            </w:r>
            <w:r w:rsidR="00FC3C5B">
              <w:rPr>
                <w:rFonts w:ascii="Arial Narrow" w:hAnsi="Arial Narrow"/>
                <w:i/>
                <w:noProof/>
                <w:color w:val="000000"/>
                <w:sz w:val="20"/>
                <w:highlight w:val="black"/>
              </w:rPr>
              <w:t>''''''''''''''''''''</w:t>
            </w:r>
            <w:r w:rsidRPr="00BE23C5">
              <w:rPr>
                <w:rFonts w:ascii="Arial Narrow" w:hAnsi="Arial Narrow"/>
                <w:i/>
                <w:sz w:val="20"/>
                <w:vertAlign w:val="superscript"/>
              </w:rPr>
              <w:t>f</w:t>
            </w:r>
          </w:p>
        </w:tc>
        <w:tc>
          <w:tcPr>
            <w:tcW w:w="1525" w:type="pct"/>
            <w:shd w:val="clear" w:color="auto" w:fill="auto"/>
            <w:vAlign w:val="center"/>
          </w:tcPr>
          <w:p w:rsidR="009D1A6C" w:rsidRPr="00BE23C5" w:rsidRDefault="009D1A6C" w:rsidP="00C25A22">
            <w:pPr>
              <w:keepNext/>
              <w:widowControl/>
              <w:jc w:val="center"/>
              <w:rPr>
                <w:rFonts w:ascii="Arial Narrow" w:hAnsi="Arial Narrow"/>
                <w:i/>
                <w:sz w:val="20"/>
              </w:rPr>
            </w:pPr>
            <w:r w:rsidRPr="00BE23C5">
              <w:rPr>
                <w:rFonts w:ascii="Arial Narrow" w:hAnsi="Arial Narrow"/>
                <w:i/>
                <w:sz w:val="20"/>
              </w:rPr>
              <w:t>$</w:t>
            </w:r>
            <w:r w:rsidR="00FC3C5B">
              <w:rPr>
                <w:rFonts w:ascii="Arial Narrow" w:hAnsi="Arial Narrow"/>
                <w:i/>
                <w:noProof/>
                <w:color w:val="000000"/>
                <w:sz w:val="20"/>
                <w:highlight w:val="black"/>
              </w:rPr>
              <w:t>'''''''''''''''''''''''</w:t>
            </w:r>
            <w:r w:rsidRPr="00BE23C5">
              <w:rPr>
                <w:rFonts w:ascii="Arial Narrow" w:hAnsi="Arial Narrow"/>
                <w:i/>
                <w:sz w:val="20"/>
                <w:vertAlign w:val="superscript"/>
              </w:rPr>
              <w:t>f</w:t>
            </w:r>
          </w:p>
        </w:tc>
        <w:tc>
          <w:tcPr>
            <w:tcW w:w="1077" w:type="pct"/>
            <w:shd w:val="clear" w:color="auto" w:fill="auto"/>
            <w:vAlign w:val="center"/>
          </w:tcPr>
          <w:p w:rsidR="009D1A6C" w:rsidRPr="00BE23C5" w:rsidRDefault="009D1A6C" w:rsidP="00C25A22">
            <w:pPr>
              <w:keepNext/>
              <w:widowControl/>
              <w:jc w:val="center"/>
              <w:rPr>
                <w:rFonts w:ascii="Arial Narrow" w:hAnsi="Arial Narrow"/>
                <w:i/>
                <w:sz w:val="20"/>
              </w:rPr>
            </w:pPr>
            <w:r w:rsidRPr="00BE23C5">
              <w:rPr>
                <w:rFonts w:ascii="Arial Narrow" w:hAnsi="Arial Narrow"/>
                <w:i/>
                <w:sz w:val="20"/>
              </w:rPr>
              <w:t>$</w:t>
            </w:r>
            <w:r w:rsidR="00FC3C5B">
              <w:rPr>
                <w:rFonts w:ascii="Arial Narrow" w:hAnsi="Arial Narrow"/>
                <w:i/>
                <w:noProof/>
                <w:color w:val="000000"/>
                <w:sz w:val="20"/>
                <w:highlight w:val="black"/>
              </w:rPr>
              <w:t>'''''''''''''''''''''</w:t>
            </w:r>
            <w:r w:rsidRPr="00BE23C5">
              <w:rPr>
                <w:rFonts w:ascii="Arial Narrow" w:hAnsi="Arial Narrow"/>
                <w:i/>
                <w:sz w:val="20"/>
                <w:vertAlign w:val="superscript"/>
              </w:rPr>
              <w:t>f</w:t>
            </w:r>
          </w:p>
        </w:tc>
      </w:tr>
      <w:tr w:rsidR="009D1A6C" w:rsidRPr="00BE23C5" w:rsidTr="009D1A6C">
        <w:trPr>
          <w:jc w:val="center"/>
        </w:trPr>
        <w:tc>
          <w:tcPr>
            <w:tcW w:w="1314" w:type="pct"/>
            <w:shd w:val="clear" w:color="auto" w:fill="auto"/>
            <w:vAlign w:val="center"/>
          </w:tcPr>
          <w:p w:rsidR="009D1A6C" w:rsidRPr="00BE23C5" w:rsidRDefault="009D1A6C" w:rsidP="00C25A22">
            <w:pPr>
              <w:keepNext/>
              <w:widowControl/>
              <w:jc w:val="left"/>
              <w:rPr>
                <w:rFonts w:ascii="Arial Narrow" w:hAnsi="Arial Narrow"/>
                <w:sz w:val="20"/>
              </w:rPr>
            </w:pPr>
            <w:r w:rsidRPr="00BE23C5">
              <w:rPr>
                <w:rFonts w:ascii="Arial Narrow" w:hAnsi="Arial Narrow"/>
                <w:sz w:val="20"/>
              </w:rPr>
              <w:t>Cost/patient/course</w:t>
            </w:r>
          </w:p>
        </w:tc>
        <w:tc>
          <w:tcPr>
            <w:tcW w:w="1084" w:type="pct"/>
            <w:shd w:val="clear" w:color="auto" w:fill="auto"/>
            <w:vAlign w:val="center"/>
          </w:tcPr>
          <w:p w:rsidR="009D1A6C" w:rsidRPr="00BE23C5" w:rsidRDefault="009D1A6C" w:rsidP="00C25A22">
            <w:pPr>
              <w:keepNext/>
              <w:widowControl/>
              <w:jc w:val="center"/>
              <w:rPr>
                <w:rFonts w:ascii="Arial Narrow" w:hAnsi="Arial Narrow"/>
                <w:sz w:val="20"/>
              </w:rPr>
            </w:pPr>
            <w:r w:rsidRPr="00BE23C5">
              <w:rPr>
                <w:rFonts w:ascii="Arial Narrow" w:hAnsi="Arial Narrow"/>
                <w:sz w:val="20"/>
              </w:rPr>
              <w:t>$</w:t>
            </w:r>
            <w:r w:rsidR="00FC3C5B">
              <w:rPr>
                <w:rFonts w:ascii="Arial Narrow" w:hAnsi="Arial Narrow"/>
                <w:noProof/>
                <w:color w:val="000000"/>
                <w:sz w:val="20"/>
                <w:highlight w:val="black"/>
              </w:rPr>
              <w:t>''''''''''''''''</w:t>
            </w:r>
            <w:r w:rsidRPr="00BE23C5">
              <w:rPr>
                <w:rFonts w:ascii="Arial Narrow" w:hAnsi="Arial Narrow"/>
                <w:sz w:val="20"/>
                <w:vertAlign w:val="superscript"/>
              </w:rPr>
              <w:t>g</w:t>
            </w:r>
          </w:p>
        </w:tc>
        <w:tc>
          <w:tcPr>
            <w:tcW w:w="1525" w:type="pct"/>
            <w:shd w:val="clear" w:color="auto" w:fill="auto"/>
            <w:vAlign w:val="center"/>
          </w:tcPr>
          <w:p w:rsidR="009D1A6C" w:rsidRPr="00BE23C5" w:rsidRDefault="009D1A6C" w:rsidP="00C25A22">
            <w:pPr>
              <w:keepNext/>
              <w:widowControl/>
              <w:jc w:val="center"/>
              <w:rPr>
                <w:rFonts w:ascii="Arial Narrow" w:hAnsi="Arial Narrow"/>
                <w:sz w:val="20"/>
              </w:rPr>
            </w:pPr>
            <w:r w:rsidRPr="00BE23C5">
              <w:rPr>
                <w:rFonts w:ascii="Arial Narrow" w:hAnsi="Arial Narrow"/>
                <w:sz w:val="20"/>
              </w:rPr>
              <w:t>$</w:t>
            </w:r>
            <w:r w:rsidR="00FC3C5B">
              <w:rPr>
                <w:rFonts w:ascii="Arial Narrow" w:hAnsi="Arial Narrow"/>
                <w:noProof/>
                <w:color w:val="000000"/>
                <w:sz w:val="20"/>
                <w:highlight w:val="black"/>
              </w:rPr>
              <w:t>'''''''''''''''''</w:t>
            </w:r>
            <w:r w:rsidRPr="00BE23C5">
              <w:rPr>
                <w:rFonts w:ascii="Arial Narrow" w:hAnsi="Arial Narrow"/>
                <w:sz w:val="20"/>
              </w:rPr>
              <w:t xml:space="preserve"> model</w:t>
            </w:r>
          </w:p>
          <w:p w:rsidR="009D1A6C" w:rsidRPr="00BE23C5" w:rsidRDefault="009D1A6C" w:rsidP="00C25A22">
            <w:pPr>
              <w:keepNext/>
              <w:widowControl/>
              <w:jc w:val="center"/>
              <w:rPr>
                <w:rFonts w:ascii="Arial Narrow" w:hAnsi="Arial Narrow"/>
                <w:sz w:val="20"/>
              </w:rPr>
            </w:pPr>
            <w:r w:rsidRPr="00BE23C5">
              <w:rPr>
                <w:rFonts w:ascii="Arial Narrow" w:hAnsi="Arial Narrow"/>
                <w:sz w:val="20"/>
              </w:rPr>
              <w:t>$</w:t>
            </w:r>
            <w:r w:rsidR="00FC3C5B">
              <w:rPr>
                <w:rFonts w:ascii="Arial Narrow" w:hAnsi="Arial Narrow"/>
                <w:noProof/>
                <w:color w:val="000000"/>
                <w:sz w:val="20"/>
                <w:highlight w:val="black"/>
              </w:rPr>
              <w:t>''''''''''''''''</w:t>
            </w:r>
            <w:r w:rsidRPr="00BE23C5">
              <w:rPr>
                <w:rFonts w:ascii="Arial Narrow" w:hAnsi="Arial Narrow"/>
                <w:sz w:val="20"/>
              </w:rPr>
              <w:t xml:space="preserve"> </w:t>
            </w:r>
            <w:proofErr w:type="spellStart"/>
            <w:r w:rsidRPr="00BE23C5">
              <w:rPr>
                <w:rFonts w:ascii="Arial Narrow" w:hAnsi="Arial Narrow"/>
                <w:sz w:val="20"/>
              </w:rPr>
              <w:t>corrected</w:t>
            </w:r>
            <w:r w:rsidR="00A96B8E" w:rsidRPr="00BE23C5">
              <w:rPr>
                <w:rFonts w:ascii="Arial Narrow" w:hAnsi="Arial Narrow"/>
                <w:sz w:val="20"/>
                <w:vertAlign w:val="superscript"/>
              </w:rPr>
              <w:t>h,</w:t>
            </w:r>
            <w:r w:rsidRPr="00BE23C5">
              <w:rPr>
                <w:rFonts w:ascii="Arial Narrow" w:hAnsi="Arial Narrow"/>
                <w:sz w:val="20"/>
                <w:vertAlign w:val="superscript"/>
              </w:rPr>
              <w:t>i</w:t>
            </w:r>
            <w:proofErr w:type="spellEnd"/>
          </w:p>
          <w:p w:rsidR="009D1A6C" w:rsidRPr="00BE23C5" w:rsidRDefault="009D1A6C" w:rsidP="00C25A22">
            <w:pPr>
              <w:keepNext/>
              <w:widowControl/>
              <w:jc w:val="center"/>
              <w:rPr>
                <w:rFonts w:ascii="Arial Narrow" w:hAnsi="Arial Narrow"/>
                <w:sz w:val="20"/>
              </w:rPr>
            </w:pPr>
            <w:r w:rsidRPr="00BE23C5">
              <w:rPr>
                <w:rFonts w:ascii="Arial Narrow" w:hAnsi="Arial Narrow"/>
                <w:sz w:val="20"/>
              </w:rPr>
              <w:t>$</w:t>
            </w:r>
            <w:r w:rsidR="00FC3C5B">
              <w:rPr>
                <w:rFonts w:ascii="Arial Narrow" w:hAnsi="Arial Narrow"/>
                <w:noProof/>
                <w:color w:val="000000"/>
                <w:sz w:val="20"/>
                <w:highlight w:val="black"/>
              </w:rPr>
              <w:t>''''''''''''''''</w:t>
            </w:r>
            <w:r w:rsidRPr="00BE23C5">
              <w:rPr>
                <w:rFonts w:ascii="Arial Narrow" w:hAnsi="Arial Narrow"/>
                <w:sz w:val="20"/>
              </w:rPr>
              <w:t xml:space="preserve"> incl. </w:t>
            </w:r>
            <w:proofErr w:type="spellStart"/>
            <w:r w:rsidRPr="00BE23C5">
              <w:rPr>
                <w:rFonts w:ascii="Arial Narrow" w:hAnsi="Arial Narrow"/>
                <w:sz w:val="20"/>
              </w:rPr>
              <w:t>wastage</w:t>
            </w:r>
            <w:r w:rsidRPr="00BE23C5">
              <w:rPr>
                <w:rFonts w:ascii="Arial Narrow" w:hAnsi="Arial Narrow"/>
                <w:sz w:val="20"/>
                <w:vertAlign w:val="superscript"/>
              </w:rPr>
              <w:t>j</w:t>
            </w:r>
            <w:proofErr w:type="spellEnd"/>
          </w:p>
        </w:tc>
        <w:tc>
          <w:tcPr>
            <w:tcW w:w="1077" w:type="pct"/>
            <w:shd w:val="clear" w:color="auto" w:fill="auto"/>
            <w:vAlign w:val="center"/>
          </w:tcPr>
          <w:p w:rsidR="009D1A6C" w:rsidRPr="00BE23C5" w:rsidRDefault="009D1A6C" w:rsidP="00C25A22">
            <w:pPr>
              <w:keepNext/>
              <w:widowControl/>
              <w:jc w:val="center"/>
              <w:rPr>
                <w:rFonts w:ascii="Arial Narrow" w:hAnsi="Arial Narrow"/>
                <w:i/>
                <w:sz w:val="20"/>
              </w:rPr>
            </w:pPr>
            <w:r w:rsidRPr="00BE23C5">
              <w:rPr>
                <w:rFonts w:ascii="Arial Narrow" w:hAnsi="Arial Narrow"/>
                <w:i/>
                <w:sz w:val="20"/>
              </w:rPr>
              <w:t>$</w:t>
            </w:r>
            <w:r w:rsidR="00FC3C5B">
              <w:rPr>
                <w:rFonts w:ascii="Arial Narrow" w:hAnsi="Arial Narrow"/>
                <w:i/>
                <w:noProof/>
                <w:color w:val="000000"/>
                <w:sz w:val="20"/>
                <w:highlight w:val="black"/>
              </w:rPr>
              <w:t>'''''''''''''''''</w:t>
            </w:r>
          </w:p>
        </w:tc>
      </w:tr>
    </w:tbl>
    <w:p w:rsidR="00581D25" w:rsidRPr="00BE23C5" w:rsidRDefault="00581D25" w:rsidP="00581D25">
      <w:pPr>
        <w:pStyle w:val="TableFooter"/>
      </w:pPr>
      <w:r w:rsidRPr="00BE23C5">
        <w:t>Source: Table 26, pp 156-157 of the trial report, Nerlynx_PBAC_Section3_Nov2018 workbook, sheet 3a of the Nerlynx_utilisation-and-cost-model_November2018. Italicised values have been calculated.</w:t>
      </w:r>
    </w:p>
    <w:p w:rsidR="00581D25" w:rsidRPr="00BE23C5" w:rsidRDefault="00581D25" w:rsidP="00581D25">
      <w:pPr>
        <w:pStyle w:val="TableFooter"/>
      </w:pPr>
      <w:proofErr w:type="spellStart"/>
      <w:proofErr w:type="gramStart"/>
      <w:r w:rsidRPr="00BE23C5">
        <w:rPr>
          <w:vertAlign w:val="superscript"/>
        </w:rPr>
        <w:t>a</w:t>
      </w:r>
      <w:proofErr w:type="spellEnd"/>
      <w:proofErr w:type="gramEnd"/>
      <w:r w:rsidRPr="00BE23C5">
        <w:rPr>
          <w:vertAlign w:val="superscript"/>
        </w:rPr>
        <w:t xml:space="preserve"> </w:t>
      </w:r>
      <w:r w:rsidRPr="00BE23C5">
        <w:t>actual dose intensity in the trial (actual cumulative dose divided by the treatment duration)</w:t>
      </w:r>
    </w:p>
    <w:p w:rsidR="00581D25" w:rsidRPr="00BE23C5" w:rsidRDefault="00581D25" w:rsidP="00581D25">
      <w:pPr>
        <w:pStyle w:val="TableFooter"/>
      </w:pPr>
      <w:proofErr w:type="gramStart"/>
      <w:r w:rsidRPr="00BE23C5">
        <w:rPr>
          <w:vertAlign w:val="superscript"/>
        </w:rPr>
        <w:t>b</w:t>
      </w:r>
      <w:proofErr w:type="gramEnd"/>
      <w:r w:rsidRPr="00BE23C5">
        <w:rPr>
          <w:vertAlign w:val="superscript"/>
        </w:rPr>
        <w:t xml:space="preserve"> </w:t>
      </w:r>
      <w:r w:rsidRPr="00BE23C5">
        <w:t>prescribed dose intensity in the trial (cumulative prescribed dose during treatment period divided by treatment duration)</w:t>
      </w:r>
    </w:p>
    <w:p w:rsidR="00581D25" w:rsidRPr="00BE23C5" w:rsidRDefault="00581D25" w:rsidP="00581D25">
      <w:pPr>
        <w:pStyle w:val="TableFooter"/>
      </w:pPr>
      <w:proofErr w:type="gramStart"/>
      <w:r w:rsidRPr="00BE23C5">
        <w:rPr>
          <w:vertAlign w:val="superscript"/>
        </w:rPr>
        <w:t>c</w:t>
      </w:r>
      <w:proofErr w:type="gramEnd"/>
      <w:r w:rsidRPr="00BE23C5">
        <w:t xml:space="preserve"> assumes 27% (the proportion in the trial discontinuing due to AEs or recurrence) receive 2 months of treatment and the remainder receive 12 months, without accounting for dose reductions.</w:t>
      </w:r>
    </w:p>
    <w:p w:rsidR="00581D25" w:rsidRPr="00BE23C5" w:rsidRDefault="00581D25" w:rsidP="00581D25">
      <w:pPr>
        <w:pStyle w:val="TableFooter"/>
      </w:pPr>
      <w:proofErr w:type="gramStart"/>
      <w:r w:rsidRPr="00BE23C5">
        <w:rPr>
          <w:vertAlign w:val="superscript"/>
        </w:rPr>
        <w:t>d</w:t>
      </w:r>
      <w:proofErr w:type="gramEnd"/>
      <w:r w:rsidRPr="00BE23C5">
        <w:t xml:space="preserve"> cumulative actual dose in the trial</w:t>
      </w:r>
    </w:p>
    <w:p w:rsidR="00581D25" w:rsidRPr="00BE23C5" w:rsidRDefault="00581D25" w:rsidP="00581D25">
      <w:pPr>
        <w:pStyle w:val="TableFooter"/>
      </w:pPr>
      <w:proofErr w:type="gramStart"/>
      <w:r w:rsidRPr="00BE23C5">
        <w:rPr>
          <w:vertAlign w:val="superscript"/>
        </w:rPr>
        <w:t>e</w:t>
      </w:r>
      <w:proofErr w:type="gramEnd"/>
      <w:r w:rsidRPr="00BE23C5">
        <w:t xml:space="preserve"> calculated from mean dose and duration for comparison with trial cumulative actual dose</w:t>
      </w:r>
    </w:p>
    <w:p w:rsidR="00581D25" w:rsidRPr="00BE23C5" w:rsidRDefault="00581D25" w:rsidP="00581D25">
      <w:pPr>
        <w:pStyle w:val="TableFooter"/>
      </w:pPr>
      <w:proofErr w:type="gramStart"/>
      <w:r w:rsidRPr="00BE23C5">
        <w:rPr>
          <w:vertAlign w:val="superscript"/>
        </w:rPr>
        <w:t>f</w:t>
      </w:r>
      <w:proofErr w:type="gramEnd"/>
      <w:r w:rsidRPr="00BE23C5">
        <w:t xml:space="preserve"> mean dose x cost per mg x 30 days</w:t>
      </w:r>
    </w:p>
    <w:p w:rsidR="00581D25" w:rsidRPr="00BE23C5" w:rsidRDefault="00581D25" w:rsidP="00581D25">
      <w:pPr>
        <w:pStyle w:val="TableFooter"/>
      </w:pPr>
      <w:proofErr w:type="gramStart"/>
      <w:r w:rsidRPr="00BE23C5">
        <w:rPr>
          <w:vertAlign w:val="superscript"/>
        </w:rPr>
        <w:t>g</w:t>
      </w:r>
      <w:proofErr w:type="gramEnd"/>
      <w:r w:rsidRPr="00BE23C5">
        <w:t xml:space="preserve"> cost per mg x total mg administered</w:t>
      </w:r>
    </w:p>
    <w:p w:rsidR="00581D25" w:rsidRPr="00BE23C5" w:rsidRDefault="00581D25" w:rsidP="00581D25">
      <w:pPr>
        <w:pStyle w:val="TableFooter"/>
      </w:pPr>
      <w:proofErr w:type="gramStart"/>
      <w:r w:rsidRPr="00BE23C5">
        <w:rPr>
          <w:vertAlign w:val="superscript"/>
        </w:rPr>
        <w:t>h</w:t>
      </w:r>
      <w:proofErr w:type="gramEnd"/>
      <w:r w:rsidRPr="00BE23C5">
        <w:t xml:space="preserve"> </w:t>
      </w:r>
      <w:r w:rsidR="00B4444F" w:rsidRPr="00BE23C5">
        <w:t xml:space="preserve">correcting the method of drug cost calculations </w:t>
      </w:r>
      <w:r w:rsidR="00BD4238" w:rsidRPr="00BE23C5">
        <w:t xml:space="preserve">so that the cost per patient per course is </w:t>
      </w:r>
      <w:r w:rsidR="00ED3EA3" w:rsidRPr="00BE23C5">
        <w:t>the cost per patient per month x mean duration</w:t>
      </w:r>
    </w:p>
    <w:p w:rsidR="00581D25" w:rsidRPr="00BE23C5" w:rsidRDefault="00581D25" w:rsidP="00581D25">
      <w:pPr>
        <w:pStyle w:val="TableFooter"/>
      </w:pPr>
      <w:proofErr w:type="spellStart"/>
      <w:proofErr w:type="gramStart"/>
      <w:r w:rsidRPr="00BE23C5">
        <w:rPr>
          <w:vertAlign w:val="superscript"/>
        </w:rPr>
        <w:t>i</w:t>
      </w:r>
      <w:proofErr w:type="spellEnd"/>
      <w:proofErr w:type="gramEnd"/>
      <w:r w:rsidRPr="00BE23C5">
        <w:rPr>
          <w:vertAlign w:val="superscript"/>
        </w:rPr>
        <w:t xml:space="preserve"> </w:t>
      </w:r>
      <w:r w:rsidRPr="00BE23C5">
        <w:t>cost/patient/month x mean duration</w:t>
      </w:r>
      <w:r w:rsidR="002E7551" w:rsidRPr="00BE23C5">
        <w:t>, without wastage</w:t>
      </w:r>
    </w:p>
    <w:p w:rsidR="00581D25" w:rsidRPr="00BE23C5" w:rsidRDefault="00581D25" w:rsidP="00581D25">
      <w:pPr>
        <w:pStyle w:val="TableFooter"/>
      </w:pPr>
      <w:proofErr w:type="gramStart"/>
      <w:r w:rsidRPr="00BE23C5">
        <w:rPr>
          <w:vertAlign w:val="superscript"/>
        </w:rPr>
        <w:t>j</w:t>
      </w:r>
      <w:proofErr w:type="gramEnd"/>
      <w:r w:rsidRPr="00BE23C5">
        <w:t xml:space="preserve"> assumes that tablets in the remainder of month are wasted, rather than a cost per tablet</w:t>
      </w:r>
      <w:r w:rsidR="002E7551" w:rsidRPr="00BE23C5">
        <w:t>, without correction of drug cost calculations</w:t>
      </w:r>
    </w:p>
    <w:p w:rsidR="00575F33" w:rsidRPr="00BE23C5" w:rsidRDefault="00575F33" w:rsidP="001159DF">
      <w:pPr>
        <w:pStyle w:val="Heading2"/>
        <w:spacing w:before="120" w:after="120"/>
      </w:pPr>
      <w:bookmarkStart w:id="19" w:name="_Toc535857356"/>
      <w:r w:rsidRPr="00BE23C5">
        <w:t>Estimated PBS usage &amp; financial implications</w:t>
      </w:r>
      <w:bookmarkEnd w:id="19"/>
    </w:p>
    <w:p w:rsidR="00E5119A" w:rsidRPr="00BE23C5" w:rsidRDefault="00E5119A" w:rsidP="001159DF">
      <w:pPr>
        <w:pStyle w:val="ListParagraph"/>
        <w:widowControl/>
        <w:numPr>
          <w:ilvl w:val="1"/>
          <w:numId w:val="2"/>
        </w:numPr>
        <w:spacing w:before="120" w:after="120"/>
      </w:pPr>
      <w:r w:rsidRPr="00BE23C5">
        <w:t xml:space="preserve">This submission </w:t>
      </w:r>
      <w:r w:rsidR="00B634CB" w:rsidRPr="00BE23C5">
        <w:t xml:space="preserve">was </w:t>
      </w:r>
      <w:r w:rsidRPr="00BE23C5">
        <w:t>considered by DUSC.</w:t>
      </w:r>
    </w:p>
    <w:p w:rsidR="00E5119A" w:rsidRPr="00BE23C5" w:rsidRDefault="00E5119A" w:rsidP="001159DF">
      <w:pPr>
        <w:pStyle w:val="ListParagraph"/>
        <w:widowControl/>
        <w:numPr>
          <w:ilvl w:val="1"/>
          <w:numId w:val="2"/>
        </w:numPr>
        <w:spacing w:before="120" w:after="120"/>
      </w:pPr>
      <w:r w:rsidRPr="00BE23C5">
        <w:t>Table 1</w:t>
      </w:r>
      <w:r w:rsidR="00581D25" w:rsidRPr="00BE23C5">
        <w:t>7</w:t>
      </w:r>
      <w:r w:rsidRPr="00BE23C5">
        <w:t xml:space="preserve"> presents the estimated use and financial implications of listing </w:t>
      </w:r>
      <w:proofErr w:type="spellStart"/>
      <w:r w:rsidRPr="00BE23C5">
        <w:t>neratinib</w:t>
      </w:r>
      <w:proofErr w:type="spellEnd"/>
      <w:r w:rsidRPr="00BE23C5">
        <w:t>.</w:t>
      </w:r>
    </w:p>
    <w:p w:rsidR="00E5119A" w:rsidRPr="00BE23C5" w:rsidRDefault="00E5119A" w:rsidP="00E5119A">
      <w:pPr>
        <w:keepNext/>
        <w:keepLines/>
        <w:widowControl/>
      </w:pPr>
      <w:r w:rsidRPr="00BE23C5">
        <w:rPr>
          <w:rStyle w:val="CommentReference"/>
        </w:rPr>
        <w:lastRenderedPageBreak/>
        <w:t>Table 1</w:t>
      </w:r>
      <w:r w:rsidR="00581D25" w:rsidRPr="00BE23C5">
        <w:rPr>
          <w:rStyle w:val="CommentReference"/>
        </w:rPr>
        <w:t>7</w:t>
      </w:r>
      <w:r w:rsidRPr="00BE23C5">
        <w:rPr>
          <w:rStyle w:val="CommentReference"/>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Estimated use and financial implications"/>
      </w:tblPr>
      <w:tblGrid>
        <w:gridCol w:w="2017"/>
        <w:gridCol w:w="1167"/>
        <w:gridCol w:w="1167"/>
        <w:gridCol w:w="1167"/>
        <w:gridCol w:w="1167"/>
        <w:gridCol w:w="1167"/>
        <w:gridCol w:w="1165"/>
      </w:tblGrid>
      <w:tr w:rsidR="00E5119A" w:rsidRPr="00BE23C5" w:rsidTr="000D25B8">
        <w:trPr>
          <w:tblHeader/>
        </w:trPr>
        <w:tc>
          <w:tcPr>
            <w:tcW w:w="1119" w:type="pct"/>
            <w:shd w:val="clear" w:color="auto" w:fill="auto"/>
            <w:vAlign w:val="center"/>
          </w:tcPr>
          <w:p w:rsidR="00E5119A" w:rsidRPr="00BE23C5" w:rsidRDefault="00E5119A" w:rsidP="000D25B8">
            <w:pPr>
              <w:pStyle w:val="Tabletext"/>
              <w:keepNext/>
              <w:keepLines/>
            </w:pPr>
          </w:p>
        </w:tc>
        <w:tc>
          <w:tcPr>
            <w:tcW w:w="647" w:type="pct"/>
            <w:shd w:val="clear" w:color="auto" w:fill="auto"/>
            <w:vAlign w:val="center"/>
          </w:tcPr>
          <w:p w:rsidR="00E5119A" w:rsidRPr="00BE23C5" w:rsidRDefault="00E5119A" w:rsidP="000D25B8">
            <w:pPr>
              <w:keepNext/>
              <w:keepLines/>
              <w:widowControl/>
              <w:jc w:val="center"/>
              <w:rPr>
                <w:rFonts w:ascii="Arial Narrow" w:hAnsi="Arial Narrow" w:cs="Times New Roman"/>
                <w:b/>
                <w:snapToGrid/>
                <w:sz w:val="20"/>
              </w:rPr>
            </w:pPr>
            <w:r w:rsidRPr="00BE23C5">
              <w:rPr>
                <w:rFonts w:ascii="Arial Narrow" w:hAnsi="Arial Narrow" w:cs="Times New Roman"/>
                <w:b/>
                <w:snapToGrid/>
                <w:sz w:val="20"/>
              </w:rPr>
              <w:t>Year 1</w:t>
            </w:r>
          </w:p>
          <w:p w:rsidR="00E5119A" w:rsidRPr="00BE23C5" w:rsidRDefault="00E5119A" w:rsidP="000D25B8">
            <w:pPr>
              <w:pStyle w:val="Tabletext"/>
              <w:keepNext/>
              <w:keepLines/>
              <w:jc w:val="center"/>
              <w:rPr>
                <w:b/>
              </w:rPr>
            </w:pPr>
            <w:r w:rsidRPr="00BE23C5">
              <w:rPr>
                <w:b/>
              </w:rPr>
              <w:t>2020</w:t>
            </w:r>
          </w:p>
        </w:tc>
        <w:tc>
          <w:tcPr>
            <w:tcW w:w="647" w:type="pct"/>
            <w:shd w:val="clear" w:color="auto" w:fill="auto"/>
            <w:vAlign w:val="center"/>
          </w:tcPr>
          <w:p w:rsidR="00E5119A" w:rsidRPr="00BE23C5" w:rsidRDefault="00E5119A" w:rsidP="000D25B8">
            <w:pPr>
              <w:keepNext/>
              <w:keepLines/>
              <w:widowControl/>
              <w:jc w:val="center"/>
              <w:rPr>
                <w:rFonts w:ascii="Arial Narrow" w:hAnsi="Arial Narrow" w:cs="Times New Roman"/>
                <w:b/>
                <w:snapToGrid/>
                <w:sz w:val="20"/>
              </w:rPr>
            </w:pPr>
            <w:r w:rsidRPr="00BE23C5">
              <w:rPr>
                <w:rFonts w:ascii="Arial Narrow" w:hAnsi="Arial Narrow" w:cs="Times New Roman"/>
                <w:b/>
                <w:snapToGrid/>
                <w:sz w:val="20"/>
              </w:rPr>
              <w:t>Year 2</w:t>
            </w:r>
          </w:p>
          <w:p w:rsidR="00E5119A" w:rsidRPr="00BE23C5" w:rsidRDefault="00E5119A" w:rsidP="000D25B8">
            <w:pPr>
              <w:pStyle w:val="Tabletext"/>
              <w:keepNext/>
              <w:keepLines/>
              <w:jc w:val="center"/>
              <w:rPr>
                <w:b/>
              </w:rPr>
            </w:pPr>
            <w:r w:rsidRPr="00BE23C5">
              <w:rPr>
                <w:b/>
              </w:rPr>
              <w:t>2021</w:t>
            </w:r>
          </w:p>
        </w:tc>
        <w:tc>
          <w:tcPr>
            <w:tcW w:w="647" w:type="pct"/>
            <w:shd w:val="clear" w:color="auto" w:fill="auto"/>
            <w:vAlign w:val="center"/>
          </w:tcPr>
          <w:p w:rsidR="00E5119A" w:rsidRPr="00BE23C5" w:rsidRDefault="00E5119A" w:rsidP="000D25B8">
            <w:pPr>
              <w:keepNext/>
              <w:keepLines/>
              <w:widowControl/>
              <w:jc w:val="center"/>
              <w:rPr>
                <w:rFonts w:ascii="Arial Narrow" w:hAnsi="Arial Narrow" w:cs="Times New Roman"/>
                <w:b/>
                <w:snapToGrid/>
                <w:sz w:val="20"/>
              </w:rPr>
            </w:pPr>
            <w:r w:rsidRPr="00BE23C5">
              <w:rPr>
                <w:rFonts w:ascii="Arial Narrow" w:hAnsi="Arial Narrow" w:cs="Times New Roman"/>
                <w:b/>
                <w:snapToGrid/>
                <w:sz w:val="20"/>
              </w:rPr>
              <w:t>Year 3</w:t>
            </w:r>
          </w:p>
          <w:p w:rsidR="00E5119A" w:rsidRPr="00BE23C5" w:rsidRDefault="00E5119A" w:rsidP="000D25B8">
            <w:pPr>
              <w:pStyle w:val="Tabletext"/>
              <w:keepNext/>
              <w:keepLines/>
              <w:jc w:val="center"/>
              <w:rPr>
                <w:b/>
              </w:rPr>
            </w:pPr>
            <w:r w:rsidRPr="00BE23C5">
              <w:rPr>
                <w:b/>
              </w:rPr>
              <w:t>2022</w:t>
            </w:r>
          </w:p>
        </w:tc>
        <w:tc>
          <w:tcPr>
            <w:tcW w:w="647" w:type="pct"/>
            <w:shd w:val="clear" w:color="auto" w:fill="auto"/>
            <w:vAlign w:val="center"/>
          </w:tcPr>
          <w:p w:rsidR="00E5119A" w:rsidRPr="00BE23C5" w:rsidRDefault="00E5119A" w:rsidP="000D25B8">
            <w:pPr>
              <w:keepNext/>
              <w:keepLines/>
              <w:widowControl/>
              <w:jc w:val="center"/>
              <w:rPr>
                <w:rFonts w:ascii="Arial Narrow" w:hAnsi="Arial Narrow" w:cs="Times New Roman"/>
                <w:b/>
                <w:snapToGrid/>
                <w:sz w:val="20"/>
              </w:rPr>
            </w:pPr>
            <w:r w:rsidRPr="00BE23C5">
              <w:rPr>
                <w:rFonts w:ascii="Arial Narrow" w:hAnsi="Arial Narrow" w:cs="Times New Roman"/>
                <w:b/>
                <w:snapToGrid/>
                <w:sz w:val="20"/>
              </w:rPr>
              <w:t>Year 4</w:t>
            </w:r>
          </w:p>
          <w:p w:rsidR="00E5119A" w:rsidRPr="00BE23C5" w:rsidRDefault="00E5119A" w:rsidP="000D25B8">
            <w:pPr>
              <w:pStyle w:val="Tabletext"/>
              <w:keepNext/>
              <w:keepLines/>
              <w:jc w:val="center"/>
              <w:rPr>
                <w:b/>
              </w:rPr>
            </w:pPr>
            <w:r w:rsidRPr="00BE23C5">
              <w:rPr>
                <w:b/>
              </w:rPr>
              <w:t>2023</w:t>
            </w:r>
          </w:p>
        </w:tc>
        <w:tc>
          <w:tcPr>
            <w:tcW w:w="647" w:type="pct"/>
            <w:shd w:val="clear" w:color="auto" w:fill="auto"/>
            <w:vAlign w:val="center"/>
          </w:tcPr>
          <w:p w:rsidR="00E5119A" w:rsidRPr="00BE23C5" w:rsidRDefault="00E5119A" w:rsidP="000D25B8">
            <w:pPr>
              <w:keepNext/>
              <w:keepLines/>
              <w:widowControl/>
              <w:jc w:val="center"/>
              <w:rPr>
                <w:rFonts w:ascii="Arial Narrow" w:hAnsi="Arial Narrow" w:cs="Times New Roman"/>
                <w:b/>
                <w:snapToGrid/>
                <w:sz w:val="20"/>
              </w:rPr>
            </w:pPr>
            <w:r w:rsidRPr="00BE23C5">
              <w:rPr>
                <w:rFonts w:ascii="Arial Narrow" w:hAnsi="Arial Narrow" w:cs="Times New Roman"/>
                <w:b/>
                <w:snapToGrid/>
                <w:sz w:val="20"/>
              </w:rPr>
              <w:t>Year 5</w:t>
            </w:r>
          </w:p>
          <w:p w:rsidR="00E5119A" w:rsidRPr="00BE23C5" w:rsidRDefault="00E5119A" w:rsidP="000D25B8">
            <w:pPr>
              <w:pStyle w:val="Tabletext"/>
              <w:keepNext/>
              <w:keepLines/>
              <w:jc w:val="center"/>
              <w:rPr>
                <w:b/>
              </w:rPr>
            </w:pPr>
            <w:r w:rsidRPr="00BE23C5">
              <w:rPr>
                <w:b/>
              </w:rPr>
              <w:t>2024</w:t>
            </w:r>
          </w:p>
        </w:tc>
        <w:tc>
          <w:tcPr>
            <w:tcW w:w="646" w:type="pct"/>
            <w:shd w:val="clear" w:color="auto" w:fill="auto"/>
            <w:vAlign w:val="center"/>
          </w:tcPr>
          <w:p w:rsidR="00E5119A" w:rsidRPr="00BE23C5" w:rsidRDefault="00E5119A" w:rsidP="000D25B8">
            <w:pPr>
              <w:keepNext/>
              <w:keepLines/>
              <w:widowControl/>
              <w:jc w:val="center"/>
              <w:rPr>
                <w:rFonts w:ascii="Arial Narrow" w:hAnsi="Arial Narrow" w:cs="Times New Roman"/>
                <w:b/>
                <w:snapToGrid/>
                <w:sz w:val="20"/>
              </w:rPr>
            </w:pPr>
            <w:r w:rsidRPr="00BE23C5">
              <w:rPr>
                <w:rFonts w:ascii="Arial Narrow" w:hAnsi="Arial Narrow" w:cs="Times New Roman"/>
                <w:b/>
                <w:snapToGrid/>
                <w:sz w:val="20"/>
              </w:rPr>
              <w:t>Year 6</w:t>
            </w:r>
          </w:p>
          <w:p w:rsidR="00E5119A" w:rsidRPr="00BE23C5" w:rsidRDefault="00E5119A" w:rsidP="000D25B8">
            <w:pPr>
              <w:pStyle w:val="Tabletext"/>
              <w:keepNext/>
              <w:keepLines/>
              <w:jc w:val="center"/>
              <w:rPr>
                <w:b/>
              </w:rPr>
            </w:pPr>
            <w:r w:rsidRPr="00BE23C5">
              <w:rPr>
                <w:b/>
              </w:rPr>
              <w:t>2025</w:t>
            </w:r>
          </w:p>
        </w:tc>
      </w:tr>
      <w:tr w:rsidR="00E5119A" w:rsidRPr="00BE23C5" w:rsidTr="000D25B8">
        <w:tc>
          <w:tcPr>
            <w:tcW w:w="5000" w:type="pct"/>
            <w:gridSpan w:val="7"/>
            <w:shd w:val="clear" w:color="auto" w:fill="auto"/>
            <w:vAlign w:val="center"/>
          </w:tcPr>
          <w:p w:rsidR="00E5119A" w:rsidRPr="00BE23C5" w:rsidRDefault="00E5119A" w:rsidP="000D25B8">
            <w:pPr>
              <w:pStyle w:val="Tabletext"/>
              <w:keepNext/>
              <w:keepLines/>
              <w:rPr>
                <w:b/>
                <w:bCs/>
                <w:color w:val="000000"/>
              </w:rPr>
            </w:pPr>
            <w:r w:rsidRPr="00BE23C5">
              <w:rPr>
                <w:b/>
                <w:bCs/>
                <w:color w:val="000000"/>
              </w:rPr>
              <w:t>Estimated extent of use</w:t>
            </w:r>
          </w:p>
        </w:tc>
      </w:tr>
      <w:tr w:rsidR="00E5119A" w:rsidRPr="00BE23C5" w:rsidTr="000D25B8">
        <w:tc>
          <w:tcPr>
            <w:tcW w:w="1119" w:type="pct"/>
            <w:shd w:val="clear" w:color="auto" w:fill="auto"/>
            <w:vAlign w:val="center"/>
          </w:tcPr>
          <w:p w:rsidR="00E5119A" w:rsidRPr="00BE23C5" w:rsidRDefault="00E5119A" w:rsidP="000D25B8">
            <w:pPr>
              <w:pStyle w:val="Tabletext"/>
              <w:keepNext/>
              <w:keepLines/>
              <w:rPr>
                <w:rFonts w:ascii="Times" w:hAnsi="Times"/>
              </w:rPr>
            </w:pPr>
            <w:r w:rsidRPr="00BE23C5">
              <w:t>Number of patients treated</w:t>
            </w:r>
          </w:p>
        </w:tc>
        <w:tc>
          <w:tcPr>
            <w:tcW w:w="647" w:type="pct"/>
            <w:shd w:val="clear" w:color="auto" w:fill="auto"/>
            <w:vAlign w:val="center"/>
          </w:tcPr>
          <w:p w:rsidR="00E5119A" w:rsidRPr="00BE23C5" w:rsidRDefault="00FC3C5B" w:rsidP="002A4F8C">
            <w:pPr>
              <w:keepNext/>
              <w:keepLines/>
              <w:widowControl/>
              <w:jc w:val="center"/>
              <w:rPr>
                <w:bCs/>
                <w:color w:val="000000"/>
              </w:rPr>
            </w:pPr>
            <w:r>
              <w:rPr>
                <w:rFonts w:ascii="Arial Narrow" w:hAnsi="Arial Narrow"/>
                <w:noProof/>
                <w:snapToGrid/>
                <w:color w:val="000000"/>
                <w:sz w:val="20"/>
                <w:highlight w:val="black"/>
              </w:rPr>
              <w:t>'''''''''''</w:t>
            </w:r>
            <w:r w:rsidR="00E5119A" w:rsidRPr="00BE23C5">
              <w:rPr>
                <w:vertAlign w:val="superscript"/>
              </w:rPr>
              <w:t>*</w:t>
            </w:r>
          </w:p>
        </w:tc>
        <w:tc>
          <w:tcPr>
            <w:tcW w:w="647" w:type="pct"/>
            <w:shd w:val="clear" w:color="auto" w:fill="auto"/>
            <w:vAlign w:val="center"/>
          </w:tcPr>
          <w:p w:rsidR="00E5119A" w:rsidRPr="00FC3C5B" w:rsidRDefault="00FC3C5B" w:rsidP="000D25B8">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E5119A" w:rsidRPr="00FC3C5B" w:rsidRDefault="00FC3C5B" w:rsidP="000D25B8">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E5119A" w:rsidRPr="00FC3C5B" w:rsidRDefault="00FC3C5B" w:rsidP="000D25B8">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E5119A" w:rsidRPr="00FC3C5B" w:rsidRDefault="00FC3C5B" w:rsidP="000D25B8">
            <w:pPr>
              <w:pStyle w:val="Tabletext"/>
              <w:keepNext/>
              <w:keepLines/>
              <w:jc w:val="center"/>
              <w:rPr>
                <w:bCs/>
                <w:color w:val="000000"/>
                <w:highlight w:val="black"/>
              </w:rPr>
            </w:pPr>
            <w:r>
              <w:rPr>
                <w:noProof/>
                <w:color w:val="000000"/>
                <w:highlight w:val="black"/>
              </w:rPr>
              <w:t>'''''''''''''</w:t>
            </w:r>
          </w:p>
        </w:tc>
        <w:tc>
          <w:tcPr>
            <w:tcW w:w="646" w:type="pct"/>
            <w:shd w:val="clear" w:color="auto" w:fill="auto"/>
            <w:vAlign w:val="center"/>
          </w:tcPr>
          <w:p w:rsidR="00E5119A" w:rsidRPr="00FC3C5B" w:rsidRDefault="00FC3C5B" w:rsidP="000D25B8">
            <w:pPr>
              <w:pStyle w:val="Tabletext"/>
              <w:keepNext/>
              <w:keepLines/>
              <w:jc w:val="center"/>
              <w:rPr>
                <w:bCs/>
                <w:color w:val="000000"/>
                <w:highlight w:val="black"/>
              </w:rPr>
            </w:pPr>
            <w:r>
              <w:rPr>
                <w:noProof/>
                <w:color w:val="000000"/>
                <w:highlight w:val="black"/>
              </w:rPr>
              <w:t>''''''''''''</w:t>
            </w:r>
          </w:p>
        </w:tc>
      </w:tr>
      <w:tr w:rsidR="00E5119A" w:rsidRPr="00BE23C5" w:rsidTr="000D25B8">
        <w:tc>
          <w:tcPr>
            <w:tcW w:w="1119" w:type="pct"/>
            <w:shd w:val="clear" w:color="auto" w:fill="auto"/>
            <w:vAlign w:val="center"/>
          </w:tcPr>
          <w:p w:rsidR="00E5119A" w:rsidRPr="00BE23C5" w:rsidRDefault="00E5119A" w:rsidP="000D25B8">
            <w:pPr>
              <w:pStyle w:val="Tabletext"/>
              <w:keepNext/>
              <w:keepLines/>
              <w:rPr>
                <w:rFonts w:ascii="Times" w:hAnsi="Times"/>
              </w:rPr>
            </w:pPr>
            <w:r w:rsidRPr="00BE23C5">
              <w:t xml:space="preserve">Number of scripts </w:t>
            </w:r>
            <w:proofErr w:type="spellStart"/>
            <w:r w:rsidRPr="00BE23C5">
              <w:t>dispensed</w:t>
            </w:r>
            <w:r w:rsidRPr="00BE23C5">
              <w:rPr>
                <w:vertAlign w:val="superscript"/>
              </w:rPr>
              <w:t>a</w:t>
            </w:r>
            <w:proofErr w:type="spellEnd"/>
          </w:p>
        </w:tc>
        <w:tc>
          <w:tcPr>
            <w:tcW w:w="647" w:type="pct"/>
            <w:shd w:val="clear" w:color="auto" w:fill="auto"/>
            <w:vAlign w:val="center"/>
          </w:tcPr>
          <w:p w:rsidR="00E5119A" w:rsidRPr="00FC3C5B" w:rsidRDefault="00FC3C5B" w:rsidP="000D25B8">
            <w:pPr>
              <w:pStyle w:val="Tabletext"/>
              <w:keepNext/>
              <w:keepLines/>
              <w:jc w:val="center"/>
              <w:rPr>
                <w:highlight w:val="black"/>
              </w:rPr>
            </w:pPr>
            <w:r>
              <w:rPr>
                <w:noProof/>
                <w:color w:val="000000"/>
                <w:highlight w:val="black"/>
              </w:rPr>
              <w:t>''''''''''''''''</w:t>
            </w:r>
          </w:p>
        </w:tc>
        <w:tc>
          <w:tcPr>
            <w:tcW w:w="647" w:type="pct"/>
            <w:shd w:val="clear" w:color="auto" w:fill="auto"/>
            <w:vAlign w:val="center"/>
          </w:tcPr>
          <w:p w:rsidR="00E5119A" w:rsidRPr="00FC3C5B" w:rsidRDefault="00FC3C5B" w:rsidP="000D25B8">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E5119A" w:rsidRPr="00FC3C5B" w:rsidRDefault="00FC3C5B" w:rsidP="000D25B8">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E5119A" w:rsidRPr="00FC3C5B" w:rsidRDefault="00FC3C5B" w:rsidP="000D25B8">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E5119A" w:rsidRPr="00FC3C5B" w:rsidRDefault="00FC3C5B" w:rsidP="000D25B8">
            <w:pPr>
              <w:pStyle w:val="Tabletext"/>
              <w:keepNext/>
              <w:keepLines/>
              <w:jc w:val="center"/>
              <w:rPr>
                <w:bCs/>
                <w:color w:val="000000"/>
                <w:highlight w:val="black"/>
              </w:rPr>
            </w:pPr>
            <w:r>
              <w:rPr>
                <w:noProof/>
                <w:color w:val="000000"/>
                <w:highlight w:val="black"/>
              </w:rPr>
              <w:t>''''''''''''''''</w:t>
            </w:r>
          </w:p>
        </w:tc>
        <w:tc>
          <w:tcPr>
            <w:tcW w:w="646" w:type="pct"/>
            <w:shd w:val="clear" w:color="auto" w:fill="auto"/>
            <w:vAlign w:val="center"/>
          </w:tcPr>
          <w:p w:rsidR="00E5119A" w:rsidRPr="00FC3C5B" w:rsidRDefault="00FC3C5B" w:rsidP="000D25B8">
            <w:pPr>
              <w:pStyle w:val="Tabletext"/>
              <w:keepNext/>
              <w:keepLines/>
              <w:jc w:val="center"/>
              <w:rPr>
                <w:bCs/>
                <w:color w:val="000000"/>
                <w:highlight w:val="black"/>
              </w:rPr>
            </w:pPr>
            <w:r>
              <w:rPr>
                <w:noProof/>
                <w:color w:val="000000"/>
                <w:highlight w:val="black"/>
              </w:rPr>
              <w:t>''''''''''''''''</w:t>
            </w:r>
          </w:p>
        </w:tc>
      </w:tr>
      <w:tr w:rsidR="00E5119A" w:rsidRPr="00BE23C5" w:rsidTr="000D25B8">
        <w:tc>
          <w:tcPr>
            <w:tcW w:w="5000" w:type="pct"/>
            <w:gridSpan w:val="7"/>
            <w:shd w:val="clear" w:color="auto" w:fill="auto"/>
            <w:vAlign w:val="center"/>
          </w:tcPr>
          <w:p w:rsidR="00E5119A" w:rsidRPr="00BE23C5" w:rsidRDefault="00E5119A" w:rsidP="000D25B8">
            <w:pPr>
              <w:pStyle w:val="Tabletext"/>
              <w:keepNext/>
              <w:keepLines/>
              <w:rPr>
                <w:b/>
                <w:bCs/>
                <w:color w:val="000000"/>
              </w:rPr>
            </w:pPr>
            <w:r w:rsidRPr="00BE23C5">
              <w:rPr>
                <w:b/>
                <w:bCs/>
                <w:color w:val="000000"/>
              </w:rPr>
              <w:t xml:space="preserve">Estimated financial implications of </w:t>
            </w:r>
            <w:proofErr w:type="spellStart"/>
            <w:r w:rsidRPr="00BE23C5">
              <w:rPr>
                <w:b/>
                <w:bCs/>
                <w:color w:val="000000"/>
              </w:rPr>
              <w:t>neratinib</w:t>
            </w:r>
            <w:proofErr w:type="spellEnd"/>
          </w:p>
        </w:tc>
      </w:tr>
      <w:tr w:rsidR="00E5119A" w:rsidRPr="00BE23C5" w:rsidTr="000D25B8">
        <w:tc>
          <w:tcPr>
            <w:tcW w:w="1119" w:type="pct"/>
            <w:shd w:val="clear" w:color="auto" w:fill="auto"/>
            <w:vAlign w:val="center"/>
          </w:tcPr>
          <w:p w:rsidR="00E5119A" w:rsidRPr="00BE23C5" w:rsidRDefault="00E5119A" w:rsidP="000D25B8">
            <w:pPr>
              <w:pStyle w:val="Tabletext"/>
              <w:keepNext/>
              <w:keepLines/>
              <w:rPr>
                <w:rFonts w:ascii="Times" w:hAnsi="Times"/>
              </w:rPr>
            </w:pPr>
            <w:r w:rsidRPr="00BE23C5">
              <w:rPr>
                <w:sz w:val="19"/>
                <w:szCs w:val="19"/>
              </w:rPr>
              <w:t>Cost to PBS/RPBS</w:t>
            </w:r>
          </w:p>
        </w:tc>
        <w:tc>
          <w:tcPr>
            <w:tcW w:w="647"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6"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r>
      <w:tr w:rsidR="00E5119A" w:rsidRPr="00BE23C5" w:rsidTr="000D25B8">
        <w:tc>
          <w:tcPr>
            <w:tcW w:w="1119" w:type="pct"/>
            <w:shd w:val="clear" w:color="auto" w:fill="auto"/>
            <w:vAlign w:val="center"/>
          </w:tcPr>
          <w:p w:rsidR="00E5119A" w:rsidRPr="00BE23C5" w:rsidRDefault="00E5119A" w:rsidP="000D25B8">
            <w:pPr>
              <w:pStyle w:val="Tabletext"/>
              <w:keepNext/>
              <w:keepLines/>
              <w:rPr>
                <w:sz w:val="19"/>
                <w:szCs w:val="19"/>
              </w:rPr>
            </w:pPr>
            <w:proofErr w:type="spellStart"/>
            <w:r w:rsidRPr="00BE23C5">
              <w:rPr>
                <w:sz w:val="19"/>
                <w:szCs w:val="19"/>
              </w:rPr>
              <w:t>Copayments</w:t>
            </w:r>
            <w:proofErr w:type="spellEnd"/>
          </w:p>
        </w:tc>
        <w:tc>
          <w:tcPr>
            <w:tcW w:w="647"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6"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r>
      <w:tr w:rsidR="00E5119A" w:rsidRPr="00BE23C5" w:rsidTr="000D25B8">
        <w:tc>
          <w:tcPr>
            <w:tcW w:w="1119" w:type="pct"/>
            <w:shd w:val="clear" w:color="auto" w:fill="auto"/>
            <w:vAlign w:val="center"/>
          </w:tcPr>
          <w:p w:rsidR="00E5119A" w:rsidRPr="00BE23C5" w:rsidRDefault="00E5119A" w:rsidP="000D25B8">
            <w:pPr>
              <w:pStyle w:val="Tabletext"/>
              <w:keepNext/>
              <w:keepLines/>
              <w:rPr>
                <w:sz w:val="19"/>
                <w:szCs w:val="19"/>
              </w:rPr>
            </w:pPr>
            <w:r w:rsidRPr="00BE23C5">
              <w:rPr>
                <w:sz w:val="19"/>
                <w:szCs w:val="19"/>
              </w:rPr>
              <w:t xml:space="preserve">Cost to PBS/RPBS less </w:t>
            </w:r>
            <w:proofErr w:type="spellStart"/>
            <w:r w:rsidRPr="00BE23C5">
              <w:rPr>
                <w:sz w:val="19"/>
                <w:szCs w:val="19"/>
              </w:rPr>
              <w:t>copayments</w:t>
            </w:r>
            <w:proofErr w:type="spellEnd"/>
          </w:p>
        </w:tc>
        <w:tc>
          <w:tcPr>
            <w:tcW w:w="647"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rPr>
                <w:b/>
              </w:rPr>
              <w:t>$</w:t>
            </w:r>
            <w:r w:rsidR="00FC3C5B">
              <w:rPr>
                <w:b/>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rPr>
                <w:b/>
              </w:rPr>
              <w:t>$</w:t>
            </w:r>
            <w:r w:rsidR="00FC3C5B">
              <w:rPr>
                <w:b/>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rPr>
                <w:b/>
              </w:rPr>
              <w:t>$</w:t>
            </w:r>
            <w:r w:rsidR="00FC3C5B">
              <w:rPr>
                <w:b/>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rPr>
                <w:b/>
              </w:rPr>
              <w:t>$</w:t>
            </w:r>
            <w:r w:rsidR="00FC3C5B">
              <w:rPr>
                <w:b/>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rPr>
                <w:b/>
              </w:rPr>
              <w:t>$</w:t>
            </w:r>
            <w:r w:rsidR="00FC3C5B">
              <w:rPr>
                <w:b/>
                <w:noProof/>
                <w:color w:val="000000"/>
                <w:highlight w:val="black"/>
              </w:rPr>
              <w:t>''''''''''''''''''''</w:t>
            </w:r>
          </w:p>
        </w:tc>
        <w:tc>
          <w:tcPr>
            <w:tcW w:w="646" w:type="pct"/>
            <w:tcBorders>
              <w:top w:val="single" w:sz="4" w:space="0" w:color="auto"/>
              <w:left w:val="single" w:sz="4" w:space="0" w:color="auto"/>
              <w:bottom w:val="single" w:sz="4" w:space="0" w:color="auto"/>
              <w:right w:val="single" w:sz="4" w:space="0" w:color="auto"/>
            </w:tcBorders>
            <w:vAlign w:val="bottom"/>
          </w:tcPr>
          <w:p w:rsidR="00E5119A" w:rsidRPr="00BE23C5" w:rsidRDefault="00E5119A" w:rsidP="000D25B8">
            <w:pPr>
              <w:pStyle w:val="Tabletext"/>
              <w:keepNext/>
              <w:keepLines/>
              <w:jc w:val="center"/>
              <w:rPr>
                <w:bCs/>
                <w:color w:val="000000"/>
              </w:rPr>
            </w:pPr>
            <w:r w:rsidRPr="00BE23C5">
              <w:rPr>
                <w:b/>
              </w:rPr>
              <w:t>$</w:t>
            </w:r>
            <w:r w:rsidR="00FC3C5B">
              <w:rPr>
                <w:b/>
                <w:noProof/>
                <w:color w:val="000000"/>
                <w:highlight w:val="black"/>
              </w:rPr>
              <w:t>'''''''''''''''''''''</w:t>
            </w:r>
          </w:p>
        </w:tc>
      </w:tr>
      <w:tr w:rsidR="00E5119A" w:rsidRPr="00BE23C5" w:rsidTr="000D25B8">
        <w:tc>
          <w:tcPr>
            <w:tcW w:w="5000" w:type="pct"/>
            <w:gridSpan w:val="7"/>
            <w:shd w:val="clear" w:color="auto" w:fill="auto"/>
            <w:vAlign w:val="center"/>
          </w:tcPr>
          <w:p w:rsidR="00E5119A" w:rsidRPr="00BE23C5" w:rsidRDefault="00E5119A" w:rsidP="000D25B8">
            <w:pPr>
              <w:pStyle w:val="Tabletext"/>
              <w:keepNext/>
              <w:keepLines/>
              <w:rPr>
                <w:bCs/>
                <w:color w:val="000000"/>
              </w:rPr>
            </w:pPr>
            <w:r w:rsidRPr="00BE23C5">
              <w:rPr>
                <w:b/>
                <w:bCs/>
                <w:color w:val="000000"/>
              </w:rPr>
              <w:t xml:space="preserve">Estimated financial implications for </w:t>
            </w:r>
            <w:proofErr w:type="spellStart"/>
            <w:r w:rsidRPr="00BE23C5">
              <w:rPr>
                <w:b/>
                <w:bCs/>
                <w:color w:val="000000"/>
              </w:rPr>
              <w:t>loperamide</w:t>
            </w:r>
            <w:proofErr w:type="spellEnd"/>
          </w:p>
        </w:tc>
      </w:tr>
      <w:tr w:rsidR="00E5119A" w:rsidRPr="00BE23C5" w:rsidTr="000D25B8">
        <w:tc>
          <w:tcPr>
            <w:tcW w:w="1119" w:type="pct"/>
            <w:shd w:val="clear" w:color="auto" w:fill="auto"/>
            <w:vAlign w:val="center"/>
          </w:tcPr>
          <w:p w:rsidR="00E5119A" w:rsidRPr="00BE23C5" w:rsidRDefault="00E5119A" w:rsidP="000D25B8">
            <w:pPr>
              <w:pStyle w:val="Tabletext"/>
              <w:keepNext/>
              <w:keepLines/>
              <w:rPr>
                <w:sz w:val="19"/>
                <w:szCs w:val="19"/>
              </w:rPr>
            </w:pPr>
            <w:r w:rsidRPr="00BE23C5">
              <w:rPr>
                <w:sz w:val="19"/>
                <w:szCs w:val="19"/>
              </w:rPr>
              <w:t>Cost to PBS/RPBS</w:t>
            </w:r>
          </w:p>
        </w:tc>
        <w:tc>
          <w:tcPr>
            <w:tcW w:w="647" w:type="pct"/>
            <w:shd w:val="clear" w:color="auto" w:fill="auto"/>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7" w:type="pct"/>
            <w:shd w:val="clear" w:color="auto" w:fill="auto"/>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7" w:type="pct"/>
            <w:shd w:val="clear" w:color="auto" w:fill="auto"/>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7" w:type="pct"/>
            <w:shd w:val="clear" w:color="auto" w:fill="auto"/>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7" w:type="pct"/>
            <w:shd w:val="clear" w:color="auto" w:fill="auto"/>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6" w:type="pct"/>
            <w:shd w:val="clear" w:color="auto" w:fill="auto"/>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r>
      <w:tr w:rsidR="00E5119A" w:rsidRPr="00BE23C5" w:rsidTr="000D25B8">
        <w:tc>
          <w:tcPr>
            <w:tcW w:w="1119" w:type="pct"/>
            <w:shd w:val="clear" w:color="auto" w:fill="auto"/>
            <w:vAlign w:val="center"/>
          </w:tcPr>
          <w:p w:rsidR="00E5119A" w:rsidRPr="00BE23C5" w:rsidRDefault="00E5119A" w:rsidP="000D25B8">
            <w:pPr>
              <w:pStyle w:val="Tabletext"/>
              <w:keepNext/>
              <w:keepLines/>
              <w:rPr>
                <w:sz w:val="19"/>
                <w:szCs w:val="19"/>
              </w:rPr>
            </w:pPr>
            <w:proofErr w:type="spellStart"/>
            <w:r w:rsidRPr="00BE23C5">
              <w:rPr>
                <w:sz w:val="19"/>
                <w:szCs w:val="19"/>
              </w:rPr>
              <w:t>Copayments</w:t>
            </w:r>
            <w:proofErr w:type="spellEnd"/>
          </w:p>
        </w:tc>
        <w:tc>
          <w:tcPr>
            <w:tcW w:w="647" w:type="pct"/>
            <w:shd w:val="clear" w:color="auto" w:fill="auto"/>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7" w:type="pct"/>
            <w:shd w:val="clear" w:color="auto" w:fill="auto"/>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7" w:type="pct"/>
            <w:shd w:val="clear" w:color="auto" w:fill="auto"/>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7" w:type="pct"/>
            <w:shd w:val="clear" w:color="auto" w:fill="auto"/>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7" w:type="pct"/>
            <w:shd w:val="clear" w:color="auto" w:fill="auto"/>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c>
          <w:tcPr>
            <w:tcW w:w="646" w:type="pct"/>
            <w:shd w:val="clear" w:color="auto" w:fill="auto"/>
            <w:vAlign w:val="bottom"/>
          </w:tcPr>
          <w:p w:rsidR="00E5119A" w:rsidRPr="00BE23C5" w:rsidRDefault="00E5119A" w:rsidP="000D25B8">
            <w:pPr>
              <w:pStyle w:val="Tabletext"/>
              <w:keepNext/>
              <w:keepLines/>
              <w:jc w:val="center"/>
              <w:rPr>
                <w:bCs/>
                <w:color w:val="000000"/>
              </w:rPr>
            </w:pPr>
            <w:r w:rsidRPr="00BE23C5">
              <w:t>–$</w:t>
            </w:r>
            <w:r w:rsidR="00FC3C5B">
              <w:rPr>
                <w:noProof/>
                <w:color w:val="000000"/>
                <w:highlight w:val="black"/>
              </w:rPr>
              <w:t>''''''''''''''''''</w:t>
            </w:r>
          </w:p>
        </w:tc>
      </w:tr>
      <w:tr w:rsidR="00E5119A" w:rsidRPr="00BE23C5" w:rsidTr="000D25B8">
        <w:tc>
          <w:tcPr>
            <w:tcW w:w="1119" w:type="pct"/>
            <w:shd w:val="clear" w:color="auto" w:fill="auto"/>
            <w:vAlign w:val="center"/>
          </w:tcPr>
          <w:p w:rsidR="00E5119A" w:rsidRPr="00BE23C5" w:rsidRDefault="00E5119A" w:rsidP="000D25B8">
            <w:pPr>
              <w:pStyle w:val="Tabletext"/>
              <w:keepNext/>
              <w:keepLines/>
              <w:rPr>
                <w:sz w:val="19"/>
                <w:szCs w:val="19"/>
              </w:rPr>
            </w:pPr>
            <w:r w:rsidRPr="00BE23C5">
              <w:rPr>
                <w:sz w:val="19"/>
                <w:szCs w:val="19"/>
              </w:rPr>
              <w:t xml:space="preserve">Cost to PBS/RPBS less </w:t>
            </w:r>
            <w:proofErr w:type="spellStart"/>
            <w:r w:rsidRPr="00BE23C5">
              <w:rPr>
                <w:sz w:val="19"/>
                <w:szCs w:val="19"/>
              </w:rPr>
              <w:t>copayments</w:t>
            </w:r>
            <w:proofErr w:type="spellEnd"/>
          </w:p>
        </w:tc>
        <w:tc>
          <w:tcPr>
            <w:tcW w:w="647" w:type="pct"/>
            <w:shd w:val="clear" w:color="auto" w:fill="auto"/>
            <w:vAlign w:val="bottom"/>
          </w:tcPr>
          <w:p w:rsidR="00E5119A" w:rsidRPr="00BE23C5" w:rsidRDefault="00E5119A" w:rsidP="000D25B8">
            <w:pPr>
              <w:pStyle w:val="Tabletext"/>
              <w:keepNext/>
              <w:keepLines/>
              <w:jc w:val="center"/>
              <w:rPr>
                <w:bCs/>
                <w:color w:val="000000"/>
              </w:rPr>
            </w:pPr>
            <w:r w:rsidRPr="00BE23C5">
              <w:rPr>
                <w:b/>
              </w:rPr>
              <w:t>$</w:t>
            </w:r>
            <w:r w:rsidR="00FC3C5B">
              <w:rPr>
                <w:b/>
                <w:noProof/>
                <w:color w:val="000000"/>
                <w:highlight w:val="black"/>
              </w:rPr>
              <w:t>'''''''''''''</w:t>
            </w:r>
          </w:p>
        </w:tc>
        <w:tc>
          <w:tcPr>
            <w:tcW w:w="647" w:type="pct"/>
            <w:shd w:val="clear" w:color="auto" w:fill="auto"/>
            <w:vAlign w:val="bottom"/>
          </w:tcPr>
          <w:p w:rsidR="00E5119A" w:rsidRPr="00BE23C5" w:rsidRDefault="00E5119A" w:rsidP="000D25B8">
            <w:pPr>
              <w:pStyle w:val="Tabletext"/>
              <w:keepNext/>
              <w:keepLines/>
              <w:jc w:val="center"/>
              <w:rPr>
                <w:bCs/>
                <w:color w:val="000000"/>
              </w:rPr>
            </w:pPr>
            <w:r w:rsidRPr="00BE23C5">
              <w:rPr>
                <w:b/>
              </w:rPr>
              <w:t>$</w:t>
            </w:r>
            <w:r w:rsidR="00FC3C5B">
              <w:rPr>
                <w:b/>
                <w:noProof/>
                <w:color w:val="000000"/>
                <w:highlight w:val="black"/>
              </w:rPr>
              <w:t>''''''''''''''</w:t>
            </w:r>
          </w:p>
        </w:tc>
        <w:tc>
          <w:tcPr>
            <w:tcW w:w="647" w:type="pct"/>
            <w:shd w:val="clear" w:color="auto" w:fill="auto"/>
            <w:vAlign w:val="bottom"/>
          </w:tcPr>
          <w:p w:rsidR="00E5119A" w:rsidRPr="00BE23C5" w:rsidRDefault="00E5119A" w:rsidP="000D25B8">
            <w:pPr>
              <w:pStyle w:val="Tabletext"/>
              <w:keepNext/>
              <w:keepLines/>
              <w:jc w:val="center"/>
              <w:rPr>
                <w:bCs/>
                <w:color w:val="000000"/>
              </w:rPr>
            </w:pPr>
            <w:r w:rsidRPr="00BE23C5">
              <w:rPr>
                <w:b/>
              </w:rPr>
              <w:t>$</w:t>
            </w:r>
            <w:r w:rsidR="00FC3C5B">
              <w:rPr>
                <w:b/>
                <w:noProof/>
                <w:color w:val="000000"/>
                <w:highlight w:val="black"/>
              </w:rPr>
              <w:t>'''''''''''''</w:t>
            </w:r>
          </w:p>
        </w:tc>
        <w:tc>
          <w:tcPr>
            <w:tcW w:w="647" w:type="pct"/>
            <w:shd w:val="clear" w:color="auto" w:fill="auto"/>
            <w:vAlign w:val="bottom"/>
          </w:tcPr>
          <w:p w:rsidR="00E5119A" w:rsidRPr="00BE23C5" w:rsidRDefault="00E5119A" w:rsidP="000D25B8">
            <w:pPr>
              <w:pStyle w:val="Tabletext"/>
              <w:keepNext/>
              <w:keepLines/>
              <w:jc w:val="center"/>
              <w:rPr>
                <w:bCs/>
                <w:color w:val="000000"/>
              </w:rPr>
            </w:pPr>
            <w:r w:rsidRPr="00BE23C5">
              <w:rPr>
                <w:b/>
              </w:rPr>
              <w:t>$</w:t>
            </w:r>
            <w:r w:rsidR="00FC3C5B">
              <w:rPr>
                <w:b/>
                <w:noProof/>
                <w:color w:val="000000"/>
                <w:highlight w:val="black"/>
              </w:rPr>
              <w:t>'''''''''''''''</w:t>
            </w:r>
          </w:p>
        </w:tc>
        <w:tc>
          <w:tcPr>
            <w:tcW w:w="647" w:type="pct"/>
            <w:shd w:val="clear" w:color="auto" w:fill="auto"/>
            <w:vAlign w:val="bottom"/>
          </w:tcPr>
          <w:p w:rsidR="00E5119A" w:rsidRPr="00BE23C5" w:rsidRDefault="00E5119A" w:rsidP="000D25B8">
            <w:pPr>
              <w:pStyle w:val="Tabletext"/>
              <w:keepNext/>
              <w:keepLines/>
              <w:jc w:val="center"/>
              <w:rPr>
                <w:bCs/>
                <w:color w:val="000000"/>
              </w:rPr>
            </w:pPr>
            <w:r w:rsidRPr="00BE23C5">
              <w:rPr>
                <w:b/>
              </w:rPr>
              <w:t>$</w:t>
            </w:r>
            <w:r w:rsidR="00FC3C5B">
              <w:rPr>
                <w:b/>
                <w:noProof/>
                <w:color w:val="000000"/>
                <w:highlight w:val="black"/>
              </w:rPr>
              <w:t>'''''''''''''</w:t>
            </w:r>
          </w:p>
        </w:tc>
        <w:tc>
          <w:tcPr>
            <w:tcW w:w="646" w:type="pct"/>
            <w:shd w:val="clear" w:color="auto" w:fill="auto"/>
            <w:vAlign w:val="bottom"/>
          </w:tcPr>
          <w:p w:rsidR="00E5119A" w:rsidRPr="00BE23C5" w:rsidRDefault="00E5119A" w:rsidP="000D25B8">
            <w:pPr>
              <w:pStyle w:val="Tabletext"/>
              <w:keepNext/>
              <w:keepLines/>
              <w:jc w:val="center"/>
              <w:rPr>
                <w:bCs/>
                <w:color w:val="000000"/>
              </w:rPr>
            </w:pPr>
            <w:r w:rsidRPr="00BE23C5">
              <w:rPr>
                <w:b/>
              </w:rPr>
              <w:t>$</w:t>
            </w:r>
            <w:r w:rsidR="00FC3C5B">
              <w:rPr>
                <w:b/>
                <w:noProof/>
                <w:color w:val="000000"/>
                <w:highlight w:val="black"/>
              </w:rPr>
              <w:t>''''''''''''</w:t>
            </w:r>
          </w:p>
        </w:tc>
      </w:tr>
      <w:tr w:rsidR="00E5119A" w:rsidRPr="00BE23C5" w:rsidTr="000D25B8">
        <w:tc>
          <w:tcPr>
            <w:tcW w:w="5000" w:type="pct"/>
            <w:gridSpan w:val="7"/>
            <w:shd w:val="clear" w:color="auto" w:fill="auto"/>
            <w:vAlign w:val="center"/>
          </w:tcPr>
          <w:p w:rsidR="00E5119A" w:rsidRPr="00BE23C5" w:rsidRDefault="00E5119A" w:rsidP="000D25B8">
            <w:pPr>
              <w:pStyle w:val="Tabletext"/>
              <w:keepNext/>
              <w:keepLines/>
              <w:rPr>
                <w:b/>
                <w:bCs/>
                <w:color w:val="000000"/>
              </w:rPr>
            </w:pPr>
            <w:r w:rsidRPr="00BE23C5">
              <w:rPr>
                <w:b/>
                <w:bCs/>
                <w:color w:val="000000"/>
              </w:rPr>
              <w:t>Net financial implications</w:t>
            </w:r>
            <w:r w:rsidRPr="00BE23C5">
              <w:rPr>
                <w:b/>
                <w:bCs/>
                <w:color w:val="4BACC6" w:themeColor="accent5"/>
              </w:rPr>
              <w:t xml:space="preserve"> </w:t>
            </w:r>
          </w:p>
        </w:tc>
      </w:tr>
      <w:tr w:rsidR="00E5119A" w:rsidRPr="00BE23C5" w:rsidTr="0051562B">
        <w:tc>
          <w:tcPr>
            <w:tcW w:w="1119" w:type="pct"/>
            <w:shd w:val="clear" w:color="auto" w:fill="auto"/>
            <w:vAlign w:val="center"/>
          </w:tcPr>
          <w:p w:rsidR="00E5119A" w:rsidRPr="00BE23C5" w:rsidRDefault="00E5119A" w:rsidP="000D25B8">
            <w:pPr>
              <w:pStyle w:val="Tabletext"/>
              <w:keepNext/>
              <w:keepLines/>
              <w:rPr>
                <w:sz w:val="19"/>
                <w:szCs w:val="19"/>
              </w:rPr>
            </w:pPr>
            <w:r w:rsidRPr="00BE23C5">
              <w:rPr>
                <w:sz w:val="19"/>
                <w:szCs w:val="19"/>
              </w:rPr>
              <w:t>Net cost to PBS/RPBS</w:t>
            </w:r>
            <w:r w:rsidR="002A4F8C" w:rsidRPr="00BE23C5">
              <w:rPr>
                <w:sz w:val="19"/>
                <w:szCs w:val="19"/>
                <w:vertAlign w:val="superscript"/>
              </w:rPr>
              <w:t>**</w:t>
            </w:r>
          </w:p>
        </w:tc>
        <w:tc>
          <w:tcPr>
            <w:tcW w:w="647" w:type="pct"/>
            <w:shd w:val="clear" w:color="auto" w:fill="auto"/>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47" w:type="pct"/>
            <w:shd w:val="clear" w:color="auto" w:fill="auto"/>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47" w:type="pct"/>
            <w:shd w:val="clear" w:color="auto" w:fill="auto"/>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47" w:type="pct"/>
            <w:shd w:val="clear" w:color="auto" w:fill="auto"/>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47" w:type="pct"/>
            <w:shd w:val="clear" w:color="auto" w:fill="auto"/>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46" w:type="pct"/>
            <w:shd w:val="clear" w:color="auto" w:fill="auto"/>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r>
      <w:tr w:rsidR="00E5119A" w:rsidRPr="00BE23C5" w:rsidTr="0051562B">
        <w:tc>
          <w:tcPr>
            <w:tcW w:w="1119" w:type="pct"/>
            <w:shd w:val="clear" w:color="auto" w:fill="auto"/>
            <w:vAlign w:val="center"/>
          </w:tcPr>
          <w:p w:rsidR="00E5119A" w:rsidRPr="00BE23C5" w:rsidRDefault="00E5119A" w:rsidP="000D25B8">
            <w:pPr>
              <w:pStyle w:val="Tabletext"/>
              <w:keepNext/>
              <w:keepLines/>
              <w:rPr>
                <w:rFonts w:ascii="Times" w:hAnsi="Times"/>
              </w:rPr>
            </w:pPr>
            <w:r w:rsidRPr="00BE23C5">
              <w:rPr>
                <w:sz w:val="19"/>
                <w:szCs w:val="19"/>
              </w:rPr>
              <w:t>Net cost to MBS</w:t>
            </w:r>
            <w:r w:rsidR="002A4F8C" w:rsidRPr="00BE23C5">
              <w:rPr>
                <w:sz w:val="19"/>
                <w:szCs w:val="19"/>
                <w:vertAlign w:val="superscript"/>
              </w:rPr>
              <w:t>***</w:t>
            </w:r>
          </w:p>
        </w:tc>
        <w:tc>
          <w:tcPr>
            <w:tcW w:w="647" w:type="pct"/>
            <w:tcBorders>
              <w:top w:val="nil"/>
              <w:left w:val="single" w:sz="4" w:space="0" w:color="auto"/>
              <w:bottom w:val="single" w:sz="4" w:space="0" w:color="auto"/>
              <w:right w:val="single" w:sz="4" w:space="0" w:color="auto"/>
            </w:tcBorders>
            <w:shd w:val="clear" w:color="auto" w:fill="auto"/>
            <w:vAlign w:val="center"/>
          </w:tcPr>
          <w:p w:rsidR="00E5119A" w:rsidRPr="00BE23C5" w:rsidRDefault="00C3111C" w:rsidP="0051562B">
            <w:pPr>
              <w:keepNext/>
              <w:keepLines/>
              <w:jc w:val="center"/>
              <w:rPr>
                <w:rFonts w:ascii="Arial Narrow" w:hAnsi="Arial Narrow" w:cs="Times New Roman"/>
                <w:snapToGrid/>
                <w:sz w:val="20"/>
              </w:rPr>
            </w:pPr>
            <w:r>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47" w:type="pct"/>
            <w:tcBorders>
              <w:top w:val="nil"/>
              <w:left w:val="nil"/>
              <w:bottom w:val="single" w:sz="4" w:space="0" w:color="auto"/>
              <w:right w:val="single" w:sz="4" w:space="0" w:color="auto"/>
            </w:tcBorders>
            <w:shd w:val="clear" w:color="auto" w:fill="auto"/>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47" w:type="pct"/>
            <w:tcBorders>
              <w:top w:val="nil"/>
              <w:left w:val="nil"/>
              <w:bottom w:val="single" w:sz="4" w:space="0" w:color="auto"/>
              <w:right w:val="single" w:sz="4" w:space="0" w:color="auto"/>
            </w:tcBorders>
            <w:shd w:val="clear" w:color="auto" w:fill="auto"/>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47" w:type="pct"/>
            <w:tcBorders>
              <w:top w:val="nil"/>
              <w:left w:val="nil"/>
              <w:bottom w:val="single" w:sz="4" w:space="0" w:color="auto"/>
              <w:right w:val="single" w:sz="4" w:space="0" w:color="auto"/>
            </w:tcBorders>
            <w:shd w:val="clear" w:color="auto" w:fill="auto"/>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47" w:type="pct"/>
            <w:tcBorders>
              <w:top w:val="nil"/>
              <w:left w:val="nil"/>
              <w:bottom w:val="single" w:sz="4" w:space="0" w:color="auto"/>
              <w:right w:val="single" w:sz="4" w:space="0" w:color="auto"/>
            </w:tcBorders>
            <w:shd w:val="clear" w:color="auto" w:fill="auto"/>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46" w:type="pct"/>
            <w:tcBorders>
              <w:top w:val="nil"/>
              <w:left w:val="nil"/>
              <w:bottom w:val="single" w:sz="4" w:space="0" w:color="auto"/>
              <w:right w:val="single" w:sz="4" w:space="0" w:color="auto"/>
            </w:tcBorders>
            <w:shd w:val="clear" w:color="auto" w:fill="auto"/>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r>
      <w:tr w:rsidR="00E5119A" w:rsidRPr="00BE23C5" w:rsidTr="0051562B">
        <w:tc>
          <w:tcPr>
            <w:tcW w:w="1119" w:type="pct"/>
            <w:shd w:val="clear" w:color="auto" w:fill="auto"/>
            <w:vAlign w:val="center"/>
          </w:tcPr>
          <w:p w:rsidR="00E5119A" w:rsidRPr="00BE23C5" w:rsidRDefault="00E5119A" w:rsidP="000D25B8">
            <w:pPr>
              <w:pStyle w:val="Tabletext"/>
              <w:keepNext/>
              <w:keepLines/>
              <w:rPr>
                <w:sz w:val="19"/>
                <w:szCs w:val="19"/>
              </w:rPr>
            </w:pPr>
            <w:r w:rsidRPr="00BE23C5">
              <w:rPr>
                <w:sz w:val="19"/>
                <w:szCs w:val="19"/>
              </w:rPr>
              <w:t>Net cost to PBS/RPBS/MBS</w:t>
            </w:r>
          </w:p>
        </w:tc>
        <w:tc>
          <w:tcPr>
            <w:tcW w:w="647" w:type="pct"/>
            <w:tcBorders>
              <w:top w:val="single" w:sz="4" w:space="0" w:color="auto"/>
              <w:left w:val="single" w:sz="4" w:space="0" w:color="auto"/>
              <w:bottom w:val="single" w:sz="4" w:space="0" w:color="auto"/>
              <w:right w:val="single" w:sz="4" w:space="0" w:color="auto"/>
            </w:tcBorders>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vAlign w:val="center"/>
          </w:tcPr>
          <w:p w:rsidR="00E5119A" w:rsidRPr="00BE23C5" w:rsidRDefault="00E5119A" w:rsidP="0051562B">
            <w:pPr>
              <w:keepNext/>
              <w:keepLines/>
              <w:jc w:val="center"/>
              <w:rPr>
                <w:rFonts w:ascii="Arial Narrow" w:hAnsi="Arial Narrow" w:cs="Times New Roman"/>
                <w:snapToGrid/>
                <w:sz w:val="20"/>
              </w:rPr>
            </w:pPr>
            <w:r w:rsidRPr="00BE23C5">
              <w:rPr>
                <w:rFonts w:ascii="Arial Narrow" w:hAnsi="Arial Narrow" w:cs="Times New Roman"/>
                <w:snapToGrid/>
                <w:sz w:val="20"/>
              </w:rPr>
              <w:t>$</w:t>
            </w:r>
            <w:r w:rsidR="00FC3C5B">
              <w:rPr>
                <w:rFonts w:ascii="Arial Narrow" w:hAnsi="Arial Narrow" w:cs="Times New Roman"/>
                <w:noProof/>
                <w:snapToGrid/>
                <w:color w:val="000000"/>
                <w:sz w:val="20"/>
                <w:highlight w:val="black"/>
              </w:rPr>
              <w:t>''''''''''''''''''''''''''''</w:t>
            </w:r>
          </w:p>
        </w:tc>
      </w:tr>
    </w:tbl>
    <w:p w:rsidR="00E5119A" w:rsidRPr="00BE23C5" w:rsidRDefault="00E5119A" w:rsidP="00E5119A">
      <w:pPr>
        <w:keepNext/>
        <w:keepLines/>
        <w:widowControl/>
        <w:rPr>
          <w:rFonts w:ascii="Arial Narrow" w:hAnsi="Arial Narrow"/>
          <w:sz w:val="18"/>
        </w:rPr>
      </w:pPr>
      <w:proofErr w:type="spellStart"/>
      <w:proofErr w:type="gramStart"/>
      <w:r w:rsidRPr="00BE23C5">
        <w:rPr>
          <w:rFonts w:ascii="Arial Narrow" w:hAnsi="Arial Narrow"/>
          <w:sz w:val="18"/>
          <w:vertAlign w:val="superscript"/>
        </w:rPr>
        <w:t>a</w:t>
      </w:r>
      <w:proofErr w:type="spellEnd"/>
      <w:proofErr w:type="gramEnd"/>
      <w:r w:rsidRPr="00BE23C5">
        <w:rPr>
          <w:rFonts w:ascii="Arial Narrow" w:hAnsi="Arial Narrow"/>
          <w:sz w:val="18"/>
        </w:rPr>
        <w:t xml:space="preserve"> Assuming 9.37 scripts per patient as estimated by the submission.</w:t>
      </w:r>
    </w:p>
    <w:p w:rsidR="00E5119A" w:rsidRPr="00BE23C5" w:rsidRDefault="00E5119A" w:rsidP="00E5119A">
      <w:pPr>
        <w:keepNext/>
        <w:keepLines/>
        <w:widowControl/>
        <w:rPr>
          <w:rFonts w:ascii="Arial Narrow" w:hAnsi="Arial Narrow"/>
          <w:sz w:val="18"/>
        </w:rPr>
      </w:pPr>
      <w:r w:rsidRPr="00BE23C5">
        <w:rPr>
          <w:rFonts w:ascii="Arial Narrow" w:hAnsi="Arial Narrow"/>
          <w:sz w:val="18"/>
        </w:rPr>
        <w:t xml:space="preserve">* The reported number of patients treated </w:t>
      </w:r>
      <w:r w:rsidR="002A4F8C" w:rsidRPr="00BE23C5">
        <w:rPr>
          <w:rFonts w:ascii="Arial Narrow" w:hAnsi="Arial Narrow"/>
          <w:sz w:val="18"/>
        </w:rPr>
        <w:t>wa</w:t>
      </w:r>
      <w:r w:rsidRPr="00BE23C5">
        <w:rPr>
          <w:rFonts w:ascii="Arial Narrow" w:hAnsi="Arial Narrow"/>
          <w:sz w:val="18"/>
        </w:rPr>
        <w:t xml:space="preserve">s based on 50% of eligible grandfathered patients from a </w:t>
      </w:r>
      <w:proofErr w:type="spellStart"/>
      <w:r w:rsidRPr="00BE23C5">
        <w:rPr>
          <w:rFonts w:ascii="Arial Narrow" w:hAnsi="Arial Narrow"/>
          <w:sz w:val="18"/>
        </w:rPr>
        <w:t>neratinib</w:t>
      </w:r>
      <w:proofErr w:type="spellEnd"/>
      <w:r w:rsidRPr="00BE23C5">
        <w:rPr>
          <w:rFonts w:ascii="Arial Narrow" w:hAnsi="Arial Narrow"/>
          <w:sz w:val="18"/>
        </w:rPr>
        <w:t xml:space="preserve"> access program (total 150 patients in the program). Total </w:t>
      </w:r>
      <w:r w:rsidR="002A4F8C" w:rsidRPr="00BE23C5">
        <w:rPr>
          <w:rFonts w:ascii="Arial Narrow" w:hAnsi="Arial Narrow"/>
          <w:sz w:val="18"/>
        </w:rPr>
        <w:t>had been amended to include a</w:t>
      </w:r>
      <w:r w:rsidRPr="00BE23C5">
        <w:rPr>
          <w:rFonts w:ascii="Arial Narrow" w:hAnsi="Arial Narrow"/>
          <w:sz w:val="18"/>
        </w:rPr>
        <w:t xml:space="preserve">ll </w:t>
      </w:r>
      <w:r w:rsidR="002A4F8C" w:rsidRPr="00BE23C5">
        <w:rPr>
          <w:rFonts w:ascii="Arial Narrow" w:hAnsi="Arial Narrow"/>
          <w:sz w:val="18"/>
        </w:rPr>
        <w:t>a</w:t>
      </w:r>
      <w:r w:rsidRPr="00BE23C5">
        <w:rPr>
          <w:rFonts w:ascii="Arial Narrow" w:hAnsi="Arial Narrow"/>
          <w:sz w:val="18"/>
        </w:rPr>
        <w:t>ccess program patients.</w:t>
      </w:r>
    </w:p>
    <w:p w:rsidR="00E5119A" w:rsidRPr="00BE23C5" w:rsidRDefault="00E5119A" w:rsidP="00E5119A">
      <w:pPr>
        <w:keepNext/>
        <w:keepLines/>
        <w:widowControl/>
        <w:rPr>
          <w:rFonts w:ascii="Arial Narrow" w:hAnsi="Arial Narrow"/>
          <w:sz w:val="18"/>
        </w:rPr>
      </w:pPr>
      <w:r w:rsidRPr="00BE23C5">
        <w:rPr>
          <w:rFonts w:ascii="Arial Narrow" w:hAnsi="Arial Narrow"/>
          <w:sz w:val="18"/>
        </w:rPr>
        <w:t xml:space="preserve">**The reported net cost does not include </w:t>
      </w:r>
      <w:proofErr w:type="spellStart"/>
      <w:r w:rsidRPr="00BE23C5">
        <w:rPr>
          <w:rFonts w:ascii="Arial Narrow" w:hAnsi="Arial Narrow"/>
          <w:sz w:val="18"/>
        </w:rPr>
        <w:t>loperamide</w:t>
      </w:r>
      <w:proofErr w:type="spellEnd"/>
      <w:r w:rsidRPr="00BE23C5">
        <w:rPr>
          <w:rFonts w:ascii="Arial Narrow" w:hAnsi="Arial Narrow"/>
          <w:sz w:val="18"/>
        </w:rPr>
        <w:t xml:space="preserve"> co-payments. Corrected net cost in italics.</w:t>
      </w:r>
    </w:p>
    <w:p w:rsidR="00E5119A" w:rsidRPr="00BE23C5" w:rsidRDefault="00E5119A" w:rsidP="00E5119A">
      <w:pPr>
        <w:keepNext/>
        <w:keepLines/>
        <w:widowControl/>
        <w:rPr>
          <w:rFonts w:ascii="Arial Narrow" w:hAnsi="Arial Narrow"/>
          <w:sz w:val="18"/>
        </w:rPr>
      </w:pPr>
      <w:r w:rsidRPr="00BE23C5">
        <w:rPr>
          <w:rFonts w:ascii="Arial Narrow" w:hAnsi="Arial Narrow"/>
          <w:sz w:val="18"/>
        </w:rPr>
        <w:t>***The reported cost of outpatient MBS services was calculated using 100% of the MBS fee. Corrections made with the 85% benefit in italics.</w:t>
      </w:r>
    </w:p>
    <w:p w:rsidR="00E5119A" w:rsidRPr="00BE23C5" w:rsidRDefault="00E5119A" w:rsidP="00E5119A">
      <w:pPr>
        <w:pStyle w:val="TableFooter"/>
        <w:keepNext/>
        <w:keepLines/>
        <w:rPr>
          <w:rStyle w:val="CommentReference"/>
        </w:rPr>
      </w:pPr>
      <w:r w:rsidRPr="00BE23C5">
        <w:t>Source: Tables 63 and 64, p130 of the submission.</w:t>
      </w:r>
    </w:p>
    <w:p w:rsidR="00E5119A" w:rsidRPr="00BE23C5" w:rsidRDefault="00E5119A" w:rsidP="00E5119A">
      <w:pPr>
        <w:keepNext/>
        <w:keepLines/>
        <w:widowControl/>
        <w:rPr>
          <w:rFonts w:ascii="Arial Narrow" w:hAnsi="Arial Narrow"/>
          <w:sz w:val="18"/>
        </w:rPr>
      </w:pPr>
      <w:r w:rsidRPr="00BE23C5">
        <w:rPr>
          <w:rFonts w:ascii="Arial Narrow" w:hAnsi="Arial Narrow"/>
          <w:sz w:val="18"/>
        </w:rPr>
        <w:t>PBS: pharmaceutical benefits scheme; RPBS: repatriation schedule of pharmaceutical benefits; MBS: Medicare benefits schedule; DHS: department of human services.</w:t>
      </w:r>
    </w:p>
    <w:p w:rsidR="00974DE0" w:rsidRPr="00974DE0" w:rsidRDefault="00974DE0" w:rsidP="001159DF">
      <w:pPr>
        <w:widowControl/>
        <w:spacing w:before="120" w:after="120"/>
        <w:rPr>
          <w:i/>
        </w:rPr>
      </w:pPr>
      <w:r>
        <w:rPr>
          <w:i/>
        </w:rPr>
        <w:t xml:space="preserve">The redacted table shows that at Year 6, the estimated number of patients was less than 10,000 and the net cost to the PBS would be $60 to $100 million. </w:t>
      </w:r>
    </w:p>
    <w:p w:rsidR="00E5119A" w:rsidRPr="00BE23C5" w:rsidRDefault="00E5119A" w:rsidP="001159DF">
      <w:pPr>
        <w:pStyle w:val="ListParagraph"/>
        <w:widowControl/>
        <w:numPr>
          <w:ilvl w:val="1"/>
          <w:numId w:val="2"/>
        </w:numPr>
        <w:spacing w:before="120" w:after="120"/>
      </w:pPr>
      <w:r w:rsidRPr="00BE23C5">
        <w:t>The submission nominated the market size and uptake rate as potential sources of uncertainty in the financial estimates. No sensitivity analyses of the financial impact were conducted.</w:t>
      </w:r>
    </w:p>
    <w:p w:rsidR="00B634CB" w:rsidRPr="00BE23C5" w:rsidRDefault="00B634CB" w:rsidP="001159DF">
      <w:pPr>
        <w:pStyle w:val="ListParagraph"/>
        <w:widowControl/>
        <w:numPr>
          <w:ilvl w:val="1"/>
          <w:numId w:val="2"/>
        </w:numPr>
        <w:spacing w:before="120" w:after="120"/>
      </w:pPr>
      <w:r w:rsidRPr="00BE23C5">
        <w:t xml:space="preserve">The DUSC </w:t>
      </w:r>
      <w:r w:rsidR="00A105C1" w:rsidRPr="00BE23C5">
        <w:t xml:space="preserve">considered the submission’s estimates </w:t>
      </w:r>
      <w:r w:rsidR="000056D4" w:rsidRPr="00BE23C5">
        <w:t xml:space="preserve">of both patients electing treatment and patients completing 12 month treatment </w:t>
      </w:r>
      <w:r w:rsidR="00A105C1" w:rsidRPr="00BE23C5">
        <w:t xml:space="preserve">are likely to be overestimated. Table </w:t>
      </w:r>
      <w:r w:rsidR="00581D25" w:rsidRPr="00BE23C5">
        <w:t xml:space="preserve">18 </w:t>
      </w:r>
      <w:r w:rsidR="00A105C1" w:rsidRPr="00BE23C5">
        <w:t xml:space="preserve">shows the DUSC’s </w:t>
      </w:r>
      <w:r w:rsidRPr="00BE23C5">
        <w:t>revised utilisation estimates:</w:t>
      </w:r>
    </w:p>
    <w:p w:rsidR="00B634CB" w:rsidRPr="00BE23C5" w:rsidRDefault="00B634CB" w:rsidP="007F5EE0">
      <w:pPr>
        <w:keepNext/>
        <w:keepLines/>
        <w:rPr>
          <w:rFonts w:ascii="Arial Narrow" w:hAnsi="Arial Narrow"/>
          <w:b/>
          <w:sz w:val="20"/>
          <w:szCs w:val="20"/>
        </w:rPr>
      </w:pPr>
      <w:r w:rsidRPr="00BE23C5">
        <w:rPr>
          <w:rFonts w:ascii="Arial Narrow" w:hAnsi="Arial Narrow"/>
          <w:b/>
          <w:sz w:val="20"/>
          <w:szCs w:val="20"/>
        </w:rPr>
        <w:lastRenderedPageBreak/>
        <w:t xml:space="preserve">Table </w:t>
      </w:r>
      <w:r w:rsidR="00581D25" w:rsidRPr="00BE23C5">
        <w:rPr>
          <w:rFonts w:ascii="Arial Narrow" w:hAnsi="Arial Narrow"/>
          <w:b/>
          <w:sz w:val="20"/>
          <w:szCs w:val="20"/>
        </w:rPr>
        <w:t>18</w:t>
      </w:r>
      <w:r w:rsidRPr="00BE23C5">
        <w:rPr>
          <w:rFonts w:ascii="Arial Narrow" w:hAnsi="Arial Narrow"/>
          <w:b/>
          <w:sz w:val="20"/>
          <w:szCs w:val="20"/>
        </w:rPr>
        <w:t>: Comparison of submission and DUSC revised estimates of patient numbers</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Caption w:val="Table 18: Comparison of submission and DUSC revised estimates of patient numbers"/>
      </w:tblPr>
      <w:tblGrid>
        <w:gridCol w:w="4670"/>
        <w:gridCol w:w="732"/>
        <w:gridCol w:w="732"/>
        <w:gridCol w:w="733"/>
        <w:gridCol w:w="732"/>
        <w:gridCol w:w="732"/>
        <w:gridCol w:w="733"/>
      </w:tblGrid>
      <w:tr w:rsidR="00B634CB" w:rsidRPr="00BE23C5" w:rsidTr="00E21008">
        <w:trPr>
          <w:trHeight w:val="170"/>
        </w:trPr>
        <w:tc>
          <w:tcPr>
            <w:tcW w:w="4670" w:type="dxa"/>
            <w:shd w:val="clear" w:color="auto" w:fill="auto"/>
            <w:tcMar>
              <w:top w:w="12" w:type="dxa"/>
              <w:left w:w="12" w:type="dxa"/>
              <w:bottom w:w="0" w:type="dxa"/>
              <w:right w:w="12" w:type="dxa"/>
            </w:tcMar>
            <w:vAlign w:val="bottom"/>
            <w:hideMark/>
          </w:tcPr>
          <w:p w:rsidR="00B634CB" w:rsidRPr="00BE23C5" w:rsidRDefault="00B634CB" w:rsidP="007F5EE0">
            <w:pPr>
              <w:keepNext/>
              <w:keepLines/>
              <w:widowControl/>
              <w:jc w:val="left"/>
              <w:rPr>
                <w:rFonts w:ascii="Arial Narrow" w:hAnsi="Arial Narrow" w:cstheme="minorHAnsi"/>
                <w:b/>
                <w:sz w:val="20"/>
              </w:rPr>
            </w:pPr>
          </w:p>
        </w:tc>
        <w:tc>
          <w:tcPr>
            <w:tcW w:w="732" w:type="dxa"/>
            <w:shd w:val="clear" w:color="auto" w:fill="BFBFBF" w:themeFill="background1" w:themeFillShade="BF"/>
            <w:tcMar>
              <w:top w:w="12" w:type="dxa"/>
              <w:left w:w="12" w:type="dxa"/>
              <w:bottom w:w="0" w:type="dxa"/>
              <w:right w:w="12" w:type="dxa"/>
            </w:tcMar>
            <w:vAlign w:val="center"/>
            <w:hideMark/>
          </w:tcPr>
          <w:p w:rsidR="00B634CB" w:rsidRPr="00BE23C5" w:rsidRDefault="00B634CB" w:rsidP="007F5EE0">
            <w:pPr>
              <w:keepNext/>
              <w:keepLines/>
              <w:widowControl/>
              <w:jc w:val="center"/>
              <w:rPr>
                <w:rFonts w:ascii="Arial Narrow" w:hAnsi="Arial Narrow" w:cstheme="minorHAnsi"/>
                <w:b/>
                <w:sz w:val="20"/>
              </w:rPr>
            </w:pPr>
            <w:r w:rsidRPr="00BE23C5">
              <w:rPr>
                <w:rFonts w:ascii="Arial Narrow" w:hAnsi="Arial Narrow" w:cstheme="minorHAnsi"/>
                <w:b/>
                <w:bCs/>
                <w:sz w:val="20"/>
              </w:rPr>
              <w:t>2020</w:t>
            </w:r>
          </w:p>
        </w:tc>
        <w:tc>
          <w:tcPr>
            <w:tcW w:w="732" w:type="dxa"/>
            <w:shd w:val="clear" w:color="auto" w:fill="BFBFBF" w:themeFill="background1" w:themeFillShade="BF"/>
            <w:tcMar>
              <w:top w:w="12" w:type="dxa"/>
              <w:left w:w="12" w:type="dxa"/>
              <w:bottom w:w="0" w:type="dxa"/>
              <w:right w:w="12" w:type="dxa"/>
            </w:tcMar>
            <w:vAlign w:val="center"/>
            <w:hideMark/>
          </w:tcPr>
          <w:p w:rsidR="00B634CB" w:rsidRPr="00BE23C5" w:rsidRDefault="00B634CB" w:rsidP="007F5EE0">
            <w:pPr>
              <w:keepNext/>
              <w:keepLines/>
              <w:widowControl/>
              <w:jc w:val="center"/>
              <w:rPr>
                <w:rFonts w:ascii="Arial Narrow" w:hAnsi="Arial Narrow" w:cstheme="minorHAnsi"/>
                <w:b/>
                <w:sz w:val="20"/>
              </w:rPr>
            </w:pPr>
            <w:r w:rsidRPr="00BE23C5">
              <w:rPr>
                <w:rFonts w:ascii="Arial Narrow" w:hAnsi="Arial Narrow" w:cstheme="minorHAnsi"/>
                <w:b/>
                <w:bCs/>
                <w:sz w:val="20"/>
              </w:rPr>
              <w:t>2021</w:t>
            </w:r>
          </w:p>
        </w:tc>
        <w:tc>
          <w:tcPr>
            <w:tcW w:w="733" w:type="dxa"/>
            <w:shd w:val="clear" w:color="auto" w:fill="BFBFBF" w:themeFill="background1" w:themeFillShade="BF"/>
            <w:tcMar>
              <w:top w:w="12" w:type="dxa"/>
              <w:left w:w="12" w:type="dxa"/>
              <w:bottom w:w="0" w:type="dxa"/>
              <w:right w:w="12" w:type="dxa"/>
            </w:tcMar>
            <w:vAlign w:val="center"/>
            <w:hideMark/>
          </w:tcPr>
          <w:p w:rsidR="00B634CB" w:rsidRPr="00BE23C5" w:rsidRDefault="00B634CB" w:rsidP="007F5EE0">
            <w:pPr>
              <w:keepNext/>
              <w:keepLines/>
              <w:widowControl/>
              <w:jc w:val="center"/>
              <w:rPr>
                <w:rFonts w:ascii="Arial Narrow" w:hAnsi="Arial Narrow" w:cstheme="minorHAnsi"/>
                <w:b/>
                <w:sz w:val="20"/>
              </w:rPr>
            </w:pPr>
            <w:r w:rsidRPr="00BE23C5">
              <w:rPr>
                <w:rFonts w:ascii="Arial Narrow" w:hAnsi="Arial Narrow" w:cstheme="minorHAnsi"/>
                <w:b/>
                <w:bCs/>
                <w:sz w:val="20"/>
              </w:rPr>
              <w:t>2022</w:t>
            </w:r>
          </w:p>
        </w:tc>
        <w:tc>
          <w:tcPr>
            <w:tcW w:w="732" w:type="dxa"/>
            <w:shd w:val="clear" w:color="auto" w:fill="BFBFBF" w:themeFill="background1" w:themeFillShade="BF"/>
            <w:tcMar>
              <w:top w:w="12" w:type="dxa"/>
              <w:left w:w="12" w:type="dxa"/>
              <w:bottom w:w="0" w:type="dxa"/>
              <w:right w:w="12" w:type="dxa"/>
            </w:tcMar>
            <w:vAlign w:val="center"/>
            <w:hideMark/>
          </w:tcPr>
          <w:p w:rsidR="00B634CB" w:rsidRPr="00BE23C5" w:rsidRDefault="00B634CB" w:rsidP="007F5EE0">
            <w:pPr>
              <w:keepNext/>
              <w:keepLines/>
              <w:widowControl/>
              <w:jc w:val="center"/>
              <w:rPr>
                <w:rFonts w:ascii="Arial Narrow" w:hAnsi="Arial Narrow" w:cstheme="minorHAnsi"/>
                <w:b/>
                <w:sz w:val="20"/>
              </w:rPr>
            </w:pPr>
            <w:r w:rsidRPr="00BE23C5">
              <w:rPr>
                <w:rFonts w:ascii="Arial Narrow" w:hAnsi="Arial Narrow" w:cstheme="minorHAnsi"/>
                <w:b/>
                <w:bCs/>
                <w:sz w:val="20"/>
              </w:rPr>
              <w:t>2023</w:t>
            </w:r>
          </w:p>
        </w:tc>
        <w:tc>
          <w:tcPr>
            <w:tcW w:w="732" w:type="dxa"/>
            <w:shd w:val="clear" w:color="auto" w:fill="BFBFBF" w:themeFill="background1" w:themeFillShade="BF"/>
            <w:tcMar>
              <w:top w:w="12" w:type="dxa"/>
              <w:left w:w="12" w:type="dxa"/>
              <w:bottom w:w="0" w:type="dxa"/>
              <w:right w:w="12" w:type="dxa"/>
            </w:tcMar>
            <w:vAlign w:val="center"/>
            <w:hideMark/>
          </w:tcPr>
          <w:p w:rsidR="00B634CB" w:rsidRPr="00BE23C5" w:rsidRDefault="00B634CB" w:rsidP="007F5EE0">
            <w:pPr>
              <w:keepNext/>
              <w:keepLines/>
              <w:widowControl/>
              <w:jc w:val="center"/>
              <w:rPr>
                <w:rFonts w:ascii="Arial Narrow" w:hAnsi="Arial Narrow" w:cstheme="minorHAnsi"/>
                <w:b/>
                <w:sz w:val="20"/>
              </w:rPr>
            </w:pPr>
            <w:r w:rsidRPr="00BE23C5">
              <w:rPr>
                <w:rFonts w:ascii="Arial Narrow" w:hAnsi="Arial Narrow" w:cstheme="minorHAnsi"/>
                <w:b/>
                <w:bCs/>
                <w:sz w:val="20"/>
              </w:rPr>
              <w:t>2024</w:t>
            </w:r>
          </w:p>
        </w:tc>
        <w:tc>
          <w:tcPr>
            <w:tcW w:w="733" w:type="dxa"/>
            <w:shd w:val="clear" w:color="auto" w:fill="BFBFBF" w:themeFill="background1" w:themeFillShade="BF"/>
            <w:tcMar>
              <w:top w:w="12" w:type="dxa"/>
              <w:left w:w="12" w:type="dxa"/>
              <w:bottom w:w="0" w:type="dxa"/>
              <w:right w:w="12" w:type="dxa"/>
            </w:tcMar>
            <w:vAlign w:val="center"/>
            <w:hideMark/>
          </w:tcPr>
          <w:p w:rsidR="00B634CB" w:rsidRPr="00BE23C5" w:rsidRDefault="00B634CB" w:rsidP="007F5EE0">
            <w:pPr>
              <w:keepNext/>
              <w:keepLines/>
              <w:widowControl/>
              <w:jc w:val="center"/>
              <w:rPr>
                <w:rFonts w:ascii="Arial Narrow" w:hAnsi="Arial Narrow" w:cstheme="minorHAnsi"/>
                <w:b/>
                <w:sz w:val="20"/>
              </w:rPr>
            </w:pPr>
            <w:r w:rsidRPr="00BE23C5">
              <w:rPr>
                <w:rFonts w:ascii="Arial Narrow" w:hAnsi="Arial Narrow" w:cstheme="minorHAnsi"/>
                <w:b/>
                <w:bCs/>
                <w:sz w:val="20"/>
              </w:rPr>
              <w:t>2025</w:t>
            </w:r>
          </w:p>
        </w:tc>
      </w:tr>
      <w:tr w:rsidR="00E21008" w:rsidRPr="00BE23C5" w:rsidTr="002E2BD7">
        <w:trPr>
          <w:trHeight w:val="170"/>
        </w:trPr>
        <w:tc>
          <w:tcPr>
            <w:tcW w:w="9064" w:type="dxa"/>
            <w:gridSpan w:val="7"/>
            <w:shd w:val="clear" w:color="auto" w:fill="BFBFBF" w:themeFill="background1" w:themeFillShade="BF"/>
            <w:tcMar>
              <w:top w:w="12" w:type="dxa"/>
              <w:left w:w="12" w:type="dxa"/>
              <w:bottom w:w="0" w:type="dxa"/>
              <w:right w:w="12" w:type="dxa"/>
            </w:tcMar>
            <w:vAlign w:val="bottom"/>
          </w:tcPr>
          <w:p w:rsidR="00E21008" w:rsidRPr="00BE23C5" w:rsidRDefault="00E21008" w:rsidP="007F5EE0">
            <w:pPr>
              <w:keepNext/>
              <w:keepLines/>
              <w:widowControl/>
              <w:jc w:val="left"/>
              <w:rPr>
                <w:rFonts w:ascii="Arial Narrow" w:hAnsi="Arial Narrow" w:cstheme="minorHAnsi"/>
                <w:b/>
                <w:bCs/>
                <w:sz w:val="20"/>
              </w:rPr>
            </w:pPr>
            <w:r w:rsidRPr="00BE23C5">
              <w:rPr>
                <w:rFonts w:ascii="Arial Narrow" w:hAnsi="Arial Narrow" w:cstheme="minorHAnsi"/>
                <w:b/>
                <w:sz w:val="20"/>
              </w:rPr>
              <w:t>Submission estimates</w:t>
            </w:r>
          </w:p>
        </w:tc>
      </w:tr>
      <w:tr w:rsidR="00B634CB" w:rsidRPr="00BE23C5" w:rsidTr="000056D4">
        <w:trPr>
          <w:trHeight w:val="170"/>
        </w:trPr>
        <w:tc>
          <w:tcPr>
            <w:tcW w:w="4670" w:type="dxa"/>
            <w:shd w:val="clear" w:color="auto" w:fill="auto"/>
            <w:tcMar>
              <w:top w:w="12" w:type="dxa"/>
              <w:left w:w="12" w:type="dxa"/>
              <w:bottom w:w="0" w:type="dxa"/>
              <w:right w:w="12" w:type="dxa"/>
            </w:tcMar>
            <w:vAlign w:val="bottom"/>
            <w:hideMark/>
          </w:tcPr>
          <w:p w:rsidR="00B634CB" w:rsidRPr="00BE23C5" w:rsidRDefault="00B634CB" w:rsidP="007F5EE0">
            <w:pPr>
              <w:keepNext/>
              <w:keepLines/>
              <w:widowControl/>
              <w:jc w:val="left"/>
              <w:rPr>
                <w:rFonts w:ascii="Arial Narrow" w:hAnsi="Arial Narrow" w:cstheme="minorHAnsi"/>
                <w:sz w:val="20"/>
              </w:rPr>
            </w:pPr>
            <w:r w:rsidRPr="00BE23C5">
              <w:rPr>
                <w:rFonts w:ascii="Arial Narrow" w:hAnsi="Arial Narrow" w:cstheme="minorHAnsi"/>
                <w:sz w:val="20"/>
              </w:rPr>
              <w:t xml:space="preserve">Patients initiating </w:t>
            </w:r>
            <w:proofErr w:type="spellStart"/>
            <w:r w:rsidRPr="00BE23C5">
              <w:rPr>
                <w:rFonts w:ascii="Arial Narrow" w:hAnsi="Arial Narrow" w:cstheme="minorHAnsi"/>
                <w:sz w:val="20"/>
              </w:rPr>
              <w:t>trastuzumab</w:t>
            </w:r>
            <w:proofErr w:type="spellEnd"/>
            <w:r w:rsidRPr="00BE23C5">
              <w:rPr>
                <w:rFonts w:ascii="Arial Narrow" w:hAnsi="Arial Narrow" w:cstheme="minorHAnsi"/>
                <w:sz w:val="20"/>
              </w:rPr>
              <w:t xml:space="preserve"> in previous year (PBS data, </w:t>
            </w:r>
            <w:r w:rsidR="00FC3C5B">
              <w:rPr>
                <w:rFonts w:ascii="Arial Narrow" w:hAnsi="Arial Narrow" w:cstheme="minorHAnsi"/>
                <w:noProof/>
                <w:color w:val="000000"/>
                <w:sz w:val="20"/>
                <w:highlight w:val="black"/>
              </w:rPr>
              <w:t>''''</w:t>
            </w:r>
            <w:r w:rsidRPr="00BE23C5">
              <w:rPr>
                <w:rFonts w:ascii="Arial Narrow" w:hAnsi="Arial Narrow" w:cstheme="minorHAnsi"/>
                <w:sz w:val="20"/>
              </w:rPr>
              <w:t>% growth)</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c>
          <w:tcPr>
            <w:tcW w:w="733"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c>
          <w:tcPr>
            <w:tcW w:w="733"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r>
      <w:tr w:rsidR="00B634CB" w:rsidRPr="00BE23C5" w:rsidTr="000056D4">
        <w:trPr>
          <w:trHeight w:val="170"/>
        </w:trPr>
        <w:tc>
          <w:tcPr>
            <w:tcW w:w="4670" w:type="dxa"/>
            <w:shd w:val="clear" w:color="auto" w:fill="auto"/>
            <w:tcMar>
              <w:top w:w="12" w:type="dxa"/>
              <w:left w:w="12" w:type="dxa"/>
              <w:bottom w:w="0" w:type="dxa"/>
              <w:right w:w="12" w:type="dxa"/>
            </w:tcMar>
            <w:vAlign w:val="bottom"/>
            <w:hideMark/>
          </w:tcPr>
          <w:p w:rsidR="00B634CB" w:rsidRPr="00BE23C5" w:rsidRDefault="00B634CB" w:rsidP="007F5EE0">
            <w:pPr>
              <w:keepNext/>
              <w:keepLines/>
              <w:widowControl/>
              <w:jc w:val="left"/>
              <w:rPr>
                <w:rFonts w:ascii="Arial Narrow" w:hAnsi="Arial Narrow" w:cstheme="minorHAnsi"/>
                <w:sz w:val="20"/>
              </w:rPr>
            </w:pPr>
            <w:r w:rsidRPr="00BE23C5">
              <w:rPr>
                <w:rFonts w:ascii="Arial Narrow" w:hAnsi="Arial Narrow" w:cstheme="minorHAnsi"/>
                <w:sz w:val="20"/>
              </w:rPr>
              <w:t xml:space="preserve">Patients who complete </w:t>
            </w:r>
            <w:proofErr w:type="spellStart"/>
            <w:r w:rsidRPr="00BE23C5">
              <w:rPr>
                <w:rFonts w:ascii="Arial Narrow" w:hAnsi="Arial Narrow" w:cstheme="minorHAnsi"/>
                <w:sz w:val="20"/>
              </w:rPr>
              <w:t>trastuzumab</w:t>
            </w:r>
            <w:proofErr w:type="spellEnd"/>
            <w:r w:rsidRPr="00BE23C5">
              <w:rPr>
                <w:rFonts w:ascii="Arial Narrow" w:hAnsi="Arial Narrow" w:cstheme="minorHAnsi"/>
                <w:sz w:val="20"/>
              </w:rPr>
              <w:t xml:space="preserve"> therapy (</w:t>
            </w:r>
            <w:proofErr w:type="gramStart"/>
            <w:r w:rsidR="00FC3C5B">
              <w:rPr>
                <w:rFonts w:ascii="Arial Narrow" w:hAnsi="Arial Narrow" w:cstheme="minorHAnsi"/>
                <w:noProof/>
                <w:color w:val="000000"/>
                <w:sz w:val="20"/>
                <w:highlight w:val="black"/>
              </w:rPr>
              <w:t>''''''''''</w:t>
            </w:r>
            <w:r w:rsidRPr="00BE23C5">
              <w:rPr>
                <w:rFonts w:ascii="Arial Narrow" w:hAnsi="Arial Narrow" w:cstheme="minorHAnsi"/>
                <w:sz w:val="20"/>
              </w:rPr>
              <w:t>%</w:t>
            </w:r>
            <w:proofErr w:type="gramEnd"/>
            <w:r w:rsidRPr="00BE23C5">
              <w:rPr>
                <w:rFonts w:ascii="Arial Narrow" w:hAnsi="Arial Narrow" w:cstheme="minorHAnsi"/>
                <w:sz w:val="20"/>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c>
          <w:tcPr>
            <w:tcW w:w="733"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c>
          <w:tcPr>
            <w:tcW w:w="733"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r>
      <w:tr w:rsidR="00B634CB" w:rsidRPr="00BE23C5" w:rsidTr="000056D4">
        <w:trPr>
          <w:trHeight w:val="170"/>
        </w:trPr>
        <w:tc>
          <w:tcPr>
            <w:tcW w:w="4670" w:type="dxa"/>
            <w:shd w:val="clear" w:color="auto" w:fill="auto"/>
            <w:tcMar>
              <w:top w:w="12" w:type="dxa"/>
              <w:left w:w="12" w:type="dxa"/>
              <w:bottom w:w="0" w:type="dxa"/>
              <w:right w:w="12" w:type="dxa"/>
            </w:tcMar>
            <w:vAlign w:val="bottom"/>
            <w:hideMark/>
          </w:tcPr>
          <w:p w:rsidR="00B634CB" w:rsidRPr="00BE23C5" w:rsidRDefault="00B634CB" w:rsidP="007F5EE0">
            <w:pPr>
              <w:keepNext/>
              <w:keepLines/>
              <w:widowControl/>
              <w:jc w:val="left"/>
              <w:rPr>
                <w:rFonts w:ascii="Arial Narrow" w:hAnsi="Arial Narrow" w:cstheme="minorHAnsi"/>
                <w:sz w:val="20"/>
              </w:rPr>
            </w:pPr>
            <w:r w:rsidRPr="00BE23C5">
              <w:rPr>
                <w:rFonts w:ascii="Arial Narrow" w:hAnsi="Arial Narrow" w:cstheme="minorHAnsi"/>
                <w:sz w:val="20"/>
              </w:rPr>
              <w:t>Patients who are hormone receptor positive (</w:t>
            </w:r>
            <w:proofErr w:type="gramStart"/>
            <w:r w:rsidR="00FC3C5B">
              <w:rPr>
                <w:rFonts w:ascii="Arial Narrow" w:hAnsi="Arial Narrow" w:cstheme="minorHAnsi"/>
                <w:noProof/>
                <w:color w:val="000000"/>
                <w:sz w:val="20"/>
                <w:highlight w:val="black"/>
              </w:rPr>
              <w:t>''''''</w:t>
            </w:r>
            <w:r w:rsidRPr="00BE23C5">
              <w:rPr>
                <w:rFonts w:ascii="Arial Narrow" w:hAnsi="Arial Narrow" w:cstheme="minorHAnsi"/>
                <w:sz w:val="20"/>
              </w:rPr>
              <w:t>%</w:t>
            </w:r>
            <w:proofErr w:type="gramEnd"/>
            <w:r w:rsidRPr="00BE23C5">
              <w:rPr>
                <w:rFonts w:ascii="Arial Narrow" w:hAnsi="Arial Narrow" w:cstheme="minorHAnsi"/>
                <w:sz w:val="20"/>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c>
          <w:tcPr>
            <w:tcW w:w="733"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c>
          <w:tcPr>
            <w:tcW w:w="733"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sz w:val="20"/>
                <w:highlight w:val="black"/>
              </w:rPr>
            </w:pPr>
            <w:r>
              <w:rPr>
                <w:rFonts w:ascii="Arial Narrow" w:hAnsi="Arial Narrow" w:cstheme="minorHAnsi"/>
                <w:noProof/>
                <w:color w:val="000000"/>
                <w:sz w:val="20"/>
                <w:highlight w:val="black"/>
              </w:rPr>
              <w:t>''''''''''''''</w:t>
            </w:r>
          </w:p>
        </w:tc>
      </w:tr>
      <w:tr w:rsidR="00B634CB" w:rsidRPr="00BE23C5" w:rsidTr="000056D4">
        <w:trPr>
          <w:trHeight w:val="170"/>
        </w:trPr>
        <w:tc>
          <w:tcPr>
            <w:tcW w:w="4670" w:type="dxa"/>
            <w:shd w:val="clear" w:color="auto" w:fill="auto"/>
            <w:tcMar>
              <w:top w:w="12" w:type="dxa"/>
              <w:left w:w="12" w:type="dxa"/>
              <w:bottom w:w="0" w:type="dxa"/>
              <w:right w:w="12" w:type="dxa"/>
            </w:tcMar>
            <w:vAlign w:val="bottom"/>
            <w:hideMark/>
          </w:tcPr>
          <w:p w:rsidR="00B634CB" w:rsidRPr="00BE23C5" w:rsidRDefault="00B634CB" w:rsidP="007F5EE0">
            <w:pPr>
              <w:keepNext/>
              <w:keepLines/>
              <w:widowControl/>
              <w:jc w:val="left"/>
              <w:rPr>
                <w:rFonts w:ascii="Arial Narrow" w:hAnsi="Arial Narrow" w:cstheme="minorHAnsi"/>
                <w:sz w:val="20"/>
              </w:rPr>
            </w:pPr>
            <w:r w:rsidRPr="00BE23C5">
              <w:rPr>
                <w:rFonts w:ascii="Arial Narrow" w:hAnsi="Arial Narrow" w:cstheme="minorHAnsi"/>
                <w:sz w:val="20"/>
              </w:rPr>
              <w:t>% Patients electing treatment (</w:t>
            </w:r>
            <w:r w:rsidRPr="00BB03D0">
              <w:rPr>
                <w:rFonts w:ascii="Arial Narrow" w:hAnsi="Arial Narrow" w:cstheme="minorHAnsi"/>
                <w:sz w:val="20"/>
              </w:rPr>
              <w:t>60</w:t>
            </w:r>
            <w:r w:rsidRPr="00BE23C5">
              <w:rPr>
                <w:rFonts w:ascii="Arial Narrow" w:hAnsi="Arial Narrow" w:cstheme="minorHAnsi"/>
                <w:sz w:val="20"/>
              </w:rPr>
              <w:t>-</w:t>
            </w:r>
            <w:r w:rsidRPr="00BB03D0">
              <w:rPr>
                <w:rFonts w:ascii="Arial Narrow" w:hAnsi="Arial Narrow" w:cstheme="minorHAnsi"/>
                <w:sz w:val="20"/>
              </w:rPr>
              <w:t>80</w:t>
            </w:r>
            <w:r w:rsidRPr="00BE23C5">
              <w:rPr>
                <w:rFonts w:ascii="Arial Narrow" w:hAnsi="Arial Narrow" w:cstheme="minorHAnsi"/>
                <w:sz w:val="20"/>
              </w:rPr>
              <w:t>%)</w:t>
            </w:r>
          </w:p>
        </w:tc>
        <w:tc>
          <w:tcPr>
            <w:tcW w:w="732" w:type="dxa"/>
            <w:shd w:val="clear" w:color="auto" w:fill="auto"/>
            <w:tcMar>
              <w:top w:w="12" w:type="dxa"/>
              <w:left w:w="12" w:type="dxa"/>
              <w:bottom w:w="0" w:type="dxa"/>
              <w:right w:w="12" w:type="dxa"/>
            </w:tcMar>
            <w:vAlign w:val="center"/>
            <w:hideMark/>
          </w:tcPr>
          <w:p w:rsidR="00B634CB" w:rsidRPr="00BE23C5" w:rsidRDefault="00FC3C5B" w:rsidP="007F5EE0">
            <w:pPr>
              <w:keepNext/>
              <w:keepLines/>
              <w:widowControl/>
              <w:jc w:val="center"/>
              <w:rPr>
                <w:rFonts w:ascii="Arial Narrow" w:hAnsi="Arial Narrow" w:cstheme="minorHAnsi"/>
                <w:sz w:val="20"/>
              </w:rPr>
            </w:pPr>
            <w:r>
              <w:rPr>
                <w:rFonts w:ascii="Arial Narrow" w:hAnsi="Arial Narrow" w:cstheme="minorHAnsi"/>
                <w:noProof/>
                <w:color w:val="000000"/>
                <w:sz w:val="20"/>
                <w:highlight w:val="black"/>
              </w:rPr>
              <w:t>'''''''</w:t>
            </w:r>
            <w:r w:rsidR="00B634CB" w:rsidRPr="00BE23C5">
              <w:rPr>
                <w:rFonts w:ascii="Arial Narrow" w:hAnsi="Arial Narrow" w:cstheme="minorHAnsi"/>
                <w:sz w:val="20"/>
              </w:rPr>
              <w:t>%</w:t>
            </w:r>
          </w:p>
        </w:tc>
        <w:tc>
          <w:tcPr>
            <w:tcW w:w="732" w:type="dxa"/>
            <w:shd w:val="clear" w:color="auto" w:fill="auto"/>
            <w:tcMar>
              <w:top w:w="12" w:type="dxa"/>
              <w:left w:w="12" w:type="dxa"/>
              <w:bottom w:w="0" w:type="dxa"/>
              <w:right w:w="12" w:type="dxa"/>
            </w:tcMar>
            <w:vAlign w:val="center"/>
            <w:hideMark/>
          </w:tcPr>
          <w:p w:rsidR="00B634CB" w:rsidRPr="00BE23C5" w:rsidRDefault="00FC3C5B" w:rsidP="007F5EE0">
            <w:pPr>
              <w:keepNext/>
              <w:keepLines/>
              <w:widowControl/>
              <w:jc w:val="center"/>
              <w:rPr>
                <w:rFonts w:ascii="Arial Narrow" w:hAnsi="Arial Narrow" w:cstheme="minorHAnsi"/>
                <w:sz w:val="20"/>
              </w:rPr>
            </w:pPr>
            <w:r>
              <w:rPr>
                <w:rFonts w:ascii="Arial Narrow" w:hAnsi="Arial Narrow" w:cstheme="minorHAnsi"/>
                <w:noProof/>
                <w:color w:val="000000"/>
                <w:sz w:val="20"/>
                <w:highlight w:val="black"/>
              </w:rPr>
              <w:t>'''''</w:t>
            </w:r>
            <w:r w:rsidR="00B634CB" w:rsidRPr="00BE23C5">
              <w:rPr>
                <w:rFonts w:ascii="Arial Narrow" w:hAnsi="Arial Narrow" w:cstheme="minorHAnsi"/>
                <w:sz w:val="20"/>
              </w:rPr>
              <w:t>%</w:t>
            </w:r>
          </w:p>
        </w:tc>
        <w:tc>
          <w:tcPr>
            <w:tcW w:w="733" w:type="dxa"/>
            <w:shd w:val="clear" w:color="auto" w:fill="auto"/>
            <w:tcMar>
              <w:top w:w="12" w:type="dxa"/>
              <w:left w:w="12" w:type="dxa"/>
              <w:bottom w:w="0" w:type="dxa"/>
              <w:right w:w="12" w:type="dxa"/>
            </w:tcMar>
            <w:vAlign w:val="center"/>
            <w:hideMark/>
          </w:tcPr>
          <w:p w:rsidR="00B634CB" w:rsidRPr="00BE23C5" w:rsidRDefault="00FC3C5B" w:rsidP="007F5EE0">
            <w:pPr>
              <w:keepNext/>
              <w:keepLines/>
              <w:widowControl/>
              <w:jc w:val="center"/>
              <w:rPr>
                <w:rFonts w:ascii="Arial Narrow" w:hAnsi="Arial Narrow" w:cstheme="minorHAnsi"/>
                <w:sz w:val="20"/>
              </w:rPr>
            </w:pPr>
            <w:r>
              <w:rPr>
                <w:rFonts w:ascii="Arial Narrow" w:hAnsi="Arial Narrow" w:cstheme="minorHAnsi"/>
                <w:noProof/>
                <w:color w:val="000000"/>
                <w:sz w:val="20"/>
                <w:highlight w:val="black"/>
              </w:rPr>
              <w:t>'''''</w:t>
            </w:r>
            <w:r w:rsidR="00B634CB" w:rsidRPr="00BE23C5">
              <w:rPr>
                <w:rFonts w:ascii="Arial Narrow" w:hAnsi="Arial Narrow" w:cstheme="minorHAnsi"/>
                <w:sz w:val="20"/>
              </w:rPr>
              <w:t>%</w:t>
            </w:r>
          </w:p>
        </w:tc>
        <w:tc>
          <w:tcPr>
            <w:tcW w:w="732" w:type="dxa"/>
            <w:shd w:val="clear" w:color="auto" w:fill="auto"/>
            <w:tcMar>
              <w:top w:w="12" w:type="dxa"/>
              <w:left w:w="12" w:type="dxa"/>
              <w:bottom w:w="0" w:type="dxa"/>
              <w:right w:w="12" w:type="dxa"/>
            </w:tcMar>
            <w:vAlign w:val="center"/>
            <w:hideMark/>
          </w:tcPr>
          <w:p w:rsidR="00B634CB" w:rsidRPr="00BE23C5" w:rsidRDefault="00FC3C5B" w:rsidP="007F5EE0">
            <w:pPr>
              <w:keepNext/>
              <w:keepLines/>
              <w:widowControl/>
              <w:jc w:val="center"/>
              <w:rPr>
                <w:rFonts w:ascii="Arial Narrow" w:hAnsi="Arial Narrow" w:cstheme="minorHAnsi"/>
                <w:sz w:val="20"/>
              </w:rPr>
            </w:pPr>
            <w:r>
              <w:rPr>
                <w:rFonts w:ascii="Arial Narrow" w:hAnsi="Arial Narrow" w:cstheme="minorHAnsi"/>
                <w:noProof/>
                <w:color w:val="000000"/>
                <w:sz w:val="20"/>
                <w:highlight w:val="black"/>
              </w:rPr>
              <w:t>''''''</w:t>
            </w:r>
            <w:r w:rsidR="00B634CB" w:rsidRPr="00BE23C5">
              <w:rPr>
                <w:rFonts w:ascii="Arial Narrow" w:hAnsi="Arial Narrow" w:cstheme="minorHAnsi"/>
                <w:sz w:val="20"/>
              </w:rPr>
              <w:t>%</w:t>
            </w:r>
          </w:p>
        </w:tc>
        <w:tc>
          <w:tcPr>
            <w:tcW w:w="732" w:type="dxa"/>
            <w:shd w:val="clear" w:color="auto" w:fill="auto"/>
            <w:tcMar>
              <w:top w:w="12" w:type="dxa"/>
              <w:left w:w="12" w:type="dxa"/>
              <w:bottom w:w="0" w:type="dxa"/>
              <w:right w:w="12" w:type="dxa"/>
            </w:tcMar>
            <w:vAlign w:val="center"/>
            <w:hideMark/>
          </w:tcPr>
          <w:p w:rsidR="00B634CB" w:rsidRPr="00BE23C5" w:rsidRDefault="00FC3C5B" w:rsidP="007F5EE0">
            <w:pPr>
              <w:keepNext/>
              <w:keepLines/>
              <w:widowControl/>
              <w:jc w:val="center"/>
              <w:rPr>
                <w:rFonts w:ascii="Arial Narrow" w:hAnsi="Arial Narrow" w:cstheme="minorHAnsi"/>
                <w:sz w:val="20"/>
              </w:rPr>
            </w:pPr>
            <w:r>
              <w:rPr>
                <w:rFonts w:ascii="Arial Narrow" w:hAnsi="Arial Narrow" w:cstheme="minorHAnsi"/>
                <w:noProof/>
                <w:color w:val="000000"/>
                <w:sz w:val="20"/>
                <w:highlight w:val="black"/>
              </w:rPr>
              <w:t>''''''</w:t>
            </w:r>
            <w:r w:rsidR="00B634CB" w:rsidRPr="00BE23C5">
              <w:rPr>
                <w:rFonts w:ascii="Arial Narrow" w:hAnsi="Arial Narrow" w:cstheme="minorHAnsi"/>
                <w:sz w:val="20"/>
              </w:rPr>
              <w:t>%</w:t>
            </w:r>
          </w:p>
        </w:tc>
        <w:tc>
          <w:tcPr>
            <w:tcW w:w="733" w:type="dxa"/>
            <w:shd w:val="clear" w:color="auto" w:fill="auto"/>
            <w:tcMar>
              <w:top w:w="12" w:type="dxa"/>
              <w:left w:w="12" w:type="dxa"/>
              <w:bottom w:w="0" w:type="dxa"/>
              <w:right w:w="12" w:type="dxa"/>
            </w:tcMar>
            <w:vAlign w:val="center"/>
            <w:hideMark/>
          </w:tcPr>
          <w:p w:rsidR="00B634CB" w:rsidRPr="00BE23C5" w:rsidRDefault="00FC3C5B" w:rsidP="007F5EE0">
            <w:pPr>
              <w:keepNext/>
              <w:keepLines/>
              <w:widowControl/>
              <w:jc w:val="center"/>
              <w:rPr>
                <w:rFonts w:ascii="Arial Narrow" w:hAnsi="Arial Narrow" w:cstheme="minorHAnsi"/>
                <w:sz w:val="20"/>
              </w:rPr>
            </w:pPr>
            <w:r>
              <w:rPr>
                <w:rFonts w:ascii="Arial Narrow" w:hAnsi="Arial Narrow" w:cstheme="minorHAnsi"/>
                <w:noProof/>
                <w:color w:val="000000"/>
                <w:sz w:val="20"/>
                <w:highlight w:val="black"/>
              </w:rPr>
              <w:t>'''''''</w:t>
            </w:r>
            <w:r w:rsidR="00B634CB" w:rsidRPr="00BE23C5">
              <w:rPr>
                <w:rFonts w:ascii="Arial Narrow" w:hAnsi="Arial Narrow" w:cstheme="minorHAnsi"/>
                <w:sz w:val="20"/>
              </w:rPr>
              <w:t>%</w:t>
            </w:r>
          </w:p>
        </w:tc>
      </w:tr>
      <w:tr w:rsidR="00B634CB" w:rsidRPr="00BE23C5" w:rsidTr="000056D4">
        <w:trPr>
          <w:trHeight w:val="170"/>
        </w:trPr>
        <w:tc>
          <w:tcPr>
            <w:tcW w:w="4670" w:type="dxa"/>
            <w:shd w:val="clear" w:color="auto" w:fill="auto"/>
            <w:tcMar>
              <w:top w:w="12" w:type="dxa"/>
              <w:left w:w="12" w:type="dxa"/>
              <w:bottom w:w="0" w:type="dxa"/>
              <w:right w:w="12" w:type="dxa"/>
            </w:tcMar>
            <w:vAlign w:val="bottom"/>
            <w:hideMark/>
          </w:tcPr>
          <w:p w:rsidR="00B634CB" w:rsidRPr="00BE23C5" w:rsidRDefault="00B634CB" w:rsidP="007F5EE0">
            <w:pPr>
              <w:keepNext/>
              <w:keepLines/>
              <w:widowControl/>
              <w:jc w:val="left"/>
              <w:rPr>
                <w:rFonts w:ascii="Arial Narrow" w:hAnsi="Arial Narrow" w:cstheme="minorHAnsi"/>
                <w:b/>
                <w:sz w:val="20"/>
              </w:rPr>
            </w:pPr>
            <w:r w:rsidRPr="00BE23C5">
              <w:rPr>
                <w:rFonts w:ascii="Arial Narrow" w:hAnsi="Arial Narrow" w:cstheme="minorHAnsi"/>
                <w:b/>
                <w:sz w:val="20"/>
              </w:rPr>
              <w:t>Patients electing treatment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b/>
                <w:sz w:val="20"/>
                <w:highlight w:val="black"/>
              </w:rPr>
            </w:pPr>
            <w:r>
              <w:rPr>
                <w:rFonts w:ascii="Arial Narrow" w:hAnsi="Arial Narrow" w:cstheme="minorHAnsi"/>
                <w:b/>
                <w:noProof/>
                <w:color w:val="000000"/>
                <w:sz w:val="20"/>
                <w:highlight w:val="black"/>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b/>
                <w:sz w:val="20"/>
                <w:highlight w:val="black"/>
              </w:rPr>
            </w:pPr>
            <w:r>
              <w:rPr>
                <w:rFonts w:ascii="Arial Narrow" w:hAnsi="Arial Narrow" w:cstheme="minorHAnsi"/>
                <w:b/>
                <w:noProof/>
                <w:color w:val="000000"/>
                <w:sz w:val="20"/>
                <w:highlight w:val="black"/>
              </w:rPr>
              <w:t>''''''''''</w:t>
            </w:r>
          </w:p>
        </w:tc>
        <w:tc>
          <w:tcPr>
            <w:tcW w:w="733"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b/>
                <w:sz w:val="20"/>
                <w:highlight w:val="black"/>
              </w:rPr>
            </w:pPr>
            <w:r>
              <w:rPr>
                <w:rFonts w:ascii="Arial Narrow" w:hAnsi="Arial Narrow" w:cstheme="minorHAnsi"/>
                <w:b/>
                <w:noProof/>
                <w:color w:val="000000"/>
                <w:sz w:val="20"/>
                <w:highlight w:val="black"/>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b/>
                <w:sz w:val="20"/>
                <w:highlight w:val="black"/>
              </w:rPr>
            </w:pPr>
            <w:r>
              <w:rPr>
                <w:rFonts w:ascii="Arial Narrow" w:hAnsi="Arial Narrow" w:cstheme="minorHAnsi"/>
                <w:b/>
                <w:noProof/>
                <w:color w:val="000000"/>
                <w:sz w:val="20"/>
                <w:highlight w:val="black"/>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b/>
                <w:sz w:val="20"/>
                <w:highlight w:val="black"/>
              </w:rPr>
            </w:pPr>
            <w:r>
              <w:rPr>
                <w:rFonts w:ascii="Arial Narrow" w:hAnsi="Arial Narrow" w:cstheme="minorHAnsi"/>
                <w:b/>
                <w:noProof/>
                <w:color w:val="000000"/>
                <w:sz w:val="20"/>
                <w:highlight w:val="black"/>
              </w:rPr>
              <w:t>''''''''''''</w:t>
            </w:r>
          </w:p>
        </w:tc>
        <w:tc>
          <w:tcPr>
            <w:tcW w:w="733"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b/>
                <w:sz w:val="20"/>
                <w:highlight w:val="black"/>
              </w:rPr>
            </w:pPr>
            <w:r>
              <w:rPr>
                <w:rFonts w:ascii="Arial Narrow" w:hAnsi="Arial Narrow" w:cstheme="minorHAnsi"/>
                <w:b/>
                <w:noProof/>
                <w:color w:val="000000"/>
                <w:sz w:val="20"/>
                <w:highlight w:val="black"/>
              </w:rPr>
              <w:t>''''''''''</w:t>
            </w:r>
          </w:p>
        </w:tc>
      </w:tr>
      <w:tr w:rsidR="00B634CB" w:rsidRPr="00BE23C5" w:rsidTr="000056D4">
        <w:trPr>
          <w:trHeight w:val="170"/>
        </w:trPr>
        <w:tc>
          <w:tcPr>
            <w:tcW w:w="4670" w:type="dxa"/>
            <w:shd w:val="clear" w:color="auto" w:fill="auto"/>
            <w:tcMar>
              <w:top w:w="12" w:type="dxa"/>
              <w:left w:w="12" w:type="dxa"/>
              <w:bottom w:w="0" w:type="dxa"/>
              <w:right w:w="12" w:type="dxa"/>
            </w:tcMar>
            <w:vAlign w:val="bottom"/>
            <w:hideMark/>
          </w:tcPr>
          <w:p w:rsidR="00B634CB" w:rsidRPr="00BE23C5" w:rsidRDefault="00B634CB" w:rsidP="007F5EE0">
            <w:pPr>
              <w:keepNext/>
              <w:keepLines/>
              <w:widowControl/>
              <w:jc w:val="left"/>
              <w:rPr>
                <w:rFonts w:ascii="Arial Narrow" w:hAnsi="Arial Narrow" w:cstheme="minorHAnsi"/>
                <w:b/>
                <w:sz w:val="20"/>
              </w:rPr>
            </w:pPr>
            <w:r w:rsidRPr="00BE23C5">
              <w:rPr>
                <w:rFonts w:ascii="Arial Narrow" w:hAnsi="Arial Narrow" w:cstheme="minorHAnsi"/>
                <w:b/>
                <w:sz w:val="20"/>
              </w:rPr>
              <w:t>Patients completing 12 months treatment (</w:t>
            </w:r>
            <w:proofErr w:type="gramStart"/>
            <w:r w:rsidR="00FC3C5B">
              <w:rPr>
                <w:rFonts w:ascii="Arial Narrow" w:hAnsi="Arial Narrow" w:cstheme="minorHAnsi"/>
                <w:b/>
                <w:noProof/>
                <w:color w:val="000000"/>
                <w:sz w:val="20"/>
                <w:highlight w:val="black"/>
              </w:rPr>
              <w:t>''''''''</w:t>
            </w:r>
            <w:r w:rsidRPr="00BE23C5">
              <w:rPr>
                <w:rFonts w:ascii="Arial Narrow" w:hAnsi="Arial Narrow" w:cstheme="minorHAnsi"/>
                <w:b/>
                <w:sz w:val="20"/>
              </w:rPr>
              <w:t>%</w:t>
            </w:r>
            <w:proofErr w:type="gramEnd"/>
            <w:r w:rsidRPr="00BE23C5">
              <w:rPr>
                <w:rFonts w:ascii="Arial Narrow" w:hAnsi="Arial Narrow" w:cstheme="minorHAnsi"/>
                <w:b/>
                <w:sz w:val="20"/>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b/>
                <w:sz w:val="20"/>
                <w:highlight w:val="black"/>
              </w:rPr>
            </w:pPr>
            <w:r>
              <w:rPr>
                <w:rFonts w:ascii="Arial Narrow" w:hAnsi="Arial Narrow" w:cstheme="minorHAnsi"/>
                <w:b/>
                <w:bCs/>
                <w:noProof/>
                <w:color w:val="000000"/>
                <w:sz w:val="20"/>
                <w:highlight w:val="black"/>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b/>
                <w:sz w:val="20"/>
                <w:highlight w:val="black"/>
              </w:rPr>
            </w:pPr>
            <w:r>
              <w:rPr>
                <w:rFonts w:ascii="Arial Narrow" w:hAnsi="Arial Narrow" w:cstheme="minorHAnsi"/>
                <w:b/>
                <w:bCs/>
                <w:noProof/>
                <w:color w:val="000000"/>
                <w:sz w:val="20"/>
                <w:highlight w:val="black"/>
              </w:rPr>
              <w:t>'''''''</w:t>
            </w:r>
          </w:p>
        </w:tc>
        <w:tc>
          <w:tcPr>
            <w:tcW w:w="733"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b/>
                <w:sz w:val="20"/>
                <w:highlight w:val="black"/>
              </w:rPr>
            </w:pPr>
            <w:r>
              <w:rPr>
                <w:rFonts w:ascii="Arial Narrow" w:hAnsi="Arial Narrow" w:cstheme="minorHAnsi"/>
                <w:b/>
                <w:bCs/>
                <w:noProof/>
                <w:color w:val="000000"/>
                <w:sz w:val="20"/>
                <w:highlight w:val="black"/>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b/>
                <w:sz w:val="20"/>
                <w:highlight w:val="black"/>
              </w:rPr>
            </w:pPr>
            <w:r>
              <w:rPr>
                <w:rFonts w:ascii="Arial Narrow" w:hAnsi="Arial Narrow" w:cstheme="minorHAnsi"/>
                <w:b/>
                <w:bCs/>
                <w:noProof/>
                <w:color w:val="000000"/>
                <w:sz w:val="20"/>
                <w:highlight w:val="black"/>
              </w:rPr>
              <w:t>'''''''</w:t>
            </w:r>
          </w:p>
        </w:tc>
        <w:tc>
          <w:tcPr>
            <w:tcW w:w="732"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b/>
                <w:sz w:val="20"/>
                <w:highlight w:val="black"/>
              </w:rPr>
            </w:pPr>
            <w:r>
              <w:rPr>
                <w:rFonts w:ascii="Arial Narrow" w:hAnsi="Arial Narrow" w:cstheme="minorHAnsi"/>
                <w:b/>
                <w:bCs/>
                <w:noProof/>
                <w:color w:val="000000"/>
                <w:sz w:val="20"/>
                <w:highlight w:val="black"/>
              </w:rPr>
              <w:t>''''''''</w:t>
            </w:r>
          </w:p>
        </w:tc>
        <w:tc>
          <w:tcPr>
            <w:tcW w:w="733" w:type="dxa"/>
            <w:shd w:val="clear" w:color="auto" w:fill="auto"/>
            <w:tcMar>
              <w:top w:w="12" w:type="dxa"/>
              <w:left w:w="12" w:type="dxa"/>
              <w:bottom w:w="0" w:type="dxa"/>
              <w:right w:w="12" w:type="dxa"/>
            </w:tcMar>
            <w:vAlign w:val="center"/>
            <w:hideMark/>
          </w:tcPr>
          <w:p w:rsidR="00B634CB" w:rsidRPr="00FC3C5B" w:rsidRDefault="00FC3C5B" w:rsidP="007F5EE0">
            <w:pPr>
              <w:keepNext/>
              <w:keepLines/>
              <w:widowControl/>
              <w:jc w:val="center"/>
              <w:rPr>
                <w:rFonts w:ascii="Arial Narrow" w:hAnsi="Arial Narrow" w:cstheme="minorHAnsi"/>
                <w:b/>
                <w:sz w:val="20"/>
                <w:highlight w:val="black"/>
              </w:rPr>
            </w:pPr>
            <w:r>
              <w:rPr>
                <w:rFonts w:ascii="Arial Narrow" w:hAnsi="Arial Narrow" w:cstheme="minorHAnsi"/>
                <w:b/>
                <w:bCs/>
                <w:noProof/>
                <w:color w:val="000000"/>
                <w:sz w:val="20"/>
                <w:highlight w:val="black"/>
              </w:rPr>
              <w:t>''''''''''''</w:t>
            </w:r>
          </w:p>
        </w:tc>
      </w:tr>
      <w:tr w:rsidR="00E21008" w:rsidRPr="00BE23C5" w:rsidTr="002E2BD7">
        <w:trPr>
          <w:trHeight w:val="170"/>
        </w:trPr>
        <w:tc>
          <w:tcPr>
            <w:tcW w:w="9064" w:type="dxa"/>
            <w:gridSpan w:val="7"/>
            <w:shd w:val="clear" w:color="auto" w:fill="BFBFBF" w:themeFill="background1" w:themeFillShade="BF"/>
            <w:tcMar>
              <w:top w:w="12" w:type="dxa"/>
              <w:left w:w="12" w:type="dxa"/>
              <w:bottom w:w="0" w:type="dxa"/>
              <w:right w:w="12" w:type="dxa"/>
            </w:tcMar>
            <w:vAlign w:val="bottom"/>
          </w:tcPr>
          <w:p w:rsidR="00E21008" w:rsidRPr="00BE23C5" w:rsidRDefault="00E21008" w:rsidP="007F5EE0">
            <w:pPr>
              <w:keepNext/>
              <w:keepLines/>
              <w:widowControl/>
              <w:jc w:val="left"/>
              <w:rPr>
                <w:rFonts w:ascii="Arial Narrow" w:hAnsi="Arial Narrow" w:cstheme="minorHAnsi"/>
                <w:sz w:val="20"/>
              </w:rPr>
            </w:pPr>
            <w:r w:rsidRPr="00BE23C5">
              <w:rPr>
                <w:rFonts w:ascii="Arial Narrow" w:hAnsi="Arial Narrow" w:cstheme="minorHAnsi"/>
                <w:b/>
                <w:sz w:val="20"/>
              </w:rPr>
              <w:t>DUSC estimates</w:t>
            </w:r>
          </w:p>
        </w:tc>
      </w:tr>
      <w:tr w:rsidR="00B634CB" w:rsidRPr="00BE23C5" w:rsidTr="000056D4">
        <w:trPr>
          <w:trHeight w:val="170"/>
        </w:trPr>
        <w:tc>
          <w:tcPr>
            <w:tcW w:w="4670"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left"/>
              <w:rPr>
                <w:rFonts w:ascii="Arial Narrow" w:hAnsi="Arial Narrow" w:cstheme="minorHAnsi"/>
                <w:sz w:val="20"/>
              </w:rPr>
            </w:pPr>
            <w:r w:rsidRPr="00BE23C5">
              <w:rPr>
                <w:rFonts w:ascii="Arial Narrow" w:hAnsi="Arial Narrow" w:cstheme="minorHAnsi"/>
                <w:sz w:val="20"/>
              </w:rPr>
              <w:t xml:space="preserve">Patients initiating </w:t>
            </w:r>
            <w:proofErr w:type="spellStart"/>
            <w:r w:rsidRPr="00BE23C5">
              <w:rPr>
                <w:rFonts w:ascii="Arial Narrow" w:hAnsi="Arial Narrow" w:cstheme="minorHAnsi"/>
                <w:sz w:val="20"/>
              </w:rPr>
              <w:t>trastuzumab</w:t>
            </w:r>
            <w:proofErr w:type="spellEnd"/>
            <w:r w:rsidRPr="00BE23C5">
              <w:rPr>
                <w:rFonts w:ascii="Arial Narrow" w:hAnsi="Arial Narrow" w:cstheme="minorHAnsi"/>
                <w:sz w:val="20"/>
              </w:rPr>
              <w:t xml:space="preserve"> in previous year </w:t>
            </w:r>
            <w:r w:rsidRPr="00BE23C5">
              <w:rPr>
                <w:rFonts w:ascii="Arial Narrow" w:hAnsi="Arial Narrow" w:cstheme="minorHAnsi"/>
                <w:sz w:val="20"/>
              </w:rPr>
              <w:br/>
              <w:t>(DUSC data, 5% growth)</w:t>
            </w:r>
          </w:p>
        </w:tc>
        <w:tc>
          <w:tcPr>
            <w:tcW w:w="732" w:type="dxa"/>
            <w:shd w:val="clear" w:color="auto" w:fill="auto"/>
            <w:tcMar>
              <w:top w:w="12" w:type="dxa"/>
              <w:left w:w="12" w:type="dxa"/>
              <w:bottom w:w="0" w:type="dxa"/>
              <w:right w:w="12" w:type="dxa"/>
            </w:tcMar>
            <w:vAlign w:val="center"/>
          </w:tcPr>
          <w:p w:rsidR="00B634CB" w:rsidRPr="0073777B" w:rsidRDefault="00B634CB" w:rsidP="007F5EE0">
            <w:pPr>
              <w:keepNext/>
              <w:keepLines/>
              <w:widowControl/>
              <w:jc w:val="center"/>
              <w:rPr>
                <w:rFonts w:ascii="Arial Narrow" w:hAnsi="Arial Narrow" w:cstheme="minorHAnsi"/>
                <w:bCs/>
                <w:sz w:val="20"/>
              </w:rPr>
            </w:pPr>
            <w:r w:rsidRPr="0073777B">
              <w:rPr>
                <w:rFonts w:ascii="Arial Narrow" w:hAnsi="Arial Narrow" w:cstheme="minorHAnsi"/>
                <w:bCs/>
                <w:sz w:val="20"/>
              </w:rPr>
              <w:t>2,270</w:t>
            </w:r>
          </w:p>
        </w:tc>
        <w:tc>
          <w:tcPr>
            <w:tcW w:w="732" w:type="dxa"/>
            <w:shd w:val="clear" w:color="auto" w:fill="auto"/>
            <w:tcMar>
              <w:top w:w="12" w:type="dxa"/>
              <w:left w:w="12" w:type="dxa"/>
              <w:bottom w:w="0" w:type="dxa"/>
              <w:right w:w="12" w:type="dxa"/>
            </w:tcMar>
            <w:vAlign w:val="center"/>
          </w:tcPr>
          <w:p w:rsidR="00B634CB" w:rsidRPr="0073777B" w:rsidRDefault="00B634CB" w:rsidP="007F5EE0">
            <w:pPr>
              <w:keepNext/>
              <w:keepLines/>
              <w:widowControl/>
              <w:jc w:val="center"/>
              <w:rPr>
                <w:rFonts w:ascii="Arial Narrow" w:hAnsi="Arial Narrow" w:cstheme="minorHAnsi"/>
                <w:bCs/>
                <w:sz w:val="20"/>
              </w:rPr>
            </w:pPr>
            <w:r w:rsidRPr="0073777B">
              <w:rPr>
                <w:rFonts w:ascii="Arial Narrow" w:hAnsi="Arial Narrow" w:cstheme="minorHAnsi"/>
                <w:bCs/>
                <w:sz w:val="20"/>
              </w:rPr>
              <w:t>2,384</w:t>
            </w:r>
          </w:p>
        </w:tc>
        <w:tc>
          <w:tcPr>
            <w:tcW w:w="733" w:type="dxa"/>
            <w:shd w:val="clear" w:color="auto" w:fill="auto"/>
            <w:tcMar>
              <w:top w:w="12" w:type="dxa"/>
              <w:left w:w="12" w:type="dxa"/>
              <w:bottom w:w="0" w:type="dxa"/>
              <w:right w:w="12" w:type="dxa"/>
            </w:tcMar>
            <w:vAlign w:val="center"/>
          </w:tcPr>
          <w:p w:rsidR="00B634CB" w:rsidRPr="0073777B" w:rsidRDefault="00B634CB" w:rsidP="007F5EE0">
            <w:pPr>
              <w:keepNext/>
              <w:keepLines/>
              <w:widowControl/>
              <w:jc w:val="center"/>
              <w:rPr>
                <w:rFonts w:ascii="Arial Narrow" w:hAnsi="Arial Narrow" w:cstheme="minorHAnsi"/>
                <w:bCs/>
                <w:sz w:val="20"/>
              </w:rPr>
            </w:pPr>
            <w:r w:rsidRPr="0073777B">
              <w:rPr>
                <w:rFonts w:ascii="Arial Narrow" w:hAnsi="Arial Narrow" w:cstheme="minorHAnsi"/>
                <w:bCs/>
                <w:sz w:val="20"/>
              </w:rPr>
              <w:t>2,503</w:t>
            </w:r>
          </w:p>
        </w:tc>
        <w:tc>
          <w:tcPr>
            <w:tcW w:w="732" w:type="dxa"/>
            <w:shd w:val="clear" w:color="auto" w:fill="auto"/>
            <w:tcMar>
              <w:top w:w="12" w:type="dxa"/>
              <w:left w:w="12" w:type="dxa"/>
              <w:bottom w:w="0" w:type="dxa"/>
              <w:right w:w="12" w:type="dxa"/>
            </w:tcMar>
            <w:vAlign w:val="center"/>
          </w:tcPr>
          <w:p w:rsidR="00B634CB" w:rsidRPr="0073777B" w:rsidRDefault="00B634CB" w:rsidP="007F5EE0">
            <w:pPr>
              <w:keepNext/>
              <w:keepLines/>
              <w:widowControl/>
              <w:jc w:val="center"/>
              <w:rPr>
                <w:rFonts w:ascii="Arial Narrow" w:hAnsi="Arial Narrow" w:cstheme="minorHAnsi"/>
                <w:bCs/>
                <w:sz w:val="20"/>
              </w:rPr>
            </w:pPr>
            <w:r w:rsidRPr="0073777B">
              <w:rPr>
                <w:rFonts w:ascii="Arial Narrow" w:hAnsi="Arial Narrow" w:cstheme="minorHAnsi"/>
                <w:bCs/>
                <w:sz w:val="20"/>
              </w:rPr>
              <w:t>2,628</w:t>
            </w:r>
          </w:p>
        </w:tc>
        <w:tc>
          <w:tcPr>
            <w:tcW w:w="732" w:type="dxa"/>
            <w:shd w:val="clear" w:color="auto" w:fill="auto"/>
            <w:tcMar>
              <w:top w:w="12" w:type="dxa"/>
              <w:left w:w="12" w:type="dxa"/>
              <w:bottom w:w="0" w:type="dxa"/>
              <w:right w:w="12" w:type="dxa"/>
            </w:tcMar>
            <w:vAlign w:val="center"/>
          </w:tcPr>
          <w:p w:rsidR="00B634CB" w:rsidRPr="0073777B" w:rsidRDefault="00B634CB" w:rsidP="007F5EE0">
            <w:pPr>
              <w:keepNext/>
              <w:keepLines/>
              <w:widowControl/>
              <w:jc w:val="center"/>
              <w:rPr>
                <w:rFonts w:ascii="Arial Narrow" w:hAnsi="Arial Narrow" w:cstheme="minorHAnsi"/>
                <w:bCs/>
                <w:sz w:val="20"/>
              </w:rPr>
            </w:pPr>
            <w:r w:rsidRPr="0073777B">
              <w:rPr>
                <w:rFonts w:ascii="Arial Narrow" w:hAnsi="Arial Narrow" w:cstheme="minorHAnsi"/>
                <w:bCs/>
                <w:sz w:val="20"/>
              </w:rPr>
              <w:t>2,759</w:t>
            </w:r>
          </w:p>
        </w:tc>
        <w:tc>
          <w:tcPr>
            <w:tcW w:w="733" w:type="dxa"/>
            <w:shd w:val="clear" w:color="auto" w:fill="auto"/>
            <w:tcMar>
              <w:top w:w="12" w:type="dxa"/>
              <w:left w:w="12" w:type="dxa"/>
              <w:bottom w:w="0" w:type="dxa"/>
              <w:right w:w="12" w:type="dxa"/>
            </w:tcMar>
            <w:vAlign w:val="center"/>
          </w:tcPr>
          <w:p w:rsidR="00B634CB" w:rsidRPr="0073777B" w:rsidRDefault="00B634CB" w:rsidP="007F5EE0">
            <w:pPr>
              <w:keepNext/>
              <w:keepLines/>
              <w:widowControl/>
              <w:jc w:val="center"/>
              <w:rPr>
                <w:rFonts w:ascii="Arial Narrow" w:hAnsi="Arial Narrow" w:cstheme="minorHAnsi"/>
                <w:bCs/>
                <w:sz w:val="20"/>
              </w:rPr>
            </w:pPr>
            <w:r w:rsidRPr="0073777B">
              <w:rPr>
                <w:rFonts w:ascii="Arial Narrow" w:hAnsi="Arial Narrow" w:cstheme="minorHAnsi"/>
                <w:bCs/>
                <w:sz w:val="20"/>
              </w:rPr>
              <w:t>2,897</w:t>
            </w:r>
          </w:p>
        </w:tc>
      </w:tr>
      <w:tr w:rsidR="00B634CB" w:rsidRPr="00BE23C5" w:rsidTr="000056D4">
        <w:trPr>
          <w:trHeight w:val="170"/>
        </w:trPr>
        <w:tc>
          <w:tcPr>
            <w:tcW w:w="4670"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left"/>
              <w:rPr>
                <w:rFonts w:ascii="Arial Narrow" w:hAnsi="Arial Narrow" w:cstheme="minorHAnsi"/>
                <w:sz w:val="20"/>
              </w:rPr>
            </w:pPr>
            <w:r w:rsidRPr="00BE23C5">
              <w:rPr>
                <w:rFonts w:ascii="Arial Narrow" w:hAnsi="Arial Narrow" w:cstheme="minorHAnsi"/>
                <w:sz w:val="20"/>
              </w:rPr>
              <w:t xml:space="preserve">Patients who complete </w:t>
            </w:r>
            <w:proofErr w:type="spellStart"/>
            <w:r w:rsidRPr="00BE23C5">
              <w:rPr>
                <w:rFonts w:ascii="Arial Narrow" w:hAnsi="Arial Narrow" w:cstheme="minorHAnsi"/>
                <w:sz w:val="20"/>
              </w:rPr>
              <w:t>trastuzumab</w:t>
            </w:r>
            <w:proofErr w:type="spellEnd"/>
            <w:r w:rsidRPr="00BE23C5">
              <w:rPr>
                <w:rFonts w:ascii="Arial Narrow" w:hAnsi="Arial Narrow" w:cstheme="minorHAnsi"/>
                <w:sz w:val="20"/>
              </w:rPr>
              <w:t xml:space="preserve"> therapy (</w:t>
            </w:r>
            <w:proofErr w:type="gramStart"/>
            <w:r w:rsidR="00FC3C5B">
              <w:rPr>
                <w:rFonts w:ascii="Arial Narrow" w:hAnsi="Arial Narrow" w:cstheme="minorHAnsi"/>
                <w:noProof/>
                <w:color w:val="000000"/>
                <w:sz w:val="20"/>
                <w:highlight w:val="black"/>
              </w:rPr>
              <w:t>''''''''''</w:t>
            </w:r>
            <w:r w:rsidRPr="00BE23C5">
              <w:rPr>
                <w:rFonts w:ascii="Arial Narrow" w:hAnsi="Arial Narrow" w:cstheme="minorHAnsi"/>
                <w:sz w:val="20"/>
              </w:rPr>
              <w:t>%</w:t>
            </w:r>
            <w:proofErr w:type="gramEnd"/>
            <w:r w:rsidRPr="00BE23C5">
              <w:rPr>
                <w:rFonts w:ascii="Arial Narrow" w:hAnsi="Arial Narrow" w:cstheme="minorHAnsi"/>
                <w:sz w:val="20"/>
              </w:rPr>
              <w:t>)</w:t>
            </w:r>
          </w:p>
        </w:tc>
        <w:tc>
          <w:tcPr>
            <w:tcW w:w="732"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Cs/>
                <w:sz w:val="20"/>
                <w:highlight w:val="black"/>
              </w:rPr>
            </w:pPr>
            <w:r>
              <w:rPr>
                <w:rFonts w:ascii="Arial Narrow" w:hAnsi="Arial Narrow" w:cstheme="minorHAnsi"/>
                <w:bCs/>
                <w:noProof/>
                <w:color w:val="000000"/>
                <w:sz w:val="20"/>
                <w:highlight w:val="black"/>
              </w:rPr>
              <w:t>''''''''''''''</w:t>
            </w:r>
          </w:p>
        </w:tc>
        <w:tc>
          <w:tcPr>
            <w:tcW w:w="732"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Cs/>
                <w:sz w:val="20"/>
                <w:highlight w:val="black"/>
              </w:rPr>
            </w:pPr>
            <w:r>
              <w:rPr>
                <w:rFonts w:ascii="Arial Narrow" w:hAnsi="Arial Narrow" w:cstheme="minorHAnsi"/>
                <w:bCs/>
                <w:noProof/>
                <w:color w:val="000000"/>
                <w:sz w:val="20"/>
                <w:highlight w:val="black"/>
              </w:rPr>
              <w:t>''''''''''''''</w:t>
            </w:r>
          </w:p>
        </w:tc>
        <w:tc>
          <w:tcPr>
            <w:tcW w:w="733"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Cs/>
                <w:sz w:val="20"/>
                <w:highlight w:val="black"/>
              </w:rPr>
            </w:pPr>
            <w:r>
              <w:rPr>
                <w:rFonts w:ascii="Arial Narrow" w:hAnsi="Arial Narrow" w:cstheme="minorHAnsi"/>
                <w:bCs/>
                <w:noProof/>
                <w:color w:val="000000"/>
                <w:sz w:val="20"/>
                <w:highlight w:val="black"/>
              </w:rPr>
              <w:t>'''''''''''''</w:t>
            </w:r>
          </w:p>
        </w:tc>
        <w:tc>
          <w:tcPr>
            <w:tcW w:w="732"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Cs/>
                <w:sz w:val="20"/>
                <w:highlight w:val="black"/>
              </w:rPr>
            </w:pPr>
            <w:r>
              <w:rPr>
                <w:rFonts w:ascii="Arial Narrow" w:hAnsi="Arial Narrow" w:cstheme="minorHAnsi"/>
                <w:bCs/>
                <w:noProof/>
                <w:color w:val="000000"/>
                <w:sz w:val="20"/>
                <w:highlight w:val="black"/>
              </w:rPr>
              <w:t>''''''''''''</w:t>
            </w:r>
          </w:p>
        </w:tc>
        <w:tc>
          <w:tcPr>
            <w:tcW w:w="732"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Cs/>
                <w:sz w:val="20"/>
                <w:highlight w:val="black"/>
              </w:rPr>
            </w:pPr>
            <w:r>
              <w:rPr>
                <w:rFonts w:ascii="Arial Narrow" w:hAnsi="Arial Narrow" w:cstheme="minorHAnsi"/>
                <w:bCs/>
                <w:noProof/>
                <w:color w:val="000000"/>
                <w:sz w:val="20"/>
                <w:highlight w:val="black"/>
              </w:rPr>
              <w:t>'''''''''''''</w:t>
            </w:r>
          </w:p>
        </w:tc>
        <w:tc>
          <w:tcPr>
            <w:tcW w:w="733"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Cs/>
                <w:sz w:val="20"/>
                <w:highlight w:val="black"/>
              </w:rPr>
            </w:pPr>
            <w:r>
              <w:rPr>
                <w:rFonts w:ascii="Arial Narrow" w:hAnsi="Arial Narrow" w:cstheme="minorHAnsi"/>
                <w:bCs/>
                <w:noProof/>
                <w:color w:val="000000"/>
                <w:sz w:val="20"/>
                <w:highlight w:val="black"/>
              </w:rPr>
              <w:t>''''''''''''</w:t>
            </w:r>
          </w:p>
        </w:tc>
      </w:tr>
      <w:tr w:rsidR="00B634CB" w:rsidRPr="00BE23C5" w:rsidTr="000056D4">
        <w:trPr>
          <w:trHeight w:val="170"/>
        </w:trPr>
        <w:tc>
          <w:tcPr>
            <w:tcW w:w="4670"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left"/>
              <w:rPr>
                <w:rFonts w:ascii="Arial Narrow" w:hAnsi="Arial Narrow" w:cstheme="minorHAnsi"/>
                <w:sz w:val="20"/>
              </w:rPr>
            </w:pPr>
            <w:r w:rsidRPr="00BE23C5">
              <w:rPr>
                <w:rFonts w:ascii="Arial Narrow" w:hAnsi="Arial Narrow" w:cstheme="minorHAnsi"/>
                <w:sz w:val="20"/>
              </w:rPr>
              <w:t>Patients who are hormone receptor positive (</w:t>
            </w:r>
            <w:proofErr w:type="gramStart"/>
            <w:r w:rsidR="00FC3C5B">
              <w:rPr>
                <w:rFonts w:ascii="Arial Narrow" w:hAnsi="Arial Narrow" w:cstheme="minorHAnsi"/>
                <w:noProof/>
                <w:color w:val="000000"/>
                <w:sz w:val="20"/>
                <w:highlight w:val="black"/>
              </w:rPr>
              <w:t>''''''</w:t>
            </w:r>
            <w:r w:rsidRPr="00BE23C5">
              <w:rPr>
                <w:rFonts w:ascii="Arial Narrow" w:hAnsi="Arial Narrow" w:cstheme="minorHAnsi"/>
                <w:sz w:val="20"/>
              </w:rPr>
              <w:t>%</w:t>
            </w:r>
            <w:proofErr w:type="gramEnd"/>
            <w:r w:rsidRPr="00BE23C5">
              <w:rPr>
                <w:rFonts w:ascii="Arial Narrow" w:hAnsi="Arial Narrow" w:cstheme="minorHAnsi"/>
                <w:sz w:val="20"/>
              </w:rPr>
              <w:t>)</w:t>
            </w:r>
          </w:p>
        </w:tc>
        <w:tc>
          <w:tcPr>
            <w:tcW w:w="732"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Cs/>
                <w:sz w:val="20"/>
                <w:highlight w:val="black"/>
              </w:rPr>
            </w:pPr>
            <w:r>
              <w:rPr>
                <w:rFonts w:ascii="Arial Narrow" w:hAnsi="Arial Narrow" w:cstheme="minorHAnsi"/>
                <w:bCs/>
                <w:noProof/>
                <w:color w:val="000000"/>
                <w:sz w:val="20"/>
                <w:highlight w:val="black"/>
              </w:rPr>
              <w:t>''''''''''''</w:t>
            </w:r>
          </w:p>
        </w:tc>
        <w:tc>
          <w:tcPr>
            <w:tcW w:w="732"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Cs/>
                <w:sz w:val="20"/>
                <w:highlight w:val="black"/>
              </w:rPr>
            </w:pPr>
            <w:r>
              <w:rPr>
                <w:rFonts w:ascii="Arial Narrow" w:hAnsi="Arial Narrow" w:cstheme="minorHAnsi"/>
                <w:bCs/>
                <w:noProof/>
                <w:color w:val="000000"/>
                <w:sz w:val="20"/>
                <w:highlight w:val="black"/>
              </w:rPr>
              <w:t>''''''''''''</w:t>
            </w:r>
          </w:p>
        </w:tc>
        <w:tc>
          <w:tcPr>
            <w:tcW w:w="733"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Cs/>
                <w:sz w:val="20"/>
                <w:highlight w:val="black"/>
              </w:rPr>
            </w:pPr>
            <w:r>
              <w:rPr>
                <w:rFonts w:ascii="Arial Narrow" w:hAnsi="Arial Narrow" w:cstheme="minorHAnsi"/>
                <w:bCs/>
                <w:noProof/>
                <w:color w:val="000000"/>
                <w:sz w:val="20"/>
                <w:highlight w:val="black"/>
              </w:rPr>
              <w:t>''''''''''''''</w:t>
            </w:r>
          </w:p>
        </w:tc>
        <w:tc>
          <w:tcPr>
            <w:tcW w:w="732"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Cs/>
                <w:sz w:val="20"/>
                <w:highlight w:val="black"/>
              </w:rPr>
            </w:pPr>
            <w:r>
              <w:rPr>
                <w:rFonts w:ascii="Arial Narrow" w:hAnsi="Arial Narrow" w:cstheme="minorHAnsi"/>
                <w:bCs/>
                <w:noProof/>
                <w:color w:val="000000"/>
                <w:sz w:val="20"/>
                <w:highlight w:val="black"/>
              </w:rPr>
              <w:t>''''''''''''</w:t>
            </w:r>
          </w:p>
        </w:tc>
        <w:tc>
          <w:tcPr>
            <w:tcW w:w="732"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Cs/>
                <w:sz w:val="20"/>
                <w:highlight w:val="black"/>
              </w:rPr>
            </w:pPr>
            <w:r>
              <w:rPr>
                <w:rFonts w:ascii="Arial Narrow" w:hAnsi="Arial Narrow" w:cstheme="minorHAnsi"/>
                <w:bCs/>
                <w:noProof/>
                <w:color w:val="000000"/>
                <w:sz w:val="20"/>
                <w:highlight w:val="black"/>
              </w:rPr>
              <w:t>'''''''''''''</w:t>
            </w:r>
          </w:p>
        </w:tc>
        <w:tc>
          <w:tcPr>
            <w:tcW w:w="733"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Cs/>
                <w:sz w:val="20"/>
                <w:highlight w:val="black"/>
              </w:rPr>
            </w:pPr>
            <w:r>
              <w:rPr>
                <w:rFonts w:ascii="Arial Narrow" w:hAnsi="Arial Narrow" w:cstheme="minorHAnsi"/>
                <w:bCs/>
                <w:noProof/>
                <w:color w:val="000000"/>
                <w:sz w:val="20"/>
                <w:highlight w:val="black"/>
              </w:rPr>
              <w:t>'''''''''''''''</w:t>
            </w:r>
          </w:p>
        </w:tc>
      </w:tr>
      <w:tr w:rsidR="00B634CB" w:rsidRPr="00BE23C5" w:rsidTr="000056D4">
        <w:trPr>
          <w:trHeight w:val="170"/>
        </w:trPr>
        <w:tc>
          <w:tcPr>
            <w:tcW w:w="4670"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left"/>
              <w:rPr>
                <w:rFonts w:ascii="Arial Narrow" w:hAnsi="Arial Narrow" w:cstheme="minorHAnsi"/>
                <w:sz w:val="20"/>
              </w:rPr>
            </w:pPr>
            <w:r w:rsidRPr="00BE23C5">
              <w:rPr>
                <w:rFonts w:ascii="Arial Narrow" w:hAnsi="Arial Narrow" w:cstheme="minorHAnsi"/>
                <w:sz w:val="20"/>
              </w:rPr>
              <w:t>% Patients electing treatment (</w:t>
            </w:r>
            <w:r w:rsidRPr="0073777B">
              <w:rPr>
                <w:rFonts w:ascii="Arial Narrow" w:hAnsi="Arial Narrow" w:cstheme="minorHAnsi"/>
                <w:sz w:val="20"/>
              </w:rPr>
              <w:t>60</w:t>
            </w:r>
            <w:r w:rsidRPr="00BE23C5">
              <w:rPr>
                <w:rFonts w:ascii="Arial Narrow" w:hAnsi="Arial Narrow" w:cstheme="minorHAnsi"/>
                <w:sz w:val="20"/>
              </w:rPr>
              <w:t>%)</w:t>
            </w:r>
          </w:p>
        </w:tc>
        <w:tc>
          <w:tcPr>
            <w:tcW w:w="732" w:type="dxa"/>
            <w:shd w:val="clear" w:color="auto" w:fill="auto"/>
            <w:tcMar>
              <w:top w:w="12" w:type="dxa"/>
              <w:left w:w="12" w:type="dxa"/>
              <w:bottom w:w="0" w:type="dxa"/>
              <w:right w:w="12" w:type="dxa"/>
            </w:tcMar>
            <w:vAlign w:val="center"/>
          </w:tcPr>
          <w:p w:rsidR="00B634CB" w:rsidRPr="00BE23C5" w:rsidRDefault="00B634CB" w:rsidP="007F5EE0">
            <w:pPr>
              <w:keepNext/>
              <w:keepLines/>
              <w:widowControl/>
              <w:jc w:val="center"/>
              <w:rPr>
                <w:rFonts w:ascii="Arial Narrow" w:hAnsi="Arial Narrow" w:cstheme="minorHAnsi"/>
                <w:bCs/>
                <w:sz w:val="20"/>
              </w:rPr>
            </w:pPr>
            <w:r w:rsidRPr="0073777B">
              <w:rPr>
                <w:rFonts w:ascii="Arial Narrow" w:hAnsi="Arial Narrow" w:cstheme="minorHAnsi"/>
                <w:bCs/>
                <w:sz w:val="20"/>
              </w:rPr>
              <w:t>60</w:t>
            </w:r>
            <w:r w:rsidRPr="00BE23C5">
              <w:rPr>
                <w:rFonts w:ascii="Arial Narrow" w:hAnsi="Arial Narrow" w:cstheme="minorHAnsi"/>
                <w:bCs/>
                <w:sz w:val="20"/>
              </w:rPr>
              <w:t>%</w:t>
            </w:r>
          </w:p>
        </w:tc>
        <w:tc>
          <w:tcPr>
            <w:tcW w:w="732" w:type="dxa"/>
            <w:shd w:val="clear" w:color="auto" w:fill="auto"/>
            <w:tcMar>
              <w:top w:w="12" w:type="dxa"/>
              <w:left w:w="12" w:type="dxa"/>
              <w:bottom w:w="0" w:type="dxa"/>
              <w:right w:w="12" w:type="dxa"/>
            </w:tcMar>
            <w:vAlign w:val="center"/>
          </w:tcPr>
          <w:p w:rsidR="00B634CB" w:rsidRPr="00BE23C5" w:rsidRDefault="00B634CB" w:rsidP="007F5EE0">
            <w:pPr>
              <w:keepNext/>
              <w:keepLines/>
              <w:widowControl/>
              <w:jc w:val="center"/>
              <w:rPr>
                <w:rFonts w:ascii="Arial Narrow" w:hAnsi="Arial Narrow" w:cstheme="minorHAnsi"/>
                <w:bCs/>
                <w:sz w:val="20"/>
              </w:rPr>
            </w:pPr>
            <w:r w:rsidRPr="0073777B">
              <w:rPr>
                <w:rFonts w:ascii="Arial Narrow" w:hAnsi="Arial Narrow" w:cstheme="minorHAnsi"/>
                <w:bCs/>
                <w:sz w:val="20"/>
              </w:rPr>
              <w:t>60</w:t>
            </w:r>
            <w:r w:rsidRPr="00BE23C5">
              <w:rPr>
                <w:rFonts w:ascii="Arial Narrow" w:hAnsi="Arial Narrow" w:cstheme="minorHAnsi"/>
                <w:bCs/>
                <w:sz w:val="20"/>
              </w:rPr>
              <w:t>%</w:t>
            </w:r>
          </w:p>
        </w:tc>
        <w:tc>
          <w:tcPr>
            <w:tcW w:w="733" w:type="dxa"/>
            <w:shd w:val="clear" w:color="auto" w:fill="auto"/>
            <w:tcMar>
              <w:top w:w="12" w:type="dxa"/>
              <w:left w:w="12" w:type="dxa"/>
              <w:bottom w:w="0" w:type="dxa"/>
              <w:right w:w="12" w:type="dxa"/>
            </w:tcMar>
            <w:vAlign w:val="center"/>
          </w:tcPr>
          <w:p w:rsidR="00B634CB" w:rsidRPr="00BE23C5" w:rsidRDefault="00B634CB" w:rsidP="007F5EE0">
            <w:pPr>
              <w:keepNext/>
              <w:keepLines/>
              <w:widowControl/>
              <w:jc w:val="center"/>
              <w:rPr>
                <w:rFonts w:ascii="Arial Narrow" w:hAnsi="Arial Narrow" w:cstheme="minorHAnsi"/>
                <w:bCs/>
                <w:sz w:val="20"/>
              </w:rPr>
            </w:pPr>
            <w:r w:rsidRPr="0073777B">
              <w:rPr>
                <w:rFonts w:ascii="Arial Narrow" w:hAnsi="Arial Narrow" w:cstheme="minorHAnsi"/>
                <w:bCs/>
                <w:sz w:val="20"/>
              </w:rPr>
              <w:t>60</w:t>
            </w:r>
            <w:r w:rsidRPr="00BE23C5">
              <w:rPr>
                <w:rFonts w:ascii="Arial Narrow" w:hAnsi="Arial Narrow" w:cstheme="minorHAnsi"/>
                <w:bCs/>
                <w:sz w:val="20"/>
              </w:rPr>
              <w:t>%</w:t>
            </w:r>
          </w:p>
        </w:tc>
        <w:tc>
          <w:tcPr>
            <w:tcW w:w="732" w:type="dxa"/>
            <w:shd w:val="clear" w:color="auto" w:fill="auto"/>
            <w:tcMar>
              <w:top w:w="12" w:type="dxa"/>
              <w:left w:w="12" w:type="dxa"/>
              <w:bottom w:w="0" w:type="dxa"/>
              <w:right w:w="12" w:type="dxa"/>
            </w:tcMar>
            <w:vAlign w:val="center"/>
          </w:tcPr>
          <w:p w:rsidR="00B634CB" w:rsidRPr="00BE23C5" w:rsidRDefault="00B634CB" w:rsidP="007F5EE0">
            <w:pPr>
              <w:keepNext/>
              <w:keepLines/>
              <w:widowControl/>
              <w:jc w:val="center"/>
              <w:rPr>
                <w:rFonts w:ascii="Arial Narrow" w:hAnsi="Arial Narrow" w:cstheme="minorHAnsi"/>
                <w:bCs/>
                <w:sz w:val="20"/>
              </w:rPr>
            </w:pPr>
            <w:r w:rsidRPr="0073777B">
              <w:rPr>
                <w:rFonts w:ascii="Arial Narrow" w:hAnsi="Arial Narrow" w:cstheme="minorHAnsi"/>
                <w:bCs/>
                <w:sz w:val="20"/>
              </w:rPr>
              <w:t>60</w:t>
            </w:r>
            <w:r w:rsidRPr="00BE23C5">
              <w:rPr>
                <w:rFonts w:ascii="Arial Narrow" w:hAnsi="Arial Narrow" w:cstheme="minorHAnsi"/>
                <w:bCs/>
                <w:sz w:val="20"/>
              </w:rPr>
              <w:t>%</w:t>
            </w:r>
          </w:p>
        </w:tc>
        <w:tc>
          <w:tcPr>
            <w:tcW w:w="732" w:type="dxa"/>
            <w:shd w:val="clear" w:color="auto" w:fill="auto"/>
            <w:tcMar>
              <w:top w:w="12" w:type="dxa"/>
              <w:left w:w="12" w:type="dxa"/>
              <w:bottom w:w="0" w:type="dxa"/>
              <w:right w:w="12" w:type="dxa"/>
            </w:tcMar>
            <w:vAlign w:val="center"/>
          </w:tcPr>
          <w:p w:rsidR="00B634CB" w:rsidRPr="00BE23C5" w:rsidRDefault="00B634CB" w:rsidP="007F5EE0">
            <w:pPr>
              <w:keepNext/>
              <w:keepLines/>
              <w:widowControl/>
              <w:jc w:val="center"/>
              <w:rPr>
                <w:rFonts w:ascii="Arial Narrow" w:hAnsi="Arial Narrow" w:cstheme="minorHAnsi"/>
                <w:bCs/>
                <w:sz w:val="20"/>
              </w:rPr>
            </w:pPr>
            <w:r w:rsidRPr="0073777B">
              <w:rPr>
                <w:rFonts w:ascii="Arial Narrow" w:hAnsi="Arial Narrow" w:cstheme="minorHAnsi"/>
                <w:bCs/>
                <w:sz w:val="20"/>
              </w:rPr>
              <w:t>60</w:t>
            </w:r>
            <w:r w:rsidRPr="00BE23C5">
              <w:rPr>
                <w:rFonts w:ascii="Arial Narrow" w:hAnsi="Arial Narrow" w:cstheme="minorHAnsi"/>
                <w:bCs/>
                <w:sz w:val="20"/>
              </w:rPr>
              <w:t>%</w:t>
            </w:r>
          </w:p>
        </w:tc>
        <w:tc>
          <w:tcPr>
            <w:tcW w:w="733" w:type="dxa"/>
            <w:shd w:val="clear" w:color="auto" w:fill="auto"/>
            <w:tcMar>
              <w:top w:w="12" w:type="dxa"/>
              <w:left w:w="12" w:type="dxa"/>
              <w:bottom w:w="0" w:type="dxa"/>
              <w:right w:w="12" w:type="dxa"/>
            </w:tcMar>
            <w:vAlign w:val="center"/>
          </w:tcPr>
          <w:p w:rsidR="00B634CB" w:rsidRPr="00BE23C5" w:rsidRDefault="00B634CB" w:rsidP="007F5EE0">
            <w:pPr>
              <w:keepNext/>
              <w:keepLines/>
              <w:widowControl/>
              <w:jc w:val="center"/>
              <w:rPr>
                <w:rFonts w:ascii="Arial Narrow" w:hAnsi="Arial Narrow" w:cstheme="minorHAnsi"/>
                <w:bCs/>
                <w:sz w:val="20"/>
              </w:rPr>
            </w:pPr>
            <w:r w:rsidRPr="0073777B">
              <w:rPr>
                <w:rFonts w:ascii="Arial Narrow" w:hAnsi="Arial Narrow" w:cstheme="minorHAnsi"/>
                <w:bCs/>
                <w:sz w:val="20"/>
              </w:rPr>
              <w:t>60</w:t>
            </w:r>
            <w:r w:rsidRPr="00BE23C5">
              <w:rPr>
                <w:rFonts w:ascii="Arial Narrow" w:hAnsi="Arial Narrow" w:cstheme="minorHAnsi"/>
                <w:bCs/>
                <w:sz w:val="20"/>
              </w:rPr>
              <w:t>%</w:t>
            </w:r>
          </w:p>
        </w:tc>
      </w:tr>
      <w:tr w:rsidR="00B634CB" w:rsidRPr="00BE23C5" w:rsidTr="000056D4">
        <w:trPr>
          <w:trHeight w:val="170"/>
        </w:trPr>
        <w:tc>
          <w:tcPr>
            <w:tcW w:w="4670"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left"/>
              <w:rPr>
                <w:rFonts w:ascii="Arial Narrow" w:hAnsi="Arial Narrow" w:cstheme="minorHAnsi"/>
                <w:b/>
                <w:sz w:val="20"/>
              </w:rPr>
            </w:pPr>
            <w:r w:rsidRPr="00BE23C5">
              <w:rPr>
                <w:rFonts w:ascii="Arial Narrow" w:hAnsi="Arial Narrow" w:cstheme="minorHAnsi"/>
                <w:b/>
                <w:sz w:val="20"/>
              </w:rPr>
              <w:t>Patients electing treatment</w:t>
            </w:r>
          </w:p>
        </w:tc>
        <w:tc>
          <w:tcPr>
            <w:tcW w:w="732" w:type="dxa"/>
            <w:shd w:val="clear" w:color="auto" w:fill="auto"/>
            <w:tcMar>
              <w:top w:w="12" w:type="dxa"/>
              <w:left w:w="12" w:type="dxa"/>
              <w:bottom w:w="0" w:type="dxa"/>
              <w:right w:w="12" w:type="dxa"/>
            </w:tcMar>
            <w:vAlign w:val="center"/>
          </w:tcPr>
          <w:p w:rsidR="00B634CB" w:rsidRPr="00FA6E76" w:rsidRDefault="00B634CB" w:rsidP="007F5EE0">
            <w:pPr>
              <w:keepNext/>
              <w:keepLines/>
              <w:widowControl/>
              <w:jc w:val="center"/>
              <w:rPr>
                <w:rFonts w:ascii="Arial Narrow" w:hAnsi="Arial Narrow" w:cstheme="minorHAnsi"/>
                <w:b/>
                <w:bCs/>
                <w:sz w:val="20"/>
              </w:rPr>
            </w:pPr>
            <w:r w:rsidRPr="00FA6E76">
              <w:rPr>
                <w:rFonts w:ascii="Arial Narrow" w:hAnsi="Arial Narrow" w:cstheme="minorHAnsi"/>
                <w:b/>
                <w:bCs/>
                <w:sz w:val="20"/>
              </w:rPr>
              <w:t>726</w:t>
            </w:r>
          </w:p>
        </w:tc>
        <w:tc>
          <w:tcPr>
            <w:tcW w:w="732" w:type="dxa"/>
            <w:shd w:val="clear" w:color="auto" w:fill="auto"/>
            <w:tcMar>
              <w:top w:w="12" w:type="dxa"/>
              <w:left w:w="12" w:type="dxa"/>
              <w:bottom w:w="0" w:type="dxa"/>
              <w:right w:w="12" w:type="dxa"/>
            </w:tcMar>
            <w:vAlign w:val="center"/>
          </w:tcPr>
          <w:p w:rsidR="00B634CB" w:rsidRPr="00FA6E76" w:rsidRDefault="00B634CB" w:rsidP="007F5EE0">
            <w:pPr>
              <w:keepNext/>
              <w:keepLines/>
              <w:widowControl/>
              <w:jc w:val="center"/>
              <w:rPr>
                <w:rFonts w:ascii="Arial Narrow" w:hAnsi="Arial Narrow" w:cstheme="minorHAnsi"/>
                <w:b/>
                <w:bCs/>
                <w:sz w:val="20"/>
              </w:rPr>
            </w:pPr>
            <w:r w:rsidRPr="00FA6E76">
              <w:rPr>
                <w:rFonts w:ascii="Arial Narrow" w:hAnsi="Arial Narrow" w:cstheme="minorHAnsi"/>
                <w:b/>
                <w:bCs/>
                <w:sz w:val="20"/>
              </w:rPr>
              <w:t>762</w:t>
            </w:r>
          </w:p>
        </w:tc>
        <w:tc>
          <w:tcPr>
            <w:tcW w:w="733" w:type="dxa"/>
            <w:shd w:val="clear" w:color="auto" w:fill="auto"/>
            <w:tcMar>
              <w:top w:w="12" w:type="dxa"/>
              <w:left w:w="12" w:type="dxa"/>
              <w:bottom w:w="0" w:type="dxa"/>
              <w:right w:w="12" w:type="dxa"/>
            </w:tcMar>
            <w:vAlign w:val="center"/>
          </w:tcPr>
          <w:p w:rsidR="00B634CB" w:rsidRPr="00FA6E76" w:rsidRDefault="00B634CB" w:rsidP="007F5EE0">
            <w:pPr>
              <w:keepNext/>
              <w:keepLines/>
              <w:widowControl/>
              <w:jc w:val="center"/>
              <w:rPr>
                <w:rFonts w:ascii="Arial Narrow" w:hAnsi="Arial Narrow" w:cstheme="minorHAnsi"/>
                <w:b/>
                <w:bCs/>
                <w:sz w:val="20"/>
              </w:rPr>
            </w:pPr>
            <w:r w:rsidRPr="00FA6E76">
              <w:rPr>
                <w:rFonts w:ascii="Arial Narrow" w:hAnsi="Arial Narrow" w:cstheme="minorHAnsi"/>
                <w:b/>
                <w:bCs/>
                <w:sz w:val="20"/>
              </w:rPr>
              <w:t>801</w:t>
            </w:r>
          </w:p>
        </w:tc>
        <w:tc>
          <w:tcPr>
            <w:tcW w:w="732" w:type="dxa"/>
            <w:shd w:val="clear" w:color="auto" w:fill="auto"/>
            <w:tcMar>
              <w:top w:w="12" w:type="dxa"/>
              <w:left w:w="12" w:type="dxa"/>
              <w:bottom w:w="0" w:type="dxa"/>
              <w:right w:w="12" w:type="dxa"/>
            </w:tcMar>
            <w:vAlign w:val="center"/>
          </w:tcPr>
          <w:p w:rsidR="00B634CB" w:rsidRPr="00FA6E76" w:rsidRDefault="00B634CB" w:rsidP="007F5EE0">
            <w:pPr>
              <w:keepNext/>
              <w:keepLines/>
              <w:widowControl/>
              <w:jc w:val="center"/>
              <w:rPr>
                <w:rFonts w:ascii="Arial Narrow" w:hAnsi="Arial Narrow" w:cstheme="minorHAnsi"/>
                <w:b/>
                <w:bCs/>
                <w:sz w:val="20"/>
              </w:rPr>
            </w:pPr>
            <w:r w:rsidRPr="00FA6E76">
              <w:rPr>
                <w:rFonts w:ascii="Arial Narrow" w:hAnsi="Arial Narrow" w:cstheme="minorHAnsi"/>
                <w:b/>
                <w:bCs/>
                <w:sz w:val="20"/>
              </w:rPr>
              <w:t>841</w:t>
            </w:r>
          </w:p>
        </w:tc>
        <w:tc>
          <w:tcPr>
            <w:tcW w:w="732" w:type="dxa"/>
            <w:shd w:val="clear" w:color="auto" w:fill="auto"/>
            <w:tcMar>
              <w:top w:w="12" w:type="dxa"/>
              <w:left w:w="12" w:type="dxa"/>
              <w:bottom w:w="0" w:type="dxa"/>
              <w:right w:w="12" w:type="dxa"/>
            </w:tcMar>
            <w:vAlign w:val="center"/>
          </w:tcPr>
          <w:p w:rsidR="00B634CB" w:rsidRPr="00FA6E76" w:rsidRDefault="00B634CB" w:rsidP="007F5EE0">
            <w:pPr>
              <w:keepNext/>
              <w:keepLines/>
              <w:widowControl/>
              <w:jc w:val="center"/>
              <w:rPr>
                <w:rFonts w:ascii="Arial Narrow" w:hAnsi="Arial Narrow" w:cstheme="minorHAnsi"/>
                <w:b/>
                <w:bCs/>
                <w:sz w:val="20"/>
              </w:rPr>
            </w:pPr>
            <w:r w:rsidRPr="00FA6E76">
              <w:rPr>
                <w:rFonts w:ascii="Arial Narrow" w:hAnsi="Arial Narrow" w:cstheme="minorHAnsi"/>
                <w:b/>
                <w:bCs/>
                <w:sz w:val="20"/>
              </w:rPr>
              <w:t>883</w:t>
            </w:r>
          </w:p>
        </w:tc>
        <w:tc>
          <w:tcPr>
            <w:tcW w:w="733" w:type="dxa"/>
            <w:shd w:val="clear" w:color="auto" w:fill="auto"/>
            <w:tcMar>
              <w:top w:w="12" w:type="dxa"/>
              <w:left w:w="12" w:type="dxa"/>
              <w:bottom w:w="0" w:type="dxa"/>
              <w:right w:w="12" w:type="dxa"/>
            </w:tcMar>
            <w:vAlign w:val="center"/>
          </w:tcPr>
          <w:p w:rsidR="00B634CB" w:rsidRPr="00FA6E76" w:rsidRDefault="00B634CB" w:rsidP="007F5EE0">
            <w:pPr>
              <w:keepNext/>
              <w:keepLines/>
              <w:widowControl/>
              <w:jc w:val="center"/>
              <w:rPr>
                <w:rFonts w:ascii="Arial Narrow" w:hAnsi="Arial Narrow" w:cstheme="minorHAnsi"/>
                <w:b/>
                <w:bCs/>
                <w:sz w:val="20"/>
              </w:rPr>
            </w:pPr>
            <w:r w:rsidRPr="00FA6E76">
              <w:rPr>
                <w:rFonts w:ascii="Arial Narrow" w:hAnsi="Arial Narrow" w:cstheme="minorHAnsi"/>
                <w:b/>
                <w:bCs/>
                <w:sz w:val="20"/>
              </w:rPr>
              <w:t>927</w:t>
            </w:r>
          </w:p>
        </w:tc>
      </w:tr>
      <w:tr w:rsidR="00B634CB" w:rsidRPr="00BE23C5" w:rsidTr="000056D4">
        <w:trPr>
          <w:trHeight w:val="170"/>
        </w:trPr>
        <w:tc>
          <w:tcPr>
            <w:tcW w:w="4670"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left"/>
              <w:rPr>
                <w:rFonts w:ascii="Arial Narrow" w:hAnsi="Arial Narrow" w:cstheme="minorHAnsi"/>
                <w:b/>
                <w:sz w:val="20"/>
              </w:rPr>
            </w:pPr>
            <w:r w:rsidRPr="00BE23C5">
              <w:rPr>
                <w:rFonts w:ascii="Arial Narrow" w:hAnsi="Arial Narrow" w:cstheme="minorHAnsi"/>
                <w:b/>
                <w:sz w:val="20"/>
              </w:rPr>
              <w:t>Patients completing 12 months treatment (</w:t>
            </w:r>
            <w:proofErr w:type="gramStart"/>
            <w:r w:rsidR="00FC3C5B">
              <w:rPr>
                <w:rFonts w:ascii="Arial Narrow" w:hAnsi="Arial Narrow" w:cstheme="minorHAnsi"/>
                <w:b/>
                <w:noProof/>
                <w:color w:val="000000"/>
                <w:sz w:val="20"/>
                <w:highlight w:val="black"/>
              </w:rPr>
              <w:t>''''''''</w:t>
            </w:r>
            <w:r w:rsidRPr="00BE23C5">
              <w:rPr>
                <w:rFonts w:ascii="Arial Narrow" w:hAnsi="Arial Narrow" w:cstheme="minorHAnsi"/>
                <w:b/>
                <w:sz w:val="20"/>
              </w:rPr>
              <w:t>%</w:t>
            </w:r>
            <w:proofErr w:type="gramEnd"/>
            <w:r w:rsidRPr="00BE23C5">
              <w:rPr>
                <w:rFonts w:ascii="Arial Narrow" w:hAnsi="Arial Narrow" w:cstheme="minorHAnsi"/>
                <w:b/>
                <w:sz w:val="20"/>
              </w:rPr>
              <w:t>)</w:t>
            </w:r>
          </w:p>
        </w:tc>
        <w:tc>
          <w:tcPr>
            <w:tcW w:w="732"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
                <w:bCs/>
                <w:sz w:val="20"/>
                <w:highlight w:val="black"/>
              </w:rPr>
            </w:pPr>
            <w:r>
              <w:rPr>
                <w:rFonts w:ascii="Arial Narrow" w:hAnsi="Arial Narrow" w:cstheme="minorHAnsi"/>
                <w:b/>
                <w:bCs/>
                <w:noProof/>
                <w:color w:val="000000"/>
                <w:sz w:val="20"/>
                <w:highlight w:val="black"/>
              </w:rPr>
              <w:t>''''''''</w:t>
            </w:r>
          </w:p>
        </w:tc>
        <w:tc>
          <w:tcPr>
            <w:tcW w:w="732"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
                <w:bCs/>
                <w:sz w:val="20"/>
                <w:highlight w:val="black"/>
              </w:rPr>
            </w:pPr>
            <w:r>
              <w:rPr>
                <w:rFonts w:ascii="Arial Narrow" w:hAnsi="Arial Narrow" w:cstheme="minorHAnsi"/>
                <w:b/>
                <w:bCs/>
                <w:noProof/>
                <w:color w:val="000000"/>
                <w:sz w:val="20"/>
                <w:highlight w:val="black"/>
              </w:rPr>
              <w:t>''''''''</w:t>
            </w:r>
          </w:p>
        </w:tc>
        <w:tc>
          <w:tcPr>
            <w:tcW w:w="733"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
                <w:bCs/>
                <w:sz w:val="20"/>
                <w:highlight w:val="black"/>
              </w:rPr>
            </w:pPr>
            <w:r>
              <w:rPr>
                <w:rFonts w:ascii="Arial Narrow" w:hAnsi="Arial Narrow" w:cstheme="minorHAnsi"/>
                <w:b/>
                <w:bCs/>
                <w:noProof/>
                <w:color w:val="000000"/>
                <w:sz w:val="20"/>
                <w:highlight w:val="black"/>
              </w:rPr>
              <w:t>''''''''</w:t>
            </w:r>
          </w:p>
        </w:tc>
        <w:tc>
          <w:tcPr>
            <w:tcW w:w="732"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
                <w:bCs/>
                <w:sz w:val="20"/>
                <w:highlight w:val="black"/>
              </w:rPr>
            </w:pPr>
            <w:r>
              <w:rPr>
                <w:rFonts w:ascii="Arial Narrow" w:hAnsi="Arial Narrow" w:cstheme="minorHAnsi"/>
                <w:b/>
                <w:bCs/>
                <w:noProof/>
                <w:color w:val="000000"/>
                <w:sz w:val="20"/>
                <w:highlight w:val="black"/>
              </w:rPr>
              <w:t>'''''''</w:t>
            </w:r>
          </w:p>
        </w:tc>
        <w:tc>
          <w:tcPr>
            <w:tcW w:w="732"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
                <w:bCs/>
                <w:sz w:val="20"/>
                <w:highlight w:val="black"/>
              </w:rPr>
            </w:pPr>
            <w:r>
              <w:rPr>
                <w:rFonts w:ascii="Arial Narrow" w:hAnsi="Arial Narrow" w:cstheme="minorHAnsi"/>
                <w:b/>
                <w:bCs/>
                <w:noProof/>
                <w:color w:val="000000"/>
                <w:sz w:val="20"/>
                <w:highlight w:val="black"/>
              </w:rPr>
              <w:t>''''''''</w:t>
            </w:r>
          </w:p>
        </w:tc>
        <w:tc>
          <w:tcPr>
            <w:tcW w:w="733" w:type="dxa"/>
            <w:shd w:val="clear" w:color="auto" w:fill="auto"/>
            <w:tcMar>
              <w:top w:w="12" w:type="dxa"/>
              <w:left w:w="12" w:type="dxa"/>
              <w:bottom w:w="0" w:type="dxa"/>
              <w:right w:w="12" w:type="dxa"/>
            </w:tcMar>
            <w:vAlign w:val="center"/>
          </w:tcPr>
          <w:p w:rsidR="00B634CB" w:rsidRPr="00FC3C5B" w:rsidRDefault="00FC3C5B" w:rsidP="007F5EE0">
            <w:pPr>
              <w:keepNext/>
              <w:keepLines/>
              <w:widowControl/>
              <w:jc w:val="center"/>
              <w:rPr>
                <w:rFonts w:ascii="Arial Narrow" w:hAnsi="Arial Narrow" w:cstheme="minorHAnsi"/>
                <w:b/>
                <w:bCs/>
                <w:sz w:val="20"/>
                <w:highlight w:val="black"/>
              </w:rPr>
            </w:pPr>
            <w:r>
              <w:rPr>
                <w:rFonts w:ascii="Arial Narrow" w:hAnsi="Arial Narrow" w:cstheme="minorHAnsi"/>
                <w:b/>
                <w:bCs/>
                <w:noProof/>
                <w:color w:val="000000"/>
                <w:sz w:val="20"/>
                <w:highlight w:val="black"/>
              </w:rPr>
              <w:t>'''''''</w:t>
            </w:r>
          </w:p>
        </w:tc>
      </w:tr>
      <w:tr w:rsidR="00E21008" w:rsidRPr="00BE23C5" w:rsidTr="00E21008">
        <w:trPr>
          <w:trHeight w:val="170"/>
        </w:trPr>
        <w:tc>
          <w:tcPr>
            <w:tcW w:w="9064" w:type="dxa"/>
            <w:gridSpan w:val="7"/>
            <w:shd w:val="clear" w:color="auto" w:fill="BFBFBF" w:themeFill="background1" w:themeFillShade="BF"/>
            <w:tcMar>
              <w:top w:w="12" w:type="dxa"/>
              <w:left w:w="12" w:type="dxa"/>
              <w:bottom w:w="0" w:type="dxa"/>
              <w:right w:w="12" w:type="dxa"/>
            </w:tcMar>
            <w:vAlign w:val="bottom"/>
          </w:tcPr>
          <w:p w:rsidR="00E21008" w:rsidRPr="00BE23C5" w:rsidRDefault="00E21008" w:rsidP="007F5EE0">
            <w:pPr>
              <w:keepNext/>
              <w:keepLines/>
              <w:widowControl/>
              <w:jc w:val="left"/>
              <w:rPr>
                <w:rFonts w:ascii="Arial Narrow" w:hAnsi="Arial Narrow" w:cstheme="minorHAnsi"/>
                <w:sz w:val="20"/>
              </w:rPr>
            </w:pPr>
            <w:r w:rsidRPr="00BE23C5">
              <w:rPr>
                <w:rFonts w:ascii="Arial Narrow" w:hAnsi="Arial Narrow" w:cstheme="minorHAnsi"/>
                <w:b/>
                <w:sz w:val="20"/>
              </w:rPr>
              <w:t>% Difference between submission and DUSC revised estimates</w:t>
            </w:r>
          </w:p>
        </w:tc>
      </w:tr>
      <w:tr w:rsidR="00B634CB" w:rsidRPr="00BE23C5" w:rsidTr="000056D4">
        <w:trPr>
          <w:trHeight w:val="170"/>
        </w:trPr>
        <w:tc>
          <w:tcPr>
            <w:tcW w:w="4670"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left"/>
              <w:rPr>
                <w:rFonts w:ascii="Arial Narrow" w:hAnsi="Arial Narrow" w:cstheme="minorHAnsi"/>
                <w:sz w:val="20"/>
              </w:rPr>
            </w:pPr>
            <w:r w:rsidRPr="00BE23C5">
              <w:rPr>
                <w:rFonts w:ascii="Arial Narrow" w:hAnsi="Arial Narrow" w:cstheme="minorHAnsi"/>
                <w:sz w:val="20"/>
              </w:rPr>
              <w:t>Patients electing treatment</w:t>
            </w:r>
          </w:p>
        </w:tc>
        <w:tc>
          <w:tcPr>
            <w:tcW w:w="732"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center"/>
              <w:rPr>
                <w:rFonts w:ascii="Arial Narrow" w:hAnsi="Arial Narrow" w:cstheme="minorHAnsi"/>
                <w:sz w:val="20"/>
              </w:rPr>
            </w:pPr>
            <w:r w:rsidRPr="00BE23C5">
              <w:rPr>
                <w:rFonts w:ascii="Arial Narrow" w:hAnsi="Arial Narrow" w:cstheme="minorHAnsi"/>
                <w:sz w:val="20"/>
              </w:rPr>
              <w:t>-</w:t>
            </w:r>
            <w:r w:rsidR="00FC3C5B">
              <w:rPr>
                <w:rFonts w:ascii="Arial Narrow" w:hAnsi="Arial Narrow" w:cstheme="minorHAnsi"/>
                <w:noProof/>
                <w:color w:val="000000"/>
                <w:sz w:val="20"/>
                <w:highlight w:val="black"/>
              </w:rPr>
              <w:t>'''''''</w:t>
            </w:r>
            <w:r w:rsidRPr="00BE23C5">
              <w:rPr>
                <w:rFonts w:ascii="Arial Narrow" w:hAnsi="Arial Narrow" w:cstheme="minorHAnsi"/>
                <w:sz w:val="20"/>
              </w:rPr>
              <w:t>%</w:t>
            </w:r>
          </w:p>
        </w:tc>
        <w:tc>
          <w:tcPr>
            <w:tcW w:w="732"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center"/>
              <w:rPr>
                <w:rFonts w:ascii="Arial Narrow" w:hAnsi="Arial Narrow" w:cstheme="minorHAnsi"/>
                <w:sz w:val="20"/>
              </w:rPr>
            </w:pPr>
            <w:r w:rsidRPr="00BE23C5">
              <w:rPr>
                <w:rFonts w:ascii="Arial Narrow" w:hAnsi="Arial Narrow" w:cstheme="minorHAnsi"/>
                <w:sz w:val="20"/>
              </w:rPr>
              <w:t>-</w:t>
            </w:r>
            <w:r w:rsidR="00FC3C5B">
              <w:rPr>
                <w:rFonts w:ascii="Arial Narrow" w:hAnsi="Arial Narrow" w:cstheme="minorHAnsi"/>
                <w:noProof/>
                <w:color w:val="000000"/>
                <w:sz w:val="20"/>
                <w:highlight w:val="black"/>
              </w:rPr>
              <w:t>''''''</w:t>
            </w:r>
            <w:r w:rsidRPr="00BE23C5">
              <w:rPr>
                <w:rFonts w:ascii="Arial Narrow" w:hAnsi="Arial Narrow" w:cstheme="minorHAnsi"/>
                <w:sz w:val="20"/>
              </w:rPr>
              <w:t>%</w:t>
            </w:r>
          </w:p>
        </w:tc>
        <w:tc>
          <w:tcPr>
            <w:tcW w:w="733"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center"/>
              <w:rPr>
                <w:rFonts w:ascii="Arial Narrow" w:hAnsi="Arial Narrow" w:cstheme="minorHAnsi"/>
                <w:sz w:val="20"/>
              </w:rPr>
            </w:pPr>
            <w:r w:rsidRPr="00BE23C5">
              <w:rPr>
                <w:rFonts w:ascii="Arial Narrow" w:hAnsi="Arial Narrow" w:cstheme="minorHAnsi"/>
                <w:sz w:val="20"/>
              </w:rPr>
              <w:t>-</w:t>
            </w:r>
            <w:r w:rsidR="00FC3C5B">
              <w:rPr>
                <w:rFonts w:ascii="Arial Narrow" w:hAnsi="Arial Narrow" w:cstheme="minorHAnsi"/>
                <w:noProof/>
                <w:color w:val="000000"/>
                <w:sz w:val="20"/>
                <w:highlight w:val="black"/>
              </w:rPr>
              <w:t>''''''</w:t>
            </w:r>
            <w:r w:rsidRPr="00BE23C5">
              <w:rPr>
                <w:rFonts w:ascii="Arial Narrow" w:hAnsi="Arial Narrow" w:cstheme="minorHAnsi"/>
                <w:sz w:val="20"/>
              </w:rPr>
              <w:t>%</w:t>
            </w:r>
          </w:p>
        </w:tc>
        <w:tc>
          <w:tcPr>
            <w:tcW w:w="732"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center"/>
              <w:rPr>
                <w:rFonts w:ascii="Arial Narrow" w:hAnsi="Arial Narrow" w:cstheme="minorHAnsi"/>
                <w:sz w:val="20"/>
              </w:rPr>
            </w:pPr>
            <w:r w:rsidRPr="00BE23C5">
              <w:rPr>
                <w:rFonts w:ascii="Arial Narrow" w:hAnsi="Arial Narrow" w:cstheme="minorHAnsi"/>
                <w:sz w:val="20"/>
              </w:rPr>
              <w:t>-</w:t>
            </w:r>
            <w:r w:rsidR="00FC3C5B">
              <w:rPr>
                <w:rFonts w:ascii="Arial Narrow" w:hAnsi="Arial Narrow" w:cstheme="minorHAnsi"/>
                <w:noProof/>
                <w:color w:val="000000"/>
                <w:sz w:val="20"/>
                <w:highlight w:val="black"/>
              </w:rPr>
              <w:t>'''''</w:t>
            </w:r>
            <w:r w:rsidRPr="00BE23C5">
              <w:rPr>
                <w:rFonts w:ascii="Arial Narrow" w:hAnsi="Arial Narrow" w:cstheme="minorHAnsi"/>
                <w:sz w:val="20"/>
              </w:rPr>
              <w:t>%</w:t>
            </w:r>
          </w:p>
        </w:tc>
        <w:tc>
          <w:tcPr>
            <w:tcW w:w="732"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center"/>
              <w:rPr>
                <w:rFonts w:ascii="Arial Narrow" w:hAnsi="Arial Narrow" w:cstheme="minorHAnsi"/>
                <w:sz w:val="20"/>
              </w:rPr>
            </w:pPr>
            <w:r w:rsidRPr="00BE23C5">
              <w:rPr>
                <w:rFonts w:ascii="Arial Narrow" w:hAnsi="Arial Narrow" w:cstheme="minorHAnsi"/>
                <w:sz w:val="20"/>
              </w:rPr>
              <w:t>-</w:t>
            </w:r>
            <w:r w:rsidR="00FC3C5B">
              <w:rPr>
                <w:rFonts w:ascii="Arial Narrow" w:hAnsi="Arial Narrow" w:cstheme="minorHAnsi"/>
                <w:noProof/>
                <w:color w:val="000000"/>
                <w:sz w:val="20"/>
                <w:highlight w:val="black"/>
              </w:rPr>
              <w:t>''''''</w:t>
            </w:r>
            <w:r w:rsidRPr="00BE23C5">
              <w:rPr>
                <w:rFonts w:ascii="Arial Narrow" w:hAnsi="Arial Narrow" w:cstheme="minorHAnsi"/>
                <w:sz w:val="20"/>
              </w:rPr>
              <w:t>%</w:t>
            </w:r>
          </w:p>
        </w:tc>
        <w:tc>
          <w:tcPr>
            <w:tcW w:w="733"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center"/>
              <w:rPr>
                <w:rFonts w:ascii="Arial Narrow" w:hAnsi="Arial Narrow" w:cstheme="minorHAnsi"/>
                <w:sz w:val="20"/>
              </w:rPr>
            </w:pPr>
            <w:r w:rsidRPr="00BE23C5">
              <w:rPr>
                <w:rFonts w:ascii="Arial Narrow" w:hAnsi="Arial Narrow" w:cstheme="minorHAnsi"/>
                <w:sz w:val="20"/>
              </w:rPr>
              <w:t>-</w:t>
            </w:r>
            <w:r w:rsidR="00FC3C5B">
              <w:rPr>
                <w:rFonts w:ascii="Arial Narrow" w:hAnsi="Arial Narrow" w:cstheme="minorHAnsi"/>
                <w:noProof/>
                <w:color w:val="000000"/>
                <w:sz w:val="20"/>
                <w:highlight w:val="black"/>
              </w:rPr>
              <w:t>'''''</w:t>
            </w:r>
            <w:r w:rsidRPr="00BE23C5">
              <w:rPr>
                <w:rFonts w:ascii="Arial Narrow" w:hAnsi="Arial Narrow" w:cstheme="minorHAnsi"/>
                <w:sz w:val="20"/>
              </w:rPr>
              <w:t>%</w:t>
            </w:r>
          </w:p>
        </w:tc>
      </w:tr>
      <w:tr w:rsidR="00B634CB" w:rsidRPr="00BE23C5" w:rsidTr="000056D4">
        <w:trPr>
          <w:trHeight w:val="170"/>
        </w:trPr>
        <w:tc>
          <w:tcPr>
            <w:tcW w:w="4670"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left"/>
              <w:rPr>
                <w:rFonts w:ascii="Arial Narrow" w:hAnsi="Arial Narrow" w:cstheme="minorHAnsi"/>
                <w:sz w:val="20"/>
              </w:rPr>
            </w:pPr>
            <w:r w:rsidRPr="00BE23C5">
              <w:rPr>
                <w:rFonts w:ascii="Arial Narrow" w:hAnsi="Arial Narrow" w:cstheme="minorHAnsi"/>
                <w:sz w:val="20"/>
              </w:rPr>
              <w:t>Patients completing 12 months treatment (</w:t>
            </w:r>
            <w:proofErr w:type="gramStart"/>
            <w:r w:rsidR="00FC3C5B">
              <w:rPr>
                <w:rFonts w:ascii="Arial Narrow" w:hAnsi="Arial Narrow" w:cstheme="minorHAnsi"/>
                <w:noProof/>
                <w:color w:val="000000"/>
                <w:sz w:val="20"/>
                <w:highlight w:val="black"/>
              </w:rPr>
              <w:t>''''''''''</w:t>
            </w:r>
            <w:r w:rsidRPr="00BE23C5">
              <w:rPr>
                <w:rFonts w:ascii="Arial Narrow" w:hAnsi="Arial Narrow" w:cstheme="minorHAnsi"/>
                <w:sz w:val="20"/>
              </w:rPr>
              <w:t>%</w:t>
            </w:r>
            <w:proofErr w:type="gramEnd"/>
            <w:r w:rsidRPr="00BE23C5">
              <w:rPr>
                <w:rFonts w:ascii="Arial Narrow" w:hAnsi="Arial Narrow" w:cstheme="minorHAnsi"/>
                <w:sz w:val="20"/>
              </w:rPr>
              <w:t>)</w:t>
            </w:r>
          </w:p>
        </w:tc>
        <w:tc>
          <w:tcPr>
            <w:tcW w:w="732"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center"/>
              <w:rPr>
                <w:rFonts w:ascii="Arial Narrow" w:hAnsi="Arial Narrow" w:cstheme="minorHAnsi"/>
                <w:sz w:val="20"/>
              </w:rPr>
            </w:pPr>
            <w:r w:rsidRPr="00BE23C5">
              <w:rPr>
                <w:rFonts w:ascii="Arial Narrow" w:hAnsi="Arial Narrow" w:cstheme="minorHAnsi"/>
                <w:sz w:val="20"/>
              </w:rPr>
              <w:t>-</w:t>
            </w:r>
            <w:r w:rsidR="00FC3C5B">
              <w:rPr>
                <w:rFonts w:ascii="Arial Narrow" w:hAnsi="Arial Narrow" w:cstheme="minorHAnsi"/>
                <w:noProof/>
                <w:color w:val="000000"/>
                <w:sz w:val="20"/>
                <w:highlight w:val="black"/>
              </w:rPr>
              <w:t>''''''</w:t>
            </w:r>
            <w:r w:rsidRPr="00BE23C5">
              <w:rPr>
                <w:rFonts w:ascii="Arial Narrow" w:hAnsi="Arial Narrow" w:cstheme="minorHAnsi"/>
                <w:sz w:val="20"/>
              </w:rPr>
              <w:t>%</w:t>
            </w:r>
          </w:p>
        </w:tc>
        <w:tc>
          <w:tcPr>
            <w:tcW w:w="732"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center"/>
              <w:rPr>
                <w:rFonts w:ascii="Arial Narrow" w:hAnsi="Arial Narrow" w:cstheme="minorHAnsi"/>
                <w:sz w:val="20"/>
              </w:rPr>
            </w:pPr>
            <w:r w:rsidRPr="00BE23C5">
              <w:rPr>
                <w:rFonts w:ascii="Arial Narrow" w:hAnsi="Arial Narrow" w:cstheme="minorHAnsi"/>
                <w:sz w:val="20"/>
              </w:rPr>
              <w:t>-</w:t>
            </w:r>
            <w:r w:rsidR="00FC3C5B">
              <w:rPr>
                <w:rFonts w:ascii="Arial Narrow" w:hAnsi="Arial Narrow" w:cstheme="minorHAnsi"/>
                <w:noProof/>
                <w:color w:val="000000"/>
                <w:sz w:val="20"/>
                <w:highlight w:val="black"/>
              </w:rPr>
              <w:t>'''''''</w:t>
            </w:r>
            <w:r w:rsidRPr="00BE23C5">
              <w:rPr>
                <w:rFonts w:ascii="Arial Narrow" w:hAnsi="Arial Narrow" w:cstheme="minorHAnsi"/>
                <w:sz w:val="20"/>
              </w:rPr>
              <w:t>%</w:t>
            </w:r>
          </w:p>
        </w:tc>
        <w:tc>
          <w:tcPr>
            <w:tcW w:w="733"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center"/>
              <w:rPr>
                <w:rFonts w:ascii="Arial Narrow" w:hAnsi="Arial Narrow" w:cstheme="minorHAnsi"/>
                <w:sz w:val="20"/>
              </w:rPr>
            </w:pPr>
            <w:r w:rsidRPr="00BE23C5">
              <w:rPr>
                <w:rFonts w:ascii="Arial Narrow" w:hAnsi="Arial Narrow" w:cstheme="minorHAnsi"/>
                <w:sz w:val="20"/>
              </w:rPr>
              <w:t>-</w:t>
            </w:r>
            <w:r w:rsidR="00FC3C5B">
              <w:rPr>
                <w:rFonts w:ascii="Arial Narrow" w:hAnsi="Arial Narrow" w:cstheme="minorHAnsi"/>
                <w:noProof/>
                <w:color w:val="000000"/>
                <w:sz w:val="20"/>
                <w:highlight w:val="black"/>
              </w:rPr>
              <w:t>'''''</w:t>
            </w:r>
            <w:r w:rsidRPr="00BE23C5">
              <w:rPr>
                <w:rFonts w:ascii="Arial Narrow" w:hAnsi="Arial Narrow" w:cstheme="minorHAnsi"/>
                <w:sz w:val="20"/>
              </w:rPr>
              <w:t>%</w:t>
            </w:r>
          </w:p>
        </w:tc>
        <w:tc>
          <w:tcPr>
            <w:tcW w:w="732"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center"/>
              <w:rPr>
                <w:rFonts w:ascii="Arial Narrow" w:hAnsi="Arial Narrow" w:cstheme="minorHAnsi"/>
                <w:sz w:val="20"/>
              </w:rPr>
            </w:pPr>
            <w:r w:rsidRPr="00BE23C5">
              <w:rPr>
                <w:rFonts w:ascii="Arial Narrow" w:hAnsi="Arial Narrow" w:cstheme="minorHAnsi"/>
                <w:sz w:val="20"/>
              </w:rPr>
              <w:t>-</w:t>
            </w:r>
            <w:r w:rsidR="00FC3C5B">
              <w:rPr>
                <w:rFonts w:ascii="Arial Narrow" w:hAnsi="Arial Narrow" w:cstheme="minorHAnsi"/>
                <w:noProof/>
                <w:color w:val="000000"/>
                <w:sz w:val="20"/>
                <w:highlight w:val="black"/>
              </w:rPr>
              <w:t>'''''</w:t>
            </w:r>
            <w:r w:rsidRPr="00BE23C5">
              <w:rPr>
                <w:rFonts w:ascii="Arial Narrow" w:hAnsi="Arial Narrow" w:cstheme="minorHAnsi"/>
                <w:sz w:val="20"/>
              </w:rPr>
              <w:t>%</w:t>
            </w:r>
          </w:p>
        </w:tc>
        <w:tc>
          <w:tcPr>
            <w:tcW w:w="732"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center"/>
              <w:rPr>
                <w:rFonts w:ascii="Arial Narrow" w:hAnsi="Arial Narrow" w:cstheme="minorHAnsi"/>
                <w:sz w:val="20"/>
              </w:rPr>
            </w:pPr>
            <w:r w:rsidRPr="00BE23C5">
              <w:rPr>
                <w:rFonts w:ascii="Arial Narrow" w:hAnsi="Arial Narrow" w:cstheme="minorHAnsi"/>
                <w:sz w:val="20"/>
              </w:rPr>
              <w:t>-</w:t>
            </w:r>
            <w:r w:rsidR="00FC3C5B">
              <w:rPr>
                <w:rFonts w:ascii="Arial Narrow" w:hAnsi="Arial Narrow" w:cstheme="minorHAnsi"/>
                <w:noProof/>
                <w:color w:val="000000"/>
                <w:sz w:val="20"/>
                <w:highlight w:val="black"/>
              </w:rPr>
              <w:t>''''''</w:t>
            </w:r>
            <w:r w:rsidRPr="00BE23C5">
              <w:rPr>
                <w:rFonts w:ascii="Arial Narrow" w:hAnsi="Arial Narrow" w:cstheme="minorHAnsi"/>
                <w:sz w:val="20"/>
              </w:rPr>
              <w:t>%</w:t>
            </w:r>
          </w:p>
        </w:tc>
        <w:tc>
          <w:tcPr>
            <w:tcW w:w="733" w:type="dxa"/>
            <w:shd w:val="clear" w:color="auto" w:fill="auto"/>
            <w:tcMar>
              <w:top w:w="12" w:type="dxa"/>
              <w:left w:w="12" w:type="dxa"/>
              <w:bottom w:w="0" w:type="dxa"/>
              <w:right w:w="12" w:type="dxa"/>
            </w:tcMar>
            <w:vAlign w:val="bottom"/>
          </w:tcPr>
          <w:p w:rsidR="00B634CB" w:rsidRPr="00BE23C5" w:rsidRDefault="00B634CB" w:rsidP="007F5EE0">
            <w:pPr>
              <w:keepNext/>
              <w:keepLines/>
              <w:widowControl/>
              <w:jc w:val="center"/>
              <w:rPr>
                <w:rFonts w:ascii="Arial Narrow" w:hAnsi="Arial Narrow" w:cstheme="minorHAnsi"/>
                <w:sz w:val="20"/>
              </w:rPr>
            </w:pPr>
            <w:r w:rsidRPr="00BE23C5">
              <w:rPr>
                <w:rFonts w:ascii="Arial Narrow" w:hAnsi="Arial Narrow" w:cstheme="minorHAnsi"/>
                <w:sz w:val="20"/>
              </w:rPr>
              <w:t>-</w:t>
            </w:r>
            <w:r w:rsidR="00FC3C5B">
              <w:rPr>
                <w:rFonts w:ascii="Arial Narrow" w:hAnsi="Arial Narrow" w:cstheme="minorHAnsi"/>
                <w:noProof/>
                <w:color w:val="000000"/>
                <w:sz w:val="20"/>
                <w:highlight w:val="black"/>
              </w:rPr>
              <w:t>''''''</w:t>
            </w:r>
            <w:r w:rsidRPr="00BE23C5">
              <w:rPr>
                <w:rFonts w:ascii="Arial Narrow" w:hAnsi="Arial Narrow" w:cstheme="minorHAnsi"/>
                <w:sz w:val="20"/>
              </w:rPr>
              <w:t>%</w:t>
            </w:r>
          </w:p>
        </w:tc>
      </w:tr>
    </w:tbl>
    <w:p w:rsidR="00B634CB" w:rsidRPr="00BE23C5" w:rsidRDefault="00B634CB" w:rsidP="007F5EE0">
      <w:pPr>
        <w:keepNext/>
        <w:keepLines/>
        <w:widowControl/>
        <w:rPr>
          <w:rFonts w:ascii="Arial Narrow" w:hAnsi="Arial Narrow"/>
          <w:sz w:val="20"/>
          <w:szCs w:val="20"/>
        </w:rPr>
      </w:pPr>
      <w:r w:rsidRPr="00BE23C5">
        <w:rPr>
          <w:rFonts w:ascii="Arial Narrow" w:hAnsi="Arial Narrow"/>
          <w:sz w:val="20"/>
          <w:szCs w:val="20"/>
        </w:rPr>
        <w:t>Compiled during the DUSC evaluation</w:t>
      </w:r>
    </w:p>
    <w:p w:rsidR="0097089D" w:rsidRPr="00BE23C5" w:rsidRDefault="0097089D" w:rsidP="001159DF">
      <w:pPr>
        <w:pStyle w:val="ListParagraph"/>
        <w:widowControl/>
        <w:numPr>
          <w:ilvl w:val="1"/>
          <w:numId w:val="2"/>
        </w:numPr>
        <w:spacing w:before="120" w:after="120"/>
      </w:pPr>
      <w:r w:rsidRPr="00BE23C5">
        <w:t xml:space="preserve">The </w:t>
      </w:r>
      <w:r w:rsidR="000056D4" w:rsidRPr="00BE23C5">
        <w:t xml:space="preserve">DUSC revised estimates of patient numbers (both electing treatment and completing treatment) are substantially lower than the submission estimates. The </w:t>
      </w:r>
      <w:r w:rsidRPr="00BE23C5">
        <w:t>main differences between the submission and the DUSC revised estimates are:</w:t>
      </w:r>
    </w:p>
    <w:p w:rsidR="00B634CB" w:rsidRPr="00BE23C5" w:rsidRDefault="0097089D" w:rsidP="001159DF">
      <w:pPr>
        <w:pStyle w:val="ListParagraph"/>
        <w:widowControl/>
        <w:numPr>
          <w:ilvl w:val="0"/>
          <w:numId w:val="22"/>
        </w:numPr>
        <w:spacing w:before="120" w:after="120"/>
      </w:pPr>
      <w:r w:rsidRPr="00BE23C5">
        <w:t xml:space="preserve">The number of patients initiating </w:t>
      </w:r>
      <w:proofErr w:type="spellStart"/>
      <w:r w:rsidRPr="00BE23C5">
        <w:t>trastuzumab</w:t>
      </w:r>
      <w:proofErr w:type="spellEnd"/>
      <w:r w:rsidRPr="00BE23C5">
        <w:t xml:space="preserve"> in the previous year were taken from the DUSC report</w:t>
      </w:r>
      <w:r w:rsidR="005644EA" w:rsidRPr="00BE23C5">
        <w:rPr>
          <w:rStyle w:val="FootnoteReference"/>
        </w:rPr>
        <w:footnoteReference w:id="10"/>
      </w:r>
      <w:r w:rsidRPr="00BE23C5">
        <w:t xml:space="preserve"> </w:t>
      </w:r>
      <w:r w:rsidR="002A4F8C" w:rsidRPr="00BE23C5">
        <w:t>(</w:t>
      </w:r>
      <w:r w:rsidRPr="00BE23C5">
        <w:t>rather than imputed from prescription counts</w:t>
      </w:r>
      <w:r w:rsidR="002A4F8C" w:rsidRPr="00BE23C5">
        <w:t>)</w:t>
      </w:r>
      <w:r w:rsidRPr="00BE23C5">
        <w:t>; which is a more reliable method</w:t>
      </w:r>
      <w:r w:rsidR="002F7F58" w:rsidRPr="00BE23C5">
        <w:t>.</w:t>
      </w:r>
    </w:p>
    <w:p w:rsidR="002F7F58" w:rsidRPr="00BE23C5" w:rsidRDefault="0097089D" w:rsidP="001159DF">
      <w:pPr>
        <w:pStyle w:val="ListParagraph"/>
        <w:widowControl/>
        <w:numPr>
          <w:ilvl w:val="0"/>
          <w:numId w:val="22"/>
        </w:numPr>
        <w:spacing w:before="120" w:after="120"/>
      </w:pPr>
      <w:r w:rsidRPr="00BE23C5">
        <w:t xml:space="preserve">The DUSC considered that the submission uptake rates underestimated the severity of diarrhoea associated with </w:t>
      </w:r>
      <w:proofErr w:type="spellStart"/>
      <w:r w:rsidRPr="00BE23C5">
        <w:t>neratinib</w:t>
      </w:r>
      <w:proofErr w:type="spellEnd"/>
      <w:r w:rsidRPr="00BE23C5">
        <w:t xml:space="preserve"> and its impact on quality of life in a population o</w:t>
      </w:r>
      <w:r w:rsidR="000056D4" w:rsidRPr="00BE23C5">
        <w:t>f</w:t>
      </w:r>
      <w:r w:rsidRPr="00BE23C5">
        <w:t xml:space="preserve"> patients who have already been through complex treatment</w:t>
      </w:r>
      <w:r w:rsidR="005644EA" w:rsidRPr="00BE23C5">
        <w:t xml:space="preserve">. The DUSC noted that the Sponsor’s advisory board of 10 clinicians had estimated the uptake to be between </w:t>
      </w:r>
      <w:r w:rsidR="005644EA" w:rsidRPr="0073777B">
        <w:t>50</w:t>
      </w:r>
      <w:r w:rsidR="005644EA" w:rsidRPr="00BE23C5">
        <w:t xml:space="preserve">% and </w:t>
      </w:r>
      <w:r w:rsidR="005644EA" w:rsidRPr="0073777B">
        <w:t>66</w:t>
      </w:r>
      <w:r w:rsidR="005644EA" w:rsidRPr="00BE23C5">
        <w:t xml:space="preserve">%. </w:t>
      </w:r>
      <w:r w:rsidR="008E4EB6" w:rsidRPr="00BE23C5">
        <w:t xml:space="preserve">The </w:t>
      </w:r>
      <w:r w:rsidR="005644EA" w:rsidRPr="00BE23C5">
        <w:t>DUSC estimate</w:t>
      </w:r>
      <w:r w:rsidR="008E4EB6" w:rsidRPr="00BE23C5">
        <w:t>s assumed</w:t>
      </w:r>
      <w:r w:rsidR="005644EA" w:rsidRPr="00BE23C5">
        <w:t xml:space="preserve"> the uptake would be 60% across all estimate years</w:t>
      </w:r>
      <w:r w:rsidR="002A4F8C" w:rsidRPr="00BE23C5">
        <w:t xml:space="preserve">, rather than </w:t>
      </w:r>
      <w:r w:rsidR="002A4F8C" w:rsidRPr="00BB03D0">
        <w:t>60</w:t>
      </w:r>
      <w:r w:rsidR="002A4F8C" w:rsidRPr="00BE23C5">
        <w:t>-</w:t>
      </w:r>
      <w:r w:rsidR="002A4F8C" w:rsidRPr="00BB03D0">
        <w:t>80</w:t>
      </w:r>
      <w:r w:rsidR="002A4F8C" w:rsidRPr="00BE23C5">
        <w:t>% as assumed in the submission</w:t>
      </w:r>
      <w:r w:rsidR="005644EA" w:rsidRPr="00BE23C5">
        <w:t>.</w:t>
      </w:r>
    </w:p>
    <w:p w:rsidR="0097089D" w:rsidRPr="00BE23C5" w:rsidRDefault="0097089D" w:rsidP="001159DF">
      <w:pPr>
        <w:pStyle w:val="ListParagraph"/>
        <w:widowControl/>
        <w:numPr>
          <w:ilvl w:val="0"/>
          <w:numId w:val="22"/>
        </w:numPr>
        <w:spacing w:before="120" w:after="120"/>
      </w:pPr>
      <w:r w:rsidRPr="00BE23C5">
        <w:t xml:space="preserve">Based on the </w:t>
      </w:r>
      <w:proofErr w:type="spellStart"/>
      <w:r w:rsidRPr="00BE23C5">
        <w:t>Exte</w:t>
      </w:r>
      <w:r w:rsidR="005644EA" w:rsidRPr="00BE23C5">
        <w:t>NET</w:t>
      </w:r>
      <w:proofErr w:type="spellEnd"/>
      <w:r w:rsidRPr="00BE23C5">
        <w:t xml:space="preserve"> trial, the submission assumed that 28% of patients would discontinue treatment after 2 months due to adverse events. The submission then assumed that the remaining 72% would go on to complete 12 months treatment. DUSC considered that it was unrealistic to assume there would be no discontinuations between 2 and 12 months. </w:t>
      </w:r>
      <w:r w:rsidR="008E4EB6" w:rsidRPr="00BE23C5">
        <w:t xml:space="preserve">This was also </w:t>
      </w:r>
      <w:r w:rsidR="002A4F8C" w:rsidRPr="00BE23C5">
        <w:t>in</w:t>
      </w:r>
      <w:r w:rsidR="008E4EB6" w:rsidRPr="00BE23C5">
        <w:t xml:space="preserve">consistent with the </w:t>
      </w:r>
      <w:r w:rsidR="008E4EB6" w:rsidRPr="00BE23C5">
        <w:lastRenderedPageBreak/>
        <w:t xml:space="preserve">estimated mean duration </w:t>
      </w:r>
      <w:r w:rsidR="002A4F8C" w:rsidRPr="00BE23C5">
        <w:t xml:space="preserve">of treatment </w:t>
      </w:r>
      <w:r w:rsidR="008E4EB6" w:rsidRPr="00BE23C5">
        <w:t xml:space="preserve">in the </w:t>
      </w:r>
      <w:r w:rsidR="002A4F8C" w:rsidRPr="00BE23C5">
        <w:t xml:space="preserve">economic </w:t>
      </w:r>
      <w:r w:rsidR="008E4EB6" w:rsidRPr="00BE23C5">
        <w:t xml:space="preserve">model. </w:t>
      </w:r>
      <w:r w:rsidRPr="00BE23C5">
        <w:t xml:space="preserve">DUSC also noted that all cause discontinuation in the </w:t>
      </w:r>
      <w:proofErr w:type="spellStart"/>
      <w:r w:rsidRPr="00BE23C5">
        <w:t>Exte</w:t>
      </w:r>
      <w:r w:rsidR="008E4EB6" w:rsidRPr="00BE23C5">
        <w:t>NET</w:t>
      </w:r>
      <w:proofErr w:type="spellEnd"/>
      <w:r w:rsidRPr="00BE23C5">
        <w:t xml:space="preserve"> trial for </w:t>
      </w:r>
      <w:proofErr w:type="spellStart"/>
      <w:r w:rsidRPr="00BE23C5">
        <w:t>neratinib</w:t>
      </w:r>
      <w:proofErr w:type="spellEnd"/>
      <w:r w:rsidRPr="00BE23C5">
        <w:t xml:space="preserve"> patients was 38.9% and so estimated that 61.1% of patients would complete PBS treatment (compared to the submission assumption of 72.5%)</w:t>
      </w:r>
      <w:r w:rsidR="002F7F58" w:rsidRPr="00BE23C5">
        <w:t>.</w:t>
      </w:r>
    </w:p>
    <w:p w:rsidR="000056D4" w:rsidRPr="00BE23C5" w:rsidRDefault="000056D4" w:rsidP="001159DF">
      <w:pPr>
        <w:pStyle w:val="ListParagraph"/>
        <w:widowControl/>
        <w:numPr>
          <w:ilvl w:val="1"/>
          <w:numId w:val="2"/>
        </w:numPr>
        <w:spacing w:before="120" w:after="120"/>
      </w:pPr>
      <w:r w:rsidRPr="00BE23C5">
        <w:t xml:space="preserve">The DUSC noted that dose reductions were not accounted for in the submission despite the submission reporting that 36.9% of patients in the </w:t>
      </w:r>
      <w:proofErr w:type="spellStart"/>
      <w:r w:rsidRPr="00BE23C5">
        <w:t>ExteNET</w:t>
      </w:r>
      <w:proofErr w:type="spellEnd"/>
      <w:r w:rsidRPr="00BE23C5">
        <w:t xml:space="preserve"> trial had dose reductions. DUSC considered that not accounting for these dose reductions would add to the overestimation of prescriptions and government costs. DUSC also considered that if the extent of dose reduction in clinical practice is greater than that observed in the trials that this may impact on the efficacy of </w:t>
      </w:r>
      <w:proofErr w:type="spellStart"/>
      <w:r w:rsidRPr="00BE23C5">
        <w:t>neratinib</w:t>
      </w:r>
      <w:proofErr w:type="spellEnd"/>
      <w:r w:rsidRPr="00BE23C5">
        <w:t>.</w:t>
      </w:r>
    </w:p>
    <w:p w:rsidR="000056D4" w:rsidRPr="00BE23C5" w:rsidRDefault="000056D4" w:rsidP="001159DF">
      <w:pPr>
        <w:pStyle w:val="ListParagraph"/>
        <w:widowControl/>
        <w:numPr>
          <w:ilvl w:val="1"/>
          <w:numId w:val="2"/>
        </w:numPr>
        <w:spacing w:before="120" w:after="120"/>
      </w:pPr>
      <w:r w:rsidRPr="00BE23C5">
        <w:t xml:space="preserve">More efficacious drugs are likely to affect uptake in </w:t>
      </w:r>
      <w:r w:rsidR="008A3B20" w:rsidRPr="00BE23C5">
        <w:t xml:space="preserve">the </w:t>
      </w:r>
      <w:r w:rsidRPr="00BE23C5">
        <w:t>medium to longer term. DUSC considered that there is evidence that the near market competitor T</w:t>
      </w:r>
      <w:r w:rsidR="004152A3" w:rsidRPr="00BE23C5">
        <w:t>-</w:t>
      </w:r>
      <w:r w:rsidRPr="00BE23C5">
        <w:t>DM1 in the post-</w:t>
      </w:r>
      <w:proofErr w:type="spellStart"/>
      <w:r w:rsidRPr="00BE23C5">
        <w:t>neoadjuvant</w:t>
      </w:r>
      <w:proofErr w:type="spellEnd"/>
      <w:r w:rsidRPr="00BE23C5">
        <w:t xml:space="preserve"> setting is more effective than </w:t>
      </w:r>
      <w:proofErr w:type="spellStart"/>
      <w:r w:rsidRPr="00BE23C5">
        <w:t>neratinib</w:t>
      </w:r>
      <w:proofErr w:type="spellEnd"/>
      <w:r w:rsidRPr="00BE23C5">
        <w:t xml:space="preserve"> for both ER positive and negative patients. Thus if T</w:t>
      </w:r>
      <w:r w:rsidR="004152A3" w:rsidRPr="00BE23C5">
        <w:t>-</w:t>
      </w:r>
      <w:r w:rsidRPr="00BE23C5">
        <w:t xml:space="preserve">DM1 is listed on the PBS for this indication in the future, the uptake of </w:t>
      </w:r>
      <w:proofErr w:type="spellStart"/>
      <w:r w:rsidRPr="00BE23C5">
        <w:t>neratinib</w:t>
      </w:r>
      <w:proofErr w:type="spellEnd"/>
      <w:r w:rsidRPr="00BE23C5">
        <w:t xml:space="preserve"> would be greatly reduced.</w:t>
      </w:r>
      <w:r w:rsidR="00B15370" w:rsidRPr="00BE23C5">
        <w:t xml:space="preserve"> The pre-PBAC response noted the emergence of T-DM1 in breast cancer treatment but argued that T-DM1 would be used in a small percentage of patients and its impact on </w:t>
      </w:r>
      <w:proofErr w:type="spellStart"/>
      <w:r w:rsidR="00B15370" w:rsidRPr="00BE23C5">
        <w:t>neratinib</w:t>
      </w:r>
      <w:proofErr w:type="spellEnd"/>
      <w:r w:rsidR="00B15370" w:rsidRPr="00BE23C5">
        <w:t xml:space="preserve"> uptake would be minimal.</w:t>
      </w:r>
      <w:r w:rsidR="008A3B20" w:rsidRPr="00BE23C5">
        <w:t xml:space="preserve"> </w:t>
      </w:r>
    </w:p>
    <w:p w:rsidR="00671921" w:rsidRPr="00BE23C5" w:rsidRDefault="008E4EB6" w:rsidP="001159DF">
      <w:pPr>
        <w:pStyle w:val="ListParagraph"/>
        <w:widowControl/>
        <w:numPr>
          <w:ilvl w:val="1"/>
          <w:numId w:val="2"/>
        </w:numPr>
        <w:spacing w:before="120" w:after="120"/>
      </w:pPr>
      <w:r w:rsidRPr="00BE23C5">
        <w:t xml:space="preserve">Other issues with the submission’s </w:t>
      </w:r>
      <w:r w:rsidR="00671921" w:rsidRPr="00BE23C5">
        <w:t xml:space="preserve">estimated use and financial estimates </w:t>
      </w:r>
      <w:r w:rsidRPr="00BE23C5">
        <w:t>as identified during evaluation were</w:t>
      </w:r>
      <w:r w:rsidR="00671921" w:rsidRPr="00BE23C5">
        <w:t>:</w:t>
      </w:r>
    </w:p>
    <w:p w:rsidR="00671921" w:rsidRPr="00BE23C5" w:rsidRDefault="00671921" w:rsidP="001159DF">
      <w:pPr>
        <w:pStyle w:val="ListParagraph"/>
        <w:widowControl/>
        <w:numPr>
          <w:ilvl w:val="0"/>
          <w:numId w:val="8"/>
        </w:numPr>
        <w:spacing w:before="120" w:after="120"/>
      </w:pPr>
      <w:r w:rsidRPr="00BE23C5">
        <w:t>The number of patients in Year 1 is underestimated. The submission calculated 50% of grandfathered patients would be eligible for PBS supply rather than applying this figure to the number of scripts dispensed directly as stated.</w:t>
      </w:r>
    </w:p>
    <w:p w:rsidR="00671921" w:rsidRPr="00BE23C5" w:rsidRDefault="00671921" w:rsidP="001159DF">
      <w:pPr>
        <w:pStyle w:val="ListParagraph"/>
        <w:widowControl/>
        <w:numPr>
          <w:ilvl w:val="0"/>
          <w:numId w:val="8"/>
        </w:numPr>
        <w:spacing w:before="120" w:after="120"/>
      </w:pPr>
      <w:proofErr w:type="spellStart"/>
      <w:r w:rsidRPr="00BE23C5">
        <w:t>Loperamide</w:t>
      </w:r>
      <w:proofErr w:type="spellEnd"/>
      <w:r w:rsidRPr="00BE23C5">
        <w:t xml:space="preserve"> use may be underestimated in the submission. The financial estimates assumed that prophylaxis is only provided during the first 2 months of </w:t>
      </w:r>
      <w:proofErr w:type="spellStart"/>
      <w:r w:rsidRPr="00BE23C5">
        <w:t>neratinib</w:t>
      </w:r>
      <w:proofErr w:type="spellEnd"/>
      <w:r w:rsidRPr="00BE23C5">
        <w:t xml:space="preserve"> therapy. However, in the </w:t>
      </w:r>
      <w:proofErr w:type="spellStart"/>
      <w:r w:rsidRPr="00BE23C5">
        <w:t>ExteNET</w:t>
      </w:r>
      <w:proofErr w:type="spellEnd"/>
      <w:r w:rsidRPr="00BE23C5">
        <w:t xml:space="preserve"> trial treatment emergent diarrhoea of any grade was 42.4% in the twelfth month.</w:t>
      </w:r>
    </w:p>
    <w:p w:rsidR="00671921" w:rsidRPr="00BE23C5" w:rsidRDefault="00671921" w:rsidP="001159DF">
      <w:pPr>
        <w:pStyle w:val="ListParagraph"/>
        <w:widowControl/>
        <w:numPr>
          <w:ilvl w:val="0"/>
          <w:numId w:val="8"/>
        </w:numPr>
        <w:spacing w:before="120" w:after="120"/>
      </w:pPr>
      <w:r w:rsidRPr="00BE23C5">
        <w:t xml:space="preserve">No other treatments for adverse events were included as PBS listed medicines likely to be impacted by </w:t>
      </w:r>
      <w:proofErr w:type="spellStart"/>
      <w:r w:rsidRPr="00BE23C5">
        <w:t>neratinib</w:t>
      </w:r>
      <w:proofErr w:type="spellEnd"/>
      <w:r w:rsidRPr="00BE23C5">
        <w:t>. This is inconsistent with several PBS listed medicines for the treatment of adverse events being included in the economic model.</w:t>
      </w:r>
    </w:p>
    <w:p w:rsidR="00671921" w:rsidRPr="00BE23C5" w:rsidRDefault="00671921" w:rsidP="001159DF">
      <w:pPr>
        <w:pStyle w:val="ListParagraph"/>
        <w:widowControl/>
        <w:numPr>
          <w:ilvl w:val="0"/>
          <w:numId w:val="8"/>
        </w:numPr>
        <w:spacing w:before="120" w:after="120"/>
      </w:pPr>
      <w:r w:rsidRPr="00BE23C5">
        <w:t xml:space="preserve">Later line treatments of </w:t>
      </w:r>
      <w:proofErr w:type="spellStart"/>
      <w:r w:rsidRPr="00BE23C5">
        <w:t>eBC</w:t>
      </w:r>
      <w:proofErr w:type="spellEnd"/>
      <w:r w:rsidRPr="00BE23C5">
        <w:t xml:space="preserve"> or metastatic breast cancer were not considered to be impacted by the listing of </w:t>
      </w:r>
      <w:proofErr w:type="spellStart"/>
      <w:r w:rsidRPr="00BE23C5">
        <w:t>neratinib</w:t>
      </w:r>
      <w:proofErr w:type="spellEnd"/>
      <w:r w:rsidRPr="00BE23C5">
        <w:t>. It is likely that later line treatments will likely be impacted, including the use of other HER2 therapies.</w:t>
      </w:r>
    </w:p>
    <w:p w:rsidR="00480241" w:rsidRPr="00BE23C5" w:rsidRDefault="00671921" w:rsidP="001159DF">
      <w:pPr>
        <w:pStyle w:val="ListParagraph"/>
        <w:widowControl/>
        <w:numPr>
          <w:ilvl w:val="0"/>
          <w:numId w:val="8"/>
        </w:numPr>
        <w:spacing w:before="120" w:after="120"/>
      </w:pPr>
      <w:r w:rsidRPr="00BE23C5">
        <w:t xml:space="preserve">Several MBS items likely to be affected by the listing of </w:t>
      </w:r>
      <w:proofErr w:type="spellStart"/>
      <w:r w:rsidRPr="00BE23C5">
        <w:t>neratinib</w:t>
      </w:r>
      <w:proofErr w:type="spellEnd"/>
      <w:r w:rsidRPr="00BE23C5">
        <w:t xml:space="preserve"> were not included in the financial estimates.</w:t>
      </w:r>
    </w:p>
    <w:p w:rsidR="00575F33" w:rsidRPr="00BE23C5" w:rsidRDefault="00575F33" w:rsidP="001159DF">
      <w:pPr>
        <w:pStyle w:val="Heading2"/>
        <w:spacing w:before="120" w:after="120"/>
      </w:pPr>
      <w:bookmarkStart w:id="20" w:name="_Toc535857357"/>
      <w:r w:rsidRPr="00BE23C5">
        <w:t>Quality Use of Medicines</w:t>
      </w:r>
      <w:bookmarkEnd w:id="20"/>
    </w:p>
    <w:p w:rsidR="00575F33" w:rsidRPr="00BE23C5" w:rsidRDefault="00575F33" w:rsidP="001159DF">
      <w:pPr>
        <w:widowControl/>
        <w:spacing w:before="120" w:after="120"/>
      </w:pPr>
    </w:p>
    <w:p w:rsidR="005951AE" w:rsidRPr="00BE23C5" w:rsidRDefault="002B4C74" w:rsidP="001159DF">
      <w:pPr>
        <w:pStyle w:val="ListParagraph"/>
        <w:widowControl/>
        <w:numPr>
          <w:ilvl w:val="1"/>
          <w:numId w:val="2"/>
        </w:numPr>
        <w:spacing w:before="120" w:after="120"/>
      </w:pPr>
      <w:r w:rsidRPr="00BE23C5">
        <w:lastRenderedPageBreak/>
        <w:t xml:space="preserve">The submission provided details of the proposed Risk Management Plan (RMP) in Australia. </w:t>
      </w:r>
      <w:r w:rsidR="005951AE" w:rsidRPr="00BE23C5">
        <w:t>However, n</w:t>
      </w:r>
      <w:r w:rsidRPr="00BE23C5">
        <w:t xml:space="preserve">o </w:t>
      </w:r>
      <w:r w:rsidR="003D30CC" w:rsidRPr="00BE23C5">
        <w:t xml:space="preserve">post-marketing surveillance studies or </w:t>
      </w:r>
      <w:r w:rsidR="00CA6A3C" w:rsidRPr="00BE23C5">
        <w:t xml:space="preserve">additional </w:t>
      </w:r>
      <w:r w:rsidRPr="00BE23C5">
        <w:t>pharmacovigilance or risk minimisation activities beyond routine</w:t>
      </w:r>
      <w:r w:rsidR="00CA6A3C" w:rsidRPr="00BE23C5">
        <w:t xml:space="preserve"> activities</w:t>
      </w:r>
      <w:r w:rsidR="003D30CC" w:rsidRPr="00BE23C5">
        <w:t xml:space="preserve"> were</w:t>
      </w:r>
      <w:r w:rsidR="00CA6A3C" w:rsidRPr="00BE23C5">
        <w:t xml:space="preserve"> specified in the RMP</w:t>
      </w:r>
      <w:r w:rsidRPr="00BE23C5">
        <w:t xml:space="preserve"> were proposed.</w:t>
      </w:r>
      <w:r w:rsidR="005951AE" w:rsidRPr="00BE23C5">
        <w:t xml:space="preserve"> The </w:t>
      </w:r>
      <w:r w:rsidR="002A4F8C" w:rsidRPr="00BE23C5">
        <w:t xml:space="preserve">PBAC agreed with </w:t>
      </w:r>
      <w:r w:rsidR="005951AE" w:rsidRPr="00BE23C5">
        <w:t xml:space="preserve">DUSC that given the substantial toxicity profile of </w:t>
      </w:r>
      <w:proofErr w:type="spellStart"/>
      <w:r w:rsidR="005951AE" w:rsidRPr="00BE23C5">
        <w:t>neratinib</w:t>
      </w:r>
      <w:proofErr w:type="spellEnd"/>
      <w:r w:rsidR="005951AE" w:rsidRPr="00BE23C5">
        <w:t>, the QUM secti</w:t>
      </w:r>
      <w:r w:rsidR="00180C24" w:rsidRPr="00BE23C5">
        <w:t>on of the submission was sparse and inadequate.</w:t>
      </w:r>
    </w:p>
    <w:p w:rsidR="00575F33" w:rsidRPr="00BE23C5" w:rsidRDefault="00575F33" w:rsidP="001159DF">
      <w:pPr>
        <w:pStyle w:val="Heading2"/>
        <w:spacing w:before="120" w:after="120"/>
      </w:pPr>
      <w:bookmarkStart w:id="21" w:name="_Toc535857358"/>
      <w:r w:rsidRPr="00BE23C5">
        <w:t>Financial Management – Risk Sharing Arrangements</w:t>
      </w:r>
      <w:bookmarkEnd w:id="21"/>
    </w:p>
    <w:p w:rsidR="00841578" w:rsidRPr="00BE23C5" w:rsidRDefault="003D30CC" w:rsidP="001159DF">
      <w:pPr>
        <w:pStyle w:val="ListParagraph"/>
        <w:widowControl/>
        <w:numPr>
          <w:ilvl w:val="1"/>
          <w:numId w:val="2"/>
        </w:numPr>
        <w:spacing w:before="120" w:after="120"/>
      </w:pPr>
      <w:r w:rsidRPr="00BE23C5">
        <w:t>T</w:t>
      </w:r>
      <w:r w:rsidR="002B4C74" w:rsidRPr="00BE23C5">
        <w:t>he submission proposed an in principle risk</w:t>
      </w:r>
      <w:r w:rsidR="007A2F00" w:rsidRPr="00BE23C5">
        <w:t xml:space="preserve"> </w:t>
      </w:r>
      <w:r w:rsidR="002B4C74" w:rsidRPr="00BE23C5">
        <w:t xml:space="preserve">sharing arrangement whereby a rebate of </w:t>
      </w:r>
      <w:r w:rsidR="00FC3C5B">
        <w:rPr>
          <w:noProof/>
          <w:color w:val="000000"/>
          <w:highlight w:val="black"/>
        </w:rPr>
        <w:t>'''''</w:t>
      </w:r>
      <w:r w:rsidR="002B4C74" w:rsidRPr="00BE23C5">
        <w:t xml:space="preserve">% of the cost of </w:t>
      </w:r>
      <w:proofErr w:type="spellStart"/>
      <w:r w:rsidR="002B4C74" w:rsidRPr="00BE23C5">
        <w:t>neratinib</w:t>
      </w:r>
      <w:proofErr w:type="spellEnd"/>
      <w:r w:rsidR="002B4C74" w:rsidRPr="00BE23C5">
        <w:t xml:space="preserve"> would be paid for any usage beyond the eligible patient population (</w:t>
      </w:r>
      <w:r w:rsidR="00F715ED" w:rsidRPr="00BE23C5">
        <w:t xml:space="preserve">assuming </w:t>
      </w:r>
      <w:r w:rsidR="002B4C74" w:rsidRPr="00BE23C5">
        <w:t>100% uptake).</w:t>
      </w:r>
      <w:r w:rsidRPr="00BE23C5">
        <w:t xml:space="preserve"> The DUSC and ESC noted that the RSA proposed in the submission was for </w:t>
      </w:r>
      <w:r w:rsidR="00FC3C5B">
        <w:rPr>
          <w:noProof/>
          <w:color w:val="000000"/>
          <w:highlight w:val="black"/>
        </w:rPr>
        <w:t>'''''</w:t>
      </w:r>
      <w:r w:rsidRPr="00BE23C5">
        <w:t>% rebate above the eligible population rather than the estimated population. The ESC considered that this would result in uncertainty as there is an inherent margin for error before the rebate is even applied.</w:t>
      </w:r>
    </w:p>
    <w:p w:rsidR="001707FC" w:rsidRPr="00BE23C5" w:rsidRDefault="0003633F" w:rsidP="001159DF">
      <w:pPr>
        <w:pStyle w:val="PBACHeading1"/>
        <w:numPr>
          <w:ilvl w:val="0"/>
          <w:numId w:val="0"/>
        </w:numPr>
        <w:spacing w:before="120" w:after="120"/>
        <w:jc w:val="both"/>
        <w:rPr>
          <w:rFonts w:eastAsia="Calibri" w:cs="Calibri"/>
          <w:b w:val="0"/>
          <w:i/>
          <w:sz w:val="24"/>
          <w:szCs w:val="24"/>
        </w:rPr>
      </w:pPr>
      <w:r w:rsidRPr="00BE23C5">
        <w:rPr>
          <w:rFonts w:eastAsia="Calibri" w:cs="Calibri"/>
          <w:b w:val="0"/>
          <w:i/>
          <w:sz w:val="24"/>
          <w:szCs w:val="24"/>
        </w:rPr>
        <w:t>For more detail on PBAC’s view, see section 7 PBAC outcome.</w:t>
      </w:r>
    </w:p>
    <w:p w:rsidR="007B1A6B" w:rsidRPr="00BE23C5" w:rsidRDefault="000F112A" w:rsidP="001159DF">
      <w:pPr>
        <w:numPr>
          <w:ilvl w:val="0"/>
          <w:numId w:val="2"/>
        </w:numPr>
        <w:spacing w:before="120" w:after="120"/>
        <w:outlineLvl w:val="0"/>
        <w:rPr>
          <w:rFonts w:asciiTheme="minorHAnsi" w:hAnsiTheme="minorHAnsi"/>
          <w:b/>
          <w:bCs/>
          <w:i/>
          <w:sz w:val="32"/>
        </w:rPr>
      </w:pPr>
      <w:r>
        <w:rPr>
          <w:rFonts w:asciiTheme="minorHAnsi" w:hAnsiTheme="minorHAnsi"/>
          <w:b/>
          <w:bCs/>
          <w:sz w:val="32"/>
        </w:rPr>
        <w:t>PBAC O</w:t>
      </w:r>
      <w:r w:rsidR="00C60BDC" w:rsidRPr="00BE23C5">
        <w:rPr>
          <w:rFonts w:asciiTheme="minorHAnsi" w:hAnsiTheme="minorHAnsi"/>
          <w:b/>
          <w:bCs/>
          <w:sz w:val="32"/>
        </w:rPr>
        <w:t>utcome</w:t>
      </w:r>
    </w:p>
    <w:p w:rsidR="003515E7" w:rsidRPr="00BE23C5" w:rsidRDefault="00284183" w:rsidP="001159DF">
      <w:pPr>
        <w:numPr>
          <w:ilvl w:val="1"/>
          <w:numId w:val="2"/>
        </w:numPr>
        <w:spacing w:before="120" w:after="120"/>
      </w:pPr>
      <w:r w:rsidRPr="00BE23C5">
        <w:t xml:space="preserve">The PBAC did not recommend an Authority </w:t>
      </w:r>
      <w:proofErr w:type="gramStart"/>
      <w:r w:rsidRPr="00BE23C5">
        <w:t>Required</w:t>
      </w:r>
      <w:proofErr w:type="gramEnd"/>
      <w:r w:rsidRPr="00BE23C5">
        <w:t xml:space="preserve"> listing of </w:t>
      </w:r>
      <w:proofErr w:type="spellStart"/>
      <w:r w:rsidRPr="00BE23C5">
        <w:t>neratinib</w:t>
      </w:r>
      <w:proofErr w:type="spellEnd"/>
      <w:r w:rsidRPr="00BE23C5">
        <w:t xml:space="preserve"> for extended adjuvant treatment of patients with early-stage </w:t>
      </w:r>
      <w:r w:rsidR="007E0223" w:rsidRPr="00BE23C5">
        <w:t>h</w:t>
      </w:r>
      <w:r w:rsidRPr="00BE23C5">
        <w:t xml:space="preserve">uman epidermal growth factor receptor-2 positive (HER2+) overexpressed/amplified breast cancer who have received prior adjuvant </w:t>
      </w:r>
      <w:proofErr w:type="spellStart"/>
      <w:r w:rsidRPr="00BE23C5">
        <w:t>trastuzumab</w:t>
      </w:r>
      <w:proofErr w:type="spellEnd"/>
      <w:r w:rsidRPr="00BE23C5">
        <w:t xml:space="preserve"> based therapy. </w:t>
      </w:r>
      <w:r w:rsidR="00D607A1" w:rsidRPr="00BE23C5">
        <w:t xml:space="preserve">The PBAC considered that the clinical place for </w:t>
      </w:r>
      <w:proofErr w:type="spellStart"/>
      <w:r w:rsidR="00D607A1" w:rsidRPr="00BE23C5">
        <w:t>neratinib</w:t>
      </w:r>
      <w:proofErr w:type="spellEnd"/>
      <w:r w:rsidR="00D607A1" w:rsidRPr="00BE23C5">
        <w:t xml:space="preserve"> is </w:t>
      </w:r>
      <w:r w:rsidR="00872AE8" w:rsidRPr="00BE23C5">
        <w:t>unclear</w:t>
      </w:r>
      <w:r w:rsidR="00D607A1" w:rsidRPr="00BE23C5">
        <w:t xml:space="preserve"> given the shift toward treating high risk patients in the </w:t>
      </w:r>
      <w:proofErr w:type="spellStart"/>
      <w:r w:rsidR="00D607A1" w:rsidRPr="00BE23C5">
        <w:t>neoadjuvant</w:t>
      </w:r>
      <w:proofErr w:type="spellEnd"/>
      <w:r w:rsidR="00D607A1" w:rsidRPr="00BE23C5">
        <w:t xml:space="preserve"> setting</w:t>
      </w:r>
      <w:r w:rsidR="00872AE8" w:rsidRPr="00BE23C5">
        <w:t xml:space="preserve">, and the small and uncertain </w:t>
      </w:r>
      <w:r w:rsidRPr="00BE23C5">
        <w:t xml:space="preserve">benefit of </w:t>
      </w:r>
      <w:proofErr w:type="spellStart"/>
      <w:r w:rsidRPr="00BE23C5">
        <w:t>neratinib</w:t>
      </w:r>
      <w:proofErr w:type="spellEnd"/>
      <w:r w:rsidRPr="00BE23C5">
        <w:t xml:space="preserve"> </w:t>
      </w:r>
      <w:r w:rsidR="00872AE8" w:rsidRPr="00BE23C5">
        <w:t>treatment</w:t>
      </w:r>
      <w:r w:rsidR="00A01AA8" w:rsidRPr="00BE23C5">
        <w:t xml:space="preserve"> </w:t>
      </w:r>
      <w:r w:rsidR="00872AE8" w:rsidRPr="00BE23C5">
        <w:t>which is</w:t>
      </w:r>
      <w:r w:rsidR="00D607A1" w:rsidRPr="00BE23C5">
        <w:t xml:space="preserve"> balanced against the </w:t>
      </w:r>
      <w:r w:rsidR="00872AE8" w:rsidRPr="00BE23C5">
        <w:t xml:space="preserve">substantial </w:t>
      </w:r>
      <w:r w:rsidR="003515E7" w:rsidRPr="00BE23C5">
        <w:t xml:space="preserve">risk of </w:t>
      </w:r>
      <w:r w:rsidR="003E6CC8">
        <w:t>adverse events (</w:t>
      </w:r>
      <w:r w:rsidR="003515E7" w:rsidRPr="00BE23C5">
        <w:t>AEs</w:t>
      </w:r>
      <w:r w:rsidR="003E6CC8">
        <w:t>)</w:t>
      </w:r>
      <w:r w:rsidR="003515E7" w:rsidRPr="00BE23C5">
        <w:t xml:space="preserve">, </w:t>
      </w:r>
      <w:r w:rsidRPr="00BE23C5">
        <w:t xml:space="preserve">in particular </w:t>
      </w:r>
      <w:r w:rsidR="002F2ECB">
        <w:t xml:space="preserve">severe </w:t>
      </w:r>
      <w:r w:rsidR="003515E7" w:rsidRPr="00BE23C5">
        <w:t>diarrhoea</w:t>
      </w:r>
      <w:r w:rsidRPr="00BE23C5">
        <w:t xml:space="preserve">. </w:t>
      </w:r>
      <w:r w:rsidR="007E0223" w:rsidRPr="00BE23C5">
        <w:t xml:space="preserve">The PBAC considered the economic analysis presented to be </w:t>
      </w:r>
      <w:r w:rsidR="00D607A1" w:rsidRPr="00BE23C5">
        <w:t xml:space="preserve">highly </w:t>
      </w:r>
      <w:r w:rsidR="007E0223" w:rsidRPr="00BE23C5">
        <w:t>uncertain</w:t>
      </w:r>
      <w:r w:rsidR="00872AE8" w:rsidRPr="00BE23C5">
        <w:t>,</w:t>
      </w:r>
      <w:r w:rsidR="007E0223" w:rsidRPr="00BE23C5">
        <w:t xml:space="preserve"> </w:t>
      </w:r>
      <w:r w:rsidR="00D607A1" w:rsidRPr="00BE23C5">
        <w:t>and t</w:t>
      </w:r>
      <w:r w:rsidR="007E0223" w:rsidRPr="00BE23C5">
        <w:t xml:space="preserve">he uptake and financial estimates </w:t>
      </w:r>
      <w:r w:rsidR="00D607A1" w:rsidRPr="00BE23C5">
        <w:t xml:space="preserve">to be </w:t>
      </w:r>
      <w:r w:rsidR="007E0223" w:rsidRPr="00BE23C5">
        <w:t xml:space="preserve">overestimated. </w:t>
      </w:r>
    </w:p>
    <w:p w:rsidR="00787399" w:rsidRPr="00BE23C5" w:rsidRDefault="00C80592" w:rsidP="001159DF">
      <w:pPr>
        <w:numPr>
          <w:ilvl w:val="1"/>
          <w:numId w:val="2"/>
        </w:numPr>
        <w:spacing w:before="120" w:after="120"/>
      </w:pPr>
      <w:r w:rsidRPr="00BE23C5">
        <w:rPr>
          <w:rFonts w:asciiTheme="minorHAnsi" w:hAnsiTheme="minorHAnsi"/>
          <w:bCs/>
        </w:rPr>
        <w:t xml:space="preserve">The PBAC noted </w:t>
      </w:r>
      <w:r w:rsidR="00745D73" w:rsidRPr="00BE23C5">
        <w:rPr>
          <w:rFonts w:asciiTheme="minorHAnsi" w:hAnsiTheme="minorHAnsi"/>
          <w:bCs/>
        </w:rPr>
        <w:t xml:space="preserve">the </w:t>
      </w:r>
      <w:r w:rsidR="00D54840" w:rsidRPr="00BE23C5">
        <w:rPr>
          <w:rFonts w:asciiTheme="minorHAnsi" w:hAnsiTheme="minorHAnsi"/>
          <w:bCs/>
        </w:rPr>
        <w:t xml:space="preserve">proposed PBS listing </w:t>
      </w:r>
      <w:r w:rsidR="0042104A" w:rsidRPr="00BE23C5">
        <w:t xml:space="preserve">is narrower than the </w:t>
      </w:r>
      <w:r w:rsidR="00F829C4" w:rsidRPr="00BE23C5">
        <w:t xml:space="preserve">registered </w:t>
      </w:r>
      <w:r w:rsidR="0042104A" w:rsidRPr="00BE23C5">
        <w:t>TGA indication</w:t>
      </w:r>
      <w:r w:rsidR="00D54840" w:rsidRPr="00BE23C5">
        <w:t xml:space="preserve"> and relied on a subgroup of the </w:t>
      </w:r>
      <w:proofErr w:type="spellStart"/>
      <w:r w:rsidR="00D54840" w:rsidRPr="00BE23C5">
        <w:t>ExteNET</w:t>
      </w:r>
      <w:proofErr w:type="spellEnd"/>
      <w:r w:rsidR="00D54840" w:rsidRPr="00BE23C5">
        <w:t xml:space="preserve"> trial</w:t>
      </w:r>
      <w:r w:rsidR="0042104A" w:rsidRPr="00BE23C5">
        <w:t xml:space="preserve">. </w:t>
      </w:r>
      <w:r w:rsidR="00D54840" w:rsidRPr="00BE23C5">
        <w:t xml:space="preserve">The proposed listing </w:t>
      </w:r>
      <w:r w:rsidR="00F73AB5" w:rsidRPr="00BE23C5">
        <w:t>is for patients with</w:t>
      </w:r>
      <w:r w:rsidR="0042104A" w:rsidRPr="00BE23C5">
        <w:t xml:space="preserve"> HER2+, HR+, </w:t>
      </w:r>
      <w:proofErr w:type="spellStart"/>
      <w:r w:rsidR="0042104A" w:rsidRPr="00BE23C5">
        <w:t>eBC</w:t>
      </w:r>
      <w:proofErr w:type="spellEnd"/>
      <w:r w:rsidR="00040B67" w:rsidRPr="00BE23C5">
        <w:t xml:space="preserve"> who have</w:t>
      </w:r>
      <w:r w:rsidR="00D54840" w:rsidRPr="00BE23C5">
        <w:t xml:space="preserve"> completed their adjuvant </w:t>
      </w:r>
      <w:proofErr w:type="spellStart"/>
      <w:r w:rsidR="00D54840" w:rsidRPr="00BE23C5">
        <w:t>trastuzumab</w:t>
      </w:r>
      <w:proofErr w:type="spellEnd"/>
      <w:r w:rsidR="00D54840" w:rsidRPr="00BE23C5">
        <w:t xml:space="preserve"> treatment within the previous year</w:t>
      </w:r>
      <w:r w:rsidR="0042104A" w:rsidRPr="00BE23C5">
        <w:t xml:space="preserve">. </w:t>
      </w:r>
      <w:r w:rsidR="00C75A66" w:rsidRPr="00BE23C5">
        <w:t xml:space="preserve">The PBAC considered that </w:t>
      </w:r>
      <w:r w:rsidR="00040B67" w:rsidRPr="00BE23C5">
        <w:t>it</w:t>
      </w:r>
      <w:r w:rsidR="00C75A66" w:rsidRPr="00BE23C5">
        <w:t xml:space="preserve"> may be appropriate </w:t>
      </w:r>
      <w:r w:rsidR="00040B67" w:rsidRPr="00BE23C5">
        <w:t xml:space="preserve">to restrict use to HR+ patients </w:t>
      </w:r>
      <w:r w:rsidR="00872AE8" w:rsidRPr="00BE23C5">
        <w:t>given</w:t>
      </w:r>
      <w:r w:rsidR="00C75A66" w:rsidRPr="00BE23C5">
        <w:t xml:space="preserve"> the greater improvement</w:t>
      </w:r>
      <w:r w:rsidR="00B115CA" w:rsidRPr="00BE23C5">
        <w:t xml:space="preserve"> in </w:t>
      </w:r>
      <w:proofErr w:type="spellStart"/>
      <w:r w:rsidR="00B115CA" w:rsidRPr="00BE23C5">
        <w:t>iDFS</w:t>
      </w:r>
      <w:proofErr w:type="spellEnd"/>
      <w:r w:rsidR="00C75A66" w:rsidRPr="00BE23C5">
        <w:t xml:space="preserve"> in </w:t>
      </w:r>
      <w:r w:rsidR="00040B67" w:rsidRPr="00BE23C5">
        <w:t>this subgroup</w:t>
      </w:r>
      <w:r w:rsidR="00C75A66" w:rsidRPr="00BE23C5">
        <w:t xml:space="preserve">, however the </w:t>
      </w:r>
      <w:proofErr w:type="spellStart"/>
      <w:r w:rsidR="00C75A66" w:rsidRPr="00BE23C5">
        <w:t>ExteNET</w:t>
      </w:r>
      <w:proofErr w:type="spellEnd"/>
      <w:r w:rsidR="00C75A66" w:rsidRPr="00BE23C5">
        <w:t xml:space="preserve"> trial was not powered </w:t>
      </w:r>
      <w:r w:rsidR="005C5027" w:rsidRPr="00BE23C5">
        <w:t>to detect if HR status is a treatment effect modifier</w:t>
      </w:r>
      <w:r w:rsidR="00B115CA" w:rsidRPr="00BE23C5">
        <w:t>. The PBAC further noted the efficacy</w:t>
      </w:r>
      <w:r w:rsidR="008D2B6A" w:rsidRPr="00BE23C5">
        <w:t xml:space="preserve"> of </w:t>
      </w:r>
      <w:proofErr w:type="spellStart"/>
      <w:r w:rsidR="008D2B6A" w:rsidRPr="00BE23C5">
        <w:t>neratinib</w:t>
      </w:r>
      <w:proofErr w:type="spellEnd"/>
      <w:r w:rsidR="00B115CA" w:rsidRPr="00BE23C5">
        <w:t xml:space="preserve"> in lower risk patients</w:t>
      </w:r>
      <w:r w:rsidR="008D2B6A" w:rsidRPr="00BE23C5">
        <w:t xml:space="preserve"> was uncertain</w:t>
      </w:r>
      <w:r w:rsidR="00B115CA" w:rsidRPr="00BE23C5">
        <w:t xml:space="preserve">, including those with </w:t>
      </w:r>
      <w:r w:rsidR="002A4F8C" w:rsidRPr="00BE23C5">
        <w:t xml:space="preserve">stage 1 or </w:t>
      </w:r>
      <w:r w:rsidR="00B115CA" w:rsidRPr="00BE23C5">
        <w:t xml:space="preserve">node negative disease </w:t>
      </w:r>
      <w:r w:rsidR="008D2B6A" w:rsidRPr="00BE23C5">
        <w:t xml:space="preserve">given these patients were excluded from </w:t>
      </w:r>
      <w:proofErr w:type="spellStart"/>
      <w:r w:rsidR="008D2B6A" w:rsidRPr="00BE23C5">
        <w:t>ExteNET</w:t>
      </w:r>
      <w:proofErr w:type="spellEnd"/>
      <w:r w:rsidR="008D2B6A" w:rsidRPr="00BE23C5">
        <w:t xml:space="preserve"> following protocol amendment 3</w:t>
      </w:r>
      <w:r w:rsidR="00C75A66" w:rsidRPr="00BE23C5">
        <w:t>.</w:t>
      </w:r>
    </w:p>
    <w:p w:rsidR="002A4F8C" w:rsidRPr="00BE23C5" w:rsidRDefault="008F1673" w:rsidP="001159DF">
      <w:pPr>
        <w:pStyle w:val="ListParagraph"/>
        <w:widowControl/>
        <w:numPr>
          <w:ilvl w:val="1"/>
          <w:numId w:val="2"/>
        </w:numPr>
        <w:spacing w:before="120" w:after="120"/>
      </w:pPr>
      <w:r w:rsidRPr="00BE23C5">
        <w:t xml:space="preserve">The PBAC considered that the clinical place for </w:t>
      </w:r>
      <w:proofErr w:type="spellStart"/>
      <w:r w:rsidRPr="00BE23C5">
        <w:t>neratinib</w:t>
      </w:r>
      <w:proofErr w:type="spellEnd"/>
      <w:r w:rsidRPr="00BE23C5">
        <w:t xml:space="preserve"> is </w:t>
      </w:r>
      <w:r w:rsidR="008D2B6A" w:rsidRPr="00BE23C5">
        <w:t>unclear</w:t>
      </w:r>
      <w:r w:rsidRPr="00BE23C5">
        <w:t xml:space="preserve"> given the move towards </w:t>
      </w:r>
      <w:proofErr w:type="spellStart"/>
      <w:r w:rsidRPr="00BE23C5">
        <w:t>neoadjuvant</w:t>
      </w:r>
      <w:proofErr w:type="spellEnd"/>
      <w:r w:rsidRPr="00BE23C5">
        <w:t xml:space="preserve"> chemotherapy </w:t>
      </w:r>
      <w:r w:rsidR="00674EE2" w:rsidRPr="00BE23C5">
        <w:t>in</w:t>
      </w:r>
      <w:r w:rsidR="008D2B6A" w:rsidRPr="00BE23C5">
        <w:t xml:space="preserve"> high risk patients </w:t>
      </w:r>
      <w:r w:rsidRPr="00BE23C5">
        <w:t xml:space="preserve">and emerging treatments in the </w:t>
      </w:r>
      <w:proofErr w:type="spellStart"/>
      <w:r w:rsidRPr="00BE23C5">
        <w:t>neoadjuvant</w:t>
      </w:r>
      <w:proofErr w:type="spellEnd"/>
      <w:r w:rsidRPr="00BE23C5">
        <w:t xml:space="preserve"> </w:t>
      </w:r>
      <w:r w:rsidR="003B4A95" w:rsidRPr="00BE23C5">
        <w:t xml:space="preserve">and adjuvant </w:t>
      </w:r>
      <w:r w:rsidRPr="00BE23C5">
        <w:t>setting</w:t>
      </w:r>
      <w:r w:rsidR="003B4A95" w:rsidRPr="00BE23C5">
        <w:t>s</w:t>
      </w:r>
      <w:r w:rsidRPr="00BE23C5">
        <w:t xml:space="preserve">. The PBAC noted that </w:t>
      </w:r>
      <w:proofErr w:type="spellStart"/>
      <w:r w:rsidRPr="00BE23C5">
        <w:t>neoadjuvant</w:t>
      </w:r>
      <w:proofErr w:type="spellEnd"/>
      <w:r w:rsidRPr="00BE23C5">
        <w:t xml:space="preserve"> chemotherapy allows assessment of response to therapy at the time of surgery and </w:t>
      </w:r>
      <w:r w:rsidR="008D2B6A" w:rsidRPr="00BE23C5">
        <w:t>pathological complete response (</w:t>
      </w:r>
      <w:proofErr w:type="spellStart"/>
      <w:r w:rsidRPr="00BE23C5">
        <w:t>pCR</w:t>
      </w:r>
      <w:proofErr w:type="spellEnd"/>
      <w:r w:rsidR="008D2B6A" w:rsidRPr="00BE23C5">
        <w:t>)</w:t>
      </w:r>
      <w:r w:rsidRPr="00BE23C5">
        <w:t xml:space="preserve"> has demonstrated prognostic importance. The PBAC also noted </w:t>
      </w:r>
      <w:r w:rsidR="008D2B6A" w:rsidRPr="00BE23C5">
        <w:t xml:space="preserve">the recently published </w:t>
      </w:r>
      <w:r w:rsidRPr="00BE23C5">
        <w:t xml:space="preserve">data from the KATHERINE trial </w:t>
      </w:r>
      <w:r w:rsidR="00AC443A">
        <w:t xml:space="preserve">demonstrating </w:t>
      </w:r>
      <w:r w:rsidR="008D2B6A" w:rsidRPr="00BE23C5">
        <w:t xml:space="preserve">the efficacy of </w:t>
      </w:r>
      <w:proofErr w:type="spellStart"/>
      <w:r w:rsidR="002A4F8C" w:rsidRPr="00BE23C5">
        <w:t>trastuzumab</w:t>
      </w:r>
      <w:proofErr w:type="spellEnd"/>
      <w:r w:rsidR="002A4F8C" w:rsidRPr="00BE23C5">
        <w:t xml:space="preserve"> </w:t>
      </w:r>
      <w:proofErr w:type="spellStart"/>
      <w:r w:rsidR="002A4F8C" w:rsidRPr="00BE23C5">
        <w:t>emtansine</w:t>
      </w:r>
      <w:proofErr w:type="spellEnd"/>
      <w:r w:rsidR="002A4F8C" w:rsidRPr="00BE23C5">
        <w:t xml:space="preserve"> (</w:t>
      </w:r>
      <w:r w:rsidR="008D2B6A" w:rsidRPr="00BE23C5">
        <w:t>T-DM1</w:t>
      </w:r>
      <w:r w:rsidR="002A4F8C" w:rsidRPr="00BE23C5">
        <w:t>)</w:t>
      </w:r>
      <w:r w:rsidR="008D2B6A" w:rsidRPr="00BE23C5">
        <w:t xml:space="preserve"> in </w:t>
      </w:r>
      <w:r w:rsidRPr="00BE23C5">
        <w:t xml:space="preserve">patients with residual invasive </w:t>
      </w:r>
      <w:r w:rsidRPr="00BE23C5">
        <w:lastRenderedPageBreak/>
        <w:t xml:space="preserve">disease after completing </w:t>
      </w:r>
      <w:proofErr w:type="spellStart"/>
      <w:r w:rsidRPr="00BE23C5">
        <w:t>neoadjuvant</w:t>
      </w:r>
      <w:proofErr w:type="spellEnd"/>
      <w:r w:rsidRPr="00BE23C5">
        <w:t xml:space="preserve"> </w:t>
      </w:r>
      <w:r w:rsidR="00AC443A">
        <w:t xml:space="preserve">therapy. </w:t>
      </w:r>
      <w:r w:rsidR="00393EBF" w:rsidRPr="00BE23C5">
        <w:t xml:space="preserve">The PBAC </w:t>
      </w:r>
      <w:r w:rsidR="00D26B08" w:rsidRPr="00BE23C5">
        <w:t xml:space="preserve">noted </w:t>
      </w:r>
      <w:r w:rsidR="00CB3113" w:rsidRPr="00BE23C5">
        <w:t xml:space="preserve">there are limited data assessing the efficacy of </w:t>
      </w:r>
      <w:proofErr w:type="spellStart"/>
      <w:r w:rsidR="00CB3113" w:rsidRPr="00BE23C5">
        <w:t>neratinib</w:t>
      </w:r>
      <w:proofErr w:type="spellEnd"/>
      <w:r w:rsidR="00CB3113" w:rsidRPr="00BE23C5">
        <w:t xml:space="preserve"> following </w:t>
      </w:r>
      <w:r w:rsidR="00D26B08" w:rsidRPr="00BE23C5">
        <w:t xml:space="preserve">T-DM1, </w:t>
      </w:r>
      <w:r w:rsidR="00C979EA" w:rsidRPr="00BE23C5">
        <w:t>o</w:t>
      </w:r>
      <w:r w:rsidR="00D26B08" w:rsidRPr="00BE23C5">
        <w:t xml:space="preserve">r adjuvant </w:t>
      </w:r>
      <w:proofErr w:type="spellStart"/>
      <w:r w:rsidR="00D26B08" w:rsidRPr="00BE23C5">
        <w:t>trastuzumab</w:t>
      </w:r>
      <w:proofErr w:type="spellEnd"/>
      <w:r w:rsidR="00D26B08" w:rsidRPr="00BE23C5">
        <w:t xml:space="preserve"> plus </w:t>
      </w:r>
      <w:proofErr w:type="spellStart"/>
      <w:r w:rsidR="00D26B08" w:rsidRPr="00BE23C5">
        <w:t>pertuzumab</w:t>
      </w:r>
      <w:proofErr w:type="spellEnd"/>
      <w:r w:rsidR="00C66AC7">
        <w:t xml:space="preserve">. </w:t>
      </w:r>
      <w:r w:rsidR="00D75C30" w:rsidRPr="00BE23C5">
        <w:t xml:space="preserve">The PBAC further </w:t>
      </w:r>
      <w:r w:rsidR="00FF0A55" w:rsidRPr="00BE23C5">
        <w:t xml:space="preserve">considered that </w:t>
      </w:r>
      <w:r w:rsidR="00D75C30" w:rsidRPr="00BE23C5">
        <w:t>a</w:t>
      </w:r>
      <w:r w:rsidR="00FF0A55" w:rsidRPr="00BE23C5">
        <w:t xml:space="preserve"> listing </w:t>
      </w:r>
      <w:r w:rsidR="00D75C30" w:rsidRPr="00BE23C5">
        <w:t xml:space="preserve">for </w:t>
      </w:r>
      <w:proofErr w:type="spellStart"/>
      <w:r w:rsidR="00D75C30" w:rsidRPr="00BE23C5">
        <w:t>neratinib</w:t>
      </w:r>
      <w:proofErr w:type="spellEnd"/>
      <w:r w:rsidR="00D75C30" w:rsidRPr="00BE23C5">
        <w:t xml:space="preserve"> </w:t>
      </w:r>
      <w:r w:rsidR="00FF0A55" w:rsidRPr="00BE23C5">
        <w:t xml:space="preserve">should </w:t>
      </w:r>
      <w:r w:rsidR="00D75C30" w:rsidRPr="00BE23C5">
        <w:t xml:space="preserve">restrict use to following </w:t>
      </w:r>
      <w:proofErr w:type="spellStart"/>
      <w:r w:rsidR="00D75C30" w:rsidRPr="00BE23C5">
        <w:t>trastuzumab</w:t>
      </w:r>
      <w:proofErr w:type="spellEnd"/>
      <w:r w:rsidR="00D75C30" w:rsidRPr="00BE23C5">
        <w:t xml:space="preserve"> monotherapy</w:t>
      </w:r>
      <w:r w:rsidR="00C66AC7">
        <w:t>,</w:t>
      </w:r>
      <w:r w:rsidR="00D75C30" w:rsidRPr="00BE23C5">
        <w:t xml:space="preserve"> to be consistent with the available evidence</w:t>
      </w:r>
      <w:r w:rsidR="00FF0A55" w:rsidRPr="00BE23C5">
        <w:t>.</w:t>
      </w:r>
    </w:p>
    <w:p w:rsidR="00095A9F" w:rsidRPr="00BE23C5" w:rsidRDefault="002A4F8C" w:rsidP="001159DF">
      <w:pPr>
        <w:pStyle w:val="ListParagraph"/>
        <w:widowControl/>
        <w:numPr>
          <w:ilvl w:val="1"/>
          <w:numId w:val="2"/>
        </w:numPr>
        <w:spacing w:before="120" w:after="120"/>
      </w:pPr>
      <w:r w:rsidRPr="00BE23C5">
        <w:t xml:space="preserve">The PBAC noted that </w:t>
      </w:r>
      <w:r w:rsidRPr="00BE23C5">
        <w:rPr>
          <w:rFonts w:asciiTheme="minorHAnsi" w:hAnsiTheme="minorHAnsi"/>
          <w:bCs/>
        </w:rPr>
        <w:t xml:space="preserve">input from three individuals, one health care professional and two organisations (BCNA and MOGA) was received in support of a PBS listing for </w:t>
      </w:r>
      <w:proofErr w:type="spellStart"/>
      <w:r w:rsidRPr="00BE23C5">
        <w:rPr>
          <w:rFonts w:asciiTheme="minorHAnsi" w:hAnsiTheme="minorHAnsi"/>
          <w:bCs/>
        </w:rPr>
        <w:t>neratinib</w:t>
      </w:r>
      <w:proofErr w:type="spellEnd"/>
      <w:r w:rsidRPr="00BE23C5">
        <w:rPr>
          <w:rFonts w:asciiTheme="minorHAnsi" w:hAnsiTheme="minorHAnsi"/>
          <w:bCs/>
        </w:rPr>
        <w:t xml:space="preserve">. </w:t>
      </w:r>
    </w:p>
    <w:p w:rsidR="007B1A6B" w:rsidRPr="00BE23C5" w:rsidRDefault="00095A9F" w:rsidP="001159DF">
      <w:pPr>
        <w:numPr>
          <w:ilvl w:val="1"/>
          <w:numId w:val="2"/>
        </w:numPr>
        <w:spacing w:before="120" w:after="120"/>
        <w:rPr>
          <w:rFonts w:asciiTheme="minorHAnsi" w:hAnsiTheme="minorHAnsi"/>
          <w:bCs/>
        </w:rPr>
      </w:pPr>
      <w:r w:rsidRPr="00BE23C5">
        <w:rPr>
          <w:rFonts w:asciiTheme="minorHAnsi" w:hAnsiTheme="minorHAnsi"/>
          <w:bCs/>
        </w:rPr>
        <w:t>The PBAC considered the nominated c</w:t>
      </w:r>
      <w:r w:rsidR="007B1A6B" w:rsidRPr="00BE23C5">
        <w:rPr>
          <w:rFonts w:asciiTheme="minorHAnsi" w:hAnsiTheme="minorHAnsi"/>
          <w:bCs/>
        </w:rPr>
        <w:t xml:space="preserve">omparator </w:t>
      </w:r>
      <w:r w:rsidR="00D75C30" w:rsidRPr="00BE23C5">
        <w:rPr>
          <w:rFonts w:asciiTheme="minorHAnsi" w:hAnsiTheme="minorHAnsi"/>
          <w:bCs/>
        </w:rPr>
        <w:t xml:space="preserve">of </w:t>
      </w:r>
      <w:r w:rsidRPr="00BE23C5">
        <w:rPr>
          <w:rFonts w:asciiTheme="minorHAnsi" w:hAnsiTheme="minorHAnsi"/>
          <w:bCs/>
        </w:rPr>
        <w:t xml:space="preserve">usual care/placebo was reasonable. </w:t>
      </w:r>
      <w:r w:rsidR="009F10B9" w:rsidRPr="00BE23C5">
        <w:rPr>
          <w:rFonts w:cs="Calibri"/>
          <w:snapToGrid/>
          <w:szCs w:val="24"/>
          <w:lang w:eastAsia="en-AU"/>
        </w:rPr>
        <w:t xml:space="preserve">The PBAC considered that both </w:t>
      </w:r>
      <w:proofErr w:type="spellStart"/>
      <w:r w:rsidR="009F10B9" w:rsidRPr="00BE23C5">
        <w:rPr>
          <w:rFonts w:cs="Calibri"/>
          <w:snapToGrid/>
          <w:szCs w:val="24"/>
          <w:lang w:eastAsia="en-AU"/>
        </w:rPr>
        <w:t>pertuzumab</w:t>
      </w:r>
      <w:proofErr w:type="spellEnd"/>
      <w:r w:rsidR="009F10B9" w:rsidRPr="00BE23C5">
        <w:rPr>
          <w:rFonts w:cs="Calibri"/>
          <w:snapToGrid/>
          <w:szCs w:val="24"/>
          <w:lang w:eastAsia="en-AU"/>
        </w:rPr>
        <w:t xml:space="preserve"> and </w:t>
      </w:r>
      <w:r w:rsidR="002A4F8C" w:rsidRPr="00BE23C5">
        <w:rPr>
          <w:rFonts w:cs="Calibri"/>
          <w:snapToGrid/>
          <w:szCs w:val="24"/>
          <w:lang w:eastAsia="en-AU"/>
        </w:rPr>
        <w:t>T</w:t>
      </w:r>
      <w:r w:rsidR="00CB3113" w:rsidRPr="00BE23C5">
        <w:rPr>
          <w:rFonts w:cs="Calibri"/>
          <w:snapToGrid/>
          <w:szCs w:val="24"/>
          <w:lang w:eastAsia="en-AU"/>
        </w:rPr>
        <w:t>-</w:t>
      </w:r>
      <w:r w:rsidR="002A4F8C" w:rsidRPr="00BE23C5">
        <w:rPr>
          <w:rFonts w:cs="Calibri"/>
          <w:snapToGrid/>
          <w:szCs w:val="24"/>
          <w:lang w:eastAsia="en-AU"/>
        </w:rPr>
        <w:t>DM1 could be considered</w:t>
      </w:r>
      <w:r w:rsidR="009F10B9" w:rsidRPr="00BE23C5">
        <w:rPr>
          <w:rFonts w:cs="Calibri"/>
          <w:snapToGrid/>
          <w:szCs w:val="24"/>
          <w:lang w:eastAsia="en-AU"/>
        </w:rPr>
        <w:t xml:space="preserve"> near market comparators and the </w:t>
      </w:r>
      <w:r w:rsidR="002A4F8C" w:rsidRPr="00BE23C5">
        <w:rPr>
          <w:rFonts w:cs="Calibri"/>
          <w:snapToGrid/>
          <w:szCs w:val="24"/>
          <w:lang w:eastAsia="en-AU"/>
        </w:rPr>
        <w:t xml:space="preserve">clinical </w:t>
      </w:r>
      <w:r w:rsidR="009F10B9" w:rsidRPr="00BE23C5">
        <w:rPr>
          <w:rFonts w:cs="Calibri"/>
          <w:snapToGrid/>
          <w:szCs w:val="24"/>
          <w:lang w:eastAsia="en-AU"/>
        </w:rPr>
        <w:t xml:space="preserve">place of </w:t>
      </w:r>
      <w:proofErr w:type="spellStart"/>
      <w:r w:rsidR="009F10B9" w:rsidRPr="00BE23C5">
        <w:rPr>
          <w:rFonts w:cs="Calibri"/>
          <w:snapToGrid/>
          <w:szCs w:val="24"/>
          <w:lang w:eastAsia="en-AU"/>
        </w:rPr>
        <w:t>neratinib</w:t>
      </w:r>
      <w:proofErr w:type="spellEnd"/>
      <w:r w:rsidR="009F10B9" w:rsidRPr="00BE23C5">
        <w:rPr>
          <w:rFonts w:cs="Calibri"/>
          <w:snapToGrid/>
          <w:szCs w:val="24"/>
          <w:lang w:eastAsia="en-AU"/>
        </w:rPr>
        <w:t xml:space="preserve"> would need to be considered with regard to potential changes in the clinical algorithm.</w:t>
      </w:r>
    </w:p>
    <w:p w:rsidR="00DC3AA0" w:rsidRPr="00BE23C5" w:rsidRDefault="00DC3AA0" w:rsidP="001159DF">
      <w:pPr>
        <w:numPr>
          <w:ilvl w:val="1"/>
          <w:numId w:val="2"/>
        </w:numPr>
        <w:spacing w:before="120" w:after="120"/>
        <w:rPr>
          <w:rFonts w:asciiTheme="minorHAnsi" w:hAnsiTheme="minorHAnsi"/>
          <w:bCs/>
        </w:rPr>
      </w:pPr>
      <w:r w:rsidRPr="00BE23C5">
        <w:rPr>
          <w:rFonts w:asciiTheme="minorHAnsi" w:hAnsiTheme="minorHAnsi"/>
          <w:bCs/>
        </w:rPr>
        <w:t xml:space="preserve">The submission was based on one head-to-head randomised trial comparing </w:t>
      </w:r>
      <w:proofErr w:type="spellStart"/>
      <w:r w:rsidRPr="00BE23C5">
        <w:rPr>
          <w:rFonts w:asciiTheme="minorHAnsi" w:hAnsiTheme="minorHAnsi"/>
          <w:bCs/>
        </w:rPr>
        <w:t>neratinib</w:t>
      </w:r>
      <w:proofErr w:type="spellEnd"/>
      <w:r w:rsidRPr="00BE23C5">
        <w:rPr>
          <w:rFonts w:asciiTheme="minorHAnsi" w:hAnsiTheme="minorHAnsi"/>
          <w:bCs/>
        </w:rPr>
        <w:t xml:space="preserve"> to placebo (N=2,840): </w:t>
      </w:r>
      <w:proofErr w:type="spellStart"/>
      <w:r w:rsidRPr="00BE23C5">
        <w:rPr>
          <w:rFonts w:asciiTheme="minorHAnsi" w:hAnsiTheme="minorHAnsi"/>
          <w:bCs/>
        </w:rPr>
        <w:t>ExteNET</w:t>
      </w:r>
      <w:proofErr w:type="spellEnd"/>
      <w:r w:rsidRPr="00BE23C5">
        <w:rPr>
          <w:rFonts w:asciiTheme="minorHAnsi" w:hAnsiTheme="minorHAnsi"/>
          <w:bCs/>
        </w:rPr>
        <w:t xml:space="preserve"> trial. The PBAC noted the</w:t>
      </w:r>
      <w:r w:rsidR="00181189" w:rsidRPr="00BE23C5">
        <w:rPr>
          <w:rFonts w:asciiTheme="minorHAnsi" w:hAnsiTheme="minorHAnsi"/>
          <w:bCs/>
        </w:rPr>
        <w:t xml:space="preserve"> ESC’s concerns around the </w:t>
      </w:r>
      <w:r w:rsidRPr="00BE23C5">
        <w:rPr>
          <w:rFonts w:asciiTheme="minorHAnsi" w:hAnsiTheme="minorHAnsi"/>
          <w:bCs/>
        </w:rPr>
        <w:t>high number of protocol amendments through</w:t>
      </w:r>
      <w:r w:rsidR="000F6610" w:rsidRPr="00BE23C5">
        <w:rPr>
          <w:rFonts w:asciiTheme="minorHAnsi" w:hAnsiTheme="minorHAnsi"/>
          <w:bCs/>
        </w:rPr>
        <w:t>out</w:t>
      </w:r>
      <w:r w:rsidRPr="00BE23C5">
        <w:rPr>
          <w:rFonts w:asciiTheme="minorHAnsi" w:hAnsiTheme="minorHAnsi"/>
          <w:bCs/>
        </w:rPr>
        <w:t xml:space="preserve"> the five year trial period</w:t>
      </w:r>
      <w:r w:rsidR="005C42EE" w:rsidRPr="00BE23C5">
        <w:rPr>
          <w:rFonts w:asciiTheme="minorHAnsi" w:hAnsiTheme="minorHAnsi"/>
          <w:bCs/>
        </w:rPr>
        <w:t xml:space="preserve"> and considered that the trial had a high risk of bias particularly due to the differential loss to follow-up associated with protocol amendments 9 and 13</w:t>
      </w:r>
      <w:r w:rsidR="007A539A" w:rsidRPr="00BE23C5">
        <w:rPr>
          <w:rFonts w:asciiTheme="minorHAnsi" w:hAnsiTheme="minorHAnsi"/>
          <w:bCs/>
        </w:rPr>
        <w:t xml:space="preserve"> </w:t>
      </w:r>
      <w:r w:rsidR="00FE0F91" w:rsidRPr="00BE23C5">
        <w:rPr>
          <w:rFonts w:asciiTheme="minorHAnsi" w:hAnsiTheme="minorHAnsi"/>
          <w:bCs/>
        </w:rPr>
        <w:t>which</w:t>
      </w:r>
      <w:r w:rsidR="007A539A" w:rsidRPr="00BE23C5">
        <w:rPr>
          <w:rFonts w:asciiTheme="minorHAnsi" w:hAnsiTheme="minorHAnsi"/>
          <w:bCs/>
        </w:rPr>
        <w:t xml:space="preserve"> may have impacted on the frequency of events in each arm</w:t>
      </w:r>
      <w:r w:rsidR="00181189" w:rsidRPr="00BE23C5">
        <w:rPr>
          <w:rFonts w:asciiTheme="minorHAnsi" w:hAnsiTheme="minorHAnsi"/>
          <w:bCs/>
        </w:rPr>
        <w:t xml:space="preserve">. </w:t>
      </w:r>
      <w:r w:rsidR="00234F7F" w:rsidRPr="00BE23C5">
        <w:rPr>
          <w:rFonts w:asciiTheme="minorHAnsi" w:hAnsiTheme="minorHAnsi"/>
          <w:bCs/>
        </w:rPr>
        <w:t xml:space="preserve">The PBAC also noted that the </w:t>
      </w:r>
      <w:r w:rsidR="00FE0F91" w:rsidRPr="00BE23C5">
        <w:rPr>
          <w:rFonts w:asciiTheme="minorHAnsi" w:hAnsiTheme="minorHAnsi"/>
          <w:bCs/>
        </w:rPr>
        <w:t xml:space="preserve">trial </w:t>
      </w:r>
      <w:r w:rsidR="00234F7F" w:rsidRPr="00BE23C5">
        <w:rPr>
          <w:rFonts w:asciiTheme="minorHAnsi" w:hAnsiTheme="minorHAnsi"/>
          <w:bCs/>
        </w:rPr>
        <w:t xml:space="preserve">was not powered </w:t>
      </w:r>
      <w:r w:rsidR="00FE0F91" w:rsidRPr="00BE23C5">
        <w:rPr>
          <w:rFonts w:asciiTheme="minorHAnsi" w:hAnsiTheme="minorHAnsi"/>
          <w:bCs/>
        </w:rPr>
        <w:t>to assess efficacy in the subgroup of patients for whom a listing is proposed and patients with node negative disease may be under represented</w:t>
      </w:r>
      <w:r w:rsidR="00BE23C5">
        <w:rPr>
          <w:rFonts w:asciiTheme="minorHAnsi" w:hAnsiTheme="minorHAnsi"/>
          <w:bCs/>
        </w:rPr>
        <w:t xml:space="preserve">. </w:t>
      </w:r>
    </w:p>
    <w:p w:rsidR="005E0277" w:rsidRPr="00BE23C5" w:rsidRDefault="005E0277" w:rsidP="001159DF">
      <w:pPr>
        <w:numPr>
          <w:ilvl w:val="1"/>
          <w:numId w:val="2"/>
        </w:numPr>
        <w:spacing w:before="120" w:after="120"/>
        <w:rPr>
          <w:rFonts w:asciiTheme="minorHAnsi" w:hAnsiTheme="minorHAnsi"/>
          <w:bCs/>
        </w:rPr>
      </w:pPr>
      <w:r w:rsidRPr="00BE23C5">
        <w:rPr>
          <w:rFonts w:asciiTheme="minorHAnsi" w:hAnsiTheme="minorHAnsi"/>
          <w:bCs/>
        </w:rPr>
        <w:t xml:space="preserve">The PBAC noted with a median follow-up of 5.3 years the difference in </w:t>
      </w:r>
      <w:proofErr w:type="spellStart"/>
      <w:r w:rsidRPr="00BE23C5">
        <w:rPr>
          <w:rFonts w:asciiTheme="minorHAnsi" w:hAnsiTheme="minorHAnsi"/>
          <w:bCs/>
        </w:rPr>
        <w:t>iDFS</w:t>
      </w:r>
      <w:proofErr w:type="spellEnd"/>
      <w:r w:rsidRPr="00BE23C5">
        <w:rPr>
          <w:rFonts w:asciiTheme="minorHAnsi" w:hAnsiTheme="minorHAnsi"/>
          <w:bCs/>
        </w:rPr>
        <w:t xml:space="preserve"> for the ITT population at 5 years was 2.5% (90.2% for </w:t>
      </w:r>
      <w:proofErr w:type="spellStart"/>
      <w:r w:rsidRPr="00BE23C5">
        <w:rPr>
          <w:rFonts w:asciiTheme="minorHAnsi" w:hAnsiTheme="minorHAnsi"/>
          <w:bCs/>
        </w:rPr>
        <w:t>neratinib</w:t>
      </w:r>
      <w:proofErr w:type="spellEnd"/>
      <w:r w:rsidRPr="00BE23C5">
        <w:rPr>
          <w:rFonts w:asciiTheme="minorHAnsi" w:hAnsiTheme="minorHAnsi"/>
          <w:bCs/>
        </w:rPr>
        <w:t xml:space="preserve"> versus 87.7% for placebo), with an overall reduction in risk of 27% (HR=0.73, 95% CI: 0.57, 0.92, p=0.004).</w:t>
      </w:r>
      <w:r w:rsidR="005C5027" w:rsidRPr="00BE23C5">
        <w:rPr>
          <w:rFonts w:asciiTheme="minorHAnsi" w:hAnsiTheme="minorHAnsi"/>
          <w:bCs/>
        </w:rPr>
        <w:t xml:space="preserve"> The benefit in the HR+ subgroup was greater than that in the HR- subgroup (difference in </w:t>
      </w:r>
      <w:proofErr w:type="spellStart"/>
      <w:r w:rsidR="005C5027" w:rsidRPr="00BE23C5">
        <w:rPr>
          <w:rFonts w:asciiTheme="minorHAnsi" w:hAnsiTheme="minorHAnsi"/>
          <w:bCs/>
        </w:rPr>
        <w:t>iDFS</w:t>
      </w:r>
      <w:proofErr w:type="spellEnd"/>
      <w:r w:rsidR="005C5027" w:rsidRPr="00BE23C5">
        <w:rPr>
          <w:rFonts w:asciiTheme="minorHAnsi" w:hAnsiTheme="minorHAnsi"/>
          <w:bCs/>
        </w:rPr>
        <w:t xml:space="preserve"> at 4 years of 4.1%, HR=0.60 (95% CI: 0.43, 0.83) versus 0.6%, HR=0.9</w:t>
      </w:r>
      <w:r w:rsidR="002A4F8C" w:rsidRPr="00BE23C5">
        <w:rPr>
          <w:rFonts w:asciiTheme="minorHAnsi" w:hAnsiTheme="minorHAnsi"/>
          <w:bCs/>
        </w:rPr>
        <w:t>5</w:t>
      </w:r>
      <w:r w:rsidR="005C5027" w:rsidRPr="00BE23C5">
        <w:rPr>
          <w:rFonts w:asciiTheme="minorHAnsi" w:hAnsiTheme="minorHAnsi"/>
          <w:bCs/>
        </w:rPr>
        <w:t xml:space="preserve"> (95% CI: 0.66, 1.35)), although the test for interaction</w:t>
      </w:r>
      <w:r w:rsidR="00674EE2" w:rsidRPr="00BE23C5">
        <w:rPr>
          <w:rFonts w:asciiTheme="minorHAnsi" w:hAnsiTheme="minorHAnsi"/>
          <w:bCs/>
        </w:rPr>
        <w:t xml:space="preserve"> across the subgroups was not statistically significant (p=0.063).</w:t>
      </w:r>
    </w:p>
    <w:p w:rsidR="00674EE2" w:rsidRPr="00BE23C5" w:rsidRDefault="00674EE2" w:rsidP="001159DF">
      <w:pPr>
        <w:numPr>
          <w:ilvl w:val="1"/>
          <w:numId w:val="2"/>
        </w:numPr>
        <w:spacing w:before="120" w:after="120"/>
        <w:rPr>
          <w:rFonts w:asciiTheme="minorHAnsi" w:hAnsiTheme="minorHAnsi"/>
          <w:bCs/>
        </w:rPr>
      </w:pPr>
      <w:r w:rsidRPr="00BE23C5">
        <w:rPr>
          <w:rFonts w:asciiTheme="minorHAnsi" w:hAnsiTheme="minorHAnsi"/>
          <w:bCs/>
        </w:rPr>
        <w:t xml:space="preserve">The PBAC also noted the subgroup analyses by nodal status, prior </w:t>
      </w:r>
      <w:proofErr w:type="spellStart"/>
      <w:r w:rsidRPr="00BE23C5">
        <w:rPr>
          <w:rFonts w:asciiTheme="minorHAnsi" w:hAnsiTheme="minorHAnsi"/>
          <w:bCs/>
        </w:rPr>
        <w:t>neoadjuvant</w:t>
      </w:r>
      <w:proofErr w:type="spellEnd"/>
      <w:r w:rsidR="00016580" w:rsidRPr="00BE23C5">
        <w:rPr>
          <w:rFonts w:asciiTheme="minorHAnsi" w:hAnsiTheme="minorHAnsi"/>
          <w:bCs/>
        </w:rPr>
        <w:t xml:space="preserve"> therapy</w:t>
      </w:r>
      <w:r w:rsidR="002A4F8C" w:rsidRPr="00BE23C5">
        <w:rPr>
          <w:rFonts w:asciiTheme="minorHAnsi" w:hAnsiTheme="minorHAnsi"/>
          <w:bCs/>
        </w:rPr>
        <w:t>, stage at diagnosis</w:t>
      </w:r>
      <w:r w:rsidR="00016580" w:rsidRPr="00BE23C5">
        <w:rPr>
          <w:rFonts w:asciiTheme="minorHAnsi" w:hAnsiTheme="minorHAnsi"/>
          <w:bCs/>
        </w:rPr>
        <w:t xml:space="preserve"> and the time since completion of </w:t>
      </w:r>
      <w:proofErr w:type="spellStart"/>
      <w:r w:rsidR="00016580" w:rsidRPr="00BE23C5">
        <w:rPr>
          <w:rFonts w:asciiTheme="minorHAnsi" w:hAnsiTheme="minorHAnsi"/>
          <w:bCs/>
        </w:rPr>
        <w:t>trastuzumab</w:t>
      </w:r>
      <w:proofErr w:type="spellEnd"/>
      <w:r w:rsidR="00016580" w:rsidRPr="00BE23C5">
        <w:rPr>
          <w:rFonts w:asciiTheme="minorHAnsi" w:hAnsiTheme="minorHAnsi"/>
          <w:bCs/>
        </w:rPr>
        <w:t>. Although not statistically significant, the point estimates for the HRs suggest a possible smaller benefit in node negative patients</w:t>
      </w:r>
      <w:r w:rsidR="008562CA" w:rsidRPr="00BE23C5">
        <w:rPr>
          <w:rFonts w:asciiTheme="minorHAnsi" w:hAnsiTheme="minorHAnsi"/>
          <w:bCs/>
        </w:rPr>
        <w:t xml:space="preserve">, stage </w:t>
      </w:r>
      <w:r w:rsidR="002A4F8C" w:rsidRPr="00BE23C5">
        <w:rPr>
          <w:rFonts w:asciiTheme="minorHAnsi" w:hAnsiTheme="minorHAnsi"/>
          <w:bCs/>
        </w:rPr>
        <w:t>1 patients,</w:t>
      </w:r>
      <w:r w:rsidR="00016580" w:rsidRPr="00BE23C5">
        <w:rPr>
          <w:rFonts w:asciiTheme="minorHAnsi" w:hAnsiTheme="minorHAnsi"/>
          <w:bCs/>
        </w:rPr>
        <w:t xml:space="preserve"> and those who completed </w:t>
      </w:r>
      <w:proofErr w:type="spellStart"/>
      <w:r w:rsidR="00016580" w:rsidRPr="00BE23C5">
        <w:rPr>
          <w:rFonts w:asciiTheme="minorHAnsi" w:hAnsiTheme="minorHAnsi"/>
          <w:bCs/>
        </w:rPr>
        <w:t>trastuzumab</w:t>
      </w:r>
      <w:proofErr w:type="spellEnd"/>
      <w:r w:rsidR="00016580" w:rsidRPr="00BE23C5">
        <w:rPr>
          <w:rFonts w:asciiTheme="minorHAnsi" w:hAnsiTheme="minorHAnsi"/>
          <w:bCs/>
        </w:rPr>
        <w:t xml:space="preserve"> therapy more than one year prior. </w:t>
      </w:r>
    </w:p>
    <w:p w:rsidR="00016580" w:rsidRPr="00BE23C5" w:rsidRDefault="0008054F" w:rsidP="001159DF">
      <w:pPr>
        <w:numPr>
          <w:ilvl w:val="1"/>
          <w:numId w:val="2"/>
        </w:numPr>
        <w:spacing w:before="120" w:after="120"/>
        <w:rPr>
          <w:rFonts w:asciiTheme="minorHAnsi" w:hAnsiTheme="minorHAnsi"/>
          <w:bCs/>
        </w:rPr>
      </w:pPr>
      <w:r w:rsidRPr="00BE23C5">
        <w:rPr>
          <w:rFonts w:asciiTheme="minorHAnsi" w:hAnsiTheme="minorHAnsi"/>
          <w:bCs/>
        </w:rPr>
        <w:t xml:space="preserve">The pre-PBAC response noted that </w:t>
      </w:r>
      <w:r w:rsidR="00016580" w:rsidRPr="00BE23C5">
        <w:rPr>
          <w:rFonts w:asciiTheme="minorHAnsi" w:hAnsiTheme="minorHAnsi"/>
          <w:bCs/>
        </w:rPr>
        <w:t>for</w:t>
      </w:r>
      <w:r w:rsidRPr="00BE23C5">
        <w:rPr>
          <w:rFonts w:asciiTheme="minorHAnsi" w:hAnsiTheme="minorHAnsi"/>
          <w:bCs/>
        </w:rPr>
        <w:t xml:space="preserve"> the patient population who were HR+ and randomised within 1 year from the end of their adjuvant </w:t>
      </w:r>
      <w:proofErr w:type="spellStart"/>
      <w:r w:rsidRPr="00BE23C5">
        <w:rPr>
          <w:rFonts w:asciiTheme="minorHAnsi" w:hAnsiTheme="minorHAnsi"/>
          <w:bCs/>
        </w:rPr>
        <w:t>trastuzumab</w:t>
      </w:r>
      <w:proofErr w:type="spellEnd"/>
      <w:r w:rsidRPr="00BE23C5">
        <w:rPr>
          <w:rFonts w:asciiTheme="minorHAnsi" w:hAnsiTheme="minorHAnsi"/>
          <w:bCs/>
        </w:rPr>
        <w:t xml:space="preserve"> therapy</w:t>
      </w:r>
      <w:r w:rsidR="00016580" w:rsidRPr="00BE23C5">
        <w:rPr>
          <w:rFonts w:asciiTheme="minorHAnsi" w:hAnsiTheme="minorHAnsi"/>
          <w:bCs/>
        </w:rPr>
        <w:t xml:space="preserve">, the difference in </w:t>
      </w:r>
      <w:proofErr w:type="spellStart"/>
      <w:r w:rsidR="00016580" w:rsidRPr="00BE23C5">
        <w:rPr>
          <w:rFonts w:asciiTheme="minorHAnsi" w:hAnsiTheme="minorHAnsi"/>
          <w:bCs/>
        </w:rPr>
        <w:t>iDFS</w:t>
      </w:r>
      <w:proofErr w:type="spellEnd"/>
      <w:r w:rsidR="00016580" w:rsidRPr="00BE23C5">
        <w:rPr>
          <w:rFonts w:asciiTheme="minorHAnsi" w:hAnsiTheme="minorHAnsi"/>
          <w:bCs/>
        </w:rPr>
        <w:t xml:space="preserve"> at </w:t>
      </w:r>
      <w:r w:rsidR="002A4F8C" w:rsidRPr="00BE23C5">
        <w:rPr>
          <w:rFonts w:asciiTheme="minorHAnsi" w:hAnsiTheme="minorHAnsi"/>
          <w:bCs/>
        </w:rPr>
        <w:t>2</w:t>
      </w:r>
      <w:r w:rsidR="00016580" w:rsidRPr="00BE23C5">
        <w:rPr>
          <w:rFonts w:asciiTheme="minorHAnsi" w:hAnsiTheme="minorHAnsi"/>
          <w:bCs/>
        </w:rPr>
        <w:t xml:space="preserve"> years was</w:t>
      </w:r>
      <w:r w:rsidRPr="00BE23C5">
        <w:rPr>
          <w:rFonts w:asciiTheme="minorHAnsi" w:hAnsiTheme="minorHAnsi"/>
          <w:bCs/>
        </w:rPr>
        <w:t xml:space="preserve"> 4.5%</w:t>
      </w:r>
      <w:r w:rsidR="00016580" w:rsidRPr="00BE23C5">
        <w:rPr>
          <w:rFonts w:asciiTheme="minorHAnsi" w:hAnsiTheme="minorHAnsi"/>
          <w:bCs/>
        </w:rPr>
        <w:t>, with a</w:t>
      </w:r>
      <w:r w:rsidRPr="00BE23C5">
        <w:rPr>
          <w:rFonts w:asciiTheme="minorHAnsi" w:hAnsiTheme="minorHAnsi"/>
          <w:bCs/>
        </w:rPr>
        <w:t xml:space="preserve"> HR of 0.49 (95% CI: 0.31, 0.75). </w:t>
      </w:r>
    </w:p>
    <w:p w:rsidR="00FB1382" w:rsidRPr="00BE23C5" w:rsidRDefault="00FB1382" w:rsidP="001159DF">
      <w:pPr>
        <w:numPr>
          <w:ilvl w:val="1"/>
          <w:numId w:val="2"/>
        </w:numPr>
        <w:spacing w:before="120" w:after="120"/>
      </w:pPr>
      <w:r w:rsidRPr="00BE23C5">
        <w:t>The PBAC noted the</w:t>
      </w:r>
      <w:r w:rsidR="002025D4" w:rsidRPr="00BE23C5">
        <w:t xml:space="preserve"> greater reduction</w:t>
      </w:r>
      <w:r w:rsidRPr="00BE23C5">
        <w:t xml:space="preserve"> in quality of life</w:t>
      </w:r>
      <w:r w:rsidR="002025D4" w:rsidRPr="00BE23C5">
        <w:t xml:space="preserve"> with </w:t>
      </w:r>
      <w:proofErr w:type="spellStart"/>
      <w:r w:rsidR="002025D4" w:rsidRPr="00BE23C5">
        <w:t>neratinib</w:t>
      </w:r>
      <w:proofErr w:type="spellEnd"/>
      <w:r w:rsidR="002025D4" w:rsidRPr="00BE23C5">
        <w:t xml:space="preserve"> than placebo,</w:t>
      </w:r>
      <w:r w:rsidRPr="00BE23C5">
        <w:t xml:space="preserve"> </w:t>
      </w:r>
      <w:r w:rsidR="002025D4" w:rsidRPr="00BE23C5">
        <w:t xml:space="preserve">as measured </w:t>
      </w:r>
      <w:r w:rsidRPr="00BE23C5">
        <w:t>using the EQ-5D and FACT-B instruments</w:t>
      </w:r>
      <w:r w:rsidR="002025D4" w:rsidRPr="00BE23C5">
        <w:t xml:space="preserve">, </w:t>
      </w:r>
      <w:r w:rsidRPr="00BE23C5">
        <w:t xml:space="preserve">within the first month after randomisation. </w:t>
      </w:r>
      <w:r w:rsidR="002025D4" w:rsidRPr="00BE23C5">
        <w:t>The PBAC considered t</w:t>
      </w:r>
      <w:r w:rsidRPr="00BE23C5">
        <w:t xml:space="preserve">his </w:t>
      </w:r>
      <w:r w:rsidR="002025D4" w:rsidRPr="00BE23C5">
        <w:t xml:space="preserve">is likely to </w:t>
      </w:r>
      <w:r w:rsidRPr="00BE23C5">
        <w:t xml:space="preserve">be due to the onset of diarrhoea. </w:t>
      </w:r>
    </w:p>
    <w:p w:rsidR="007B02EE" w:rsidRPr="00BE23C5" w:rsidRDefault="00425C62" w:rsidP="001159DF">
      <w:pPr>
        <w:numPr>
          <w:ilvl w:val="1"/>
          <w:numId w:val="2"/>
        </w:numPr>
        <w:spacing w:before="120" w:after="120"/>
        <w:rPr>
          <w:rFonts w:asciiTheme="minorHAnsi" w:hAnsiTheme="minorHAnsi"/>
          <w:szCs w:val="20"/>
        </w:rPr>
      </w:pPr>
      <w:r w:rsidRPr="00BE23C5">
        <w:rPr>
          <w:rFonts w:asciiTheme="minorHAnsi" w:hAnsiTheme="minorHAnsi"/>
          <w:bCs/>
        </w:rPr>
        <w:t xml:space="preserve">Overall, the PBAC considered the difference in </w:t>
      </w:r>
      <w:proofErr w:type="spellStart"/>
      <w:r w:rsidRPr="00BE23C5">
        <w:rPr>
          <w:rFonts w:asciiTheme="minorHAnsi" w:hAnsiTheme="minorHAnsi"/>
          <w:bCs/>
        </w:rPr>
        <w:t>iDFS</w:t>
      </w:r>
      <w:proofErr w:type="spellEnd"/>
      <w:r w:rsidRPr="00BE23C5">
        <w:rPr>
          <w:rFonts w:asciiTheme="minorHAnsi" w:hAnsiTheme="minorHAnsi"/>
          <w:bCs/>
        </w:rPr>
        <w:t xml:space="preserve"> to be small and uncertain given the potential for a high risk of bias due to protocol amendments, the reliance on a </w:t>
      </w:r>
      <w:r w:rsidRPr="00BE23C5">
        <w:rPr>
          <w:rFonts w:asciiTheme="minorHAnsi" w:hAnsiTheme="minorHAnsi"/>
          <w:bCs/>
        </w:rPr>
        <w:lastRenderedPageBreak/>
        <w:t xml:space="preserve">subgroup of the </w:t>
      </w:r>
      <w:proofErr w:type="spellStart"/>
      <w:r w:rsidRPr="00BE23C5">
        <w:rPr>
          <w:rFonts w:asciiTheme="minorHAnsi" w:hAnsiTheme="minorHAnsi"/>
          <w:bCs/>
        </w:rPr>
        <w:t>ExteNET</w:t>
      </w:r>
      <w:proofErr w:type="spellEnd"/>
      <w:r w:rsidRPr="00BE23C5">
        <w:rPr>
          <w:rFonts w:asciiTheme="minorHAnsi" w:hAnsiTheme="minorHAnsi"/>
          <w:bCs/>
        </w:rPr>
        <w:t xml:space="preserve"> trial, and potential applicability issues with the trial relating to underrepresentation of node negative patients and the prior </w:t>
      </w:r>
      <w:proofErr w:type="spellStart"/>
      <w:r w:rsidRPr="00BE23C5">
        <w:rPr>
          <w:rFonts w:asciiTheme="minorHAnsi" w:hAnsiTheme="minorHAnsi"/>
          <w:bCs/>
        </w:rPr>
        <w:t>neoadjuvant</w:t>
      </w:r>
      <w:proofErr w:type="spellEnd"/>
      <w:r w:rsidRPr="00BE23C5">
        <w:rPr>
          <w:rFonts w:asciiTheme="minorHAnsi" w:hAnsiTheme="minorHAnsi"/>
          <w:bCs/>
        </w:rPr>
        <w:t xml:space="preserve"> and adjuvant treatments used</w:t>
      </w:r>
      <w:r w:rsidRPr="00BE23C5">
        <w:rPr>
          <w:rFonts w:asciiTheme="minorHAnsi" w:hAnsiTheme="minorHAnsi"/>
          <w:szCs w:val="20"/>
        </w:rPr>
        <w:t>. Further, t</w:t>
      </w:r>
      <w:r w:rsidR="007B02EE" w:rsidRPr="00BE23C5">
        <w:rPr>
          <w:rFonts w:asciiTheme="minorHAnsi" w:hAnsiTheme="minorHAnsi"/>
          <w:szCs w:val="20"/>
        </w:rPr>
        <w:t xml:space="preserve">he PBAC noted </w:t>
      </w:r>
      <w:r w:rsidRPr="00BE23C5">
        <w:rPr>
          <w:rFonts w:asciiTheme="minorHAnsi" w:hAnsiTheme="minorHAnsi"/>
          <w:szCs w:val="20"/>
        </w:rPr>
        <w:t>without</w:t>
      </w:r>
      <w:r w:rsidR="007B02EE" w:rsidRPr="00BE23C5">
        <w:rPr>
          <w:rFonts w:asciiTheme="minorHAnsi" w:hAnsiTheme="minorHAnsi"/>
          <w:szCs w:val="20"/>
        </w:rPr>
        <w:t xml:space="preserve"> overall survival </w:t>
      </w:r>
      <w:r w:rsidRPr="00BE23C5">
        <w:rPr>
          <w:rFonts w:asciiTheme="minorHAnsi" w:hAnsiTheme="minorHAnsi"/>
          <w:szCs w:val="20"/>
        </w:rPr>
        <w:t xml:space="preserve">data </w:t>
      </w:r>
      <w:r w:rsidR="007B02EE" w:rsidRPr="00BE23C5">
        <w:rPr>
          <w:rFonts w:asciiTheme="minorHAnsi" w:hAnsiTheme="minorHAnsi"/>
          <w:szCs w:val="20"/>
        </w:rPr>
        <w:t xml:space="preserve">the </w:t>
      </w:r>
      <w:r w:rsidR="002805B9" w:rsidRPr="00BE23C5">
        <w:rPr>
          <w:rFonts w:asciiTheme="minorHAnsi" w:hAnsiTheme="minorHAnsi"/>
          <w:szCs w:val="20"/>
        </w:rPr>
        <w:t xml:space="preserve">long term </w:t>
      </w:r>
      <w:r w:rsidR="007B02EE" w:rsidRPr="00BE23C5">
        <w:rPr>
          <w:rFonts w:asciiTheme="minorHAnsi" w:hAnsiTheme="minorHAnsi"/>
          <w:szCs w:val="20"/>
        </w:rPr>
        <w:t xml:space="preserve">benefits of </w:t>
      </w:r>
      <w:proofErr w:type="spellStart"/>
      <w:r w:rsidR="007B02EE" w:rsidRPr="00BE23C5">
        <w:rPr>
          <w:rFonts w:asciiTheme="minorHAnsi" w:hAnsiTheme="minorHAnsi"/>
          <w:szCs w:val="20"/>
        </w:rPr>
        <w:t>neratinib</w:t>
      </w:r>
      <w:proofErr w:type="spellEnd"/>
      <w:r w:rsidR="007B02EE" w:rsidRPr="00BE23C5">
        <w:rPr>
          <w:rFonts w:asciiTheme="minorHAnsi" w:hAnsiTheme="minorHAnsi"/>
          <w:szCs w:val="20"/>
        </w:rPr>
        <w:t xml:space="preserve"> therapy</w:t>
      </w:r>
      <w:r w:rsidRPr="00BE23C5">
        <w:rPr>
          <w:rFonts w:asciiTheme="minorHAnsi" w:hAnsiTheme="minorHAnsi"/>
          <w:szCs w:val="20"/>
        </w:rPr>
        <w:t xml:space="preserve"> are unknown</w:t>
      </w:r>
      <w:r w:rsidR="007B02EE" w:rsidRPr="00BE23C5">
        <w:rPr>
          <w:rFonts w:asciiTheme="minorHAnsi" w:hAnsiTheme="minorHAnsi"/>
          <w:szCs w:val="20"/>
        </w:rPr>
        <w:t>.</w:t>
      </w:r>
    </w:p>
    <w:p w:rsidR="007E613E" w:rsidRPr="00BE23C5" w:rsidRDefault="007E613E" w:rsidP="001159DF">
      <w:pPr>
        <w:pStyle w:val="ListParagraph"/>
        <w:widowControl/>
        <w:numPr>
          <w:ilvl w:val="1"/>
          <w:numId w:val="2"/>
        </w:numPr>
        <w:spacing w:before="120" w:after="120"/>
      </w:pPr>
      <w:r w:rsidRPr="00BE23C5">
        <w:t xml:space="preserve">The PBAC noted the incidence of diarrhoea (any grade) was higher with </w:t>
      </w:r>
      <w:proofErr w:type="spellStart"/>
      <w:r w:rsidRPr="00BE23C5">
        <w:t>neratinib</w:t>
      </w:r>
      <w:proofErr w:type="spellEnd"/>
      <w:r w:rsidRPr="00BE23C5">
        <w:t xml:space="preserve"> versus placebo (95.4% vs. 35.4%, respectively)</w:t>
      </w:r>
      <w:r w:rsidR="00425C62" w:rsidRPr="00BE23C5">
        <w:t>, as was t</w:t>
      </w:r>
      <w:r w:rsidRPr="00BE23C5">
        <w:t xml:space="preserve">he incidence of grade 3 or 4 diarrhoea (39.9% vs. 1.6%, respectively). Diarrhoea was the most common adverse event leading to study discontinuation, observed in 16.8% of patients in the </w:t>
      </w:r>
      <w:proofErr w:type="spellStart"/>
      <w:r w:rsidRPr="00BE23C5">
        <w:t>neratinib</w:t>
      </w:r>
      <w:proofErr w:type="spellEnd"/>
      <w:r w:rsidRPr="00BE23C5">
        <w:t xml:space="preserve"> arm. The PBAC </w:t>
      </w:r>
      <w:r w:rsidR="00425C62" w:rsidRPr="00BE23C5">
        <w:t xml:space="preserve">considered </w:t>
      </w:r>
      <w:r w:rsidRPr="00BE23C5">
        <w:t>that the AE data show a clear pattern of increased risk of serious treatment related TEAE, including those leading to withdrawal</w:t>
      </w:r>
      <w:r w:rsidR="00425C62" w:rsidRPr="00BE23C5">
        <w:t xml:space="preserve"> of treatment or </w:t>
      </w:r>
      <w:r w:rsidRPr="00BE23C5">
        <w:t>dose reduction</w:t>
      </w:r>
      <w:r w:rsidR="00425C62" w:rsidRPr="00BE23C5">
        <w:t>s</w:t>
      </w:r>
      <w:r w:rsidRPr="00BE23C5">
        <w:t>.</w:t>
      </w:r>
      <w:r w:rsidR="001D6294" w:rsidRPr="00BE23C5">
        <w:t xml:space="preserve"> </w:t>
      </w:r>
      <w:r w:rsidR="00425C62" w:rsidRPr="00BE23C5">
        <w:t>The</w:t>
      </w:r>
      <w:r w:rsidR="001D6294" w:rsidRPr="00BE23C5">
        <w:t xml:space="preserve"> PBAC </w:t>
      </w:r>
      <w:r w:rsidR="00425C62" w:rsidRPr="00BE23C5">
        <w:t xml:space="preserve">further </w:t>
      </w:r>
      <w:r w:rsidR="001D6294" w:rsidRPr="00BE23C5">
        <w:t>considered that the diarrhoea will impact on the attrition levels in clinical practice and therefore on treatment effectiveness.</w:t>
      </w:r>
      <w:r w:rsidR="00A27093" w:rsidRPr="00BE23C5">
        <w:t xml:space="preserve"> </w:t>
      </w:r>
    </w:p>
    <w:p w:rsidR="002B0AD6" w:rsidRPr="00BE23C5" w:rsidRDefault="00425C62" w:rsidP="001159DF">
      <w:pPr>
        <w:pStyle w:val="ListParagraph"/>
        <w:numPr>
          <w:ilvl w:val="1"/>
          <w:numId w:val="2"/>
        </w:numPr>
        <w:spacing w:before="120" w:after="120"/>
      </w:pPr>
      <w:r w:rsidRPr="00BE23C5">
        <w:t>Overall, t</w:t>
      </w:r>
      <w:r w:rsidR="002B0AD6" w:rsidRPr="00BE23C5">
        <w:t xml:space="preserve">he PBAC considered the adverse events experienced with </w:t>
      </w:r>
      <w:proofErr w:type="spellStart"/>
      <w:r w:rsidR="002B0AD6" w:rsidRPr="00BE23C5">
        <w:t>neratinib</w:t>
      </w:r>
      <w:proofErr w:type="spellEnd"/>
      <w:r w:rsidR="002B0AD6" w:rsidRPr="00BE23C5">
        <w:t xml:space="preserve"> therapy compared to placebo w</w:t>
      </w:r>
      <w:r w:rsidR="002E7551" w:rsidRPr="00BE23C5">
        <w:t>ere</w:t>
      </w:r>
      <w:r w:rsidR="002B0AD6" w:rsidRPr="00BE23C5">
        <w:t xml:space="preserve"> significant and </w:t>
      </w:r>
      <w:r w:rsidR="002E7551" w:rsidRPr="00BE23C5">
        <w:t>may</w:t>
      </w:r>
      <w:r w:rsidR="002B0AD6" w:rsidRPr="00BE23C5">
        <w:t xml:space="preserve"> outweigh the small benefit</w:t>
      </w:r>
      <w:r w:rsidR="002E7551" w:rsidRPr="00BE23C5">
        <w:t xml:space="preserve"> for some patients</w:t>
      </w:r>
      <w:r w:rsidR="002B0AD6" w:rsidRPr="00BE23C5">
        <w:t>.</w:t>
      </w:r>
    </w:p>
    <w:p w:rsidR="004F0987" w:rsidRPr="00BE23C5" w:rsidRDefault="002B0AD6" w:rsidP="001159DF">
      <w:pPr>
        <w:numPr>
          <w:ilvl w:val="1"/>
          <w:numId w:val="2"/>
        </w:numPr>
        <w:spacing w:before="120" w:after="120"/>
        <w:rPr>
          <w:rFonts w:asciiTheme="minorHAnsi" w:hAnsiTheme="minorHAnsi"/>
          <w:bCs/>
        </w:rPr>
      </w:pPr>
      <w:r w:rsidRPr="00BE23C5">
        <w:rPr>
          <w:rFonts w:cs="Calibri"/>
          <w:snapToGrid/>
          <w:szCs w:val="24"/>
          <w:lang w:eastAsia="en-AU"/>
        </w:rPr>
        <w:t>T</w:t>
      </w:r>
      <w:r w:rsidR="005F2C3D" w:rsidRPr="00BE23C5">
        <w:rPr>
          <w:rFonts w:cs="Calibri"/>
          <w:snapToGrid/>
          <w:szCs w:val="24"/>
          <w:lang w:eastAsia="en-AU"/>
        </w:rPr>
        <w:t xml:space="preserve">he submission presented a cost-utility analysis based on the </w:t>
      </w:r>
      <w:proofErr w:type="spellStart"/>
      <w:r w:rsidR="005F2C3D" w:rsidRPr="00BE23C5">
        <w:rPr>
          <w:rFonts w:cs="Calibri"/>
          <w:snapToGrid/>
          <w:szCs w:val="24"/>
          <w:lang w:eastAsia="en-AU"/>
        </w:rPr>
        <w:t>ExteNET</w:t>
      </w:r>
      <w:proofErr w:type="spellEnd"/>
      <w:r w:rsidR="005F2C3D" w:rsidRPr="00BE23C5">
        <w:rPr>
          <w:rFonts w:cs="Calibri"/>
          <w:snapToGrid/>
          <w:szCs w:val="24"/>
          <w:lang w:eastAsia="en-AU"/>
        </w:rPr>
        <w:t xml:space="preserve"> trial and a modelled evaluation.</w:t>
      </w:r>
      <w:r w:rsidR="005F2C3D" w:rsidRPr="00BE23C5">
        <w:rPr>
          <w:rFonts w:asciiTheme="minorHAnsi" w:hAnsiTheme="minorHAnsi"/>
          <w:bCs/>
        </w:rPr>
        <w:t xml:space="preserve"> </w:t>
      </w:r>
      <w:r w:rsidR="004F0987" w:rsidRPr="00BE23C5">
        <w:rPr>
          <w:szCs w:val="24"/>
        </w:rPr>
        <w:t xml:space="preserve">The PBAC noted that the documentation supplied by submission, in particular the detail on model assumptions, was inadequate to allow sufficient understanding of the model, or allow confidence in its results. </w:t>
      </w:r>
      <w:r w:rsidR="008531AB" w:rsidRPr="00BE23C5">
        <w:rPr>
          <w:rFonts w:asciiTheme="minorHAnsi" w:hAnsiTheme="minorHAnsi"/>
          <w:bCs/>
        </w:rPr>
        <w:t xml:space="preserve">The PBAC </w:t>
      </w:r>
      <w:r w:rsidR="004F0987" w:rsidRPr="00BE23C5">
        <w:rPr>
          <w:rFonts w:asciiTheme="minorHAnsi" w:hAnsiTheme="minorHAnsi"/>
          <w:bCs/>
        </w:rPr>
        <w:t xml:space="preserve">noted </w:t>
      </w:r>
      <w:r w:rsidR="008531AB" w:rsidRPr="00BE23C5">
        <w:rPr>
          <w:rFonts w:asciiTheme="minorHAnsi" w:hAnsiTheme="minorHAnsi"/>
          <w:bCs/>
        </w:rPr>
        <w:t xml:space="preserve">that extrapolation of the trial data and the use of external data sources </w:t>
      </w:r>
      <w:r w:rsidR="00A8633F" w:rsidRPr="00BE23C5">
        <w:rPr>
          <w:rFonts w:asciiTheme="minorHAnsi" w:hAnsiTheme="minorHAnsi"/>
          <w:bCs/>
        </w:rPr>
        <w:t xml:space="preserve">resulted in </w:t>
      </w:r>
      <w:r w:rsidR="008531AB" w:rsidRPr="00BE23C5">
        <w:rPr>
          <w:rFonts w:asciiTheme="minorHAnsi" w:hAnsiTheme="minorHAnsi"/>
          <w:bCs/>
        </w:rPr>
        <w:t>uncertain</w:t>
      </w:r>
      <w:r w:rsidR="00085E9D" w:rsidRPr="00BE23C5">
        <w:rPr>
          <w:rFonts w:asciiTheme="minorHAnsi" w:hAnsiTheme="minorHAnsi"/>
          <w:bCs/>
        </w:rPr>
        <w:t>ty</w:t>
      </w:r>
      <w:r w:rsidR="008531AB" w:rsidRPr="00BE23C5">
        <w:rPr>
          <w:rFonts w:asciiTheme="minorHAnsi" w:hAnsiTheme="minorHAnsi"/>
          <w:bCs/>
        </w:rPr>
        <w:t xml:space="preserve"> </w:t>
      </w:r>
      <w:r w:rsidR="00A8633F" w:rsidRPr="00BE23C5">
        <w:rPr>
          <w:rFonts w:asciiTheme="minorHAnsi" w:hAnsiTheme="minorHAnsi"/>
          <w:bCs/>
        </w:rPr>
        <w:t xml:space="preserve">that </w:t>
      </w:r>
      <w:r w:rsidR="008531AB" w:rsidRPr="00BE23C5">
        <w:rPr>
          <w:rFonts w:asciiTheme="minorHAnsi" w:hAnsiTheme="minorHAnsi"/>
          <w:bCs/>
        </w:rPr>
        <w:t xml:space="preserve">could not be fully evaluated in sensitivity analyses. </w:t>
      </w:r>
    </w:p>
    <w:p w:rsidR="007033F0" w:rsidRPr="00BE23C5" w:rsidRDefault="00440FBE" w:rsidP="001159DF">
      <w:pPr>
        <w:numPr>
          <w:ilvl w:val="1"/>
          <w:numId w:val="2"/>
        </w:numPr>
        <w:spacing w:before="120" w:after="120"/>
        <w:rPr>
          <w:rFonts w:asciiTheme="minorHAnsi" w:hAnsiTheme="minorHAnsi"/>
          <w:bCs/>
        </w:rPr>
      </w:pPr>
      <w:r w:rsidRPr="00BE23C5">
        <w:rPr>
          <w:rFonts w:asciiTheme="minorHAnsi" w:hAnsiTheme="minorHAnsi"/>
          <w:bCs/>
        </w:rPr>
        <w:t>T</w:t>
      </w:r>
      <w:r w:rsidR="007033F0" w:rsidRPr="00BE23C5">
        <w:rPr>
          <w:rFonts w:asciiTheme="minorHAnsi" w:hAnsiTheme="minorHAnsi"/>
          <w:bCs/>
        </w:rPr>
        <w:t xml:space="preserve">he PBAC considered the </w:t>
      </w:r>
      <w:r w:rsidR="004F0987" w:rsidRPr="00BE23C5">
        <w:rPr>
          <w:rFonts w:asciiTheme="minorHAnsi" w:hAnsiTheme="minorHAnsi"/>
          <w:bCs/>
        </w:rPr>
        <w:t>base case ICER of $</w:t>
      </w:r>
      <w:r w:rsidR="00C045C0">
        <w:rPr>
          <w:rFonts w:asciiTheme="minorHAnsi" w:hAnsiTheme="minorHAnsi"/>
          <w:bCs/>
        </w:rPr>
        <w:t>45,000</w:t>
      </w:r>
      <w:r w:rsidR="004F0987" w:rsidRPr="00BE23C5">
        <w:rPr>
          <w:rFonts w:asciiTheme="minorHAnsi" w:hAnsiTheme="minorHAnsi"/>
          <w:bCs/>
        </w:rPr>
        <w:t>/QALY</w:t>
      </w:r>
      <w:r w:rsidR="00C045C0">
        <w:rPr>
          <w:rFonts w:asciiTheme="minorHAnsi" w:hAnsiTheme="minorHAnsi"/>
          <w:bCs/>
        </w:rPr>
        <w:t xml:space="preserve"> - $75,000</w:t>
      </w:r>
      <w:r w:rsidR="004F0987" w:rsidRPr="00BE23C5">
        <w:rPr>
          <w:rFonts w:asciiTheme="minorHAnsi" w:hAnsiTheme="minorHAnsi"/>
          <w:bCs/>
        </w:rPr>
        <w:t xml:space="preserve"> gained</w:t>
      </w:r>
      <w:r w:rsidR="004F0987" w:rsidRPr="00BE23C5" w:rsidDel="004F0987">
        <w:rPr>
          <w:rFonts w:asciiTheme="minorHAnsi" w:hAnsiTheme="minorHAnsi"/>
          <w:bCs/>
        </w:rPr>
        <w:t xml:space="preserve"> </w:t>
      </w:r>
      <w:r w:rsidR="007033F0" w:rsidRPr="00BE23C5">
        <w:rPr>
          <w:rFonts w:asciiTheme="minorHAnsi" w:hAnsiTheme="minorHAnsi"/>
          <w:bCs/>
        </w:rPr>
        <w:t>to be high</w:t>
      </w:r>
      <w:r w:rsidR="00AA11D7" w:rsidRPr="00BE23C5">
        <w:rPr>
          <w:rFonts w:asciiTheme="minorHAnsi" w:hAnsiTheme="minorHAnsi"/>
          <w:bCs/>
        </w:rPr>
        <w:t xml:space="preserve"> and</w:t>
      </w:r>
      <w:r w:rsidR="007033F0" w:rsidRPr="00BE23C5">
        <w:rPr>
          <w:rFonts w:asciiTheme="minorHAnsi" w:hAnsiTheme="minorHAnsi"/>
          <w:bCs/>
        </w:rPr>
        <w:t xml:space="preserve"> uncertain</w:t>
      </w:r>
      <w:r w:rsidR="002B0AD6" w:rsidRPr="00BE23C5">
        <w:rPr>
          <w:rFonts w:asciiTheme="minorHAnsi" w:hAnsiTheme="minorHAnsi"/>
          <w:bCs/>
        </w:rPr>
        <w:t xml:space="preserve">, </w:t>
      </w:r>
      <w:r w:rsidR="00717764" w:rsidRPr="00BE23C5">
        <w:rPr>
          <w:rFonts w:asciiTheme="minorHAnsi" w:hAnsiTheme="minorHAnsi"/>
          <w:bCs/>
        </w:rPr>
        <w:t>and likely underestimate</w:t>
      </w:r>
      <w:r w:rsidR="004F0987" w:rsidRPr="00BE23C5">
        <w:rPr>
          <w:rFonts w:asciiTheme="minorHAnsi" w:hAnsiTheme="minorHAnsi"/>
          <w:bCs/>
        </w:rPr>
        <w:t>d</w:t>
      </w:r>
      <w:r w:rsidR="00717764" w:rsidRPr="00BE23C5">
        <w:rPr>
          <w:rFonts w:asciiTheme="minorHAnsi" w:hAnsiTheme="minorHAnsi"/>
          <w:bCs/>
        </w:rPr>
        <w:t xml:space="preserve"> </w:t>
      </w:r>
      <w:r w:rsidR="004F0987" w:rsidRPr="00BE23C5">
        <w:rPr>
          <w:rFonts w:asciiTheme="minorHAnsi" w:hAnsiTheme="minorHAnsi"/>
          <w:bCs/>
        </w:rPr>
        <w:t>due to</w:t>
      </w:r>
      <w:r w:rsidR="00717764" w:rsidRPr="00BE23C5">
        <w:rPr>
          <w:rFonts w:asciiTheme="minorHAnsi" w:hAnsiTheme="minorHAnsi"/>
          <w:bCs/>
        </w:rPr>
        <w:t xml:space="preserve"> </w:t>
      </w:r>
      <w:r w:rsidR="007033F0" w:rsidRPr="00BE23C5">
        <w:rPr>
          <w:rFonts w:asciiTheme="minorHAnsi" w:hAnsiTheme="minorHAnsi"/>
          <w:bCs/>
        </w:rPr>
        <w:t xml:space="preserve">assumptions </w:t>
      </w:r>
      <w:r w:rsidR="004F0987" w:rsidRPr="00BE23C5">
        <w:rPr>
          <w:rFonts w:asciiTheme="minorHAnsi" w:hAnsiTheme="minorHAnsi"/>
          <w:bCs/>
        </w:rPr>
        <w:t xml:space="preserve">which </w:t>
      </w:r>
      <w:r w:rsidR="00717764" w:rsidRPr="00BE23C5">
        <w:rPr>
          <w:rFonts w:asciiTheme="minorHAnsi" w:hAnsiTheme="minorHAnsi"/>
          <w:bCs/>
        </w:rPr>
        <w:t xml:space="preserve">appeared to </w:t>
      </w:r>
      <w:r w:rsidR="007033F0" w:rsidRPr="00BE23C5">
        <w:rPr>
          <w:rFonts w:asciiTheme="minorHAnsi" w:hAnsiTheme="minorHAnsi"/>
          <w:bCs/>
        </w:rPr>
        <w:t xml:space="preserve">favour </w:t>
      </w:r>
      <w:proofErr w:type="spellStart"/>
      <w:r w:rsidR="007033F0" w:rsidRPr="00BE23C5">
        <w:rPr>
          <w:rFonts w:asciiTheme="minorHAnsi" w:hAnsiTheme="minorHAnsi"/>
          <w:bCs/>
        </w:rPr>
        <w:t>neratinib</w:t>
      </w:r>
      <w:proofErr w:type="spellEnd"/>
      <w:r w:rsidR="004F0987" w:rsidRPr="00BE23C5">
        <w:rPr>
          <w:rFonts w:asciiTheme="minorHAnsi" w:hAnsiTheme="minorHAnsi"/>
          <w:bCs/>
        </w:rPr>
        <w:t>, including:</w:t>
      </w:r>
      <w:r w:rsidR="007033F0" w:rsidRPr="00BE23C5">
        <w:rPr>
          <w:rFonts w:asciiTheme="minorHAnsi" w:hAnsiTheme="minorHAnsi"/>
          <w:bCs/>
        </w:rPr>
        <w:t xml:space="preserve"> </w:t>
      </w:r>
    </w:p>
    <w:p w:rsidR="00C17E23" w:rsidRPr="00BE23C5" w:rsidRDefault="00A8633F" w:rsidP="001159DF">
      <w:pPr>
        <w:pStyle w:val="ListParagraph"/>
        <w:numPr>
          <w:ilvl w:val="0"/>
          <w:numId w:val="13"/>
        </w:numPr>
        <w:spacing w:before="120" w:after="120"/>
        <w:ind w:left="1134"/>
        <w:rPr>
          <w:rFonts w:asciiTheme="minorHAnsi" w:hAnsiTheme="minorHAnsi"/>
          <w:bCs/>
        </w:rPr>
      </w:pPr>
      <w:r w:rsidRPr="00BE23C5">
        <w:rPr>
          <w:rFonts w:asciiTheme="minorHAnsi" w:hAnsiTheme="minorHAnsi"/>
          <w:bCs/>
        </w:rPr>
        <w:t xml:space="preserve">Incorporating a substantial gain in </w:t>
      </w:r>
      <w:r w:rsidR="00C17E23" w:rsidRPr="00BE23C5">
        <w:rPr>
          <w:rFonts w:asciiTheme="minorHAnsi" w:hAnsiTheme="minorHAnsi"/>
          <w:bCs/>
        </w:rPr>
        <w:t xml:space="preserve">OS </w:t>
      </w:r>
      <w:r w:rsidRPr="00BE23C5">
        <w:rPr>
          <w:rFonts w:asciiTheme="minorHAnsi" w:hAnsiTheme="minorHAnsi"/>
          <w:bCs/>
        </w:rPr>
        <w:t xml:space="preserve">despite no OS </w:t>
      </w:r>
      <w:r w:rsidR="00C17E23" w:rsidRPr="00BE23C5">
        <w:rPr>
          <w:rFonts w:asciiTheme="minorHAnsi" w:hAnsiTheme="minorHAnsi"/>
          <w:bCs/>
        </w:rPr>
        <w:t xml:space="preserve">data from the </w:t>
      </w:r>
      <w:proofErr w:type="spellStart"/>
      <w:r w:rsidR="00C17E23" w:rsidRPr="00BE23C5">
        <w:rPr>
          <w:rFonts w:asciiTheme="minorHAnsi" w:hAnsiTheme="minorHAnsi"/>
          <w:bCs/>
        </w:rPr>
        <w:t>ExteNET</w:t>
      </w:r>
      <w:proofErr w:type="spellEnd"/>
      <w:r w:rsidR="00C17E23" w:rsidRPr="00BE23C5">
        <w:rPr>
          <w:rFonts w:asciiTheme="minorHAnsi" w:hAnsiTheme="minorHAnsi"/>
          <w:bCs/>
        </w:rPr>
        <w:t xml:space="preserve"> trial</w:t>
      </w:r>
      <w:r w:rsidR="002805B9" w:rsidRPr="00BE23C5">
        <w:rPr>
          <w:rFonts w:asciiTheme="minorHAnsi" w:hAnsiTheme="minorHAnsi"/>
          <w:bCs/>
        </w:rPr>
        <w:t xml:space="preserve"> </w:t>
      </w:r>
      <w:r w:rsidR="004F0987" w:rsidRPr="00BE23C5">
        <w:rPr>
          <w:rFonts w:asciiTheme="minorHAnsi" w:hAnsiTheme="minorHAnsi"/>
          <w:bCs/>
        </w:rPr>
        <w:t>being presented</w:t>
      </w:r>
      <w:r w:rsidR="002805B9" w:rsidRPr="00BE23C5">
        <w:rPr>
          <w:rFonts w:asciiTheme="minorHAnsi" w:hAnsiTheme="minorHAnsi"/>
          <w:bCs/>
        </w:rPr>
        <w:t xml:space="preserve"> in the submission</w:t>
      </w:r>
      <w:r w:rsidR="004F0987" w:rsidRPr="00BE23C5">
        <w:rPr>
          <w:rFonts w:asciiTheme="minorHAnsi" w:hAnsiTheme="minorHAnsi"/>
          <w:bCs/>
        </w:rPr>
        <w:t xml:space="preserve"> (although </w:t>
      </w:r>
      <w:r w:rsidR="00F92312" w:rsidRPr="00BE23C5">
        <w:rPr>
          <w:rFonts w:asciiTheme="minorHAnsi" w:hAnsiTheme="minorHAnsi"/>
          <w:bCs/>
        </w:rPr>
        <w:t xml:space="preserve">it </w:t>
      </w:r>
      <w:r w:rsidR="004F0987" w:rsidRPr="00BE23C5">
        <w:rPr>
          <w:rFonts w:asciiTheme="minorHAnsi" w:hAnsiTheme="minorHAnsi"/>
          <w:bCs/>
        </w:rPr>
        <w:t>appeared to be included in the model)</w:t>
      </w:r>
      <w:r w:rsidR="00F92312" w:rsidRPr="00BE23C5">
        <w:rPr>
          <w:rFonts w:asciiTheme="minorHAnsi" w:hAnsiTheme="minorHAnsi"/>
          <w:bCs/>
        </w:rPr>
        <w:t>;</w:t>
      </w:r>
      <w:r w:rsidR="00C17E23" w:rsidRPr="00BE23C5">
        <w:rPr>
          <w:rFonts w:asciiTheme="minorHAnsi" w:hAnsiTheme="minorHAnsi"/>
          <w:bCs/>
        </w:rPr>
        <w:t xml:space="preserve"> </w:t>
      </w:r>
    </w:p>
    <w:p w:rsidR="00DC2E24" w:rsidRPr="00BE23C5" w:rsidRDefault="00DC2E24" w:rsidP="001159DF">
      <w:pPr>
        <w:pStyle w:val="ListParagraph"/>
        <w:numPr>
          <w:ilvl w:val="0"/>
          <w:numId w:val="13"/>
        </w:numPr>
        <w:spacing w:before="120" w:after="120"/>
        <w:ind w:left="1134"/>
        <w:rPr>
          <w:rFonts w:asciiTheme="minorHAnsi" w:hAnsiTheme="minorHAnsi"/>
          <w:bCs/>
        </w:rPr>
      </w:pPr>
      <w:r w:rsidRPr="00BE23C5">
        <w:rPr>
          <w:rFonts w:asciiTheme="minorHAnsi" w:hAnsiTheme="minorHAnsi"/>
          <w:bCs/>
        </w:rPr>
        <w:t xml:space="preserve">The </w:t>
      </w:r>
      <w:r w:rsidR="004F0987" w:rsidRPr="00BE23C5">
        <w:rPr>
          <w:rFonts w:asciiTheme="minorHAnsi" w:hAnsiTheme="minorHAnsi"/>
          <w:bCs/>
        </w:rPr>
        <w:t xml:space="preserve">relatively long </w:t>
      </w:r>
      <w:r w:rsidRPr="00BE23C5">
        <w:rPr>
          <w:rFonts w:asciiTheme="minorHAnsi" w:hAnsiTheme="minorHAnsi"/>
          <w:bCs/>
        </w:rPr>
        <w:t xml:space="preserve">time horizon </w:t>
      </w:r>
      <w:r w:rsidR="004F0987" w:rsidRPr="00BE23C5">
        <w:rPr>
          <w:rFonts w:asciiTheme="minorHAnsi" w:hAnsiTheme="minorHAnsi"/>
          <w:bCs/>
        </w:rPr>
        <w:t xml:space="preserve">for </w:t>
      </w:r>
      <w:r w:rsidRPr="00BE23C5">
        <w:rPr>
          <w:rFonts w:asciiTheme="minorHAnsi" w:hAnsiTheme="minorHAnsi"/>
          <w:bCs/>
        </w:rPr>
        <w:t xml:space="preserve">the base case (55 years) </w:t>
      </w:r>
      <w:r w:rsidR="004F0987" w:rsidRPr="00BE23C5">
        <w:rPr>
          <w:rFonts w:asciiTheme="minorHAnsi" w:hAnsiTheme="minorHAnsi"/>
          <w:bCs/>
        </w:rPr>
        <w:t xml:space="preserve">compared with </w:t>
      </w:r>
      <w:r w:rsidRPr="00BE23C5">
        <w:rPr>
          <w:rFonts w:asciiTheme="minorHAnsi" w:hAnsiTheme="minorHAnsi"/>
          <w:bCs/>
        </w:rPr>
        <w:t xml:space="preserve">five year follow-up </w:t>
      </w:r>
      <w:r w:rsidR="003044AC" w:rsidRPr="00BE23C5">
        <w:rPr>
          <w:rFonts w:asciiTheme="minorHAnsi" w:hAnsiTheme="minorHAnsi"/>
          <w:bCs/>
        </w:rPr>
        <w:t>for</w:t>
      </w:r>
      <w:r w:rsidRPr="00BE23C5">
        <w:rPr>
          <w:rFonts w:asciiTheme="minorHAnsi" w:hAnsiTheme="minorHAnsi"/>
          <w:bCs/>
        </w:rPr>
        <w:t xml:space="preserve"> the </w:t>
      </w:r>
      <w:proofErr w:type="spellStart"/>
      <w:r w:rsidRPr="00BE23C5">
        <w:rPr>
          <w:rFonts w:asciiTheme="minorHAnsi" w:hAnsiTheme="minorHAnsi"/>
          <w:bCs/>
        </w:rPr>
        <w:t>ExteNET</w:t>
      </w:r>
      <w:proofErr w:type="spellEnd"/>
      <w:r w:rsidRPr="00BE23C5">
        <w:rPr>
          <w:rFonts w:asciiTheme="minorHAnsi" w:hAnsiTheme="minorHAnsi"/>
          <w:bCs/>
        </w:rPr>
        <w:t xml:space="preserve"> trial. The PBAC </w:t>
      </w:r>
      <w:r w:rsidR="00583DB6" w:rsidRPr="00BE23C5">
        <w:rPr>
          <w:rFonts w:asciiTheme="minorHAnsi" w:hAnsiTheme="minorHAnsi"/>
          <w:bCs/>
        </w:rPr>
        <w:t xml:space="preserve">considered </w:t>
      </w:r>
      <w:r w:rsidRPr="00BE23C5">
        <w:rPr>
          <w:rFonts w:asciiTheme="minorHAnsi" w:hAnsiTheme="minorHAnsi"/>
          <w:bCs/>
        </w:rPr>
        <w:t xml:space="preserve">that a </w:t>
      </w:r>
      <w:r w:rsidR="00583DB6" w:rsidRPr="00BE23C5">
        <w:rPr>
          <w:rFonts w:asciiTheme="minorHAnsi" w:hAnsiTheme="minorHAnsi"/>
          <w:bCs/>
        </w:rPr>
        <w:t>40 years would be more appropriate</w:t>
      </w:r>
      <w:r w:rsidRPr="00BE23C5">
        <w:rPr>
          <w:rFonts w:asciiTheme="minorHAnsi" w:hAnsiTheme="minorHAnsi"/>
          <w:bCs/>
        </w:rPr>
        <w:t xml:space="preserve">, </w:t>
      </w:r>
      <w:r w:rsidR="003044AC" w:rsidRPr="00BE23C5">
        <w:rPr>
          <w:rFonts w:asciiTheme="minorHAnsi" w:hAnsiTheme="minorHAnsi"/>
          <w:bCs/>
        </w:rPr>
        <w:t xml:space="preserve">although </w:t>
      </w:r>
      <w:r w:rsidR="00583DB6" w:rsidRPr="00BE23C5">
        <w:rPr>
          <w:rFonts w:asciiTheme="minorHAnsi" w:hAnsiTheme="minorHAnsi"/>
          <w:bCs/>
        </w:rPr>
        <w:t>not</w:t>
      </w:r>
      <w:r w:rsidR="003044AC" w:rsidRPr="00BE23C5">
        <w:rPr>
          <w:rFonts w:asciiTheme="minorHAnsi" w:hAnsiTheme="minorHAnsi"/>
          <w:bCs/>
        </w:rPr>
        <w:t>ed</w:t>
      </w:r>
      <w:r w:rsidR="00583DB6" w:rsidRPr="00BE23C5">
        <w:rPr>
          <w:rFonts w:asciiTheme="minorHAnsi" w:hAnsiTheme="minorHAnsi"/>
          <w:bCs/>
        </w:rPr>
        <w:t xml:space="preserve"> that </w:t>
      </w:r>
      <w:r w:rsidRPr="00BE23C5">
        <w:rPr>
          <w:rFonts w:asciiTheme="minorHAnsi" w:hAnsiTheme="minorHAnsi"/>
          <w:bCs/>
        </w:rPr>
        <w:t>the ICER was not sensitive to the time horizon unless shorter than 30 years</w:t>
      </w:r>
      <w:r w:rsidR="00F92312" w:rsidRPr="00BE23C5">
        <w:rPr>
          <w:rFonts w:asciiTheme="minorHAnsi" w:hAnsiTheme="minorHAnsi"/>
          <w:bCs/>
        </w:rPr>
        <w:t>;</w:t>
      </w:r>
    </w:p>
    <w:p w:rsidR="0095761A" w:rsidRPr="00BE23C5" w:rsidRDefault="00E4668A" w:rsidP="001159DF">
      <w:pPr>
        <w:pStyle w:val="ListParagraph"/>
        <w:numPr>
          <w:ilvl w:val="0"/>
          <w:numId w:val="13"/>
        </w:numPr>
        <w:spacing w:before="120" w:after="120"/>
        <w:ind w:left="1134"/>
        <w:rPr>
          <w:rFonts w:asciiTheme="minorHAnsi" w:hAnsiTheme="minorHAnsi"/>
          <w:bCs/>
        </w:rPr>
      </w:pPr>
      <w:r w:rsidRPr="00BE23C5">
        <w:rPr>
          <w:rFonts w:asciiTheme="minorHAnsi" w:hAnsiTheme="minorHAnsi"/>
          <w:bCs/>
        </w:rPr>
        <w:t xml:space="preserve">The treatment effect was based on a subgroup of the </w:t>
      </w:r>
      <w:proofErr w:type="spellStart"/>
      <w:r w:rsidRPr="00BE23C5">
        <w:rPr>
          <w:rFonts w:asciiTheme="minorHAnsi" w:hAnsiTheme="minorHAnsi"/>
          <w:bCs/>
        </w:rPr>
        <w:t>ExteNET</w:t>
      </w:r>
      <w:proofErr w:type="spellEnd"/>
      <w:r w:rsidRPr="00BE23C5">
        <w:rPr>
          <w:rFonts w:asciiTheme="minorHAnsi" w:hAnsiTheme="minorHAnsi"/>
          <w:bCs/>
        </w:rPr>
        <w:t xml:space="preserve"> trial, and</w:t>
      </w:r>
      <w:r w:rsidR="0095761A" w:rsidRPr="00BE23C5">
        <w:t xml:space="preserve"> was assumed to continue beyond the 5 year </w:t>
      </w:r>
      <w:proofErr w:type="spellStart"/>
      <w:r w:rsidR="0095761A" w:rsidRPr="00BE23C5">
        <w:t>ExteNET</w:t>
      </w:r>
      <w:proofErr w:type="spellEnd"/>
      <w:r w:rsidR="0095761A" w:rsidRPr="00BE23C5">
        <w:t xml:space="preserve"> follow-up period, tapering to a HR</w:t>
      </w:r>
      <w:r w:rsidR="003044AC" w:rsidRPr="00BE23C5">
        <w:t xml:space="preserve"> of </w:t>
      </w:r>
      <w:r w:rsidR="0095761A" w:rsidRPr="00BE23C5">
        <w:t>1</w:t>
      </w:r>
      <w:r w:rsidR="003044AC" w:rsidRPr="00BE23C5">
        <w:t xml:space="preserve"> at</w:t>
      </w:r>
      <w:r w:rsidR="0095761A" w:rsidRPr="00BE23C5">
        <w:t xml:space="preserve"> 10</w:t>
      </w:r>
      <w:r w:rsidR="0095761A" w:rsidRPr="00BE23C5">
        <w:rPr>
          <w:i/>
        </w:rPr>
        <w:t xml:space="preserve"> </w:t>
      </w:r>
      <w:r w:rsidR="0095761A" w:rsidRPr="00BE23C5">
        <w:t>years post follow-up.</w:t>
      </w:r>
      <w:r w:rsidR="00212686" w:rsidRPr="00BE23C5">
        <w:t xml:space="preserve"> The PBAC considered that </w:t>
      </w:r>
      <w:r w:rsidR="00A8633F" w:rsidRPr="00BE23C5">
        <w:t xml:space="preserve">a </w:t>
      </w:r>
      <w:r w:rsidR="00212686" w:rsidRPr="00BE23C5">
        <w:t>treatment effect</w:t>
      </w:r>
      <w:r w:rsidR="00A8633F" w:rsidRPr="00BE23C5">
        <w:t xml:space="preserve"> was</w:t>
      </w:r>
      <w:r w:rsidR="00212686" w:rsidRPr="00BE23C5">
        <w:t xml:space="preserve"> </w:t>
      </w:r>
      <w:r w:rsidR="002805B9" w:rsidRPr="00BE23C5">
        <w:t xml:space="preserve">assumed in the model </w:t>
      </w:r>
      <w:r w:rsidR="00A8633F" w:rsidRPr="00BE23C5">
        <w:t xml:space="preserve">for an </w:t>
      </w:r>
      <w:r w:rsidR="00212686" w:rsidRPr="00BE23C5">
        <w:t>unreasonably long</w:t>
      </w:r>
      <w:r w:rsidR="00A8633F" w:rsidRPr="00BE23C5">
        <w:t xml:space="preserve"> duration</w:t>
      </w:r>
      <w:r w:rsidR="00F92312" w:rsidRPr="00BE23C5">
        <w:t>;</w:t>
      </w:r>
      <w:r w:rsidR="00CA268D" w:rsidRPr="00BE23C5">
        <w:t xml:space="preserve"> </w:t>
      </w:r>
    </w:p>
    <w:p w:rsidR="00DC2E24" w:rsidRPr="00BE23C5" w:rsidRDefault="002A4F8C" w:rsidP="001159DF">
      <w:pPr>
        <w:pStyle w:val="ListParagraph"/>
        <w:numPr>
          <w:ilvl w:val="0"/>
          <w:numId w:val="13"/>
        </w:numPr>
        <w:spacing w:before="120" w:after="120"/>
        <w:ind w:left="1134"/>
        <w:rPr>
          <w:rFonts w:asciiTheme="minorHAnsi" w:hAnsiTheme="minorHAnsi"/>
          <w:bCs/>
        </w:rPr>
      </w:pPr>
      <w:r w:rsidRPr="00BE23C5">
        <w:t xml:space="preserve">The model underestimated costs </w:t>
      </w:r>
      <w:r w:rsidR="00A8633F" w:rsidRPr="00BE23C5">
        <w:t xml:space="preserve">associated with </w:t>
      </w:r>
      <w:proofErr w:type="spellStart"/>
      <w:r w:rsidRPr="00BE23C5">
        <w:t>neratinib</w:t>
      </w:r>
      <w:proofErr w:type="spellEnd"/>
      <w:r w:rsidRPr="00BE23C5">
        <w:t xml:space="preserve"> </w:t>
      </w:r>
      <w:r w:rsidR="00A8633F" w:rsidRPr="00BE23C5">
        <w:t xml:space="preserve">treatment </w:t>
      </w:r>
      <w:r w:rsidRPr="00BE23C5">
        <w:t>as the</w:t>
      </w:r>
      <w:r w:rsidR="00DC2E24" w:rsidRPr="00BE23C5">
        <w:t xml:space="preserve"> use of </w:t>
      </w:r>
      <w:proofErr w:type="spellStart"/>
      <w:r w:rsidR="00DC2E24" w:rsidRPr="00BE23C5">
        <w:t>loperamide</w:t>
      </w:r>
      <w:proofErr w:type="spellEnd"/>
      <w:r w:rsidR="00696302" w:rsidRPr="00BE23C5">
        <w:t xml:space="preserve"> was </w:t>
      </w:r>
      <w:r w:rsidR="00212686" w:rsidRPr="00BE23C5">
        <w:t>underestimated</w:t>
      </w:r>
      <w:r w:rsidRPr="00BE23C5">
        <w:t>, costs of endocrine therapies were not included, several medical service/diagnostic costs were not included, and drug wastage was not included in the base case</w:t>
      </w:r>
      <w:r w:rsidR="00F92312" w:rsidRPr="00BE23C5">
        <w:t>; and</w:t>
      </w:r>
    </w:p>
    <w:p w:rsidR="002A4F8C" w:rsidRPr="00BE23C5" w:rsidRDefault="002A4F8C" w:rsidP="001159DF">
      <w:pPr>
        <w:pStyle w:val="ListParagraph"/>
        <w:numPr>
          <w:ilvl w:val="0"/>
          <w:numId w:val="13"/>
        </w:numPr>
        <w:spacing w:before="120" w:after="120"/>
        <w:ind w:left="1134"/>
        <w:rPr>
          <w:rFonts w:asciiTheme="minorHAnsi" w:hAnsiTheme="minorHAnsi"/>
          <w:bCs/>
          <w:szCs w:val="24"/>
        </w:rPr>
      </w:pPr>
      <w:r w:rsidRPr="00BE23C5">
        <w:rPr>
          <w:rFonts w:asciiTheme="minorHAnsi" w:hAnsiTheme="minorHAnsi"/>
          <w:bCs/>
        </w:rPr>
        <w:lastRenderedPageBreak/>
        <w:t xml:space="preserve">The same utility value was used for recurrence states regardless of the location of </w:t>
      </w:r>
      <w:r w:rsidRPr="00BE23C5">
        <w:rPr>
          <w:rFonts w:asciiTheme="minorHAnsi" w:hAnsiTheme="minorHAnsi"/>
          <w:bCs/>
          <w:szCs w:val="24"/>
        </w:rPr>
        <w:t xml:space="preserve">metastases. </w:t>
      </w:r>
    </w:p>
    <w:p w:rsidR="002F7F58" w:rsidRPr="00BE23C5" w:rsidRDefault="00CF4FF8" w:rsidP="001159DF">
      <w:pPr>
        <w:pStyle w:val="ListParagraph"/>
        <w:numPr>
          <w:ilvl w:val="1"/>
          <w:numId w:val="2"/>
        </w:numPr>
        <w:spacing w:before="120" w:after="120"/>
      </w:pPr>
      <w:r w:rsidRPr="00BE23C5">
        <w:t xml:space="preserve">The PBAC </w:t>
      </w:r>
      <w:r w:rsidR="00B15370" w:rsidRPr="00BE23C5">
        <w:t xml:space="preserve">noted </w:t>
      </w:r>
      <w:r w:rsidR="00122AE4" w:rsidRPr="00BE23C5">
        <w:t xml:space="preserve">the financial estimates were </w:t>
      </w:r>
      <w:r w:rsidR="00B15370" w:rsidRPr="00BE23C5">
        <w:t xml:space="preserve">high </w:t>
      </w:r>
      <w:r w:rsidR="00696302" w:rsidRPr="00BE23C5">
        <w:t xml:space="preserve">and </w:t>
      </w:r>
      <w:r w:rsidR="00B46F93" w:rsidRPr="00BE23C5">
        <w:t xml:space="preserve">considered </w:t>
      </w:r>
      <w:r w:rsidR="00A8633F" w:rsidRPr="00BE23C5">
        <w:t xml:space="preserve">them to be </w:t>
      </w:r>
      <w:r w:rsidR="00122AE4" w:rsidRPr="00BE23C5">
        <w:t>uncertain</w:t>
      </w:r>
      <w:r w:rsidR="006223EC" w:rsidRPr="00BE23C5">
        <w:t xml:space="preserve">. The PBAC considered </w:t>
      </w:r>
      <w:r w:rsidR="00B15370" w:rsidRPr="00BE23C5">
        <w:t xml:space="preserve">the </w:t>
      </w:r>
      <w:r w:rsidR="00122AE4" w:rsidRPr="00BE23C5">
        <w:t>uptake</w:t>
      </w:r>
      <w:r w:rsidR="006223EC" w:rsidRPr="00BE23C5">
        <w:t xml:space="preserve"> was overestimated</w:t>
      </w:r>
      <w:r w:rsidR="00B46F93" w:rsidRPr="00BE23C5">
        <w:t>, particularly</w:t>
      </w:r>
      <w:r w:rsidR="00E10D7E" w:rsidRPr="00BE23C5">
        <w:t xml:space="preserve"> given the change in approach to treating high risk HER2+ patients, </w:t>
      </w:r>
      <w:r w:rsidR="006223EC" w:rsidRPr="00BE23C5">
        <w:t xml:space="preserve">and </w:t>
      </w:r>
      <w:r w:rsidR="00E4668A" w:rsidRPr="00BE23C5">
        <w:t xml:space="preserve">that </w:t>
      </w:r>
      <w:r w:rsidR="00E10D7E" w:rsidRPr="00BE23C5">
        <w:t xml:space="preserve">dose </w:t>
      </w:r>
      <w:r w:rsidR="00E4668A" w:rsidRPr="00BE23C5">
        <w:t>reductions with</w:t>
      </w:r>
      <w:r w:rsidR="00E10D7E" w:rsidRPr="00BE23C5">
        <w:t xml:space="preserve"> </w:t>
      </w:r>
      <w:proofErr w:type="spellStart"/>
      <w:r w:rsidR="00E10D7E" w:rsidRPr="00BE23C5">
        <w:t>neratinib</w:t>
      </w:r>
      <w:proofErr w:type="spellEnd"/>
      <w:r w:rsidR="00E10D7E" w:rsidRPr="00BE23C5">
        <w:t xml:space="preserve"> </w:t>
      </w:r>
      <w:r w:rsidR="00E4668A" w:rsidRPr="00BE23C5">
        <w:t>were</w:t>
      </w:r>
      <w:r w:rsidR="00E10D7E" w:rsidRPr="00BE23C5">
        <w:t xml:space="preserve"> not accounted for</w:t>
      </w:r>
      <w:r w:rsidR="00B46F93" w:rsidRPr="00BE23C5">
        <w:t xml:space="preserve">. The PBAC also noted </w:t>
      </w:r>
      <w:r w:rsidR="00A8633F" w:rsidRPr="00BE23C5">
        <w:t>the costs associated with treating drug</w:t>
      </w:r>
      <w:r w:rsidR="0067776F" w:rsidRPr="00BE23C5">
        <w:t xml:space="preserve"> toxicit</w:t>
      </w:r>
      <w:r w:rsidR="00A8633F" w:rsidRPr="00BE23C5">
        <w:t>ies</w:t>
      </w:r>
      <w:r w:rsidR="0067776F" w:rsidRPr="00BE23C5">
        <w:t xml:space="preserve"> and monitoring were underestimated. </w:t>
      </w:r>
    </w:p>
    <w:p w:rsidR="00E4668A" w:rsidRPr="00BE23C5" w:rsidRDefault="00E4668A" w:rsidP="001159DF">
      <w:pPr>
        <w:widowControl/>
        <w:numPr>
          <w:ilvl w:val="1"/>
          <w:numId w:val="2"/>
        </w:numPr>
        <w:spacing w:before="120" w:after="120"/>
        <w:rPr>
          <w:rFonts w:asciiTheme="minorHAnsi" w:hAnsiTheme="minorHAnsi"/>
          <w:bCs/>
          <w:szCs w:val="24"/>
        </w:rPr>
      </w:pPr>
      <w:r w:rsidRPr="00BE23C5">
        <w:rPr>
          <w:rFonts w:asciiTheme="minorHAnsi" w:hAnsiTheme="minorHAnsi"/>
          <w:bCs/>
          <w:szCs w:val="24"/>
        </w:rPr>
        <w:t>The PBAC considered that any resubmission would need to be a major submission and would need to address the following issues:</w:t>
      </w:r>
    </w:p>
    <w:p w:rsidR="00E4668A" w:rsidRPr="00BE23C5" w:rsidRDefault="00B3595B" w:rsidP="001159DF">
      <w:pPr>
        <w:pStyle w:val="ListParagraph"/>
        <w:numPr>
          <w:ilvl w:val="0"/>
          <w:numId w:val="13"/>
        </w:numPr>
        <w:spacing w:before="120" w:after="120"/>
        <w:ind w:left="1134"/>
        <w:rPr>
          <w:rFonts w:asciiTheme="minorHAnsi" w:hAnsiTheme="minorHAnsi"/>
          <w:bCs/>
        </w:rPr>
      </w:pPr>
      <w:r w:rsidRPr="00BE23C5">
        <w:rPr>
          <w:rFonts w:asciiTheme="minorHAnsi" w:hAnsiTheme="minorHAnsi"/>
          <w:bCs/>
        </w:rPr>
        <w:t>the</w:t>
      </w:r>
      <w:r w:rsidRPr="00BE23C5">
        <w:t xml:space="preserve"> </w:t>
      </w:r>
      <w:r w:rsidRPr="00BE23C5">
        <w:rPr>
          <w:rFonts w:asciiTheme="minorHAnsi" w:hAnsiTheme="minorHAnsi"/>
          <w:bCs/>
        </w:rPr>
        <w:t xml:space="preserve">clinical place and </w:t>
      </w:r>
      <w:r w:rsidR="00E4668A" w:rsidRPr="00BE23C5">
        <w:rPr>
          <w:rFonts w:asciiTheme="minorHAnsi" w:hAnsiTheme="minorHAnsi"/>
          <w:bCs/>
        </w:rPr>
        <w:t xml:space="preserve">applicability of the trial evidence given the </w:t>
      </w:r>
      <w:r w:rsidR="00A10393" w:rsidRPr="00BE23C5">
        <w:rPr>
          <w:rFonts w:asciiTheme="minorHAnsi" w:hAnsiTheme="minorHAnsi"/>
          <w:bCs/>
        </w:rPr>
        <w:t>emerging</w:t>
      </w:r>
      <w:r w:rsidR="002A4F8C" w:rsidRPr="00BE23C5">
        <w:rPr>
          <w:rFonts w:asciiTheme="minorHAnsi" w:hAnsiTheme="minorHAnsi"/>
          <w:bCs/>
        </w:rPr>
        <w:t xml:space="preserve"> </w:t>
      </w:r>
      <w:r w:rsidR="00A10393" w:rsidRPr="00BE23C5">
        <w:rPr>
          <w:rFonts w:asciiTheme="minorHAnsi" w:hAnsiTheme="minorHAnsi"/>
          <w:bCs/>
        </w:rPr>
        <w:t>therapies for the adjuvant treatment of breast cancer;</w:t>
      </w:r>
    </w:p>
    <w:p w:rsidR="00A10393" w:rsidRPr="00BE23C5" w:rsidRDefault="00A10393" w:rsidP="001159DF">
      <w:pPr>
        <w:pStyle w:val="ListParagraph"/>
        <w:numPr>
          <w:ilvl w:val="0"/>
          <w:numId w:val="13"/>
        </w:numPr>
        <w:spacing w:before="120" w:after="120"/>
        <w:ind w:left="1134"/>
        <w:rPr>
          <w:rFonts w:asciiTheme="minorHAnsi" w:hAnsiTheme="minorHAnsi"/>
          <w:bCs/>
        </w:rPr>
      </w:pPr>
      <w:r w:rsidRPr="00BE23C5">
        <w:rPr>
          <w:rFonts w:asciiTheme="minorHAnsi" w:hAnsiTheme="minorHAnsi"/>
          <w:bCs/>
        </w:rPr>
        <w:t xml:space="preserve">adjuvant </w:t>
      </w:r>
      <w:proofErr w:type="spellStart"/>
      <w:r w:rsidRPr="00BE23C5">
        <w:rPr>
          <w:rFonts w:asciiTheme="minorHAnsi" w:hAnsiTheme="minorHAnsi"/>
          <w:bCs/>
        </w:rPr>
        <w:t>pertuzumab</w:t>
      </w:r>
      <w:proofErr w:type="spellEnd"/>
      <w:r w:rsidRPr="00BE23C5">
        <w:rPr>
          <w:rFonts w:asciiTheme="minorHAnsi" w:hAnsiTheme="minorHAnsi"/>
          <w:bCs/>
        </w:rPr>
        <w:t xml:space="preserve"> and T-DM1 as near market comparators;</w:t>
      </w:r>
    </w:p>
    <w:p w:rsidR="00A10393" w:rsidRPr="00BE23C5" w:rsidRDefault="00A10393" w:rsidP="001159DF">
      <w:pPr>
        <w:pStyle w:val="ListParagraph"/>
        <w:numPr>
          <w:ilvl w:val="0"/>
          <w:numId w:val="13"/>
        </w:numPr>
        <w:spacing w:before="120" w:after="120"/>
        <w:ind w:left="1134"/>
        <w:rPr>
          <w:rFonts w:asciiTheme="minorHAnsi" w:hAnsiTheme="minorHAnsi"/>
          <w:bCs/>
        </w:rPr>
      </w:pPr>
      <w:proofErr w:type="gramStart"/>
      <w:r w:rsidRPr="00BE23C5">
        <w:rPr>
          <w:rFonts w:asciiTheme="minorHAnsi" w:hAnsiTheme="minorHAnsi"/>
          <w:bCs/>
        </w:rPr>
        <w:t>provide</w:t>
      </w:r>
      <w:proofErr w:type="gramEnd"/>
      <w:r w:rsidRPr="00BE23C5">
        <w:rPr>
          <w:rFonts w:asciiTheme="minorHAnsi" w:hAnsiTheme="minorHAnsi"/>
          <w:bCs/>
        </w:rPr>
        <w:t xml:space="preserve"> available OS data. The PBAC noted that OS data will be available late 2019;</w:t>
      </w:r>
    </w:p>
    <w:p w:rsidR="005B0F9A" w:rsidRPr="005B0F9A" w:rsidRDefault="00A10393" w:rsidP="001159DF">
      <w:pPr>
        <w:pStyle w:val="ListParagraph"/>
        <w:numPr>
          <w:ilvl w:val="0"/>
          <w:numId w:val="13"/>
        </w:numPr>
        <w:spacing w:before="120" w:after="120"/>
        <w:ind w:left="1134"/>
        <w:rPr>
          <w:rFonts w:asciiTheme="minorHAnsi" w:hAnsiTheme="minorHAnsi"/>
          <w:bCs/>
        </w:rPr>
      </w:pPr>
      <w:r w:rsidRPr="00BE23C5">
        <w:rPr>
          <w:rFonts w:asciiTheme="minorHAnsi" w:hAnsiTheme="minorHAnsi"/>
          <w:bCs/>
          <w:szCs w:val="24"/>
        </w:rPr>
        <w:t>revise the economic model to address the issues outlined in Section 6;</w:t>
      </w:r>
      <w:r w:rsidR="00F92312" w:rsidRPr="00BE23C5">
        <w:rPr>
          <w:rFonts w:asciiTheme="minorHAnsi" w:hAnsiTheme="minorHAnsi"/>
          <w:bCs/>
          <w:szCs w:val="24"/>
        </w:rPr>
        <w:t xml:space="preserve"> </w:t>
      </w:r>
    </w:p>
    <w:p w:rsidR="00A10393" w:rsidRPr="00BE23C5" w:rsidRDefault="005E0BDE" w:rsidP="001159DF">
      <w:pPr>
        <w:pStyle w:val="ListParagraph"/>
        <w:numPr>
          <w:ilvl w:val="0"/>
          <w:numId w:val="13"/>
        </w:numPr>
        <w:spacing w:before="120" w:after="120"/>
        <w:ind w:left="1134"/>
        <w:rPr>
          <w:rFonts w:asciiTheme="minorHAnsi" w:hAnsiTheme="minorHAnsi"/>
          <w:bCs/>
        </w:rPr>
      </w:pPr>
      <w:r w:rsidRPr="005E0BDE">
        <w:rPr>
          <w:rFonts w:asciiTheme="minorHAnsi" w:hAnsiTheme="minorHAnsi"/>
          <w:bCs/>
          <w:szCs w:val="24"/>
        </w:rPr>
        <w:t xml:space="preserve">reduce the price such that the ICER is consistent with </w:t>
      </w:r>
      <w:r w:rsidR="00B10463">
        <w:rPr>
          <w:rFonts w:asciiTheme="minorHAnsi" w:hAnsiTheme="minorHAnsi"/>
          <w:bCs/>
          <w:szCs w:val="24"/>
        </w:rPr>
        <w:t xml:space="preserve">the previously recommended ICERs for </w:t>
      </w:r>
      <w:r w:rsidR="00281289">
        <w:rPr>
          <w:rFonts w:asciiTheme="minorHAnsi" w:hAnsiTheme="minorHAnsi"/>
          <w:bCs/>
          <w:szCs w:val="24"/>
        </w:rPr>
        <w:t xml:space="preserve">other </w:t>
      </w:r>
      <w:r w:rsidR="005B0F9A">
        <w:rPr>
          <w:rFonts w:asciiTheme="minorHAnsi" w:hAnsiTheme="minorHAnsi"/>
          <w:bCs/>
          <w:szCs w:val="24"/>
        </w:rPr>
        <w:t xml:space="preserve">adjuvant breast cancer therapies; </w:t>
      </w:r>
      <w:r w:rsidR="00F92312" w:rsidRPr="00BE23C5">
        <w:rPr>
          <w:rFonts w:asciiTheme="minorHAnsi" w:hAnsiTheme="minorHAnsi"/>
          <w:bCs/>
          <w:szCs w:val="24"/>
        </w:rPr>
        <w:t>and</w:t>
      </w:r>
    </w:p>
    <w:p w:rsidR="00C66AC7" w:rsidRPr="005B0F9A" w:rsidRDefault="00A10393" w:rsidP="001159DF">
      <w:pPr>
        <w:pStyle w:val="ListParagraph"/>
        <w:numPr>
          <w:ilvl w:val="0"/>
          <w:numId w:val="13"/>
        </w:numPr>
        <w:spacing w:before="120" w:after="120"/>
        <w:ind w:left="1134"/>
        <w:rPr>
          <w:rFonts w:asciiTheme="minorHAnsi" w:hAnsiTheme="minorHAnsi"/>
          <w:bCs/>
        </w:rPr>
      </w:pPr>
      <w:proofErr w:type="gramStart"/>
      <w:r w:rsidRPr="00BE23C5">
        <w:rPr>
          <w:rFonts w:asciiTheme="minorHAnsi" w:hAnsiTheme="minorHAnsi"/>
          <w:bCs/>
          <w:szCs w:val="24"/>
        </w:rPr>
        <w:t>revise</w:t>
      </w:r>
      <w:proofErr w:type="gramEnd"/>
      <w:r w:rsidRPr="00BE23C5">
        <w:rPr>
          <w:rFonts w:asciiTheme="minorHAnsi" w:hAnsiTheme="minorHAnsi"/>
          <w:bCs/>
          <w:szCs w:val="24"/>
        </w:rPr>
        <w:t xml:space="preserve"> the estimates of the financial implications to address the issues outlined in Section 6.</w:t>
      </w:r>
    </w:p>
    <w:p w:rsidR="007B1A6B" w:rsidRPr="00BE23C5" w:rsidRDefault="007B1A6B" w:rsidP="001159DF">
      <w:pPr>
        <w:numPr>
          <w:ilvl w:val="1"/>
          <w:numId w:val="2"/>
        </w:numPr>
        <w:spacing w:before="120" w:after="120"/>
        <w:rPr>
          <w:rFonts w:asciiTheme="minorHAnsi" w:hAnsiTheme="minorHAnsi"/>
          <w:bCs/>
          <w:i/>
        </w:rPr>
      </w:pPr>
      <w:r w:rsidRPr="00BE23C5">
        <w:rPr>
          <w:rFonts w:asciiTheme="minorHAnsi" w:hAnsiTheme="minorHAnsi"/>
          <w:bCs/>
        </w:rPr>
        <w:t xml:space="preserve">The PBAC noted that this submission is eligible for an Independent Review. </w:t>
      </w:r>
    </w:p>
    <w:p w:rsidR="007B1A6B" w:rsidRPr="00BE23C5" w:rsidRDefault="007B1A6B" w:rsidP="001159DF">
      <w:pPr>
        <w:spacing w:before="120" w:after="120"/>
        <w:rPr>
          <w:rFonts w:asciiTheme="minorHAnsi" w:hAnsiTheme="minorHAnsi"/>
          <w:b/>
          <w:bCs/>
        </w:rPr>
      </w:pPr>
      <w:r w:rsidRPr="00BE23C5">
        <w:rPr>
          <w:rFonts w:asciiTheme="minorHAnsi" w:hAnsiTheme="minorHAnsi"/>
          <w:b/>
          <w:bCs/>
        </w:rPr>
        <w:t>Outcome:</w:t>
      </w:r>
    </w:p>
    <w:p w:rsidR="007B1A6B" w:rsidRPr="00BE23C5" w:rsidRDefault="007B1A6B" w:rsidP="001159DF">
      <w:pPr>
        <w:spacing w:before="120" w:after="120"/>
        <w:rPr>
          <w:rFonts w:asciiTheme="minorHAnsi" w:hAnsiTheme="minorHAnsi"/>
          <w:bCs/>
        </w:rPr>
      </w:pPr>
      <w:r w:rsidRPr="00BE23C5">
        <w:rPr>
          <w:rFonts w:asciiTheme="minorHAnsi" w:hAnsiTheme="minorHAnsi"/>
          <w:bCs/>
        </w:rPr>
        <w:t>Rejected</w:t>
      </w:r>
    </w:p>
    <w:bookmarkEnd w:id="0"/>
    <w:bookmarkEnd w:id="1"/>
    <w:bookmarkEnd w:id="2"/>
    <w:p w:rsidR="00A80164" w:rsidRPr="00A80164" w:rsidRDefault="00A80164" w:rsidP="001159DF">
      <w:pPr>
        <w:numPr>
          <w:ilvl w:val="0"/>
          <w:numId w:val="2"/>
        </w:numPr>
        <w:spacing w:before="120" w:after="120"/>
        <w:outlineLvl w:val="0"/>
        <w:rPr>
          <w:rFonts w:asciiTheme="minorHAnsi" w:hAnsiTheme="minorHAnsi"/>
          <w:b/>
          <w:bCs/>
          <w:sz w:val="32"/>
        </w:rPr>
      </w:pPr>
      <w:r w:rsidRPr="00A80164">
        <w:rPr>
          <w:rFonts w:asciiTheme="minorHAnsi" w:hAnsiTheme="minorHAnsi"/>
          <w:b/>
          <w:bCs/>
          <w:sz w:val="32"/>
        </w:rPr>
        <w:t>Context for Decision</w:t>
      </w:r>
    </w:p>
    <w:p w:rsidR="00A80164" w:rsidRPr="001159DF" w:rsidRDefault="00A80164" w:rsidP="001159DF">
      <w:pPr>
        <w:widowControl/>
        <w:spacing w:before="120" w:after="120"/>
        <w:ind w:left="720"/>
        <w:rPr>
          <w:rFonts w:asciiTheme="minorHAnsi" w:hAnsiTheme="minorHAnsi"/>
          <w:bCs/>
          <w:szCs w:val="24"/>
        </w:rPr>
      </w:pPr>
      <w:r w:rsidRPr="001159DF">
        <w:rPr>
          <w:rFonts w:asciiTheme="minorHAnsi" w:hAnsiTheme="minorHAnsi"/>
          <w:bCs/>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80164" w:rsidRPr="00A80164" w:rsidRDefault="00A80164" w:rsidP="001159DF">
      <w:pPr>
        <w:numPr>
          <w:ilvl w:val="0"/>
          <w:numId w:val="2"/>
        </w:numPr>
        <w:spacing w:before="120" w:after="120"/>
        <w:outlineLvl w:val="0"/>
        <w:rPr>
          <w:rFonts w:asciiTheme="minorHAnsi" w:hAnsiTheme="minorHAnsi"/>
          <w:b/>
          <w:bCs/>
          <w:sz w:val="32"/>
        </w:rPr>
      </w:pPr>
      <w:r w:rsidRPr="00A80164">
        <w:rPr>
          <w:rFonts w:asciiTheme="minorHAnsi" w:hAnsiTheme="minorHAnsi"/>
          <w:b/>
          <w:bCs/>
          <w:sz w:val="32"/>
        </w:rPr>
        <w:t>Sponsor’s Comment</w:t>
      </w:r>
    </w:p>
    <w:p w:rsidR="00DD4E30" w:rsidRPr="003C5711" w:rsidRDefault="00A80164" w:rsidP="003C5711">
      <w:pPr>
        <w:widowControl/>
        <w:spacing w:before="120" w:after="120"/>
        <w:ind w:left="720"/>
        <w:rPr>
          <w:rFonts w:asciiTheme="minorHAnsi" w:hAnsiTheme="minorHAnsi"/>
          <w:bCs/>
          <w:szCs w:val="24"/>
        </w:rPr>
      </w:pPr>
      <w:r w:rsidRPr="001159DF">
        <w:rPr>
          <w:rFonts w:asciiTheme="minorHAnsi" w:hAnsiTheme="minorHAnsi"/>
          <w:bCs/>
          <w:szCs w:val="24"/>
        </w:rPr>
        <w:t>The sponsor had no comment.</w:t>
      </w:r>
    </w:p>
    <w:sectPr w:rsidR="00DD4E30" w:rsidRPr="003C5711" w:rsidSect="00734AD7">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B67F36" w16cid:durableId="205D8168"/>
  <w16cid:commentId w16cid:paraId="1C877936" w16cid:durableId="205D8291"/>
  <w16cid:commentId w16cid:paraId="55846764" w16cid:durableId="205D80AC"/>
  <w16cid:commentId w16cid:paraId="1A88B4BF" w16cid:durableId="205D859E"/>
  <w16cid:commentId w16cid:paraId="400C9C96" w16cid:durableId="205D8949"/>
  <w16cid:commentId w16cid:paraId="2C241617" w16cid:durableId="205E3D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C5B" w:rsidRDefault="00FC3C5B" w:rsidP="00124A51">
      <w:r>
        <w:separator/>
      </w:r>
    </w:p>
    <w:p w:rsidR="00FC3C5B" w:rsidRDefault="00FC3C5B"/>
  </w:endnote>
  <w:endnote w:type="continuationSeparator" w:id="0">
    <w:p w:rsidR="00FC3C5B" w:rsidRDefault="00FC3C5B" w:rsidP="00124A51">
      <w:r>
        <w:continuationSeparator/>
      </w:r>
    </w:p>
    <w:p w:rsidR="00FC3C5B" w:rsidRDefault="00FC3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C5B" w:rsidRDefault="00FC3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7B" w:rsidRPr="00D13A3E" w:rsidRDefault="0073777B" w:rsidP="00015886">
    <w:pPr>
      <w:ind w:right="360"/>
      <w:jc w:val="center"/>
      <w:rPr>
        <w:b/>
        <w:sz w:val="20"/>
      </w:rPr>
    </w:pPr>
  </w:p>
  <w:p w:rsidR="0073777B" w:rsidRPr="000F112A" w:rsidRDefault="0073777B" w:rsidP="00873AE0">
    <w:pPr>
      <w:pStyle w:val="Footer"/>
      <w:ind w:left="360"/>
      <w:jc w:val="center"/>
      <w:rPr>
        <w:b/>
        <w:szCs w:val="24"/>
      </w:rPr>
    </w:pPr>
    <w:r w:rsidRPr="000F112A">
      <w:rPr>
        <w:b/>
        <w:szCs w:val="24"/>
      </w:rPr>
      <w:fldChar w:fldCharType="begin"/>
    </w:r>
    <w:r w:rsidRPr="000F112A">
      <w:rPr>
        <w:b/>
        <w:szCs w:val="24"/>
      </w:rPr>
      <w:instrText xml:space="preserve"> PAGE   \* MERGEFORMAT </w:instrText>
    </w:r>
    <w:r w:rsidRPr="000F112A">
      <w:rPr>
        <w:b/>
        <w:szCs w:val="24"/>
      </w:rPr>
      <w:fldChar w:fldCharType="separate"/>
    </w:r>
    <w:r w:rsidR="00E031F5">
      <w:rPr>
        <w:b/>
        <w:noProof/>
        <w:szCs w:val="24"/>
      </w:rPr>
      <w:t>39</w:t>
    </w:r>
    <w:r w:rsidRPr="000F112A">
      <w:rPr>
        <w:b/>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C5B" w:rsidRDefault="00FC3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C5B" w:rsidRDefault="00FC3C5B" w:rsidP="00124A51">
      <w:r>
        <w:separator/>
      </w:r>
    </w:p>
    <w:p w:rsidR="00FC3C5B" w:rsidRDefault="00FC3C5B"/>
  </w:footnote>
  <w:footnote w:type="continuationSeparator" w:id="0">
    <w:p w:rsidR="00FC3C5B" w:rsidRDefault="00FC3C5B" w:rsidP="00124A51">
      <w:r>
        <w:continuationSeparator/>
      </w:r>
    </w:p>
    <w:p w:rsidR="00FC3C5B" w:rsidRDefault="00FC3C5B"/>
  </w:footnote>
  <w:footnote w:id="1">
    <w:p w:rsidR="0073777B" w:rsidRDefault="0073777B">
      <w:pPr>
        <w:pStyle w:val="FootnoteText"/>
      </w:pPr>
      <w:r w:rsidRPr="00DD0F58">
        <w:rPr>
          <w:sz w:val="18"/>
          <w:szCs w:val="18"/>
          <w:vertAlign w:val="superscript"/>
        </w:rPr>
        <w:footnoteRef/>
      </w:r>
      <w:r w:rsidRPr="00DD0F58">
        <w:rPr>
          <w:sz w:val="18"/>
          <w:szCs w:val="18"/>
          <w:vertAlign w:val="superscript"/>
        </w:rPr>
        <w:t xml:space="preserve"> </w:t>
      </w:r>
      <w:r w:rsidRPr="00DD0F58">
        <w:rPr>
          <w:sz w:val="18"/>
          <w:szCs w:val="18"/>
        </w:rPr>
        <w:t xml:space="preserve">Spring L, et al: Pathological complete response after </w:t>
      </w:r>
      <w:proofErr w:type="spellStart"/>
      <w:r w:rsidRPr="00DD0F58">
        <w:rPr>
          <w:sz w:val="18"/>
          <w:szCs w:val="18"/>
        </w:rPr>
        <w:t>neoadjuvant</w:t>
      </w:r>
      <w:proofErr w:type="spellEnd"/>
      <w:r w:rsidRPr="00DD0F58">
        <w:rPr>
          <w:sz w:val="18"/>
          <w:szCs w:val="18"/>
        </w:rPr>
        <w:t xml:space="preserve"> chemotherapy and impact on breast cancer recurrence and survival, stratified by breast cancer subtypes and adjuvant chemotherapy usage. 2018 San Antonio Breast Cancer Symposium. </w:t>
      </w:r>
      <w:hyperlink r:id="rId1" w:tgtFrame="_blank" w:history="1">
        <w:r w:rsidRPr="00DD0F58">
          <w:rPr>
            <w:sz w:val="18"/>
            <w:szCs w:val="18"/>
          </w:rPr>
          <w:t>Abstract GS2-03</w:t>
        </w:r>
      </w:hyperlink>
      <w:r w:rsidRPr="00DD0F58">
        <w:rPr>
          <w:sz w:val="18"/>
          <w:szCs w:val="18"/>
        </w:rPr>
        <w:t>. Presented December 5, 2018.</w:t>
      </w:r>
    </w:p>
  </w:footnote>
  <w:footnote w:id="2">
    <w:p w:rsidR="0073777B" w:rsidRDefault="0073777B" w:rsidP="00D50CFB">
      <w:pPr>
        <w:pStyle w:val="HTMLPreformatted"/>
      </w:pPr>
      <w:r w:rsidRPr="00D50CFB">
        <w:rPr>
          <w:rStyle w:val="FootnoteReference"/>
          <w:rFonts w:asciiTheme="minorHAnsi" w:hAnsiTheme="minorHAnsi" w:cstheme="minorHAnsi"/>
          <w:sz w:val="18"/>
          <w:szCs w:val="18"/>
        </w:rPr>
        <w:footnoteRef/>
      </w:r>
      <w:r>
        <w:t xml:space="preserve"> </w:t>
      </w:r>
      <w:r w:rsidRPr="00D50CFB">
        <w:rPr>
          <w:rFonts w:ascii="Calibri" w:hAnsi="Calibri" w:cs="Arial"/>
          <w:snapToGrid w:val="0"/>
          <w:sz w:val="18"/>
          <w:szCs w:val="18"/>
          <w:lang w:eastAsia="en-US"/>
        </w:rPr>
        <w:t xml:space="preserve">von </w:t>
      </w:r>
      <w:proofErr w:type="spellStart"/>
      <w:r w:rsidRPr="00D50CFB">
        <w:rPr>
          <w:rFonts w:ascii="Calibri" w:hAnsi="Calibri" w:cs="Arial"/>
          <w:snapToGrid w:val="0"/>
          <w:sz w:val="18"/>
          <w:szCs w:val="18"/>
          <w:lang w:eastAsia="en-US"/>
        </w:rPr>
        <w:t>Minckwitz</w:t>
      </w:r>
      <w:proofErr w:type="spellEnd"/>
      <w:r w:rsidRPr="00D50CFB">
        <w:rPr>
          <w:rFonts w:ascii="Calibri" w:hAnsi="Calibri" w:cs="Arial"/>
          <w:snapToGrid w:val="0"/>
          <w:sz w:val="18"/>
          <w:szCs w:val="18"/>
          <w:lang w:eastAsia="en-US"/>
        </w:rPr>
        <w:t xml:space="preserve"> G, Huang CS, Mano MS, et al. </w:t>
      </w:r>
      <w:proofErr w:type="spellStart"/>
      <w:r w:rsidRPr="00D50CFB">
        <w:rPr>
          <w:rFonts w:ascii="Calibri" w:hAnsi="Calibri" w:cs="Arial"/>
          <w:snapToGrid w:val="0"/>
          <w:sz w:val="18"/>
          <w:szCs w:val="18"/>
          <w:lang w:eastAsia="en-US"/>
        </w:rPr>
        <w:t>Trastuzumab</w:t>
      </w:r>
      <w:proofErr w:type="spellEnd"/>
      <w:r w:rsidRPr="00D50CFB">
        <w:rPr>
          <w:rFonts w:ascii="Calibri" w:hAnsi="Calibri" w:cs="Arial"/>
          <w:snapToGrid w:val="0"/>
          <w:sz w:val="18"/>
          <w:szCs w:val="18"/>
          <w:lang w:eastAsia="en-US"/>
        </w:rPr>
        <w:t xml:space="preserve"> </w:t>
      </w:r>
      <w:proofErr w:type="spellStart"/>
      <w:r w:rsidRPr="00D50CFB">
        <w:rPr>
          <w:rFonts w:ascii="Calibri" w:hAnsi="Calibri" w:cs="Arial"/>
          <w:snapToGrid w:val="0"/>
          <w:sz w:val="18"/>
          <w:szCs w:val="18"/>
          <w:lang w:eastAsia="en-US"/>
        </w:rPr>
        <w:t>Emtansine</w:t>
      </w:r>
      <w:proofErr w:type="spellEnd"/>
      <w:r w:rsidRPr="00D50CFB">
        <w:rPr>
          <w:rFonts w:ascii="Calibri" w:hAnsi="Calibri" w:cs="Arial"/>
          <w:snapToGrid w:val="0"/>
          <w:sz w:val="18"/>
          <w:szCs w:val="18"/>
          <w:lang w:eastAsia="en-US"/>
        </w:rPr>
        <w:t xml:space="preserve"> for Residual Invasive</w:t>
      </w:r>
      <w:r>
        <w:rPr>
          <w:rFonts w:ascii="Calibri" w:hAnsi="Calibri" w:cs="Arial"/>
          <w:snapToGrid w:val="0"/>
          <w:sz w:val="18"/>
          <w:szCs w:val="18"/>
          <w:lang w:eastAsia="en-US"/>
        </w:rPr>
        <w:t xml:space="preserve"> </w:t>
      </w:r>
      <w:r>
        <w:rPr>
          <w:rFonts w:ascii="Calibri" w:hAnsi="Calibri" w:cs="Arial"/>
          <w:sz w:val="18"/>
          <w:szCs w:val="18"/>
          <w:lang w:eastAsia="en-US"/>
        </w:rPr>
        <w:t xml:space="preserve">HER2-Positive Breast Cancer. </w:t>
      </w:r>
      <w:r w:rsidRPr="00D50CFB">
        <w:rPr>
          <w:rFonts w:ascii="Calibri" w:hAnsi="Calibri" w:cs="Arial"/>
          <w:sz w:val="18"/>
          <w:szCs w:val="18"/>
          <w:lang w:eastAsia="en-US"/>
        </w:rPr>
        <w:t xml:space="preserve">N </w:t>
      </w:r>
      <w:proofErr w:type="spellStart"/>
      <w:r w:rsidRPr="00D50CFB">
        <w:rPr>
          <w:rFonts w:ascii="Calibri" w:hAnsi="Calibri" w:cs="Arial"/>
          <w:sz w:val="18"/>
          <w:szCs w:val="18"/>
          <w:lang w:eastAsia="en-US"/>
        </w:rPr>
        <w:t>Engl</w:t>
      </w:r>
      <w:proofErr w:type="spellEnd"/>
      <w:r w:rsidRPr="00D50CFB">
        <w:rPr>
          <w:rFonts w:ascii="Calibri" w:hAnsi="Calibri" w:cs="Arial"/>
          <w:sz w:val="18"/>
          <w:szCs w:val="18"/>
          <w:lang w:eastAsia="en-US"/>
        </w:rPr>
        <w:t xml:space="preserve"> J Med. 2019 Feb 14</w:t>
      </w:r>
      <w:proofErr w:type="gramStart"/>
      <w:r w:rsidRPr="00D50CFB">
        <w:rPr>
          <w:rFonts w:ascii="Calibri" w:hAnsi="Calibri" w:cs="Arial"/>
          <w:sz w:val="18"/>
          <w:szCs w:val="18"/>
          <w:lang w:eastAsia="en-US"/>
        </w:rPr>
        <w:t>;380</w:t>
      </w:r>
      <w:proofErr w:type="gramEnd"/>
      <w:r w:rsidRPr="00D50CFB">
        <w:rPr>
          <w:rFonts w:ascii="Calibri" w:hAnsi="Calibri" w:cs="Arial"/>
          <w:sz w:val="18"/>
          <w:szCs w:val="18"/>
          <w:lang w:eastAsia="en-US"/>
        </w:rPr>
        <w:t xml:space="preserve">(7):617-628. </w:t>
      </w:r>
      <w:proofErr w:type="spellStart"/>
      <w:proofErr w:type="gramStart"/>
      <w:r w:rsidRPr="00D50CFB">
        <w:rPr>
          <w:rFonts w:ascii="Calibri" w:hAnsi="Calibri" w:cs="Arial"/>
          <w:sz w:val="18"/>
          <w:szCs w:val="18"/>
          <w:lang w:eastAsia="en-US"/>
        </w:rPr>
        <w:t>doi</w:t>
      </w:r>
      <w:proofErr w:type="spellEnd"/>
      <w:proofErr w:type="gramEnd"/>
      <w:r w:rsidRPr="00D50CFB">
        <w:rPr>
          <w:rFonts w:ascii="Calibri" w:hAnsi="Calibri" w:cs="Arial"/>
          <w:sz w:val="18"/>
          <w:szCs w:val="18"/>
          <w:lang w:eastAsia="en-US"/>
        </w:rPr>
        <w:t>:</w:t>
      </w:r>
      <w:r>
        <w:rPr>
          <w:rFonts w:ascii="Calibri" w:hAnsi="Calibri" w:cs="Arial"/>
          <w:sz w:val="18"/>
          <w:szCs w:val="18"/>
          <w:lang w:eastAsia="en-US"/>
        </w:rPr>
        <w:t xml:space="preserve"> </w:t>
      </w:r>
      <w:r w:rsidRPr="00D50CFB">
        <w:rPr>
          <w:rFonts w:ascii="Calibri" w:hAnsi="Calibri" w:cs="Arial"/>
          <w:sz w:val="18"/>
          <w:szCs w:val="18"/>
          <w:lang w:eastAsia="en-US"/>
        </w:rPr>
        <w:t xml:space="preserve">10.1056/NEJMoa1814017. </w:t>
      </w:r>
    </w:p>
  </w:footnote>
  <w:footnote w:id="3">
    <w:p w:rsidR="0073777B" w:rsidRPr="000C0C3F" w:rsidRDefault="0073777B" w:rsidP="00095A9F">
      <w:pPr>
        <w:pStyle w:val="FootnoteText"/>
        <w:rPr>
          <w:sz w:val="18"/>
          <w:szCs w:val="18"/>
        </w:rPr>
      </w:pPr>
      <w:r w:rsidRPr="000C0C3F">
        <w:rPr>
          <w:rStyle w:val="FootnoteReference"/>
          <w:sz w:val="18"/>
          <w:szCs w:val="18"/>
        </w:rPr>
        <w:footnoteRef/>
      </w:r>
      <w:r w:rsidRPr="000C0C3F">
        <w:rPr>
          <w:sz w:val="18"/>
          <w:szCs w:val="18"/>
        </w:rPr>
        <w:t xml:space="preserve"> </w:t>
      </w:r>
      <w:proofErr w:type="spellStart"/>
      <w:r w:rsidRPr="006822ED">
        <w:rPr>
          <w:sz w:val="18"/>
          <w:szCs w:val="18"/>
        </w:rPr>
        <w:t>Cherny</w:t>
      </w:r>
      <w:proofErr w:type="spellEnd"/>
      <w:r w:rsidRPr="006822ED">
        <w:rPr>
          <w:sz w:val="18"/>
          <w:szCs w:val="18"/>
        </w:rPr>
        <w:t xml:space="preserve"> NI, Dafni U, </w:t>
      </w:r>
      <w:proofErr w:type="spellStart"/>
      <w:r w:rsidRPr="006822ED">
        <w:rPr>
          <w:sz w:val="18"/>
          <w:szCs w:val="18"/>
        </w:rPr>
        <w:t>Bogaerts</w:t>
      </w:r>
      <w:proofErr w:type="spellEnd"/>
      <w:r w:rsidRPr="006822ED">
        <w:rPr>
          <w:sz w:val="18"/>
          <w:szCs w:val="18"/>
        </w:rPr>
        <w:t xml:space="preserve"> J, et al: ESMO-Magnitude of Clinical Benefit Scale version 1.1. Annals of Oncology 28:2340-2366, 2017</w:t>
      </w:r>
    </w:p>
  </w:footnote>
  <w:footnote w:id="4">
    <w:p w:rsidR="0073777B" w:rsidRPr="00DC40DB" w:rsidRDefault="0073777B" w:rsidP="00CA54EC">
      <w:pPr>
        <w:rPr>
          <w:rFonts w:asciiTheme="minorHAnsi" w:hAnsiTheme="minorHAnsi" w:cstheme="minorHAnsi"/>
          <w:sz w:val="18"/>
          <w:szCs w:val="18"/>
        </w:rPr>
      </w:pPr>
      <w:r w:rsidRPr="00DC40DB">
        <w:rPr>
          <w:rStyle w:val="FootnoteReference"/>
          <w:rFonts w:asciiTheme="minorHAnsi" w:hAnsiTheme="minorHAnsi" w:cstheme="minorHAnsi"/>
          <w:sz w:val="18"/>
          <w:szCs w:val="18"/>
        </w:rPr>
        <w:footnoteRef/>
      </w:r>
      <w:r w:rsidRPr="00DC40DB">
        <w:rPr>
          <w:rFonts w:asciiTheme="minorHAnsi" w:hAnsiTheme="minorHAnsi" w:cstheme="minorHAnsi"/>
          <w:sz w:val="18"/>
          <w:szCs w:val="18"/>
        </w:rPr>
        <w:t xml:space="preserve"> The ESMO </w:t>
      </w:r>
      <w:r w:rsidRPr="00DC40DB">
        <w:rPr>
          <w:sz w:val="18"/>
          <w:szCs w:val="18"/>
        </w:rPr>
        <w:t>MCBS for adjuvant therapy or new potentially curative therapies without mature survival data is defined as follows</w:t>
      </w:r>
      <w:r w:rsidRPr="00DC40DB">
        <w:rPr>
          <w:rFonts w:asciiTheme="minorHAnsi" w:hAnsiTheme="minorHAnsi" w:cstheme="minorHAnsi"/>
          <w:sz w:val="18"/>
          <w:szCs w:val="18"/>
        </w:rPr>
        <w:t>:</w:t>
      </w:r>
    </w:p>
    <w:p w:rsidR="0073777B" w:rsidRPr="00DC40DB" w:rsidRDefault="0073777B" w:rsidP="007B1A6B">
      <w:pPr>
        <w:pStyle w:val="ListParagraph"/>
        <w:numPr>
          <w:ilvl w:val="0"/>
          <w:numId w:val="4"/>
        </w:numPr>
        <w:spacing w:after="0"/>
        <w:ind w:left="714" w:hanging="357"/>
        <w:rPr>
          <w:rFonts w:asciiTheme="minorHAnsi" w:hAnsiTheme="minorHAnsi" w:cstheme="minorHAnsi"/>
          <w:sz w:val="18"/>
          <w:szCs w:val="18"/>
        </w:rPr>
      </w:pPr>
      <w:r w:rsidRPr="00DC40DB">
        <w:rPr>
          <w:rFonts w:asciiTheme="minorHAnsi" w:hAnsiTheme="minorHAnsi" w:cstheme="minorHAnsi"/>
          <w:sz w:val="18"/>
          <w:szCs w:val="18"/>
        </w:rPr>
        <w:t>Grade A: Improvements in DFS alone (primary endpoint) (lower 95% CI of HR &lt;0.65) in studies without mature survival data.</w:t>
      </w:r>
    </w:p>
    <w:p w:rsidR="0073777B" w:rsidRPr="00DC40DB" w:rsidRDefault="0073777B" w:rsidP="007B1A6B">
      <w:pPr>
        <w:pStyle w:val="ListParagraph"/>
        <w:numPr>
          <w:ilvl w:val="0"/>
          <w:numId w:val="4"/>
        </w:numPr>
        <w:spacing w:after="0"/>
        <w:ind w:left="714" w:hanging="357"/>
        <w:rPr>
          <w:rFonts w:asciiTheme="minorHAnsi" w:hAnsiTheme="minorHAnsi" w:cstheme="minorHAnsi"/>
          <w:sz w:val="18"/>
          <w:szCs w:val="18"/>
        </w:rPr>
      </w:pPr>
      <w:r w:rsidRPr="00DC40DB">
        <w:rPr>
          <w:rFonts w:asciiTheme="minorHAnsi" w:hAnsiTheme="minorHAnsi" w:cstheme="minorHAnsi"/>
          <w:sz w:val="18"/>
          <w:szCs w:val="18"/>
        </w:rPr>
        <w:t>Grade B: Improvement in DFS alone (primary endpoint) (lower 95% CI of HR 0.65–0.8) without mature survival data.</w:t>
      </w:r>
    </w:p>
    <w:p w:rsidR="0073777B" w:rsidRPr="00DC40DB" w:rsidRDefault="0073777B" w:rsidP="007B1A6B">
      <w:pPr>
        <w:pStyle w:val="ListParagraph"/>
        <w:numPr>
          <w:ilvl w:val="0"/>
          <w:numId w:val="4"/>
        </w:numPr>
        <w:spacing w:after="0"/>
        <w:ind w:left="714" w:hanging="357"/>
        <w:rPr>
          <w:sz w:val="18"/>
          <w:szCs w:val="18"/>
          <w:lang w:val="en-US"/>
        </w:rPr>
      </w:pPr>
      <w:r w:rsidRPr="00DC40DB">
        <w:rPr>
          <w:rFonts w:asciiTheme="minorHAnsi" w:hAnsiTheme="minorHAnsi" w:cstheme="minorHAnsi"/>
          <w:sz w:val="18"/>
          <w:szCs w:val="18"/>
        </w:rPr>
        <w:t>Grade C: Improvement in DFS alone (primary endpoint) (lower 95% CI of HR &gt;0.8) in studies without mature survival data.</w:t>
      </w:r>
    </w:p>
  </w:footnote>
  <w:footnote w:id="5">
    <w:p w:rsidR="0073777B" w:rsidRPr="00DC40DB" w:rsidRDefault="0073777B" w:rsidP="00CA54EC">
      <w:pPr>
        <w:rPr>
          <w:sz w:val="18"/>
          <w:szCs w:val="18"/>
        </w:rPr>
      </w:pPr>
      <w:r w:rsidRPr="00DC40DB">
        <w:rPr>
          <w:rStyle w:val="FootnoteReference"/>
          <w:sz w:val="18"/>
          <w:szCs w:val="18"/>
        </w:rPr>
        <w:footnoteRef/>
      </w:r>
      <w:r w:rsidRPr="00DC40DB">
        <w:rPr>
          <w:sz w:val="18"/>
          <w:szCs w:val="18"/>
        </w:rPr>
        <w:t xml:space="preserve"> The ESMO MCBS for adjuvant therapy or new potentially curative therapies with mature survival data is defined as follows:</w:t>
      </w:r>
    </w:p>
    <w:p w:rsidR="0073777B" w:rsidRPr="00DC40DB" w:rsidRDefault="0073777B" w:rsidP="007B1A6B">
      <w:pPr>
        <w:pStyle w:val="ListParagraph"/>
        <w:numPr>
          <w:ilvl w:val="0"/>
          <w:numId w:val="4"/>
        </w:numPr>
        <w:spacing w:after="0"/>
        <w:ind w:left="714" w:hanging="357"/>
        <w:rPr>
          <w:sz w:val="18"/>
          <w:szCs w:val="18"/>
        </w:rPr>
      </w:pPr>
      <w:r w:rsidRPr="00DC40DB">
        <w:rPr>
          <w:sz w:val="18"/>
          <w:szCs w:val="18"/>
        </w:rPr>
        <w:t>Grade A: &gt;5% improvement of survival at ≥3 years follow-up.</w:t>
      </w:r>
    </w:p>
    <w:p w:rsidR="0073777B" w:rsidRPr="00DC40DB" w:rsidRDefault="0073777B" w:rsidP="007B1A6B">
      <w:pPr>
        <w:pStyle w:val="ListParagraph"/>
        <w:numPr>
          <w:ilvl w:val="0"/>
          <w:numId w:val="4"/>
        </w:numPr>
        <w:spacing w:after="0"/>
        <w:ind w:left="714" w:hanging="357"/>
        <w:rPr>
          <w:sz w:val="18"/>
          <w:szCs w:val="18"/>
        </w:rPr>
      </w:pPr>
      <w:r w:rsidRPr="00DC40DB">
        <w:rPr>
          <w:sz w:val="18"/>
          <w:szCs w:val="18"/>
        </w:rPr>
        <w:t>Grade B: ≥ 3% but ≤ 5% improvement at ≥3 years follow-up.</w:t>
      </w:r>
    </w:p>
    <w:p w:rsidR="0073777B" w:rsidRPr="00CA54EC" w:rsidRDefault="0073777B" w:rsidP="007B1A6B">
      <w:pPr>
        <w:pStyle w:val="ListParagraph"/>
        <w:numPr>
          <w:ilvl w:val="0"/>
          <w:numId w:val="4"/>
        </w:numPr>
        <w:spacing w:after="0"/>
        <w:ind w:left="714" w:hanging="357"/>
        <w:rPr>
          <w:i/>
          <w:sz w:val="18"/>
          <w:szCs w:val="18"/>
        </w:rPr>
      </w:pPr>
      <w:r w:rsidRPr="00DC40DB">
        <w:rPr>
          <w:sz w:val="18"/>
          <w:szCs w:val="18"/>
        </w:rPr>
        <w:t>Grade C: &lt;3% improvement of survival at ≥3 years follow-up.</w:t>
      </w:r>
    </w:p>
  </w:footnote>
  <w:footnote w:id="6">
    <w:p w:rsidR="0073777B" w:rsidRPr="00190926" w:rsidRDefault="0073777B" w:rsidP="00804284">
      <w:pPr>
        <w:pStyle w:val="FootnoteText"/>
        <w:rPr>
          <w:lang w:val="en-US"/>
        </w:rPr>
      </w:pPr>
      <w:r>
        <w:rPr>
          <w:rStyle w:val="FootnoteReference"/>
        </w:rPr>
        <w:footnoteRef/>
      </w:r>
      <w:r>
        <w:t xml:space="preserve"> </w:t>
      </w:r>
      <w:r w:rsidRPr="00190926">
        <w:t>https://www.thelancet.com/journals/lanonc/article/PIIS1470-2045(11)70397-7/fulltext</w:t>
      </w:r>
    </w:p>
  </w:footnote>
  <w:footnote w:id="7">
    <w:p w:rsidR="0073777B" w:rsidRPr="003F016A" w:rsidRDefault="0073777B" w:rsidP="00804284">
      <w:pPr>
        <w:pStyle w:val="FootnoteText"/>
        <w:rPr>
          <w:lang w:val="en-US"/>
        </w:rPr>
      </w:pPr>
      <w:r>
        <w:rPr>
          <w:rStyle w:val="FootnoteReference"/>
        </w:rPr>
        <w:footnoteRef/>
      </w:r>
      <w:r>
        <w:t xml:space="preserve"> </w:t>
      </w:r>
      <w:r w:rsidRPr="003F016A">
        <w:t>https://www.ncbi.nlm.nih.gov/pmc/articles/PMC4734643/</w:t>
      </w:r>
    </w:p>
  </w:footnote>
  <w:footnote w:id="8">
    <w:p w:rsidR="0073777B" w:rsidRPr="0041332F" w:rsidRDefault="0073777B" w:rsidP="00AD2423">
      <w:pPr>
        <w:pStyle w:val="FootnoteText"/>
        <w:rPr>
          <w:sz w:val="18"/>
          <w:szCs w:val="18"/>
          <w:lang w:val="en-US"/>
        </w:rPr>
      </w:pPr>
      <w:r w:rsidRPr="0041332F">
        <w:rPr>
          <w:rStyle w:val="FootnoteReference"/>
          <w:sz w:val="18"/>
          <w:szCs w:val="18"/>
        </w:rPr>
        <w:footnoteRef/>
      </w:r>
      <w:r w:rsidRPr="0041332F">
        <w:rPr>
          <w:sz w:val="18"/>
          <w:szCs w:val="18"/>
        </w:rPr>
        <w:t xml:space="preserve"> </w:t>
      </w:r>
      <w:r w:rsidRPr="0041332F">
        <w:rPr>
          <w:sz w:val="18"/>
          <w:szCs w:val="18"/>
          <w:lang w:val="en-US"/>
        </w:rPr>
        <w:t xml:space="preserve">PBAC (2006) Public summary document: </w:t>
      </w:r>
      <w:proofErr w:type="spellStart"/>
      <w:r w:rsidRPr="0041332F">
        <w:rPr>
          <w:sz w:val="18"/>
          <w:szCs w:val="18"/>
          <w:lang w:val="en-US"/>
        </w:rPr>
        <w:t>Trastuzumab</w:t>
      </w:r>
      <w:proofErr w:type="spellEnd"/>
      <w:r w:rsidRPr="0041332F">
        <w:rPr>
          <w:sz w:val="18"/>
          <w:szCs w:val="18"/>
          <w:lang w:val="en-US"/>
        </w:rPr>
        <w:t>, powder for I.V. infusion, 150 mg, Herceptin</w:t>
      </w:r>
    </w:p>
  </w:footnote>
  <w:footnote w:id="9">
    <w:p w:rsidR="0073777B" w:rsidRPr="0041332F" w:rsidRDefault="0073777B" w:rsidP="00EC6D77">
      <w:pPr>
        <w:pStyle w:val="FootnoteText"/>
        <w:rPr>
          <w:sz w:val="18"/>
          <w:szCs w:val="18"/>
          <w:lang w:val="en-US"/>
        </w:rPr>
      </w:pPr>
      <w:r w:rsidRPr="0041332F">
        <w:rPr>
          <w:rStyle w:val="FootnoteReference"/>
          <w:sz w:val="18"/>
          <w:szCs w:val="18"/>
        </w:rPr>
        <w:footnoteRef/>
      </w:r>
      <w:r w:rsidRPr="0041332F">
        <w:rPr>
          <w:sz w:val="18"/>
          <w:szCs w:val="18"/>
        </w:rPr>
        <w:t xml:space="preserve"> PBAC (2006) Public summary document: </w:t>
      </w:r>
      <w:proofErr w:type="spellStart"/>
      <w:r w:rsidRPr="0041332F">
        <w:rPr>
          <w:sz w:val="18"/>
          <w:szCs w:val="18"/>
        </w:rPr>
        <w:t>Trastuzumab</w:t>
      </w:r>
      <w:proofErr w:type="spellEnd"/>
      <w:r w:rsidRPr="0041332F">
        <w:rPr>
          <w:sz w:val="18"/>
          <w:szCs w:val="18"/>
        </w:rPr>
        <w:t>, powder for I.V. infusion, 150 mg, Herceptin</w:t>
      </w:r>
    </w:p>
  </w:footnote>
  <w:footnote w:id="10">
    <w:p w:rsidR="0073777B" w:rsidRDefault="0073777B">
      <w:pPr>
        <w:pStyle w:val="FootnoteText"/>
      </w:pPr>
      <w:r>
        <w:rPr>
          <w:rStyle w:val="FootnoteReference"/>
        </w:rPr>
        <w:footnoteRef/>
      </w:r>
      <w:r>
        <w:t xml:space="preserve"> </w:t>
      </w:r>
      <w:r w:rsidRPr="00D947AC">
        <w:rPr>
          <w:rFonts w:asciiTheme="minorHAnsi" w:hAnsiTheme="minorHAnsi" w:cstheme="minorHAnsi"/>
        </w:rPr>
        <w:t xml:space="preserve">Figure 10, Medicines for HER2 positive metastatic breast cancer, February 2018, </w:t>
      </w:r>
      <w:hyperlink r:id="rId2" w:history="1">
        <w:r w:rsidRPr="00D947AC">
          <w:rPr>
            <w:rStyle w:val="Hyperlink"/>
            <w:rFonts w:asciiTheme="minorHAnsi" w:hAnsiTheme="minorHAnsi" w:cstheme="minorHAnsi"/>
          </w:rPr>
          <w:t>http://www.pbs.gov.au/info/industry/listing/participants/public-release-docs/2018-02/medicines-for-her2-positive-metastatic-breast-cancer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C5B" w:rsidRDefault="00FC3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7B" w:rsidRPr="00A80164" w:rsidRDefault="0073777B" w:rsidP="00A80164">
    <w:pPr>
      <w:widowControl/>
      <w:tabs>
        <w:tab w:val="center" w:pos="4513"/>
        <w:tab w:val="right" w:pos="9026"/>
      </w:tabs>
      <w:jc w:val="center"/>
      <w:rPr>
        <w:rFonts w:asciiTheme="minorHAnsi" w:eastAsiaTheme="minorHAnsi" w:hAnsiTheme="minorHAnsi" w:cstheme="minorHAnsi"/>
        <w:i/>
        <w:snapToGrid/>
        <w:color w:val="808080"/>
      </w:rPr>
    </w:pPr>
    <w:r w:rsidRPr="00A80164">
      <w:rPr>
        <w:rFonts w:asciiTheme="minorHAnsi" w:eastAsiaTheme="minorHAnsi" w:hAnsiTheme="minorHAnsi" w:cstheme="minorHAnsi"/>
        <w:i/>
        <w:snapToGrid/>
        <w:color w:val="808080"/>
      </w:rPr>
      <w:t>Public Summary Document – March 201</w:t>
    </w:r>
    <w:r w:rsidR="00FA6E76">
      <w:rPr>
        <w:rFonts w:asciiTheme="minorHAnsi" w:eastAsiaTheme="minorHAnsi" w:hAnsiTheme="minorHAnsi" w:cstheme="minorHAnsi"/>
        <w:i/>
        <w:snapToGrid/>
        <w:color w:val="808080"/>
      </w:rPr>
      <w:t>9</w:t>
    </w:r>
    <w:r w:rsidRPr="00A80164">
      <w:rPr>
        <w:rFonts w:asciiTheme="minorHAnsi" w:eastAsiaTheme="minorHAnsi" w:hAnsiTheme="minorHAnsi" w:cstheme="minorHAnsi"/>
        <w:i/>
        <w:snapToGrid/>
        <w:color w:val="808080"/>
      </w:rPr>
      <w:t xml:space="preserve"> PBAC Meeting</w:t>
    </w:r>
  </w:p>
  <w:p w:rsidR="0073777B" w:rsidRPr="008C7ECB" w:rsidRDefault="00737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C5B" w:rsidRDefault="00FC3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C18E2"/>
    <w:multiLevelType w:val="hybridMultilevel"/>
    <w:tmpl w:val="A07C518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785" w:hanging="360"/>
      </w:pPr>
      <w:rPr>
        <w:rFonts w:ascii="Symbol" w:hAnsi="Symbol" w:hint="default"/>
      </w:rPr>
    </w:lvl>
    <w:lvl w:ilvl="2" w:tplc="0C090005" w:tentative="1">
      <w:start w:val="1"/>
      <w:numFmt w:val="bullet"/>
      <w:lvlText w:val=""/>
      <w:lvlJc w:val="left"/>
      <w:pPr>
        <w:ind w:left="2237" w:hanging="360"/>
      </w:pPr>
      <w:rPr>
        <w:rFonts w:ascii="Wingdings" w:hAnsi="Wingdings" w:hint="default"/>
      </w:rPr>
    </w:lvl>
    <w:lvl w:ilvl="3" w:tplc="0C090001" w:tentative="1">
      <w:start w:val="1"/>
      <w:numFmt w:val="bullet"/>
      <w:lvlText w:val=""/>
      <w:lvlJc w:val="left"/>
      <w:pPr>
        <w:ind w:left="2957" w:hanging="360"/>
      </w:pPr>
      <w:rPr>
        <w:rFonts w:ascii="Symbol" w:hAnsi="Symbol" w:hint="default"/>
      </w:rPr>
    </w:lvl>
    <w:lvl w:ilvl="4" w:tplc="0C090003" w:tentative="1">
      <w:start w:val="1"/>
      <w:numFmt w:val="bullet"/>
      <w:lvlText w:val="o"/>
      <w:lvlJc w:val="left"/>
      <w:pPr>
        <w:ind w:left="3677" w:hanging="360"/>
      </w:pPr>
      <w:rPr>
        <w:rFonts w:ascii="Courier New" w:hAnsi="Courier New" w:cs="Courier New" w:hint="default"/>
      </w:rPr>
    </w:lvl>
    <w:lvl w:ilvl="5" w:tplc="0C090005" w:tentative="1">
      <w:start w:val="1"/>
      <w:numFmt w:val="bullet"/>
      <w:lvlText w:val=""/>
      <w:lvlJc w:val="left"/>
      <w:pPr>
        <w:ind w:left="4397" w:hanging="360"/>
      </w:pPr>
      <w:rPr>
        <w:rFonts w:ascii="Wingdings" w:hAnsi="Wingdings" w:hint="default"/>
      </w:rPr>
    </w:lvl>
    <w:lvl w:ilvl="6" w:tplc="0C090001" w:tentative="1">
      <w:start w:val="1"/>
      <w:numFmt w:val="bullet"/>
      <w:lvlText w:val=""/>
      <w:lvlJc w:val="left"/>
      <w:pPr>
        <w:ind w:left="5117" w:hanging="360"/>
      </w:pPr>
      <w:rPr>
        <w:rFonts w:ascii="Symbol" w:hAnsi="Symbol" w:hint="default"/>
      </w:rPr>
    </w:lvl>
    <w:lvl w:ilvl="7" w:tplc="0C090003" w:tentative="1">
      <w:start w:val="1"/>
      <w:numFmt w:val="bullet"/>
      <w:lvlText w:val="o"/>
      <w:lvlJc w:val="left"/>
      <w:pPr>
        <w:ind w:left="5837" w:hanging="360"/>
      </w:pPr>
      <w:rPr>
        <w:rFonts w:ascii="Courier New" w:hAnsi="Courier New" w:cs="Courier New" w:hint="default"/>
      </w:rPr>
    </w:lvl>
    <w:lvl w:ilvl="8" w:tplc="0C090005" w:tentative="1">
      <w:start w:val="1"/>
      <w:numFmt w:val="bullet"/>
      <w:lvlText w:val=""/>
      <w:lvlJc w:val="left"/>
      <w:pPr>
        <w:ind w:left="6557"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DB49C7"/>
    <w:multiLevelType w:val="hybridMultilevel"/>
    <w:tmpl w:val="3BBAB7A0"/>
    <w:lvl w:ilvl="0" w:tplc="E6E441B8">
      <w:start w:val="1"/>
      <w:numFmt w:val="bullet"/>
      <w:lvlText w:val="•"/>
      <w:lvlJc w:val="left"/>
      <w:pPr>
        <w:tabs>
          <w:tab w:val="num" w:pos="720"/>
        </w:tabs>
        <w:ind w:left="720" w:hanging="360"/>
      </w:pPr>
      <w:rPr>
        <w:rFonts w:ascii="Arial" w:hAnsi="Arial" w:hint="default"/>
      </w:rPr>
    </w:lvl>
    <w:lvl w:ilvl="1" w:tplc="9B942890" w:tentative="1">
      <w:start w:val="1"/>
      <w:numFmt w:val="bullet"/>
      <w:lvlText w:val="•"/>
      <w:lvlJc w:val="left"/>
      <w:pPr>
        <w:tabs>
          <w:tab w:val="num" w:pos="1440"/>
        </w:tabs>
        <w:ind w:left="1440" w:hanging="360"/>
      </w:pPr>
      <w:rPr>
        <w:rFonts w:ascii="Arial" w:hAnsi="Arial" w:hint="default"/>
      </w:rPr>
    </w:lvl>
    <w:lvl w:ilvl="2" w:tplc="9FB0C2E8" w:tentative="1">
      <w:start w:val="1"/>
      <w:numFmt w:val="bullet"/>
      <w:lvlText w:val="•"/>
      <w:lvlJc w:val="left"/>
      <w:pPr>
        <w:tabs>
          <w:tab w:val="num" w:pos="2160"/>
        </w:tabs>
        <w:ind w:left="2160" w:hanging="360"/>
      </w:pPr>
      <w:rPr>
        <w:rFonts w:ascii="Arial" w:hAnsi="Arial" w:hint="default"/>
      </w:rPr>
    </w:lvl>
    <w:lvl w:ilvl="3" w:tplc="CD7EDF2C" w:tentative="1">
      <w:start w:val="1"/>
      <w:numFmt w:val="bullet"/>
      <w:lvlText w:val="•"/>
      <w:lvlJc w:val="left"/>
      <w:pPr>
        <w:tabs>
          <w:tab w:val="num" w:pos="2880"/>
        </w:tabs>
        <w:ind w:left="2880" w:hanging="360"/>
      </w:pPr>
      <w:rPr>
        <w:rFonts w:ascii="Arial" w:hAnsi="Arial" w:hint="default"/>
      </w:rPr>
    </w:lvl>
    <w:lvl w:ilvl="4" w:tplc="4F946112" w:tentative="1">
      <w:start w:val="1"/>
      <w:numFmt w:val="bullet"/>
      <w:lvlText w:val="•"/>
      <w:lvlJc w:val="left"/>
      <w:pPr>
        <w:tabs>
          <w:tab w:val="num" w:pos="3600"/>
        </w:tabs>
        <w:ind w:left="3600" w:hanging="360"/>
      </w:pPr>
      <w:rPr>
        <w:rFonts w:ascii="Arial" w:hAnsi="Arial" w:hint="default"/>
      </w:rPr>
    </w:lvl>
    <w:lvl w:ilvl="5" w:tplc="53F42C74" w:tentative="1">
      <w:start w:val="1"/>
      <w:numFmt w:val="bullet"/>
      <w:lvlText w:val="•"/>
      <w:lvlJc w:val="left"/>
      <w:pPr>
        <w:tabs>
          <w:tab w:val="num" w:pos="4320"/>
        </w:tabs>
        <w:ind w:left="4320" w:hanging="360"/>
      </w:pPr>
      <w:rPr>
        <w:rFonts w:ascii="Arial" w:hAnsi="Arial" w:hint="default"/>
      </w:rPr>
    </w:lvl>
    <w:lvl w:ilvl="6" w:tplc="D7821BC0" w:tentative="1">
      <w:start w:val="1"/>
      <w:numFmt w:val="bullet"/>
      <w:lvlText w:val="•"/>
      <w:lvlJc w:val="left"/>
      <w:pPr>
        <w:tabs>
          <w:tab w:val="num" w:pos="5040"/>
        </w:tabs>
        <w:ind w:left="5040" w:hanging="360"/>
      </w:pPr>
      <w:rPr>
        <w:rFonts w:ascii="Arial" w:hAnsi="Arial" w:hint="default"/>
      </w:rPr>
    </w:lvl>
    <w:lvl w:ilvl="7" w:tplc="D4F08AE0" w:tentative="1">
      <w:start w:val="1"/>
      <w:numFmt w:val="bullet"/>
      <w:lvlText w:val="•"/>
      <w:lvlJc w:val="left"/>
      <w:pPr>
        <w:tabs>
          <w:tab w:val="num" w:pos="5760"/>
        </w:tabs>
        <w:ind w:left="5760" w:hanging="360"/>
      </w:pPr>
      <w:rPr>
        <w:rFonts w:ascii="Arial" w:hAnsi="Arial" w:hint="default"/>
      </w:rPr>
    </w:lvl>
    <w:lvl w:ilvl="8" w:tplc="3CE81C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855F28"/>
    <w:multiLevelType w:val="hybridMultilevel"/>
    <w:tmpl w:val="7400C196"/>
    <w:lvl w:ilvl="0" w:tplc="15A4A100">
      <w:start w:val="1"/>
      <w:numFmt w:val="bullet"/>
      <w:lvlText w:val=""/>
      <w:lvlJc w:val="left"/>
      <w:pPr>
        <w:tabs>
          <w:tab w:val="num" w:pos="720"/>
        </w:tabs>
        <w:ind w:left="720" w:hanging="360"/>
      </w:pPr>
      <w:rPr>
        <w:rFonts w:ascii="Wingdings" w:hAnsi="Wingdings" w:hint="default"/>
      </w:rPr>
    </w:lvl>
    <w:lvl w:ilvl="1" w:tplc="0A54AC62">
      <w:start w:val="181"/>
      <w:numFmt w:val="bullet"/>
      <w:lvlText w:val=""/>
      <w:lvlJc w:val="left"/>
      <w:pPr>
        <w:tabs>
          <w:tab w:val="num" w:pos="1440"/>
        </w:tabs>
        <w:ind w:left="1440" w:hanging="360"/>
      </w:pPr>
      <w:rPr>
        <w:rFonts w:ascii="Wingdings" w:hAnsi="Wingdings" w:hint="default"/>
      </w:rPr>
    </w:lvl>
    <w:lvl w:ilvl="2" w:tplc="B6E8502A" w:tentative="1">
      <w:start w:val="1"/>
      <w:numFmt w:val="bullet"/>
      <w:lvlText w:val=""/>
      <w:lvlJc w:val="left"/>
      <w:pPr>
        <w:tabs>
          <w:tab w:val="num" w:pos="2160"/>
        </w:tabs>
        <w:ind w:left="2160" w:hanging="360"/>
      </w:pPr>
      <w:rPr>
        <w:rFonts w:ascii="Wingdings" w:hAnsi="Wingdings" w:hint="default"/>
      </w:rPr>
    </w:lvl>
    <w:lvl w:ilvl="3" w:tplc="E0387F56" w:tentative="1">
      <w:start w:val="1"/>
      <w:numFmt w:val="bullet"/>
      <w:lvlText w:val=""/>
      <w:lvlJc w:val="left"/>
      <w:pPr>
        <w:tabs>
          <w:tab w:val="num" w:pos="2880"/>
        </w:tabs>
        <w:ind w:left="2880" w:hanging="360"/>
      </w:pPr>
      <w:rPr>
        <w:rFonts w:ascii="Wingdings" w:hAnsi="Wingdings" w:hint="default"/>
      </w:rPr>
    </w:lvl>
    <w:lvl w:ilvl="4" w:tplc="66AAF5EA" w:tentative="1">
      <w:start w:val="1"/>
      <w:numFmt w:val="bullet"/>
      <w:lvlText w:val=""/>
      <w:lvlJc w:val="left"/>
      <w:pPr>
        <w:tabs>
          <w:tab w:val="num" w:pos="3600"/>
        </w:tabs>
        <w:ind w:left="3600" w:hanging="360"/>
      </w:pPr>
      <w:rPr>
        <w:rFonts w:ascii="Wingdings" w:hAnsi="Wingdings" w:hint="default"/>
      </w:rPr>
    </w:lvl>
    <w:lvl w:ilvl="5" w:tplc="B25E6F8A" w:tentative="1">
      <w:start w:val="1"/>
      <w:numFmt w:val="bullet"/>
      <w:lvlText w:val=""/>
      <w:lvlJc w:val="left"/>
      <w:pPr>
        <w:tabs>
          <w:tab w:val="num" w:pos="4320"/>
        </w:tabs>
        <w:ind w:left="4320" w:hanging="360"/>
      </w:pPr>
      <w:rPr>
        <w:rFonts w:ascii="Wingdings" w:hAnsi="Wingdings" w:hint="default"/>
      </w:rPr>
    </w:lvl>
    <w:lvl w:ilvl="6" w:tplc="8D568044" w:tentative="1">
      <w:start w:val="1"/>
      <w:numFmt w:val="bullet"/>
      <w:lvlText w:val=""/>
      <w:lvlJc w:val="left"/>
      <w:pPr>
        <w:tabs>
          <w:tab w:val="num" w:pos="5040"/>
        </w:tabs>
        <w:ind w:left="5040" w:hanging="360"/>
      </w:pPr>
      <w:rPr>
        <w:rFonts w:ascii="Wingdings" w:hAnsi="Wingdings" w:hint="default"/>
      </w:rPr>
    </w:lvl>
    <w:lvl w:ilvl="7" w:tplc="345274A8" w:tentative="1">
      <w:start w:val="1"/>
      <w:numFmt w:val="bullet"/>
      <w:lvlText w:val=""/>
      <w:lvlJc w:val="left"/>
      <w:pPr>
        <w:tabs>
          <w:tab w:val="num" w:pos="5760"/>
        </w:tabs>
        <w:ind w:left="5760" w:hanging="360"/>
      </w:pPr>
      <w:rPr>
        <w:rFonts w:ascii="Wingdings" w:hAnsi="Wingdings" w:hint="default"/>
      </w:rPr>
    </w:lvl>
    <w:lvl w:ilvl="8" w:tplc="E9B6B3B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C865C2"/>
    <w:multiLevelType w:val="hybridMultilevel"/>
    <w:tmpl w:val="5D3C22F2"/>
    <w:lvl w:ilvl="0" w:tplc="E7CACBCE">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0D4604"/>
    <w:multiLevelType w:val="hybridMultilevel"/>
    <w:tmpl w:val="A5EA99CA"/>
    <w:lvl w:ilvl="0" w:tplc="57061998">
      <w:start w:val="1"/>
      <w:numFmt w:val="bullet"/>
      <w:lvlText w:val="-"/>
      <w:lvlJc w:val="left"/>
      <w:pPr>
        <w:tabs>
          <w:tab w:val="num" w:pos="720"/>
        </w:tabs>
        <w:ind w:left="720" w:hanging="360"/>
      </w:pPr>
      <w:rPr>
        <w:rFonts w:ascii="Times New Roman" w:hAnsi="Times New Roman" w:hint="default"/>
      </w:rPr>
    </w:lvl>
    <w:lvl w:ilvl="1" w:tplc="568E1DB6" w:tentative="1">
      <w:start w:val="1"/>
      <w:numFmt w:val="bullet"/>
      <w:lvlText w:val="-"/>
      <w:lvlJc w:val="left"/>
      <w:pPr>
        <w:tabs>
          <w:tab w:val="num" w:pos="1440"/>
        </w:tabs>
        <w:ind w:left="1440" w:hanging="360"/>
      </w:pPr>
      <w:rPr>
        <w:rFonts w:ascii="Times New Roman" w:hAnsi="Times New Roman" w:hint="default"/>
      </w:rPr>
    </w:lvl>
    <w:lvl w:ilvl="2" w:tplc="43B62160" w:tentative="1">
      <w:start w:val="1"/>
      <w:numFmt w:val="bullet"/>
      <w:lvlText w:val="-"/>
      <w:lvlJc w:val="left"/>
      <w:pPr>
        <w:tabs>
          <w:tab w:val="num" w:pos="2160"/>
        </w:tabs>
        <w:ind w:left="2160" w:hanging="360"/>
      </w:pPr>
      <w:rPr>
        <w:rFonts w:ascii="Times New Roman" w:hAnsi="Times New Roman" w:hint="default"/>
      </w:rPr>
    </w:lvl>
    <w:lvl w:ilvl="3" w:tplc="C564283C" w:tentative="1">
      <w:start w:val="1"/>
      <w:numFmt w:val="bullet"/>
      <w:lvlText w:val="-"/>
      <w:lvlJc w:val="left"/>
      <w:pPr>
        <w:tabs>
          <w:tab w:val="num" w:pos="2880"/>
        </w:tabs>
        <w:ind w:left="2880" w:hanging="360"/>
      </w:pPr>
      <w:rPr>
        <w:rFonts w:ascii="Times New Roman" w:hAnsi="Times New Roman" w:hint="default"/>
      </w:rPr>
    </w:lvl>
    <w:lvl w:ilvl="4" w:tplc="0AE2EB66" w:tentative="1">
      <w:start w:val="1"/>
      <w:numFmt w:val="bullet"/>
      <w:lvlText w:val="-"/>
      <w:lvlJc w:val="left"/>
      <w:pPr>
        <w:tabs>
          <w:tab w:val="num" w:pos="3600"/>
        </w:tabs>
        <w:ind w:left="3600" w:hanging="360"/>
      </w:pPr>
      <w:rPr>
        <w:rFonts w:ascii="Times New Roman" w:hAnsi="Times New Roman" w:hint="default"/>
      </w:rPr>
    </w:lvl>
    <w:lvl w:ilvl="5" w:tplc="32D0B46C" w:tentative="1">
      <w:start w:val="1"/>
      <w:numFmt w:val="bullet"/>
      <w:lvlText w:val="-"/>
      <w:lvlJc w:val="left"/>
      <w:pPr>
        <w:tabs>
          <w:tab w:val="num" w:pos="4320"/>
        </w:tabs>
        <w:ind w:left="4320" w:hanging="360"/>
      </w:pPr>
      <w:rPr>
        <w:rFonts w:ascii="Times New Roman" w:hAnsi="Times New Roman" w:hint="default"/>
      </w:rPr>
    </w:lvl>
    <w:lvl w:ilvl="6" w:tplc="1ABAD57A" w:tentative="1">
      <w:start w:val="1"/>
      <w:numFmt w:val="bullet"/>
      <w:lvlText w:val="-"/>
      <w:lvlJc w:val="left"/>
      <w:pPr>
        <w:tabs>
          <w:tab w:val="num" w:pos="5040"/>
        </w:tabs>
        <w:ind w:left="5040" w:hanging="360"/>
      </w:pPr>
      <w:rPr>
        <w:rFonts w:ascii="Times New Roman" w:hAnsi="Times New Roman" w:hint="default"/>
      </w:rPr>
    </w:lvl>
    <w:lvl w:ilvl="7" w:tplc="6AEA0586" w:tentative="1">
      <w:start w:val="1"/>
      <w:numFmt w:val="bullet"/>
      <w:lvlText w:val="-"/>
      <w:lvlJc w:val="left"/>
      <w:pPr>
        <w:tabs>
          <w:tab w:val="num" w:pos="5760"/>
        </w:tabs>
        <w:ind w:left="5760" w:hanging="360"/>
      </w:pPr>
      <w:rPr>
        <w:rFonts w:ascii="Times New Roman" w:hAnsi="Times New Roman" w:hint="default"/>
      </w:rPr>
    </w:lvl>
    <w:lvl w:ilvl="8" w:tplc="53F8ABC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F8C40A1"/>
    <w:multiLevelType w:val="hybridMultilevel"/>
    <w:tmpl w:val="14020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2B18DF"/>
    <w:multiLevelType w:val="hybridMultilevel"/>
    <w:tmpl w:val="7C0655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1AB78BA"/>
    <w:multiLevelType w:val="hybridMultilevel"/>
    <w:tmpl w:val="9DC40E0C"/>
    <w:lvl w:ilvl="0" w:tplc="0C090001">
      <w:start w:val="1"/>
      <w:numFmt w:val="bullet"/>
      <w:lvlText w:val=""/>
      <w:lvlJc w:val="left"/>
      <w:pPr>
        <w:ind w:left="1068" w:hanging="360"/>
      </w:pPr>
      <w:rPr>
        <w:rFonts w:ascii="Symbol" w:hAnsi="Symbol" w:hint="default"/>
      </w:rPr>
    </w:lvl>
    <w:lvl w:ilvl="1" w:tplc="0C090003">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12" w15:restartNumberingAfterBreak="0">
    <w:nsid w:val="420C12F4"/>
    <w:multiLevelType w:val="multilevel"/>
    <w:tmpl w:val="7D2C7D3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2E4E27"/>
    <w:multiLevelType w:val="hybridMultilevel"/>
    <w:tmpl w:val="D9F65F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BA0186"/>
    <w:multiLevelType w:val="hybridMultilevel"/>
    <w:tmpl w:val="3C02A5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6A56C2"/>
    <w:multiLevelType w:val="hybridMultilevel"/>
    <w:tmpl w:val="0BF074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AF43B7"/>
    <w:multiLevelType w:val="hybridMultilevel"/>
    <w:tmpl w:val="2078FE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35606E6"/>
    <w:multiLevelType w:val="hybridMultilevel"/>
    <w:tmpl w:val="B25A9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4D033C"/>
    <w:multiLevelType w:val="multilevel"/>
    <w:tmpl w:val="372C199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E81D71"/>
    <w:multiLevelType w:val="hybridMultilevel"/>
    <w:tmpl w:val="783E71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9FC1790"/>
    <w:multiLevelType w:val="hybridMultilevel"/>
    <w:tmpl w:val="F6AEFA50"/>
    <w:lvl w:ilvl="0" w:tplc="5FDAA56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2237" w:hanging="360"/>
      </w:pPr>
      <w:rPr>
        <w:rFonts w:ascii="Wingdings" w:hAnsi="Wingdings" w:hint="default"/>
      </w:rPr>
    </w:lvl>
    <w:lvl w:ilvl="3" w:tplc="0C090001" w:tentative="1">
      <w:start w:val="1"/>
      <w:numFmt w:val="bullet"/>
      <w:lvlText w:val=""/>
      <w:lvlJc w:val="left"/>
      <w:pPr>
        <w:ind w:left="2957" w:hanging="360"/>
      </w:pPr>
      <w:rPr>
        <w:rFonts w:ascii="Symbol" w:hAnsi="Symbol" w:hint="default"/>
      </w:rPr>
    </w:lvl>
    <w:lvl w:ilvl="4" w:tplc="0C090003" w:tentative="1">
      <w:start w:val="1"/>
      <w:numFmt w:val="bullet"/>
      <w:lvlText w:val="o"/>
      <w:lvlJc w:val="left"/>
      <w:pPr>
        <w:ind w:left="3677" w:hanging="360"/>
      </w:pPr>
      <w:rPr>
        <w:rFonts w:ascii="Courier New" w:hAnsi="Courier New" w:cs="Courier New" w:hint="default"/>
      </w:rPr>
    </w:lvl>
    <w:lvl w:ilvl="5" w:tplc="0C090005" w:tentative="1">
      <w:start w:val="1"/>
      <w:numFmt w:val="bullet"/>
      <w:lvlText w:val=""/>
      <w:lvlJc w:val="left"/>
      <w:pPr>
        <w:ind w:left="4397" w:hanging="360"/>
      </w:pPr>
      <w:rPr>
        <w:rFonts w:ascii="Wingdings" w:hAnsi="Wingdings" w:hint="default"/>
      </w:rPr>
    </w:lvl>
    <w:lvl w:ilvl="6" w:tplc="0C090001" w:tentative="1">
      <w:start w:val="1"/>
      <w:numFmt w:val="bullet"/>
      <w:lvlText w:val=""/>
      <w:lvlJc w:val="left"/>
      <w:pPr>
        <w:ind w:left="5117" w:hanging="360"/>
      </w:pPr>
      <w:rPr>
        <w:rFonts w:ascii="Symbol" w:hAnsi="Symbol" w:hint="default"/>
      </w:rPr>
    </w:lvl>
    <w:lvl w:ilvl="7" w:tplc="0C090003" w:tentative="1">
      <w:start w:val="1"/>
      <w:numFmt w:val="bullet"/>
      <w:lvlText w:val="o"/>
      <w:lvlJc w:val="left"/>
      <w:pPr>
        <w:ind w:left="5837" w:hanging="360"/>
      </w:pPr>
      <w:rPr>
        <w:rFonts w:ascii="Courier New" w:hAnsi="Courier New" w:cs="Courier New" w:hint="default"/>
      </w:rPr>
    </w:lvl>
    <w:lvl w:ilvl="8" w:tplc="0C090005" w:tentative="1">
      <w:start w:val="1"/>
      <w:numFmt w:val="bullet"/>
      <w:lvlText w:val=""/>
      <w:lvlJc w:val="left"/>
      <w:pPr>
        <w:ind w:left="6557" w:hanging="360"/>
      </w:pPr>
      <w:rPr>
        <w:rFonts w:ascii="Wingdings" w:hAnsi="Wingdings" w:hint="default"/>
      </w:rPr>
    </w:lvl>
  </w:abstractNum>
  <w:num w:numId="1">
    <w:abstractNumId w:val="1"/>
  </w:num>
  <w:num w:numId="2">
    <w:abstractNumId w:val="19"/>
  </w:num>
  <w:num w:numId="3">
    <w:abstractNumId w:val="21"/>
  </w:num>
  <w:num w:numId="4">
    <w:abstractNumId w:val="9"/>
  </w:num>
  <w:num w:numId="5">
    <w:abstractNumId w:val="13"/>
  </w:num>
  <w:num w:numId="6">
    <w:abstractNumId w:val="2"/>
  </w:num>
  <w:num w:numId="7">
    <w:abstractNumId w:val="11"/>
  </w:num>
  <w:num w:numId="8">
    <w:abstractNumId w:val="20"/>
  </w:num>
  <w:num w:numId="9">
    <w:abstractNumId w:val="18"/>
  </w:num>
  <w:num w:numId="10">
    <w:abstractNumId w:val="16"/>
  </w:num>
  <w:num w:numId="11">
    <w:abstractNumId w:val="12"/>
  </w:num>
  <w:num w:numId="12">
    <w:abstractNumId w:val="6"/>
  </w:num>
  <w:num w:numId="13">
    <w:abstractNumId w:val="10"/>
  </w:num>
  <w:num w:numId="14">
    <w:abstractNumId w:val="15"/>
  </w:num>
  <w:num w:numId="15">
    <w:abstractNumId w:val="3"/>
  </w:num>
  <w:num w:numId="16">
    <w:abstractNumId w:val="0"/>
  </w:num>
  <w:num w:numId="17">
    <w:abstractNumId w:val="7"/>
  </w:num>
  <w:num w:numId="18">
    <w:abstractNumId w:val="8"/>
  </w:num>
  <w:num w:numId="19">
    <w:abstractNumId w:val="5"/>
  </w:num>
  <w:num w:numId="20">
    <w:abstractNumId w:val="4"/>
  </w:num>
  <w:num w:numId="21">
    <w:abstractNumId w:val="14"/>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674"/>
    <w:rsid w:val="00000790"/>
    <w:rsid w:val="0000110B"/>
    <w:rsid w:val="0000224E"/>
    <w:rsid w:val="000023C1"/>
    <w:rsid w:val="00002599"/>
    <w:rsid w:val="00002DB6"/>
    <w:rsid w:val="000031C9"/>
    <w:rsid w:val="00003499"/>
    <w:rsid w:val="000039B7"/>
    <w:rsid w:val="000045D9"/>
    <w:rsid w:val="000056D4"/>
    <w:rsid w:val="00006379"/>
    <w:rsid w:val="00007969"/>
    <w:rsid w:val="00007E0E"/>
    <w:rsid w:val="00010D5D"/>
    <w:rsid w:val="000114D8"/>
    <w:rsid w:val="00011B30"/>
    <w:rsid w:val="00011E78"/>
    <w:rsid w:val="00013247"/>
    <w:rsid w:val="00013E59"/>
    <w:rsid w:val="00014C97"/>
    <w:rsid w:val="00015886"/>
    <w:rsid w:val="000162EF"/>
    <w:rsid w:val="00016580"/>
    <w:rsid w:val="00017E7D"/>
    <w:rsid w:val="000216DB"/>
    <w:rsid w:val="00021DB5"/>
    <w:rsid w:val="0002225F"/>
    <w:rsid w:val="00022373"/>
    <w:rsid w:val="000224F5"/>
    <w:rsid w:val="00023763"/>
    <w:rsid w:val="000240FF"/>
    <w:rsid w:val="00026509"/>
    <w:rsid w:val="000265D4"/>
    <w:rsid w:val="0002791F"/>
    <w:rsid w:val="00030BC7"/>
    <w:rsid w:val="00031A4C"/>
    <w:rsid w:val="00032517"/>
    <w:rsid w:val="00033414"/>
    <w:rsid w:val="00033521"/>
    <w:rsid w:val="00033863"/>
    <w:rsid w:val="00033E23"/>
    <w:rsid w:val="00035007"/>
    <w:rsid w:val="0003553B"/>
    <w:rsid w:val="00035A17"/>
    <w:rsid w:val="00035DC0"/>
    <w:rsid w:val="0003633F"/>
    <w:rsid w:val="00036829"/>
    <w:rsid w:val="0003714C"/>
    <w:rsid w:val="000371DA"/>
    <w:rsid w:val="00037459"/>
    <w:rsid w:val="0003761F"/>
    <w:rsid w:val="00040895"/>
    <w:rsid w:val="00040B67"/>
    <w:rsid w:val="00041CE9"/>
    <w:rsid w:val="00042360"/>
    <w:rsid w:val="00043C37"/>
    <w:rsid w:val="00044DF5"/>
    <w:rsid w:val="00045017"/>
    <w:rsid w:val="00045A2B"/>
    <w:rsid w:val="00045C6B"/>
    <w:rsid w:val="00045E88"/>
    <w:rsid w:val="00046205"/>
    <w:rsid w:val="0004695E"/>
    <w:rsid w:val="0004698F"/>
    <w:rsid w:val="000474C5"/>
    <w:rsid w:val="0004773F"/>
    <w:rsid w:val="00047B5D"/>
    <w:rsid w:val="000502C3"/>
    <w:rsid w:val="000506F2"/>
    <w:rsid w:val="00051F12"/>
    <w:rsid w:val="00053349"/>
    <w:rsid w:val="000539D0"/>
    <w:rsid w:val="00054621"/>
    <w:rsid w:val="000546D7"/>
    <w:rsid w:val="0005500F"/>
    <w:rsid w:val="00056C01"/>
    <w:rsid w:val="00061655"/>
    <w:rsid w:val="00061A2E"/>
    <w:rsid w:val="000642B6"/>
    <w:rsid w:val="0006434E"/>
    <w:rsid w:val="00064783"/>
    <w:rsid w:val="000651ED"/>
    <w:rsid w:val="00065FBC"/>
    <w:rsid w:val="000660BC"/>
    <w:rsid w:val="00066360"/>
    <w:rsid w:val="00067125"/>
    <w:rsid w:val="00070689"/>
    <w:rsid w:val="00070957"/>
    <w:rsid w:val="00071248"/>
    <w:rsid w:val="00071B50"/>
    <w:rsid w:val="00071EC0"/>
    <w:rsid w:val="000720B9"/>
    <w:rsid w:val="00072CE5"/>
    <w:rsid w:val="000737F7"/>
    <w:rsid w:val="0007657D"/>
    <w:rsid w:val="0007672F"/>
    <w:rsid w:val="00076B42"/>
    <w:rsid w:val="00076EDF"/>
    <w:rsid w:val="000774F0"/>
    <w:rsid w:val="0007777D"/>
    <w:rsid w:val="00077A5E"/>
    <w:rsid w:val="00077CE9"/>
    <w:rsid w:val="0008054F"/>
    <w:rsid w:val="00080909"/>
    <w:rsid w:val="0008093E"/>
    <w:rsid w:val="00080B22"/>
    <w:rsid w:val="000812CA"/>
    <w:rsid w:val="00081AE2"/>
    <w:rsid w:val="0008258D"/>
    <w:rsid w:val="00082D4C"/>
    <w:rsid w:val="00083E99"/>
    <w:rsid w:val="00084B71"/>
    <w:rsid w:val="000853D1"/>
    <w:rsid w:val="000856C5"/>
    <w:rsid w:val="00085E9D"/>
    <w:rsid w:val="0008744A"/>
    <w:rsid w:val="00090AE8"/>
    <w:rsid w:val="00090C7E"/>
    <w:rsid w:val="00090D50"/>
    <w:rsid w:val="00091B1E"/>
    <w:rsid w:val="00092279"/>
    <w:rsid w:val="000923D4"/>
    <w:rsid w:val="00092600"/>
    <w:rsid w:val="0009262B"/>
    <w:rsid w:val="00093008"/>
    <w:rsid w:val="00093016"/>
    <w:rsid w:val="00093310"/>
    <w:rsid w:val="00093A1A"/>
    <w:rsid w:val="0009445C"/>
    <w:rsid w:val="000951F5"/>
    <w:rsid w:val="00095A9F"/>
    <w:rsid w:val="00095FE5"/>
    <w:rsid w:val="00096284"/>
    <w:rsid w:val="00096F2A"/>
    <w:rsid w:val="000A03E3"/>
    <w:rsid w:val="000A3B16"/>
    <w:rsid w:val="000A577A"/>
    <w:rsid w:val="000A723F"/>
    <w:rsid w:val="000A7D08"/>
    <w:rsid w:val="000B0670"/>
    <w:rsid w:val="000B0E75"/>
    <w:rsid w:val="000B6CAC"/>
    <w:rsid w:val="000B7612"/>
    <w:rsid w:val="000C0782"/>
    <w:rsid w:val="000C0D69"/>
    <w:rsid w:val="000C3DF9"/>
    <w:rsid w:val="000C4D37"/>
    <w:rsid w:val="000C4F03"/>
    <w:rsid w:val="000C5524"/>
    <w:rsid w:val="000C5886"/>
    <w:rsid w:val="000C6713"/>
    <w:rsid w:val="000D1BFC"/>
    <w:rsid w:val="000D25B8"/>
    <w:rsid w:val="000D281A"/>
    <w:rsid w:val="000D2DD0"/>
    <w:rsid w:val="000D3127"/>
    <w:rsid w:val="000D326A"/>
    <w:rsid w:val="000D39A2"/>
    <w:rsid w:val="000D4861"/>
    <w:rsid w:val="000D4895"/>
    <w:rsid w:val="000D4A16"/>
    <w:rsid w:val="000D51FB"/>
    <w:rsid w:val="000D62B3"/>
    <w:rsid w:val="000D7005"/>
    <w:rsid w:val="000E06C0"/>
    <w:rsid w:val="000E135D"/>
    <w:rsid w:val="000E138C"/>
    <w:rsid w:val="000E2688"/>
    <w:rsid w:val="000E334D"/>
    <w:rsid w:val="000E37BF"/>
    <w:rsid w:val="000E3862"/>
    <w:rsid w:val="000E3BD8"/>
    <w:rsid w:val="000E4C58"/>
    <w:rsid w:val="000E5762"/>
    <w:rsid w:val="000E5898"/>
    <w:rsid w:val="000E6FDB"/>
    <w:rsid w:val="000E7530"/>
    <w:rsid w:val="000E7581"/>
    <w:rsid w:val="000F00BA"/>
    <w:rsid w:val="000F0274"/>
    <w:rsid w:val="000F0F87"/>
    <w:rsid w:val="000F112A"/>
    <w:rsid w:val="000F2E0D"/>
    <w:rsid w:val="000F3023"/>
    <w:rsid w:val="000F316A"/>
    <w:rsid w:val="000F3424"/>
    <w:rsid w:val="000F3AB4"/>
    <w:rsid w:val="000F3C74"/>
    <w:rsid w:val="000F4BB8"/>
    <w:rsid w:val="000F4CB1"/>
    <w:rsid w:val="000F5CCC"/>
    <w:rsid w:val="000F653F"/>
    <w:rsid w:val="000F6610"/>
    <w:rsid w:val="000F7127"/>
    <w:rsid w:val="001000D4"/>
    <w:rsid w:val="0010039C"/>
    <w:rsid w:val="00100F8A"/>
    <w:rsid w:val="00100FA3"/>
    <w:rsid w:val="00101AF5"/>
    <w:rsid w:val="00103695"/>
    <w:rsid w:val="00105AE2"/>
    <w:rsid w:val="00106768"/>
    <w:rsid w:val="00106B80"/>
    <w:rsid w:val="0011032E"/>
    <w:rsid w:val="0011348B"/>
    <w:rsid w:val="00114094"/>
    <w:rsid w:val="00115982"/>
    <w:rsid w:val="001159DF"/>
    <w:rsid w:val="0011618B"/>
    <w:rsid w:val="001161BF"/>
    <w:rsid w:val="00116C53"/>
    <w:rsid w:val="00117A30"/>
    <w:rsid w:val="00121799"/>
    <w:rsid w:val="001218EC"/>
    <w:rsid w:val="001222FC"/>
    <w:rsid w:val="00122AE4"/>
    <w:rsid w:val="00123148"/>
    <w:rsid w:val="00123C64"/>
    <w:rsid w:val="00124496"/>
    <w:rsid w:val="00124794"/>
    <w:rsid w:val="00124A4D"/>
    <w:rsid w:val="00124A51"/>
    <w:rsid w:val="00124AE1"/>
    <w:rsid w:val="00124FD0"/>
    <w:rsid w:val="00125D76"/>
    <w:rsid w:val="00125FAD"/>
    <w:rsid w:val="00126621"/>
    <w:rsid w:val="001301E9"/>
    <w:rsid w:val="00130C07"/>
    <w:rsid w:val="00131A02"/>
    <w:rsid w:val="00131D82"/>
    <w:rsid w:val="00133D36"/>
    <w:rsid w:val="00134359"/>
    <w:rsid w:val="00134ECF"/>
    <w:rsid w:val="00135CF6"/>
    <w:rsid w:val="00137246"/>
    <w:rsid w:val="00137645"/>
    <w:rsid w:val="00137D19"/>
    <w:rsid w:val="0014015A"/>
    <w:rsid w:val="00140C39"/>
    <w:rsid w:val="00140E99"/>
    <w:rsid w:val="0014250B"/>
    <w:rsid w:val="001426A2"/>
    <w:rsid w:val="00143419"/>
    <w:rsid w:val="00145540"/>
    <w:rsid w:val="001456B0"/>
    <w:rsid w:val="00154AE5"/>
    <w:rsid w:val="00155351"/>
    <w:rsid w:val="0015644F"/>
    <w:rsid w:val="00157130"/>
    <w:rsid w:val="001576B1"/>
    <w:rsid w:val="00160A4C"/>
    <w:rsid w:val="001625AC"/>
    <w:rsid w:val="00162913"/>
    <w:rsid w:val="00163EFF"/>
    <w:rsid w:val="00165CCD"/>
    <w:rsid w:val="001661FB"/>
    <w:rsid w:val="00166350"/>
    <w:rsid w:val="00166B9A"/>
    <w:rsid w:val="001707FC"/>
    <w:rsid w:val="00172DEB"/>
    <w:rsid w:val="00173430"/>
    <w:rsid w:val="00173565"/>
    <w:rsid w:val="00173B07"/>
    <w:rsid w:val="00173B1F"/>
    <w:rsid w:val="00174803"/>
    <w:rsid w:val="00175D1C"/>
    <w:rsid w:val="00176116"/>
    <w:rsid w:val="001774F4"/>
    <w:rsid w:val="00177812"/>
    <w:rsid w:val="001800B0"/>
    <w:rsid w:val="00180C24"/>
    <w:rsid w:val="00180D60"/>
    <w:rsid w:val="00181189"/>
    <w:rsid w:val="00181D9C"/>
    <w:rsid w:val="001834A0"/>
    <w:rsid w:val="001839D5"/>
    <w:rsid w:val="0018405C"/>
    <w:rsid w:val="001859A8"/>
    <w:rsid w:val="0018752F"/>
    <w:rsid w:val="00190926"/>
    <w:rsid w:val="00191FFB"/>
    <w:rsid w:val="00192FB1"/>
    <w:rsid w:val="00194289"/>
    <w:rsid w:val="00195222"/>
    <w:rsid w:val="001954D2"/>
    <w:rsid w:val="00195A4B"/>
    <w:rsid w:val="00195B6A"/>
    <w:rsid w:val="001975D8"/>
    <w:rsid w:val="001A14E2"/>
    <w:rsid w:val="001A17F9"/>
    <w:rsid w:val="001A24B1"/>
    <w:rsid w:val="001A34DA"/>
    <w:rsid w:val="001A43FA"/>
    <w:rsid w:val="001A4A99"/>
    <w:rsid w:val="001A59FB"/>
    <w:rsid w:val="001A6354"/>
    <w:rsid w:val="001A7AE8"/>
    <w:rsid w:val="001B0E08"/>
    <w:rsid w:val="001B173A"/>
    <w:rsid w:val="001B204E"/>
    <w:rsid w:val="001B32AA"/>
    <w:rsid w:val="001B3443"/>
    <w:rsid w:val="001B4D20"/>
    <w:rsid w:val="001B570F"/>
    <w:rsid w:val="001B70E4"/>
    <w:rsid w:val="001B7698"/>
    <w:rsid w:val="001C0D8B"/>
    <w:rsid w:val="001C1665"/>
    <w:rsid w:val="001C168C"/>
    <w:rsid w:val="001C17D3"/>
    <w:rsid w:val="001C1D8F"/>
    <w:rsid w:val="001C2A9B"/>
    <w:rsid w:val="001C2DF5"/>
    <w:rsid w:val="001C4299"/>
    <w:rsid w:val="001C57CF"/>
    <w:rsid w:val="001C5F94"/>
    <w:rsid w:val="001C667E"/>
    <w:rsid w:val="001C6834"/>
    <w:rsid w:val="001C6E66"/>
    <w:rsid w:val="001D08A5"/>
    <w:rsid w:val="001D09CF"/>
    <w:rsid w:val="001D09E0"/>
    <w:rsid w:val="001D1C7A"/>
    <w:rsid w:val="001D2332"/>
    <w:rsid w:val="001D2635"/>
    <w:rsid w:val="001D3A29"/>
    <w:rsid w:val="001D3F3A"/>
    <w:rsid w:val="001D44A6"/>
    <w:rsid w:val="001D578C"/>
    <w:rsid w:val="001D5893"/>
    <w:rsid w:val="001D6294"/>
    <w:rsid w:val="001D79AC"/>
    <w:rsid w:val="001E046E"/>
    <w:rsid w:val="001E1028"/>
    <w:rsid w:val="001E1E56"/>
    <w:rsid w:val="001E1E71"/>
    <w:rsid w:val="001E238E"/>
    <w:rsid w:val="001E2483"/>
    <w:rsid w:val="001E2B1E"/>
    <w:rsid w:val="001E30D4"/>
    <w:rsid w:val="001E401B"/>
    <w:rsid w:val="001E52EB"/>
    <w:rsid w:val="001E5339"/>
    <w:rsid w:val="001E61D2"/>
    <w:rsid w:val="001E740C"/>
    <w:rsid w:val="001E79D5"/>
    <w:rsid w:val="001F1235"/>
    <w:rsid w:val="001F1914"/>
    <w:rsid w:val="001F1CB3"/>
    <w:rsid w:val="001F1DA3"/>
    <w:rsid w:val="001F1F32"/>
    <w:rsid w:val="001F2948"/>
    <w:rsid w:val="001F348C"/>
    <w:rsid w:val="001F38B5"/>
    <w:rsid w:val="001F3A53"/>
    <w:rsid w:val="001F64FF"/>
    <w:rsid w:val="001F6F7E"/>
    <w:rsid w:val="001F7361"/>
    <w:rsid w:val="001F751E"/>
    <w:rsid w:val="001F7886"/>
    <w:rsid w:val="001F78A4"/>
    <w:rsid w:val="001F7A87"/>
    <w:rsid w:val="001F7D21"/>
    <w:rsid w:val="00200232"/>
    <w:rsid w:val="00200BB5"/>
    <w:rsid w:val="002011B0"/>
    <w:rsid w:val="0020235C"/>
    <w:rsid w:val="002025D4"/>
    <w:rsid w:val="00203181"/>
    <w:rsid w:val="00203672"/>
    <w:rsid w:val="00203783"/>
    <w:rsid w:val="0020385F"/>
    <w:rsid w:val="00203A67"/>
    <w:rsid w:val="002047B5"/>
    <w:rsid w:val="00204B2E"/>
    <w:rsid w:val="0020519D"/>
    <w:rsid w:val="002056EE"/>
    <w:rsid w:val="00207021"/>
    <w:rsid w:val="0020732F"/>
    <w:rsid w:val="002074BF"/>
    <w:rsid w:val="00207AAE"/>
    <w:rsid w:val="00207D00"/>
    <w:rsid w:val="002102C7"/>
    <w:rsid w:val="002105C1"/>
    <w:rsid w:val="00212686"/>
    <w:rsid w:val="00213AE8"/>
    <w:rsid w:val="00214151"/>
    <w:rsid w:val="0021700B"/>
    <w:rsid w:val="002174B2"/>
    <w:rsid w:val="002177FA"/>
    <w:rsid w:val="0022124D"/>
    <w:rsid w:val="00221709"/>
    <w:rsid w:val="00221824"/>
    <w:rsid w:val="0022186A"/>
    <w:rsid w:val="00221D42"/>
    <w:rsid w:val="00223B49"/>
    <w:rsid w:val="00224DD4"/>
    <w:rsid w:val="0022672D"/>
    <w:rsid w:val="00226CA0"/>
    <w:rsid w:val="00226D62"/>
    <w:rsid w:val="002273C5"/>
    <w:rsid w:val="0022769F"/>
    <w:rsid w:val="002279D3"/>
    <w:rsid w:val="00227F5A"/>
    <w:rsid w:val="0023034F"/>
    <w:rsid w:val="002309CC"/>
    <w:rsid w:val="0023209F"/>
    <w:rsid w:val="002329CA"/>
    <w:rsid w:val="00232E2B"/>
    <w:rsid w:val="00233D54"/>
    <w:rsid w:val="00233E80"/>
    <w:rsid w:val="00234F7F"/>
    <w:rsid w:val="0023530B"/>
    <w:rsid w:val="0023586D"/>
    <w:rsid w:val="00235952"/>
    <w:rsid w:val="0023629D"/>
    <w:rsid w:val="002364C4"/>
    <w:rsid w:val="002365B2"/>
    <w:rsid w:val="00236EC1"/>
    <w:rsid w:val="0023711E"/>
    <w:rsid w:val="00237255"/>
    <w:rsid w:val="002375CE"/>
    <w:rsid w:val="002377F4"/>
    <w:rsid w:val="002424AF"/>
    <w:rsid w:val="00242A7F"/>
    <w:rsid w:val="002434D4"/>
    <w:rsid w:val="002437E2"/>
    <w:rsid w:val="002439DC"/>
    <w:rsid w:val="00243B7F"/>
    <w:rsid w:val="00244933"/>
    <w:rsid w:val="00244D55"/>
    <w:rsid w:val="00244DC8"/>
    <w:rsid w:val="002458BA"/>
    <w:rsid w:val="00245DAE"/>
    <w:rsid w:val="0024636C"/>
    <w:rsid w:val="00247925"/>
    <w:rsid w:val="0025083F"/>
    <w:rsid w:val="00251140"/>
    <w:rsid w:val="00251228"/>
    <w:rsid w:val="00251651"/>
    <w:rsid w:val="00251916"/>
    <w:rsid w:val="00252175"/>
    <w:rsid w:val="00252893"/>
    <w:rsid w:val="002531F7"/>
    <w:rsid w:val="00253444"/>
    <w:rsid w:val="00253EBF"/>
    <w:rsid w:val="00254DCF"/>
    <w:rsid w:val="00255271"/>
    <w:rsid w:val="0025534B"/>
    <w:rsid w:val="00255BB7"/>
    <w:rsid w:val="00256B7B"/>
    <w:rsid w:val="00256C18"/>
    <w:rsid w:val="00257541"/>
    <w:rsid w:val="00260F35"/>
    <w:rsid w:val="00262A1A"/>
    <w:rsid w:val="00262A87"/>
    <w:rsid w:val="002647E2"/>
    <w:rsid w:val="00264C7A"/>
    <w:rsid w:val="00264D26"/>
    <w:rsid w:val="0026514F"/>
    <w:rsid w:val="00267642"/>
    <w:rsid w:val="00267AEA"/>
    <w:rsid w:val="002700E6"/>
    <w:rsid w:val="00270953"/>
    <w:rsid w:val="00271CFE"/>
    <w:rsid w:val="00272668"/>
    <w:rsid w:val="0027294B"/>
    <w:rsid w:val="00275C5A"/>
    <w:rsid w:val="00275D83"/>
    <w:rsid w:val="00276CE2"/>
    <w:rsid w:val="00276F55"/>
    <w:rsid w:val="002771CF"/>
    <w:rsid w:val="002800A6"/>
    <w:rsid w:val="002805B9"/>
    <w:rsid w:val="00280FA9"/>
    <w:rsid w:val="00281014"/>
    <w:rsid w:val="00281289"/>
    <w:rsid w:val="0028388D"/>
    <w:rsid w:val="00284000"/>
    <w:rsid w:val="00284183"/>
    <w:rsid w:val="00284B76"/>
    <w:rsid w:val="00284CF3"/>
    <w:rsid w:val="00284F35"/>
    <w:rsid w:val="00285722"/>
    <w:rsid w:val="00286203"/>
    <w:rsid w:val="00286BD9"/>
    <w:rsid w:val="002873B4"/>
    <w:rsid w:val="0028790B"/>
    <w:rsid w:val="00287D97"/>
    <w:rsid w:val="00291078"/>
    <w:rsid w:val="002911FA"/>
    <w:rsid w:val="00291661"/>
    <w:rsid w:val="00291B4E"/>
    <w:rsid w:val="00291E3B"/>
    <w:rsid w:val="0029287E"/>
    <w:rsid w:val="00292DCF"/>
    <w:rsid w:val="00293A4C"/>
    <w:rsid w:val="00296278"/>
    <w:rsid w:val="002A052D"/>
    <w:rsid w:val="002A14AB"/>
    <w:rsid w:val="002A2212"/>
    <w:rsid w:val="002A2F50"/>
    <w:rsid w:val="002A3855"/>
    <w:rsid w:val="002A4F8C"/>
    <w:rsid w:val="002A5028"/>
    <w:rsid w:val="002A532F"/>
    <w:rsid w:val="002A60F0"/>
    <w:rsid w:val="002A64E0"/>
    <w:rsid w:val="002A6F8D"/>
    <w:rsid w:val="002B09A4"/>
    <w:rsid w:val="002B0AD6"/>
    <w:rsid w:val="002B13A8"/>
    <w:rsid w:val="002B1730"/>
    <w:rsid w:val="002B1C1F"/>
    <w:rsid w:val="002B3354"/>
    <w:rsid w:val="002B432F"/>
    <w:rsid w:val="002B48B7"/>
    <w:rsid w:val="002B4C74"/>
    <w:rsid w:val="002B5B24"/>
    <w:rsid w:val="002B62B3"/>
    <w:rsid w:val="002B6560"/>
    <w:rsid w:val="002B6754"/>
    <w:rsid w:val="002B6CCE"/>
    <w:rsid w:val="002B75F9"/>
    <w:rsid w:val="002C0C80"/>
    <w:rsid w:val="002C2510"/>
    <w:rsid w:val="002C2775"/>
    <w:rsid w:val="002C27C1"/>
    <w:rsid w:val="002C3301"/>
    <w:rsid w:val="002C3C31"/>
    <w:rsid w:val="002C4A81"/>
    <w:rsid w:val="002C5099"/>
    <w:rsid w:val="002C5889"/>
    <w:rsid w:val="002C60AA"/>
    <w:rsid w:val="002C6463"/>
    <w:rsid w:val="002C6D41"/>
    <w:rsid w:val="002C71CE"/>
    <w:rsid w:val="002D0B90"/>
    <w:rsid w:val="002D3700"/>
    <w:rsid w:val="002D404F"/>
    <w:rsid w:val="002D4D14"/>
    <w:rsid w:val="002D4E0E"/>
    <w:rsid w:val="002D4EAD"/>
    <w:rsid w:val="002D5747"/>
    <w:rsid w:val="002D577C"/>
    <w:rsid w:val="002D5E01"/>
    <w:rsid w:val="002D6462"/>
    <w:rsid w:val="002E08A8"/>
    <w:rsid w:val="002E0A43"/>
    <w:rsid w:val="002E15B9"/>
    <w:rsid w:val="002E2158"/>
    <w:rsid w:val="002E2429"/>
    <w:rsid w:val="002E2BD7"/>
    <w:rsid w:val="002E44AF"/>
    <w:rsid w:val="002E7551"/>
    <w:rsid w:val="002E75E0"/>
    <w:rsid w:val="002E7722"/>
    <w:rsid w:val="002E7C05"/>
    <w:rsid w:val="002F0482"/>
    <w:rsid w:val="002F07A3"/>
    <w:rsid w:val="002F07BA"/>
    <w:rsid w:val="002F0DA9"/>
    <w:rsid w:val="002F2ECB"/>
    <w:rsid w:val="002F4CD5"/>
    <w:rsid w:val="002F643C"/>
    <w:rsid w:val="002F71C0"/>
    <w:rsid w:val="002F7F58"/>
    <w:rsid w:val="00300161"/>
    <w:rsid w:val="00300B00"/>
    <w:rsid w:val="00300B6A"/>
    <w:rsid w:val="00300DDD"/>
    <w:rsid w:val="00301017"/>
    <w:rsid w:val="0030155F"/>
    <w:rsid w:val="0030204B"/>
    <w:rsid w:val="00302A00"/>
    <w:rsid w:val="003044AC"/>
    <w:rsid w:val="003045F8"/>
    <w:rsid w:val="00304FA3"/>
    <w:rsid w:val="003054E4"/>
    <w:rsid w:val="0030587B"/>
    <w:rsid w:val="00306D98"/>
    <w:rsid w:val="00306F9F"/>
    <w:rsid w:val="00307598"/>
    <w:rsid w:val="0030779D"/>
    <w:rsid w:val="0030786C"/>
    <w:rsid w:val="0030794A"/>
    <w:rsid w:val="0031031A"/>
    <w:rsid w:val="00310981"/>
    <w:rsid w:val="00310A77"/>
    <w:rsid w:val="00311AEA"/>
    <w:rsid w:val="003126D0"/>
    <w:rsid w:val="003127E2"/>
    <w:rsid w:val="00312A4E"/>
    <w:rsid w:val="00313C48"/>
    <w:rsid w:val="00313C50"/>
    <w:rsid w:val="00313DBC"/>
    <w:rsid w:val="00315498"/>
    <w:rsid w:val="00316089"/>
    <w:rsid w:val="00316BC8"/>
    <w:rsid w:val="003174B9"/>
    <w:rsid w:val="00317B93"/>
    <w:rsid w:val="00321785"/>
    <w:rsid w:val="00322107"/>
    <w:rsid w:val="00322846"/>
    <w:rsid w:val="00325B91"/>
    <w:rsid w:val="0032626F"/>
    <w:rsid w:val="003265E2"/>
    <w:rsid w:val="00326DA7"/>
    <w:rsid w:val="003270E4"/>
    <w:rsid w:val="00327ABC"/>
    <w:rsid w:val="00330282"/>
    <w:rsid w:val="00330F5C"/>
    <w:rsid w:val="0033236E"/>
    <w:rsid w:val="00334010"/>
    <w:rsid w:val="00334D20"/>
    <w:rsid w:val="0033506B"/>
    <w:rsid w:val="00335A49"/>
    <w:rsid w:val="003366C9"/>
    <w:rsid w:val="003371B0"/>
    <w:rsid w:val="00337D8B"/>
    <w:rsid w:val="00340784"/>
    <w:rsid w:val="00340BD1"/>
    <w:rsid w:val="00340DF1"/>
    <w:rsid w:val="00342B76"/>
    <w:rsid w:val="00343389"/>
    <w:rsid w:val="00344A8C"/>
    <w:rsid w:val="00345230"/>
    <w:rsid w:val="00346659"/>
    <w:rsid w:val="00346960"/>
    <w:rsid w:val="0034727D"/>
    <w:rsid w:val="00347883"/>
    <w:rsid w:val="003504E7"/>
    <w:rsid w:val="003515E7"/>
    <w:rsid w:val="003517F9"/>
    <w:rsid w:val="00352661"/>
    <w:rsid w:val="0035517D"/>
    <w:rsid w:val="00355AB8"/>
    <w:rsid w:val="0035620E"/>
    <w:rsid w:val="003563C3"/>
    <w:rsid w:val="00356711"/>
    <w:rsid w:val="00356EE7"/>
    <w:rsid w:val="00357C7A"/>
    <w:rsid w:val="00361F39"/>
    <w:rsid w:val="003624C4"/>
    <w:rsid w:val="00362574"/>
    <w:rsid w:val="003644B1"/>
    <w:rsid w:val="00364800"/>
    <w:rsid w:val="003654AC"/>
    <w:rsid w:val="00365553"/>
    <w:rsid w:val="00366EC7"/>
    <w:rsid w:val="003710CF"/>
    <w:rsid w:val="003710F2"/>
    <w:rsid w:val="00371B40"/>
    <w:rsid w:val="00372D20"/>
    <w:rsid w:val="0037358A"/>
    <w:rsid w:val="00373A2F"/>
    <w:rsid w:val="00373F04"/>
    <w:rsid w:val="00374D82"/>
    <w:rsid w:val="003750B8"/>
    <w:rsid w:val="003750F6"/>
    <w:rsid w:val="00375454"/>
    <w:rsid w:val="003760FC"/>
    <w:rsid w:val="0037666F"/>
    <w:rsid w:val="00376EC0"/>
    <w:rsid w:val="00381947"/>
    <w:rsid w:val="003823A4"/>
    <w:rsid w:val="003834FF"/>
    <w:rsid w:val="0038365C"/>
    <w:rsid w:val="0038369B"/>
    <w:rsid w:val="00383B78"/>
    <w:rsid w:val="00384177"/>
    <w:rsid w:val="00385463"/>
    <w:rsid w:val="003856FE"/>
    <w:rsid w:val="00385A9D"/>
    <w:rsid w:val="00386EAC"/>
    <w:rsid w:val="00387804"/>
    <w:rsid w:val="003902B1"/>
    <w:rsid w:val="00390AC3"/>
    <w:rsid w:val="00391A3B"/>
    <w:rsid w:val="00391B2F"/>
    <w:rsid w:val="00393323"/>
    <w:rsid w:val="00393EBF"/>
    <w:rsid w:val="00393F5B"/>
    <w:rsid w:val="003941F8"/>
    <w:rsid w:val="00396896"/>
    <w:rsid w:val="00396A93"/>
    <w:rsid w:val="00396D34"/>
    <w:rsid w:val="00396FD0"/>
    <w:rsid w:val="003A1A7A"/>
    <w:rsid w:val="003A216A"/>
    <w:rsid w:val="003A2392"/>
    <w:rsid w:val="003A2831"/>
    <w:rsid w:val="003A3E1B"/>
    <w:rsid w:val="003A3ED1"/>
    <w:rsid w:val="003A3F99"/>
    <w:rsid w:val="003A6F09"/>
    <w:rsid w:val="003B0746"/>
    <w:rsid w:val="003B14BF"/>
    <w:rsid w:val="003B166D"/>
    <w:rsid w:val="003B2128"/>
    <w:rsid w:val="003B2205"/>
    <w:rsid w:val="003B41A3"/>
    <w:rsid w:val="003B460C"/>
    <w:rsid w:val="003B461A"/>
    <w:rsid w:val="003B4A95"/>
    <w:rsid w:val="003B4FD8"/>
    <w:rsid w:val="003B5B61"/>
    <w:rsid w:val="003B6204"/>
    <w:rsid w:val="003C1654"/>
    <w:rsid w:val="003C181E"/>
    <w:rsid w:val="003C1D48"/>
    <w:rsid w:val="003C3893"/>
    <w:rsid w:val="003C3A84"/>
    <w:rsid w:val="003C5711"/>
    <w:rsid w:val="003C6414"/>
    <w:rsid w:val="003C6CC6"/>
    <w:rsid w:val="003C7AEA"/>
    <w:rsid w:val="003C7D19"/>
    <w:rsid w:val="003D09FC"/>
    <w:rsid w:val="003D0CCB"/>
    <w:rsid w:val="003D142F"/>
    <w:rsid w:val="003D163B"/>
    <w:rsid w:val="003D1828"/>
    <w:rsid w:val="003D1DE4"/>
    <w:rsid w:val="003D2067"/>
    <w:rsid w:val="003D222A"/>
    <w:rsid w:val="003D231D"/>
    <w:rsid w:val="003D2422"/>
    <w:rsid w:val="003D30CC"/>
    <w:rsid w:val="003D39A1"/>
    <w:rsid w:val="003D3FBF"/>
    <w:rsid w:val="003D4A30"/>
    <w:rsid w:val="003D4B44"/>
    <w:rsid w:val="003D5EB4"/>
    <w:rsid w:val="003D6052"/>
    <w:rsid w:val="003D65B6"/>
    <w:rsid w:val="003D79BB"/>
    <w:rsid w:val="003D7C98"/>
    <w:rsid w:val="003E0543"/>
    <w:rsid w:val="003E19DC"/>
    <w:rsid w:val="003E240A"/>
    <w:rsid w:val="003E3934"/>
    <w:rsid w:val="003E3DDB"/>
    <w:rsid w:val="003E6CC8"/>
    <w:rsid w:val="003E7259"/>
    <w:rsid w:val="003E779C"/>
    <w:rsid w:val="003E7998"/>
    <w:rsid w:val="003F016A"/>
    <w:rsid w:val="003F2175"/>
    <w:rsid w:val="003F2537"/>
    <w:rsid w:val="003F2560"/>
    <w:rsid w:val="003F3769"/>
    <w:rsid w:val="003F3B19"/>
    <w:rsid w:val="003F4156"/>
    <w:rsid w:val="003F5CE2"/>
    <w:rsid w:val="00400B29"/>
    <w:rsid w:val="00401A3D"/>
    <w:rsid w:val="00402E51"/>
    <w:rsid w:val="004032D3"/>
    <w:rsid w:val="00403989"/>
    <w:rsid w:val="00404948"/>
    <w:rsid w:val="00404E3F"/>
    <w:rsid w:val="0040504B"/>
    <w:rsid w:val="004051E4"/>
    <w:rsid w:val="00405799"/>
    <w:rsid w:val="00405888"/>
    <w:rsid w:val="004058A7"/>
    <w:rsid w:val="0040595E"/>
    <w:rsid w:val="0040670F"/>
    <w:rsid w:val="004078F5"/>
    <w:rsid w:val="00407AD4"/>
    <w:rsid w:val="00410708"/>
    <w:rsid w:val="00410EC7"/>
    <w:rsid w:val="004114F8"/>
    <w:rsid w:val="00411B39"/>
    <w:rsid w:val="00411B65"/>
    <w:rsid w:val="0041332F"/>
    <w:rsid w:val="004136A8"/>
    <w:rsid w:val="00413A1E"/>
    <w:rsid w:val="00414351"/>
    <w:rsid w:val="00414476"/>
    <w:rsid w:val="00414C2E"/>
    <w:rsid w:val="004151CF"/>
    <w:rsid w:val="004152A3"/>
    <w:rsid w:val="004154C9"/>
    <w:rsid w:val="00416364"/>
    <w:rsid w:val="00416CCF"/>
    <w:rsid w:val="00417CF1"/>
    <w:rsid w:val="00420AA6"/>
    <w:rsid w:val="00420B9F"/>
    <w:rsid w:val="0042104A"/>
    <w:rsid w:val="00421894"/>
    <w:rsid w:val="00422260"/>
    <w:rsid w:val="0042413F"/>
    <w:rsid w:val="00425C62"/>
    <w:rsid w:val="00430995"/>
    <w:rsid w:val="004319D1"/>
    <w:rsid w:val="004319F8"/>
    <w:rsid w:val="00431E55"/>
    <w:rsid w:val="004321F6"/>
    <w:rsid w:val="00433044"/>
    <w:rsid w:val="004332BC"/>
    <w:rsid w:val="00434C26"/>
    <w:rsid w:val="00434CEA"/>
    <w:rsid w:val="0043506C"/>
    <w:rsid w:val="00436537"/>
    <w:rsid w:val="00436DD5"/>
    <w:rsid w:val="004375B9"/>
    <w:rsid w:val="00440FBE"/>
    <w:rsid w:val="0044138C"/>
    <w:rsid w:val="004417C2"/>
    <w:rsid w:val="004428D0"/>
    <w:rsid w:val="004443A7"/>
    <w:rsid w:val="0044442C"/>
    <w:rsid w:val="00444DAA"/>
    <w:rsid w:val="00445941"/>
    <w:rsid w:val="00445E1F"/>
    <w:rsid w:val="00446352"/>
    <w:rsid w:val="004464EB"/>
    <w:rsid w:val="004466B9"/>
    <w:rsid w:val="00447316"/>
    <w:rsid w:val="00447D26"/>
    <w:rsid w:val="004509E0"/>
    <w:rsid w:val="00450DD9"/>
    <w:rsid w:val="004514BB"/>
    <w:rsid w:val="00451990"/>
    <w:rsid w:val="004531ED"/>
    <w:rsid w:val="00453702"/>
    <w:rsid w:val="004543D1"/>
    <w:rsid w:val="004549CF"/>
    <w:rsid w:val="00455D45"/>
    <w:rsid w:val="00455D4D"/>
    <w:rsid w:val="0045601C"/>
    <w:rsid w:val="00457758"/>
    <w:rsid w:val="00461757"/>
    <w:rsid w:val="00461960"/>
    <w:rsid w:val="00461F9D"/>
    <w:rsid w:val="00462E32"/>
    <w:rsid w:val="00463015"/>
    <w:rsid w:val="004631A9"/>
    <w:rsid w:val="0046425E"/>
    <w:rsid w:val="00464595"/>
    <w:rsid w:val="00465D74"/>
    <w:rsid w:val="004706FA"/>
    <w:rsid w:val="0047227D"/>
    <w:rsid w:val="00472A79"/>
    <w:rsid w:val="00472A82"/>
    <w:rsid w:val="0047325E"/>
    <w:rsid w:val="00473F19"/>
    <w:rsid w:val="0047431B"/>
    <w:rsid w:val="00475977"/>
    <w:rsid w:val="00475E22"/>
    <w:rsid w:val="00476965"/>
    <w:rsid w:val="00480241"/>
    <w:rsid w:val="0048088E"/>
    <w:rsid w:val="00480FC3"/>
    <w:rsid w:val="004811E4"/>
    <w:rsid w:val="00481B01"/>
    <w:rsid w:val="00482720"/>
    <w:rsid w:val="00482B99"/>
    <w:rsid w:val="004835E7"/>
    <w:rsid w:val="004846CE"/>
    <w:rsid w:val="00485C64"/>
    <w:rsid w:val="004867E2"/>
    <w:rsid w:val="00487B60"/>
    <w:rsid w:val="00487B7B"/>
    <w:rsid w:val="0049045D"/>
    <w:rsid w:val="00491B3A"/>
    <w:rsid w:val="00492CFD"/>
    <w:rsid w:val="004935F0"/>
    <w:rsid w:val="0049384F"/>
    <w:rsid w:val="00493C81"/>
    <w:rsid w:val="00494DD5"/>
    <w:rsid w:val="004959A7"/>
    <w:rsid w:val="00495D6D"/>
    <w:rsid w:val="00495DDD"/>
    <w:rsid w:val="004962D2"/>
    <w:rsid w:val="00496482"/>
    <w:rsid w:val="004964A6"/>
    <w:rsid w:val="00497914"/>
    <w:rsid w:val="00497A9B"/>
    <w:rsid w:val="004A0DA1"/>
    <w:rsid w:val="004A1A68"/>
    <w:rsid w:val="004A2108"/>
    <w:rsid w:val="004A2ABD"/>
    <w:rsid w:val="004A2C4C"/>
    <w:rsid w:val="004A31B0"/>
    <w:rsid w:val="004A3CCD"/>
    <w:rsid w:val="004A5012"/>
    <w:rsid w:val="004A52E9"/>
    <w:rsid w:val="004A54E3"/>
    <w:rsid w:val="004A5A3E"/>
    <w:rsid w:val="004A6226"/>
    <w:rsid w:val="004A6597"/>
    <w:rsid w:val="004A7848"/>
    <w:rsid w:val="004A7AC2"/>
    <w:rsid w:val="004A7CD3"/>
    <w:rsid w:val="004A7E31"/>
    <w:rsid w:val="004B12DD"/>
    <w:rsid w:val="004B1CB4"/>
    <w:rsid w:val="004B2688"/>
    <w:rsid w:val="004B29C4"/>
    <w:rsid w:val="004B2F18"/>
    <w:rsid w:val="004B3DDB"/>
    <w:rsid w:val="004B44FD"/>
    <w:rsid w:val="004B5120"/>
    <w:rsid w:val="004B532D"/>
    <w:rsid w:val="004B5BBF"/>
    <w:rsid w:val="004B5CFC"/>
    <w:rsid w:val="004B774D"/>
    <w:rsid w:val="004B7DAE"/>
    <w:rsid w:val="004C028A"/>
    <w:rsid w:val="004C1527"/>
    <w:rsid w:val="004C2897"/>
    <w:rsid w:val="004C3984"/>
    <w:rsid w:val="004C4AED"/>
    <w:rsid w:val="004C4CAE"/>
    <w:rsid w:val="004C52C6"/>
    <w:rsid w:val="004C590D"/>
    <w:rsid w:val="004C7DEF"/>
    <w:rsid w:val="004D2C2D"/>
    <w:rsid w:val="004D2F1E"/>
    <w:rsid w:val="004D310A"/>
    <w:rsid w:val="004D3922"/>
    <w:rsid w:val="004D4737"/>
    <w:rsid w:val="004D4F72"/>
    <w:rsid w:val="004D4FC9"/>
    <w:rsid w:val="004D58F1"/>
    <w:rsid w:val="004D7227"/>
    <w:rsid w:val="004D7D79"/>
    <w:rsid w:val="004E0D62"/>
    <w:rsid w:val="004E0E7F"/>
    <w:rsid w:val="004E0EB8"/>
    <w:rsid w:val="004E20EC"/>
    <w:rsid w:val="004E233C"/>
    <w:rsid w:val="004E2ADC"/>
    <w:rsid w:val="004E43B2"/>
    <w:rsid w:val="004E4E57"/>
    <w:rsid w:val="004E5A3C"/>
    <w:rsid w:val="004E621C"/>
    <w:rsid w:val="004E752C"/>
    <w:rsid w:val="004E770E"/>
    <w:rsid w:val="004F0199"/>
    <w:rsid w:val="004F0987"/>
    <w:rsid w:val="004F1D02"/>
    <w:rsid w:val="004F1EB9"/>
    <w:rsid w:val="004F2484"/>
    <w:rsid w:val="004F2679"/>
    <w:rsid w:val="004F28C3"/>
    <w:rsid w:val="004F2DAB"/>
    <w:rsid w:val="004F2F21"/>
    <w:rsid w:val="004F446B"/>
    <w:rsid w:val="004F46C5"/>
    <w:rsid w:val="004F4713"/>
    <w:rsid w:val="004F6913"/>
    <w:rsid w:val="004F72DE"/>
    <w:rsid w:val="004F734A"/>
    <w:rsid w:val="004F77E7"/>
    <w:rsid w:val="004F7865"/>
    <w:rsid w:val="004F798A"/>
    <w:rsid w:val="0050124E"/>
    <w:rsid w:val="00501392"/>
    <w:rsid w:val="0050219B"/>
    <w:rsid w:val="00502CED"/>
    <w:rsid w:val="00503B6F"/>
    <w:rsid w:val="00503F17"/>
    <w:rsid w:val="00504BC2"/>
    <w:rsid w:val="00505ABC"/>
    <w:rsid w:val="005060FF"/>
    <w:rsid w:val="00506928"/>
    <w:rsid w:val="00512580"/>
    <w:rsid w:val="0051281E"/>
    <w:rsid w:val="00512AC2"/>
    <w:rsid w:val="00512EC9"/>
    <w:rsid w:val="005140A5"/>
    <w:rsid w:val="005152B5"/>
    <w:rsid w:val="0051562B"/>
    <w:rsid w:val="005171F0"/>
    <w:rsid w:val="00517DB9"/>
    <w:rsid w:val="00521319"/>
    <w:rsid w:val="00522367"/>
    <w:rsid w:val="00522B07"/>
    <w:rsid w:val="00522BC8"/>
    <w:rsid w:val="005236BB"/>
    <w:rsid w:val="0052390B"/>
    <w:rsid w:val="00523C28"/>
    <w:rsid w:val="005240EF"/>
    <w:rsid w:val="00525EBB"/>
    <w:rsid w:val="00527CD3"/>
    <w:rsid w:val="00534582"/>
    <w:rsid w:val="005347DF"/>
    <w:rsid w:val="0053490B"/>
    <w:rsid w:val="00535447"/>
    <w:rsid w:val="0053568C"/>
    <w:rsid w:val="00536F42"/>
    <w:rsid w:val="00537182"/>
    <w:rsid w:val="005374CD"/>
    <w:rsid w:val="00540AF0"/>
    <w:rsid w:val="00540C39"/>
    <w:rsid w:val="0054119C"/>
    <w:rsid w:val="00542743"/>
    <w:rsid w:val="00542C2D"/>
    <w:rsid w:val="005465D9"/>
    <w:rsid w:val="00547759"/>
    <w:rsid w:val="00550106"/>
    <w:rsid w:val="00551985"/>
    <w:rsid w:val="00552BD3"/>
    <w:rsid w:val="00554C7C"/>
    <w:rsid w:val="00555109"/>
    <w:rsid w:val="00555A18"/>
    <w:rsid w:val="00555A8B"/>
    <w:rsid w:val="0055664C"/>
    <w:rsid w:val="00560127"/>
    <w:rsid w:val="005604DC"/>
    <w:rsid w:val="005629B6"/>
    <w:rsid w:val="00563C66"/>
    <w:rsid w:val="00563FEB"/>
    <w:rsid w:val="005641FD"/>
    <w:rsid w:val="005644EA"/>
    <w:rsid w:val="00565133"/>
    <w:rsid w:val="005654FC"/>
    <w:rsid w:val="00565CAA"/>
    <w:rsid w:val="0056696F"/>
    <w:rsid w:val="00567F49"/>
    <w:rsid w:val="00567F6F"/>
    <w:rsid w:val="00572269"/>
    <w:rsid w:val="0057244A"/>
    <w:rsid w:val="005731E3"/>
    <w:rsid w:val="00574896"/>
    <w:rsid w:val="00574929"/>
    <w:rsid w:val="00574980"/>
    <w:rsid w:val="00575D8D"/>
    <w:rsid w:val="00575F33"/>
    <w:rsid w:val="00576770"/>
    <w:rsid w:val="00576972"/>
    <w:rsid w:val="00576A15"/>
    <w:rsid w:val="00576E89"/>
    <w:rsid w:val="00581D25"/>
    <w:rsid w:val="00581F30"/>
    <w:rsid w:val="00583699"/>
    <w:rsid w:val="00583DB6"/>
    <w:rsid w:val="00584F7A"/>
    <w:rsid w:val="005851B1"/>
    <w:rsid w:val="00585235"/>
    <w:rsid w:val="00585CDD"/>
    <w:rsid w:val="00586E02"/>
    <w:rsid w:val="00587058"/>
    <w:rsid w:val="005907D4"/>
    <w:rsid w:val="005908D0"/>
    <w:rsid w:val="00591957"/>
    <w:rsid w:val="00591A64"/>
    <w:rsid w:val="00592383"/>
    <w:rsid w:val="005930E5"/>
    <w:rsid w:val="0059337B"/>
    <w:rsid w:val="0059407A"/>
    <w:rsid w:val="00594400"/>
    <w:rsid w:val="005951AE"/>
    <w:rsid w:val="00597BF9"/>
    <w:rsid w:val="005A0325"/>
    <w:rsid w:val="005A36C0"/>
    <w:rsid w:val="005A373D"/>
    <w:rsid w:val="005A507C"/>
    <w:rsid w:val="005A5C00"/>
    <w:rsid w:val="005A73FD"/>
    <w:rsid w:val="005B00DA"/>
    <w:rsid w:val="005B0125"/>
    <w:rsid w:val="005B0F9A"/>
    <w:rsid w:val="005B1263"/>
    <w:rsid w:val="005B1A58"/>
    <w:rsid w:val="005B258D"/>
    <w:rsid w:val="005B3616"/>
    <w:rsid w:val="005B4319"/>
    <w:rsid w:val="005B49F0"/>
    <w:rsid w:val="005B575D"/>
    <w:rsid w:val="005B5857"/>
    <w:rsid w:val="005C08D9"/>
    <w:rsid w:val="005C1B83"/>
    <w:rsid w:val="005C1FCA"/>
    <w:rsid w:val="005C2D55"/>
    <w:rsid w:val="005C346B"/>
    <w:rsid w:val="005C42EE"/>
    <w:rsid w:val="005C5027"/>
    <w:rsid w:val="005C5DE7"/>
    <w:rsid w:val="005C62EF"/>
    <w:rsid w:val="005C6BBD"/>
    <w:rsid w:val="005D044D"/>
    <w:rsid w:val="005D0ABD"/>
    <w:rsid w:val="005D0E09"/>
    <w:rsid w:val="005D14F1"/>
    <w:rsid w:val="005D18AD"/>
    <w:rsid w:val="005D26B4"/>
    <w:rsid w:val="005D283A"/>
    <w:rsid w:val="005D2A8E"/>
    <w:rsid w:val="005D4EBA"/>
    <w:rsid w:val="005D5C37"/>
    <w:rsid w:val="005D6294"/>
    <w:rsid w:val="005D69C5"/>
    <w:rsid w:val="005D7A60"/>
    <w:rsid w:val="005D7D22"/>
    <w:rsid w:val="005E0277"/>
    <w:rsid w:val="005E07BB"/>
    <w:rsid w:val="005E0BDE"/>
    <w:rsid w:val="005E0E09"/>
    <w:rsid w:val="005E2E63"/>
    <w:rsid w:val="005E54D5"/>
    <w:rsid w:val="005E69CF"/>
    <w:rsid w:val="005E6CBC"/>
    <w:rsid w:val="005E73C0"/>
    <w:rsid w:val="005E7FA3"/>
    <w:rsid w:val="005F1474"/>
    <w:rsid w:val="005F1589"/>
    <w:rsid w:val="005F2706"/>
    <w:rsid w:val="005F29D1"/>
    <w:rsid w:val="005F2C3D"/>
    <w:rsid w:val="005F3069"/>
    <w:rsid w:val="005F34A4"/>
    <w:rsid w:val="005F394E"/>
    <w:rsid w:val="005F4239"/>
    <w:rsid w:val="005F47A9"/>
    <w:rsid w:val="005F63AC"/>
    <w:rsid w:val="005F6A8F"/>
    <w:rsid w:val="005F7923"/>
    <w:rsid w:val="00602C00"/>
    <w:rsid w:val="00602ECB"/>
    <w:rsid w:val="00602EE2"/>
    <w:rsid w:val="00602FDC"/>
    <w:rsid w:val="00603DB9"/>
    <w:rsid w:val="006053C3"/>
    <w:rsid w:val="006063A8"/>
    <w:rsid w:val="006071B7"/>
    <w:rsid w:val="0060728E"/>
    <w:rsid w:val="00607669"/>
    <w:rsid w:val="00607AFD"/>
    <w:rsid w:val="00611C72"/>
    <w:rsid w:val="0061247F"/>
    <w:rsid w:val="00612F97"/>
    <w:rsid w:val="0061345D"/>
    <w:rsid w:val="006136AF"/>
    <w:rsid w:val="006139BA"/>
    <w:rsid w:val="00613B63"/>
    <w:rsid w:val="00613B69"/>
    <w:rsid w:val="00614449"/>
    <w:rsid w:val="00614479"/>
    <w:rsid w:val="00614659"/>
    <w:rsid w:val="006165A5"/>
    <w:rsid w:val="00616802"/>
    <w:rsid w:val="00616914"/>
    <w:rsid w:val="00617E12"/>
    <w:rsid w:val="00621477"/>
    <w:rsid w:val="006222B3"/>
    <w:rsid w:val="006223D5"/>
    <w:rsid w:val="006223EC"/>
    <w:rsid w:val="0062375E"/>
    <w:rsid w:val="0062404D"/>
    <w:rsid w:val="00624BDC"/>
    <w:rsid w:val="0063028A"/>
    <w:rsid w:val="0063158F"/>
    <w:rsid w:val="006318AE"/>
    <w:rsid w:val="00631D6B"/>
    <w:rsid w:val="00631FE0"/>
    <w:rsid w:val="006329CF"/>
    <w:rsid w:val="006330A1"/>
    <w:rsid w:val="00633572"/>
    <w:rsid w:val="0063479F"/>
    <w:rsid w:val="00634DE9"/>
    <w:rsid w:val="006353F0"/>
    <w:rsid w:val="0063627D"/>
    <w:rsid w:val="006364A1"/>
    <w:rsid w:val="006364EC"/>
    <w:rsid w:val="00636B49"/>
    <w:rsid w:val="006371CA"/>
    <w:rsid w:val="0063732F"/>
    <w:rsid w:val="006375CC"/>
    <w:rsid w:val="00637BFD"/>
    <w:rsid w:val="006416F6"/>
    <w:rsid w:val="00641C4E"/>
    <w:rsid w:val="006421FE"/>
    <w:rsid w:val="00642E02"/>
    <w:rsid w:val="0064397D"/>
    <w:rsid w:val="00643E53"/>
    <w:rsid w:val="00644563"/>
    <w:rsid w:val="00645761"/>
    <w:rsid w:val="006471CC"/>
    <w:rsid w:val="0065030B"/>
    <w:rsid w:val="00650738"/>
    <w:rsid w:val="0065079F"/>
    <w:rsid w:val="0065218C"/>
    <w:rsid w:val="0065379F"/>
    <w:rsid w:val="0065564A"/>
    <w:rsid w:val="00657280"/>
    <w:rsid w:val="0065772B"/>
    <w:rsid w:val="0066037D"/>
    <w:rsid w:val="00660BBA"/>
    <w:rsid w:val="00661A26"/>
    <w:rsid w:val="00661C6B"/>
    <w:rsid w:val="006639E6"/>
    <w:rsid w:val="006671BC"/>
    <w:rsid w:val="006716F0"/>
    <w:rsid w:val="00671921"/>
    <w:rsid w:val="00671A92"/>
    <w:rsid w:val="006722B0"/>
    <w:rsid w:val="00672392"/>
    <w:rsid w:val="006727E2"/>
    <w:rsid w:val="00673890"/>
    <w:rsid w:val="00674E42"/>
    <w:rsid w:val="00674EE2"/>
    <w:rsid w:val="00675D7E"/>
    <w:rsid w:val="00676019"/>
    <w:rsid w:val="006766BE"/>
    <w:rsid w:val="0067776F"/>
    <w:rsid w:val="00677C2C"/>
    <w:rsid w:val="00682112"/>
    <w:rsid w:val="006822ED"/>
    <w:rsid w:val="006853D0"/>
    <w:rsid w:val="0068558F"/>
    <w:rsid w:val="00685F34"/>
    <w:rsid w:val="00686288"/>
    <w:rsid w:val="00686815"/>
    <w:rsid w:val="00686957"/>
    <w:rsid w:val="006872BA"/>
    <w:rsid w:val="00687938"/>
    <w:rsid w:val="00687B79"/>
    <w:rsid w:val="006902D4"/>
    <w:rsid w:val="00691648"/>
    <w:rsid w:val="00691676"/>
    <w:rsid w:val="006917D7"/>
    <w:rsid w:val="00691840"/>
    <w:rsid w:val="006926B0"/>
    <w:rsid w:val="00692CAF"/>
    <w:rsid w:val="00694137"/>
    <w:rsid w:val="006944F7"/>
    <w:rsid w:val="00694C7F"/>
    <w:rsid w:val="00694F44"/>
    <w:rsid w:val="00695A6A"/>
    <w:rsid w:val="00696118"/>
    <w:rsid w:val="00696302"/>
    <w:rsid w:val="00696D6B"/>
    <w:rsid w:val="0069745D"/>
    <w:rsid w:val="006A060C"/>
    <w:rsid w:val="006A0D32"/>
    <w:rsid w:val="006A0D45"/>
    <w:rsid w:val="006A0DD4"/>
    <w:rsid w:val="006A22D9"/>
    <w:rsid w:val="006A3443"/>
    <w:rsid w:val="006A459F"/>
    <w:rsid w:val="006A4B18"/>
    <w:rsid w:val="006A67C3"/>
    <w:rsid w:val="006A6870"/>
    <w:rsid w:val="006A7E5F"/>
    <w:rsid w:val="006B00C8"/>
    <w:rsid w:val="006B0256"/>
    <w:rsid w:val="006B0BD5"/>
    <w:rsid w:val="006B0D77"/>
    <w:rsid w:val="006B21E4"/>
    <w:rsid w:val="006B261B"/>
    <w:rsid w:val="006B2C4D"/>
    <w:rsid w:val="006B2C90"/>
    <w:rsid w:val="006B3550"/>
    <w:rsid w:val="006B3673"/>
    <w:rsid w:val="006B36EA"/>
    <w:rsid w:val="006B66B4"/>
    <w:rsid w:val="006B6DD0"/>
    <w:rsid w:val="006C0456"/>
    <w:rsid w:val="006C0C71"/>
    <w:rsid w:val="006C260D"/>
    <w:rsid w:val="006C2A8E"/>
    <w:rsid w:val="006C3A37"/>
    <w:rsid w:val="006C3F43"/>
    <w:rsid w:val="006C3F5E"/>
    <w:rsid w:val="006C41D8"/>
    <w:rsid w:val="006C4DBC"/>
    <w:rsid w:val="006C5325"/>
    <w:rsid w:val="006C6970"/>
    <w:rsid w:val="006C7196"/>
    <w:rsid w:val="006D009C"/>
    <w:rsid w:val="006D00D1"/>
    <w:rsid w:val="006D00DB"/>
    <w:rsid w:val="006D0B0A"/>
    <w:rsid w:val="006D0C55"/>
    <w:rsid w:val="006D0E3E"/>
    <w:rsid w:val="006D11E6"/>
    <w:rsid w:val="006D37E3"/>
    <w:rsid w:val="006D3C7D"/>
    <w:rsid w:val="006D4E3D"/>
    <w:rsid w:val="006D5D5F"/>
    <w:rsid w:val="006D6F62"/>
    <w:rsid w:val="006E4B9C"/>
    <w:rsid w:val="006F306C"/>
    <w:rsid w:val="006F3D61"/>
    <w:rsid w:val="006F3F45"/>
    <w:rsid w:val="006F4640"/>
    <w:rsid w:val="006F4D79"/>
    <w:rsid w:val="006F5B50"/>
    <w:rsid w:val="006F63A5"/>
    <w:rsid w:val="006F6586"/>
    <w:rsid w:val="006F74EE"/>
    <w:rsid w:val="0070142B"/>
    <w:rsid w:val="0070276E"/>
    <w:rsid w:val="00702ED0"/>
    <w:rsid w:val="00702F8F"/>
    <w:rsid w:val="007033F0"/>
    <w:rsid w:val="007039A2"/>
    <w:rsid w:val="00705E28"/>
    <w:rsid w:val="00706A1B"/>
    <w:rsid w:val="00706C11"/>
    <w:rsid w:val="00706DB9"/>
    <w:rsid w:val="00707165"/>
    <w:rsid w:val="007101F4"/>
    <w:rsid w:val="0071075E"/>
    <w:rsid w:val="00711513"/>
    <w:rsid w:val="00711A36"/>
    <w:rsid w:val="00711EAD"/>
    <w:rsid w:val="00713C93"/>
    <w:rsid w:val="0071529C"/>
    <w:rsid w:val="007156FA"/>
    <w:rsid w:val="00715ECD"/>
    <w:rsid w:val="007172AD"/>
    <w:rsid w:val="00717764"/>
    <w:rsid w:val="00722484"/>
    <w:rsid w:val="0072299B"/>
    <w:rsid w:val="00722B1B"/>
    <w:rsid w:val="0072416F"/>
    <w:rsid w:val="007247F9"/>
    <w:rsid w:val="00727C94"/>
    <w:rsid w:val="007317DA"/>
    <w:rsid w:val="00731E14"/>
    <w:rsid w:val="00731EAE"/>
    <w:rsid w:val="007328F5"/>
    <w:rsid w:val="00733380"/>
    <w:rsid w:val="00734559"/>
    <w:rsid w:val="00734AD7"/>
    <w:rsid w:val="00735033"/>
    <w:rsid w:val="00735328"/>
    <w:rsid w:val="0073685B"/>
    <w:rsid w:val="00737231"/>
    <w:rsid w:val="0073777B"/>
    <w:rsid w:val="0074164A"/>
    <w:rsid w:val="00741FB8"/>
    <w:rsid w:val="007423DE"/>
    <w:rsid w:val="00742690"/>
    <w:rsid w:val="00744C81"/>
    <w:rsid w:val="007453A4"/>
    <w:rsid w:val="00745629"/>
    <w:rsid w:val="00745D73"/>
    <w:rsid w:val="0074683F"/>
    <w:rsid w:val="00750EDB"/>
    <w:rsid w:val="00751856"/>
    <w:rsid w:val="00752142"/>
    <w:rsid w:val="007523F9"/>
    <w:rsid w:val="00753289"/>
    <w:rsid w:val="007534F4"/>
    <w:rsid w:val="00754123"/>
    <w:rsid w:val="007547CE"/>
    <w:rsid w:val="00754B77"/>
    <w:rsid w:val="00754CA2"/>
    <w:rsid w:val="00754CF1"/>
    <w:rsid w:val="00754FA8"/>
    <w:rsid w:val="007552EF"/>
    <w:rsid w:val="007553B1"/>
    <w:rsid w:val="00756268"/>
    <w:rsid w:val="007566E3"/>
    <w:rsid w:val="00756999"/>
    <w:rsid w:val="007570DF"/>
    <w:rsid w:val="007573E8"/>
    <w:rsid w:val="007600A8"/>
    <w:rsid w:val="0076073A"/>
    <w:rsid w:val="00760C4E"/>
    <w:rsid w:val="007615EE"/>
    <w:rsid w:val="0076287E"/>
    <w:rsid w:val="00763E67"/>
    <w:rsid w:val="00764166"/>
    <w:rsid w:val="0076422E"/>
    <w:rsid w:val="00764FA0"/>
    <w:rsid w:val="00764FCB"/>
    <w:rsid w:val="00765B1A"/>
    <w:rsid w:val="007715FB"/>
    <w:rsid w:val="00771799"/>
    <w:rsid w:val="0077189F"/>
    <w:rsid w:val="0077249F"/>
    <w:rsid w:val="0077338E"/>
    <w:rsid w:val="007749C4"/>
    <w:rsid w:val="007767CC"/>
    <w:rsid w:val="007767EF"/>
    <w:rsid w:val="00776C25"/>
    <w:rsid w:val="00776E88"/>
    <w:rsid w:val="007803AC"/>
    <w:rsid w:val="00782CE4"/>
    <w:rsid w:val="00782E3F"/>
    <w:rsid w:val="00783140"/>
    <w:rsid w:val="0078358D"/>
    <w:rsid w:val="007843F2"/>
    <w:rsid w:val="00787399"/>
    <w:rsid w:val="007878FB"/>
    <w:rsid w:val="00787CE3"/>
    <w:rsid w:val="00787FE6"/>
    <w:rsid w:val="0079394F"/>
    <w:rsid w:val="00795EAE"/>
    <w:rsid w:val="0079674C"/>
    <w:rsid w:val="007A036A"/>
    <w:rsid w:val="007A045F"/>
    <w:rsid w:val="007A0578"/>
    <w:rsid w:val="007A0A12"/>
    <w:rsid w:val="007A132D"/>
    <w:rsid w:val="007A2E40"/>
    <w:rsid w:val="007A2F00"/>
    <w:rsid w:val="007A3379"/>
    <w:rsid w:val="007A4858"/>
    <w:rsid w:val="007A4F05"/>
    <w:rsid w:val="007A539A"/>
    <w:rsid w:val="007A5796"/>
    <w:rsid w:val="007A7562"/>
    <w:rsid w:val="007B02EE"/>
    <w:rsid w:val="007B0D68"/>
    <w:rsid w:val="007B0E68"/>
    <w:rsid w:val="007B105A"/>
    <w:rsid w:val="007B1A6B"/>
    <w:rsid w:val="007B251D"/>
    <w:rsid w:val="007B2BAF"/>
    <w:rsid w:val="007B4F58"/>
    <w:rsid w:val="007B528D"/>
    <w:rsid w:val="007B5CE7"/>
    <w:rsid w:val="007B6331"/>
    <w:rsid w:val="007B6D31"/>
    <w:rsid w:val="007B6FEF"/>
    <w:rsid w:val="007B70E9"/>
    <w:rsid w:val="007B77D1"/>
    <w:rsid w:val="007C0DEA"/>
    <w:rsid w:val="007C1CD9"/>
    <w:rsid w:val="007C1F0F"/>
    <w:rsid w:val="007C2288"/>
    <w:rsid w:val="007C23A3"/>
    <w:rsid w:val="007C34FC"/>
    <w:rsid w:val="007C361D"/>
    <w:rsid w:val="007C3E88"/>
    <w:rsid w:val="007C464C"/>
    <w:rsid w:val="007C4B84"/>
    <w:rsid w:val="007C5880"/>
    <w:rsid w:val="007C70BB"/>
    <w:rsid w:val="007D004F"/>
    <w:rsid w:val="007D0300"/>
    <w:rsid w:val="007D0B38"/>
    <w:rsid w:val="007D119A"/>
    <w:rsid w:val="007D3EE6"/>
    <w:rsid w:val="007D5440"/>
    <w:rsid w:val="007D5E4D"/>
    <w:rsid w:val="007D6C8A"/>
    <w:rsid w:val="007D7361"/>
    <w:rsid w:val="007E0223"/>
    <w:rsid w:val="007E15B9"/>
    <w:rsid w:val="007E269E"/>
    <w:rsid w:val="007E4085"/>
    <w:rsid w:val="007E4DEA"/>
    <w:rsid w:val="007E4FD5"/>
    <w:rsid w:val="007E5D25"/>
    <w:rsid w:val="007E613E"/>
    <w:rsid w:val="007E6C23"/>
    <w:rsid w:val="007F007F"/>
    <w:rsid w:val="007F00BE"/>
    <w:rsid w:val="007F1017"/>
    <w:rsid w:val="007F234B"/>
    <w:rsid w:val="007F2DD2"/>
    <w:rsid w:val="007F38E8"/>
    <w:rsid w:val="007F3EDA"/>
    <w:rsid w:val="007F476E"/>
    <w:rsid w:val="007F495D"/>
    <w:rsid w:val="007F4A3F"/>
    <w:rsid w:val="007F4A61"/>
    <w:rsid w:val="007F5EE0"/>
    <w:rsid w:val="007F61C2"/>
    <w:rsid w:val="007F64A8"/>
    <w:rsid w:val="007F6FEB"/>
    <w:rsid w:val="00801103"/>
    <w:rsid w:val="00801530"/>
    <w:rsid w:val="00801EA5"/>
    <w:rsid w:val="00802010"/>
    <w:rsid w:val="00802AD7"/>
    <w:rsid w:val="00803D56"/>
    <w:rsid w:val="00804284"/>
    <w:rsid w:val="00804631"/>
    <w:rsid w:val="00805142"/>
    <w:rsid w:val="008060D3"/>
    <w:rsid w:val="00806141"/>
    <w:rsid w:val="00806978"/>
    <w:rsid w:val="00807A2F"/>
    <w:rsid w:val="00807A78"/>
    <w:rsid w:val="00807A8B"/>
    <w:rsid w:val="00807B39"/>
    <w:rsid w:val="00807BCC"/>
    <w:rsid w:val="00811383"/>
    <w:rsid w:val="00812149"/>
    <w:rsid w:val="00812C01"/>
    <w:rsid w:val="00812CAC"/>
    <w:rsid w:val="0081566B"/>
    <w:rsid w:val="00816487"/>
    <w:rsid w:val="00816552"/>
    <w:rsid w:val="008166EF"/>
    <w:rsid w:val="00821926"/>
    <w:rsid w:val="00822051"/>
    <w:rsid w:val="00824429"/>
    <w:rsid w:val="00825751"/>
    <w:rsid w:val="00825D17"/>
    <w:rsid w:val="008264EB"/>
    <w:rsid w:val="00827BCA"/>
    <w:rsid w:val="00831025"/>
    <w:rsid w:val="008327EE"/>
    <w:rsid w:val="0083330F"/>
    <w:rsid w:val="00833B05"/>
    <w:rsid w:val="0083401B"/>
    <w:rsid w:val="008362B4"/>
    <w:rsid w:val="008368D5"/>
    <w:rsid w:val="00836BC2"/>
    <w:rsid w:val="00837A15"/>
    <w:rsid w:val="00840CA2"/>
    <w:rsid w:val="00841578"/>
    <w:rsid w:val="0084307C"/>
    <w:rsid w:val="0084374F"/>
    <w:rsid w:val="00843A75"/>
    <w:rsid w:val="00844378"/>
    <w:rsid w:val="008446DD"/>
    <w:rsid w:val="00844C48"/>
    <w:rsid w:val="00845264"/>
    <w:rsid w:val="008455CB"/>
    <w:rsid w:val="0084686D"/>
    <w:rsid w:val="00846C3F"/>
    <w:rsid w:val="00847DF5"/>
    <w:rsid w:val="008504BF"/>
    <w:rsid w:val="0085145F"/>
    <w:rsid w:val="008527A6"/>
    <w:rsid w:val="00852E04"/>
    <w:rsid w:val="00852FA7"/>
    <w:rsid w:val="0085309D"/>
    <w:rsid w:val="008531AB"/>
    <w:rsid w:val="00853655"/>
    <w:rsid w:val="00854A15"/>
    <w:rsid w:val="00854D14"/>
    <w:rsid w:val="00855029"/>
    <w:rsid w:val="00855FCE"/>
    <w:rsid w:val="008562CA"/>
    <w:rsid w:val="00856897"/>
    <w:rsid w:val="00856E9A"/>
    <w:rsid w:val="0086075D"/>
    <w:rsid w:val="008613AB"/>
    <w:rsid w:val="00862502"/>
    <w:rsid w:val="008635AB"/>
    <w:rsid w:val="008641B3"/>
    <w:rsid w:val="00864891"/>
    <w:rsid w:val="008658F5"/>
    <w:rsid w:val="008660D4"/>
    <w:rsid w:val="008679CA"/>
    <w:rsid w:val="008705C7"/>
    <w:rsid w:val="00871FA9"/>
    <w:rsid w:val="008728E9"/>
    <w:rsid w:val="00872AE8"/>
    <w:rsid w:val="00872EFB"/>
    <w:rsid w:val="008737E9"/>
    <w:rsid w:val="00873AE0"/>
    <w:rsid w:val="00874CF9"/>
    <w:rsid w:val="00874F34"/>
    <w:rsid w:val="00875B86"/>
    <w:rsid w:val="0087657E"/>
    <w:rsid w:val="0087711B"/>
    <w:rsid w:val="00877407"/>
    <w:rsid w:val="008806D2"/>
    <w:rsid w:val="00881C5B"/>
    <w:rsid w:val="00882874"/>
    <w:rsid w:val="00882C86"/>
    <w:rsid w:val="00883787"/>
    <w:rsid w:val="00885D75"/>
    <w:rsid w:val="00885DC1"/>
    <w:rsid w:val="00885DD7"/>
    <w:rsid w:val="00886AE5"/>
    <w:rsid w:val="00886CD2"/>
    <w:rsid w:val="00887839"/>
    <w:rsid w:val="00891B6B"/>
    <w:rsid w:val="00892A36"/>
    <w:rsid w:val="00892D1B"/>
    <w:rsid w:val="00893239"/>
    <w:rsid w:val="0089360B"/>
    <w:rsid w:val="0089377D"/>
    <w:rsid w:val="00894489"/>
    <w:rsid w:val="008956A3"/>
    <w:rsid w:val="00895934"/>
    <w:rsid w:val="008963A5"/>
    <w:rsid w:val="00896B9C"/>
    <w:rsid w:val="008A17A0"/>
    <w:rsid w:val="008A2505"/>
    <w:rsid w:val="008A2B95"/>
    <w:rsid w:val="008A3363"/>
    <w:rsid w:val="008A3371"/>
    <w:rsid w:val="008A3B20"/>
    <w:rsid w:val="008A3BC8"/>
    <w:rsid w:val="008A3C3E"/>
    <w:rsid w:val="008A3CD1"/>
    <w:rsid w:val="008A4C3F"/>
    <w:rsid w:val="008A79DE"/>
    <w:rsid w:val="008B0A9F"/>
    <w:rsid w:val="008B14B8"/>
    <w:rsid w:val="008B1757"/>
    <w:rsid w:val="008B2842"/>
    <w:rsid w:val="008B2D7D"/>
    <w:rsid w:val="008B5FEF"/>
    <w:rsid w:val="008B65F1"/>
    <w:rsid w:val="008B7D7E"/>
    <w:rsid w:val="008C393B"/>
    <w:rsid w:val="008C4EC2"/>
    <w:rsid w:val="008C61FC"/>
    <w:rsid w:val="008C6646"/>
    <w:rsid w:val="008C790E"/>
    <w:rsid w:val="008C7ECB"/>
    <w:rsid w:val="008D08EE"/>
    <w:rsid w:val="008D0AD9"/>
    <w:rsid w:val="008D12E9"/>
    <w:rsid w:val="008D2B6A"/>
    <w:rsid w:val="008D2E5D"/>
    <w:rsid w:val="008D44D5"/>
    <w:rsid w:val="008D4755"/>
    <w:rsid w:val="008D4C3D"/>
    <w:rsid w:val="008D6611"/>
    <w:rsid w:val="008D67E2"/>
    <w:rsid w:val="008D7835"/>
    <w:rsid w:val="008D7ECC"/>
    <w:rsid w:val="008E05C5"/>
    <w:rsid w:val="008E0D3C"/>
    <w:rsid w:val="008E12EE"/>
    <w:rsid w:val="008E1B9E"/>
    <w:rsid w:val="008E427C"/>
    <w:rsid w:val="008E4639"/>
    <w:rsid w:val="008E4EB6"/>
    <w:rsid w:val="008E55AB"/>
    <w:rsid w:val="008E5A56"/>
    <w:rsid w:val="008E5CBE"/>
    <w:rsid w:val="008E5CD4"/>
    <w:rsid w:val="008E65E1"/>
    <w:rsid w:val="008E6E2F"/>
    <w:rsid w:val="008E7031"/>
    <w:rsid w:val="008F111E"/>
    <w:rsid w:val="008F120A"/>
    <w:rsid w:val="008F1673"/>
    <w:rsid w:val="008F27E0"/>
    <w:rsid w:val="008F30E9"/>
    <w:rsid w:val="008F48EB"/>
    <w:rsid w:val="008F4E46"/>
    <w:rsid w:val="008F4F0B"/>
    <w:rsid w:val="008F52B4"/>
    <w:rsid w:val="008F5446"/>
    <w:rsid w:val="008F5A85"/>
    <w:rsid w:val="008F745E"/>
    <w:rsid w:val="00903127"/>
    <w:rsid w:val="009046C4"/>
    <w:rsid w:val="00905160"/>
    <w:rsid w:val="009062A5"/>
    <w:rsid w:val="009067A3"/>
    <w:rsid w:val="00906AAA"/>
    <w:rsid w:val="00906D15"/>
    <w:rsid w:val="00906FAF"/>
    <w:rsid w:val="00910862"/>
    <w:rsid w:val="00911272"/>
    <w:rsid w:val="00911509"/>
    <w:rsid w:val="00911993"/>
    <w:rsid w:val="00912269"/>
    <w:rsid w:val="009135D6"/>
    <w:rsid w:val="00914C77"/>
    <w:rsid w:val="009161AE"/>
    <w:rsid w:val="00916991"/>
    <w:rsid w:val="00917626"/>
    <w:rsid w:val="00917E15"/>
    <w:rsid w:val="0092042D"/>
    <w:rsid w:val="0092043C"/>
    <w:rsid w:val="00920678"/>
    <w:rsid w:val="009224C1"/>
    <w:rsid w:val="0092336C"/>
    <w:rsid w:val="00923603"/>
    <w:rsid w:val="0092369B"/>
    <w:rsid w:val="00923768"/>
    <w:rsid w:val="00924023"/>
    <w:rsid w:val="00924682"/>
    <w:rsid w:val="00924828"/>
    <w:rsid w:val="00926308"/>
    <w:rsid w:val="00931FF3"/>
    <w:rsid w:val="00932B34"/>
    <w:rsid w:val="00933A15"/>
    <w:rsid w:val="009343FC"/>
    <w:rsid w:val="00935766"/>
    <w:rsid w:val="0093617F"/>
    <w:rsid w:val="00936F25"/>
    <w:rsid w:val="00940740"/>
    <w:rsid w:val="0094126C"/>
    <w:rsid w:val="00942414"/>
    <w:rsid w:val="00942498"/>
    <w:rsid w:val="00942F81"/>
    <w:rsid w:val="00943AD5"/>
    <w:rsid w:val="00943AFD"/>
    <w:rsid w:val="0094464A"/>
    <w:rsid w:val="009455FB"/>
    <w:rsid w:val="0094608E"/>
    <w:rsid w:val="00946928"/>
    <w:rsid w:val="00947E2C"/>
    <w:rsid w:val="00947F3A"/>
    <w:rsid w:val="00950700"/>
    <w:rsid w:val="009510A2"/>
    <w:rsid w:val="00953257"/>
    <w:rsid w:val="00953329"/>
    <w:rsid w:val="009545B9"/>
    <w:rsid w:val="009549B1"/>
    <w:rsid w:val="00954BD3"/>
    <w:rsid w:val="00956667"/>
    <w:rsid w:val="00956DF3"/>
    <w:rsid w:val="0095761A"/>
    <w:rsid w:val="00960997"/>
    <w:rsid w:val="009614E8"/>
    <w:rsid w:val="00961820"/>
    <w:rsid w:val="00962CB9"/>
    <w:rsid w:val="00964312"/>
    <w:rsid w:val="009645CB"/>
    <w:rsid w:val="009646A3"/>
    <w:rsid w:val="00964FA4"/>
    <w:rsid w:val="0096530F"/>
    <w:rsid w:val="00965B8A"/>
    <w:rsid w:val="00966D0E"/>
    <w:rsid w:val="0096795E"/>
    <w:rsid w:val="00970241"/>
    <w:rsid w:val="00970318"/>
    <w:rsid w:val="0097089D"/>
    <w:rsid w:val="00970C92"/>
    <w:rsid w:val="00970DC2"/>
    <w:rsid w:val="00971503"/>
    <w:rsid w:val="009717AC"/>
    <w:rsid w:val="00972194"/>
    <w:rsid w:val="0097298F"/>
    <w:rsid w:val="00972D34"/>
    <w:rsid w:val="0097441C"/>
    <w:rsid w:val="00974DE0"/>
    <w:rsid w:val="0097576A"/>
    <w:rsid w:val="00977D60"/>
    <w:rsid w:val="00980442"/>
    <w:rsid w:val="00980DD7"/>
    <w:rsid w:val="00983E57"/>
    <w:rsid w:val="009847FA"/>
    <w:rsid w:val="00985CC3"/>
    <w:rsid w:val="0098675D"/>
    <w:rsid w:val="00990213"/>
    <w:rsid w:val="00990ECC"/>
    <w:rsid w:val="0099189D"/>
    <w:rsid w:val="00992D88"/>
    <w:rsid w:val="0099408B"/>
    <w:rsid w:val="009947C5"/>
    <w:rsid w:val="00995A78"/>
    <w:rsid w:val="00996B1A"/>
    <w:rsid w:val="009A03D9"/>
    <w:rsid w:val="009A1482"/>
    <w:rsid w:val="009A2297"/>
    <w:rsid w:val="009A2608"/>
    <w:rsid w:val="009A2936"/>
    <w:rsid w:val="009A435B"/>
    <w:rsid w:val="009A56EF"/>
    <w:rsid w:val="009A5D31"/>
    <w:rsid w:val="009A643A"/>
    <w:rsid w:val="009A7F10"/>
    <w:rsid w:val="009A7F28"/>
    <w:rsid w:val="009B13AA"/>
    <w:rsid w:val="009B2A4C"/>
    <w:rsid w:val="009B3673"/>
    <w:rsid w:val="009B3E26"/>
    <w:rsid w:val="009B4F05"/>
    <w:rsid w:val="009B573E"/>
    <w:rsid w:val="009B5CFA"/>
    <w:rsid w:val="009B62D4"/>
    <w:rsid w:val="009B6A62"/>
    <w:rsid w:val="009B6F3C"/>
    <w:rsid w:val="009B723A"/>
    <w:rsid w:val="009C01D8"/>
    <w:rsid w:val="009C0999"/>
    <w:rsid w:val="009C182C"/>
    <w:rsid w:val="009C1A50"/>
    <w:rsid w:val="009C2A0D"/>
    <w:rsid w:val="009C2FE6"/>
    <w:rsid w:val="009C3A6C"/>
    <w:rsid w:val="009C3C3B"/>
    <w:rsid w:val="009C3E3D"/>
    <w:rsid w:val="009C495E"/>
    <w:rsid w:val="009C4B7C"/>
    <w:rsid w:val="009C4FD4"/>
    <w:rsid w:val="009C6CEA"/>
    <w:rsid w:val="009C7B85"/>
    <w:rsid w:val="009D0068"/>
    <w:rsid w:val="009D09FC"/>
    <w:rsid w:val="009D1A6C"/>
    <w:rsid w:val="009D42B9"/>
    <w:rsid w:val="009D5109"/>
    <w:rsid w:val="009D5B91"/>
    <w:rsid w:val="009D792E"/>
    <w:rsid w:val="009E0DFE"/>
    <w:rsid w:val="009E18E4"/>
    <w:rsid w:val="009E1976"/>
    <w:rsid w:val="009E1D3B"/>
    <w:rsid w:val="009E462A"/>
    <w:rsid w:val="009E4C07"/>
    <w:rsid w:val="009E52F4"/>
    <w:rsid w:val="009E5DE4"/>
    <w:rsid w:val="009F10B9"/>
    <w:rsid w:val="009F165A"/>
    <w:rsid w:val="009F1FA2"/>
    <w:rsid w:val="009F2183"/>
    <w:rsid w:val="009F2731"/>
    <w:rsid w:val="009F3468"/>
    <w:rsid w:val="009F3B70"/>
    <w:rsid w:val="009F4AD5"/>
    <w:rsid w:val="009F5248"/>
    <w:rsid w:val="009F6A65"/>
    <w:rsid w:val="009F6EBF"/>
    <w:rsid w:val="00A01184"/>
    <w:rsid w:val="00A01AA8"/>
    <w:rsid w:val="00A03D43"/>
    <w:rsid w:val="00A04380"/>
    <w:rsid w:val="00A04479"/>
    <w:rsid w:val="00A057D0"/>
    <w:rsid w:val="00A07803"/>
    <w:rsid w:val="00A10393"/>
    <w:rsid w:val="00A105C1"/>
    <w:rsid w:val="00A11CD0"/>
    <w:rsid w:val="00A11FB2"/>
    <w:rsid w:val="00A135B7"/>
    <w:rsid w:val="00A13887"/>
    <w:rsid w:val="00A13948"/>
    <w:rsid w:val="00A1555B"/>
    <w:rsid w:val="00A155C5"/>
    <w:rsid w:val="00A15A9D"/>
    <w:rsid w:val="00A15D65"/>
    <w:rsid w:val="00A16312"/>
    <w:rsid w:val="00A16AD8"/>
    <w:rsid w:val="00A16B32"/>
    <w:rsid w:val="00A17078"/>
    <w:rsid w:val="00A17730"/>
    <w:rsid w:val="00A21CF3"/>
    <w:rsid w:val="00A21DDB"/>
    <w:rsid w:val="00A253B0"/>
    <w:rsid w:val="00A25FC4"/>
    <w:rsid w:val="00A2684C"/>
    <w:rsid w:val="00A27093"/>
    <w:rsid w:val="00A27AEC"/>
    <w:rsid w:val="00A30DD8"/>
    <w:rsid w:val="00A311E2"/>
    <w:rsid w:val="00A3141E"/>
    <w:rsid w:val="00A31A91"/>
    <w:rsid w:val="00A320DB"/>
    <w:rsid w:val="00A3289B"/>
    <w:rsid w:val="00A35D16"/>
    <w:rsid w:val="00A35FF9"/>
    <w:rsid w:val="00A365F0"/>
    <w:rsid w:val="00A37BCD"/>
    <w:rsid w:val="00A41E50"/>
    <w:rsid w:val="00A435DA"/>
    <w:rsid w:val="00A43C59"/>
    <w:rsid w:val="00A44C18"/>
    <w:rsid w:val="00A45160"/>
    <w:rsid w:val="00A45762"/>
    <w:rsid w:val="00A47281"/>
    <w:rsid w:val="00A50ECD"/>
    <w:rsid w:val="00A518F3"/>
    <w:rsid w:val="00A52354"/>
    <w:rsid w:val="00A52729"/>
    <w:rsid w:val="00A53675"/>
    <w:rsid w:val="00A55A05"/>
    <w:rsid w:val="00A564D7"/>
    <w:rsid w:val="00A567B2"/>
    <w:rsid w:val="00A56B6A"/>
    <w:rsid w:val="00A578DC"/>
    <w:rsid w:val="00A604EB"/>
    <w:rsid w:val="00A61EBF"/>
    <w:rsid w:val="00A634E4"/>
    <w:rsid w:val="00A63B18"/>
    <w:rsid w:val="00A644EF"/>
    <w:rsid w:val="00A650C9"/>
    <w:rsid w:val="00A6607B"/>
    <w:rsid w:val="00A66097"/>
    <w:rsid w:val="00A6644A"/>
    <w:rsid w:val="00A6701D"/>
    <w:rsid w:val="00A67059"/>
    <w:rsid w:val="00A671AC"/>
    <w:rsid w:val="00A6725B"/>
    <w:rsid w:val="00A70605"/>
    <w:rsid w:val="00A70E38"/>
    <w:rsid w:val="00A711FC"/>
    <w:rsid w:val="00A71DDB"/>
    <w:rsid w:val="00A73134"/>
    <w:rsid w:val="00A73EE2"/>
    <w:rsid w:val="00A74AB6"/>
    <w:rsid w:val="00A74EAF"/>
    <w:rsid w:val="00A751A2"/>
    <w:rsid w:val="00A75275"/>
    <w:rsid w:val="00A75DF1"/>
    <w:rsid w:val="00A76487"/>
    <w:rsid w:val="00A777B2"/>
    <w:rsid w:val="00A77CFE"/>
    <w:rsid w:val="00A80164"/>
    <w:rsid w:val="00A82BE1"/>
    <w:rsid w:val="00A831A0"/>
    <w:rsid w:val="00A8633F"/>
    <w:rsid w:val="00A86833"/>
    <w:rsid w:val="00A86B7D"/>
    <w:rsid w:val="00A86E8B"/>
    <w:rsid w:val="00A87155"/>
    <w:rsid w:val="00A87164"/>
    <w:rsid w:val="00A907C7"/>
    <w:rsid w:val="00A912F1"/>
    <w:rsid w:val="00A93072"/>
    <w:rsid w:val="00A93953"/>
    <w:rsid w:val="00A9499F"/>
    <w:rsid w:val="00A95862"/>
    <w:rsid w:val="00A959D8"/>
    <w:rsid w:val="00A96B8E"/>
    <w:rsid w:val="00A9735C"/>
    <w:rsid w:val="00AA0AFE"/>
    <w:rsid w:val="00AA0F02"/>
    <w:rsid w:val="00AA113D"/>
    <w:rsid w:val="00AA11D7"/>
    <w:rsid w:val="00AA11E7"/>
    <w:rsid w:val="00AA486E"/>
    <w:rsid w:val="00AA4D1F"/>
    <w:rsid w:val="00AA569B"/>
    <w:rsid w:val="00AA6242"/>
    <w:rsid w:val="00AA6394"/>
    <w:rsid w:val="00AA6C42"/>
    <w:rsid w:val="00AA6C7D"/>
    <w:rsid w:val="00AA7AF3"/>
    <w:rsid w:val="00AA7FD6"/>
    <w:rsid w:val="00AB042A"/>
    <w:rsid w:val="00AB06E2"/>
    <w:rsid w:val="00AB07DE"/>
    <w:rsid w:val="00AB15E9"/>
    <w:rsid w:val="00AB177A"/>
    <w:rsid w:val="00AB2D34"/>
    <w:rsid w:val="00AB3430"/>
    <w:rsid w:val="00AB4406"/>
    <w:rsid w:val="00AB49F3"/>
    <w:rsid w:val="00AB4AD1"/>
    <w:rsid w:val="00AB7CFA"/>
    <w:rsid w:val="00AC00D9"/>
    <w:rsid w:val="00AC13C0"/>
    <w:rsid w:val="00AC443A"/>
    <w:rsid w:val="00AC490B"/>
    <w:rsid w:val="00AC4B6F"/>
    <w:rsid w:val="00AC5B48"/>
    <w:rsid w:val="00AC6FE2"/>
    <w:rsid w:val="00AD04AD"/>
    <w:rsid w:val="00AD2423"/>
    <w:rsid w:val="00AD58F4"/>
    <w:rsid w:val="00AD5C4E"/>
    <w:rsid w:val="00AD6502"/>
    <w:rsid w:val="00AD6538"/>
    <w:rsid w:val="00AE1550"/>
    <w:rsid w:val="00AE2505"/>
    <w:rsid w:val="00AE25F2"/>
    <w:rsid w:val="00AE37AB"/>
    <w:rsid w:val="00AE7190"/>
    <w:rsid w:val="00AE73BC"/>
    <w:rsid w:val="00AF086F"/>
    <w:rsid w:val="00AF0A26"/>
    <w:rsid w:val="00AF1315"/>
    <w:rsid w:val="00AF19BF"/>
    <w:rsid w:val="00AF2032"/>
    <w:rsid w:val="00AF2774"/>
    <w:rsid w:val="00AF2902"/>
    <w:rsid w:val="00AF2DC3"/>
    <w:rsid w:val="00AF3D0A"/>
    <w:rsid w:val="00AF45F1"/>
    <w:rsid w:val="00AF719E"/>
    <w:rsid w:val="00AF7378"/>
    <w:rsid w:val="00B00B97"/>
    <w:rsid w:val="00B02591"/>
    <w:rsid w:val="00B02670"/>
    <w:rsid w:val="00B02ABF"/>
    <w:rsid w:val="00B02FD9"/>
    <w:rsid w:val="00B033E5"/>
    <w:rsid w:val="00B03A63"/>
    <w:rsid w:val="00B06BA7"/>
    <w:rsid w:val="00B06C6A"/>
    <w:rsid w:val="00B075A4"/>
    <w:rsid w:val="00B10463"/>
    <w:rsid w:val="00B115CA"/>
    <w:rsid w:val="00B116AA"/>
    <w:rsid w:val="00B139A1"/>
    <w:rsid w:val="00B13C9C"/>
    <w:rsid w:val="00B13F1B"/>
    <w:rsid w:val="00B15370"/>
    <w:rsid w:val="00B16132"/>
    <w:rsid w:val="00B162F8"/>
    <w:rsid w:val="00B201A4"/>
    <w:rsid w:val="00B20D68"/>
    <w:rsid w:val="00B20FE4"/>
    <w:rsid w:val="00B210B2"/>
    <w:rsid w:val="00B213A6"/>
    <w:rsid w:val="00B24DF6"/>
    <w:rsid w:val="00B24FA5"/>
    <w:rsid w:val="00B257FF"/>
    <w:rsid w:val="00B25ACA"/>
    <w:rsid w:val="00B263A6"/>
    <w:rsid w:val="00B26AEF"/>
    <w:rsid w:val="00B27E3F"/>
    <w:rsid w:val="00B30CC8"/>
    <w:rsid w:val="00B31CB7"/>
    <w:rsid w:val="00B33F0B"/>
    <w:rsid w:val="00B34E9E"/>
    <w:rsid w:val="00B34FE2"/>
    <w:rsid w:val="00B357D8"/>
    <w:rsid w:val="00B3595B"/>
    <w:rsid w:val="00B36333"/>
    <w:rsid w:val="00B36A97"/>
    <w:rsid w:val="00B373CF"/>
    <w:rsid w:val="00B37BFC"/>
    <w:rsid w:val="00B37C0C"/>
    <w:rsid w:val="00B40358"/>
    <w:rsid w:val="00B408DF"/>
    <w:rsid w:val="00B4095A"/>
    <w:rsid w:val="00B41540"/>
    <w:rsid w:val="00B41614"/>
    <w:rsid w:val="00B41FA8"/>
    <w:rsid w:val="00B42851"/>
    <w:rsid w:val="00B42F80"/>
    <w:rsid w:val="00B435CB"/>
    <w:rsid w:val="00B43E2E"/>
    <w:rsid w:val="00B4444F"/>
    <w:rsid w:val="00B44EC7"/>
    <w:rsid w:val="00B452A6"/>
    <w:rsid w:val="00B45640"/>
    <w:rsid w:val="00B46DAB"/>
    <w:rsid w:val="00B46F93"/>
    <w:rsid w:val="00B47168"/>
    <w:rsid w:val="00B479E5"/>
    <w:rsid w:val="00B47BB9"/>
    <w:rsid w:val="00B47F2D"/>
    <w:rsid w:val="00B50DB8"/>
    <w:rsid w:val="00B53654"/>
    <w:rsid w:val="00B53905"/>
    <w:rsid w:val="00B541C4"/>
    <w:rsid w:val="00B54B5B"/>
    <w:rsid w:val="00B5562E"/>
    <w:rsid w:val="00B57000"/>
    <w:rsid w:val="00B57C29"/>
    <w:rsid w:val="00B60670"/>
    <w:rsid w:val="00B60939"/>
    <w:rsid w:val="00B60AFD"/>
    <w:rsid w:val="00B61E2F"/>
    <w:rsid w:val="00B62715"/>
    <w:rsid w:val="00B634CB"/>
    <w:rsid w:val="00B659ED"/>
    <w:rsid w:val="00B65B3C"/>
    <w:rsid w:val="00B660C7"/>
    <w:rsid w:val="00B6762D"/>
    <w:rsid w:val="00B71461"/>
    <w:rsid w:val="00B716C7"/>
    <w:rsid w:val="00B721A6"/>
    <w:rsid w:val="00B72717"/>
    <w:rsid w:val="00B72AA5"/>
    <w:rsid w:val="00B73A7B"/>
    <w:rsid w:val="00B74C0B"/>
    <w:rsid w:val="00B750D8"/>
    <w:rsid w:val="00B75408"/>
    <w:rsid w:val="00B75F7D"/>
    <w:rsid w:val="00B802C9"/>
    <w:rsid w:val="00B818A4"/>
    <w:rsid w:val="00B81919"/>
    <w:rsid w:val="00B82B1B"/>
    <w:rsid w:val="00B83E69"/>
    <w:rsid w:val="00B84117"/>
    <w:rsid w:val="00B85AA2"/>
    <w:rsid w:val="00B8649C"/>
    <w:rsid w:val="00B86882"/>
    <w:rsid w:val="00B871CE"/>
    <w:rsid w:val="00B87F0A"/>
    <w:rsid w:val="00B900B1"/>
    <w:rsid w:val="00B91EBA"/>
    <w:rsid w:val="00B91FEC"/>
    <w:rsid w:val="00B92D0B"/>
    <w:rsid w:val="00B93514"/>
    <w:rsid w:val="00B94945"/>
    <w:rsid w:val="00B949CE"/>
    <w:rsid w:val="00B961D2"/>
    <w:rsid w:val="00B96BF2"/>
    <w:rsid w:val="00B97120"/>
    <w:rsid w:val="00BA04B2"/>
    <w:rsid w:val="00BA0DA7"/>
    <w:rsid w:val="00BA0F85"/>
    <w:rsid w:val="00BA157C"/>
    <w:rsid w:val="00BA1B1F"/>
    <w:rsid w:val="00BA1EE4"/>
    <w:rsid w:val="00BA2819"/>
    <w:rsid w:val="00BA322D"/>
    <w:rsid w:val="00BA4D84"/>
    <w:rsid w:val="00BA541E"/>
    <w:rsid w:val="00BA5794"/>
    <w:rsid w:val="00BA7B76"/>
    <w:rsid w:val="00BB03D0"/>
    <w:rsid w:val="00BB0813"/>
    <w:rsid w:val="00BB0BDD"/>
    <w:rsid w:val="00BB1389"/>
    <w:rsid w:val="00BB16E8"/>
    <w:rsid w:val="00BB172D"/>
    <w:rsid w:val="00BB2A73"/>
    <w:rsid w:val="00BB3FE8"/>
    <w:rsid w:val="00BB4689"/>
    <w:rsid w:val="00BB4ACC"/>
    <w:rsid w:val="00BB51AA"/>
    <w:rsid w:val="00BB5CC8"/>
    <w:rsid w:val="00BB703E"/>
    <w:rsid w:val="00BB7405"/>
    <w:rsid w:val="00BC1281"/>
    <w:rsid w:val="00BC2AD1"/>
    <w:rsid w:val="00BC3631"/>
    <w:rsid w:val="00BC3C06"/>
    <w:rsid w:val="00BC48D1"/>
    <w:rsid w:val="00BC5B7A"/>
    <w:rsid w:val="00BC5BE2"/>
    <w:rsid w:val="00BD05A3"/>
    <w:rsid w:val="00BD4238"/>
    <w:rsid w:val="00BD4885"/>
    <w:rsid w:val="00BD4AFA"/>
    <w:rsid w:val="00BD5573"/>
    <w:rsid w:val="00BD6422"/>
    <w:rsid w:val="00BD68A3"/>
    <w:rsid w:val="00BD6938"/>
    <w:rsid w:val="00BD6CF3"/>
    <w:rsid w:val="00BD733C"/>
    <w:rsid w:val="00BE03DE"/>
    <w:rsid w:val="00BE10AD"/>
    <w:rsid w:val="00BE2180"/>
    <w:rsid w:val="00BE21F2"/>
    <w:rsid w:val="00BE23C5"/>
    <w:rsid w:val="00BE2686"/>
    <w:rsid w:val="00BE2F06"/>
    <w:rsid w:val="00BE324F"/>
    <w:rsid w:val="00BE4275"/>
    <w:rsid w:val="00BF01D6"/>
    <w:rsid w:val="00BF0F95"/>
    <w:rsid w:val="00BF21DF"/>
    <w:rsid w:val="00BF2433"/>
    <w:rsid w:val="00BF25D2"/>
    <w:rsid w:val="00BF2D6F"/>
    <w:rsid w:val="00BF61C9"/>
    <w:rsid w:val="00BF6C94"/>
    <w:rsid w:val="00BF72D7"/>
    <w:rsid w:val="00BF7860"/>
    <w:rsid w:val="00C00424"/>
    <w:rsid w:val="00C005E6"/>
    <w:rsid w:val="00C03C71"/>
    <w:rsid w:val="00C045C0"/>
    <w:rsid w:val="00C04A4B"/>
    <w:rsid w:val="00C06701"/>
    <w:rsid w:val="00C06E07"/>
    <w:rsid w:val="00C06E9C"/>
    <w:rsid w:val="00C10AB5"/>
    <w:rsid w:val="00C1249A"/>
    <w:rsid w:val="00C12C14"/>
    <w:rsid w:val="00C12D09"/>
    <w:rsid w:val="00C151F0"/>
    <w:rsid w:val="00C17E23"/>
    <w:rsid w:val="00C200AA"/>
    <w:rsid w:val="00C2148D"/>
    <w:rsid w:val="00C22FC5"/>
    <w:rsid w:val="00C230A5"/>
    <w:rsid w:val="00C237ED"/>
    <w:rsid w:val="00C23DB2"/>
    <w:rsid w:val="00C2447F"/>
    <w:rsid w:val="00C24632"/>
    <w:rsid w:val="00C248CC"/>
    <w:rsid w:val="00C25418"/>
    <w:rsid w:val="00C25A22"/>
    <w:rsid w:val="00C25D9C"/>
    <w:rsid w:val="00C2778B"/>
    <w:rsid w:val="00C27EE6"/>
    <w:rsid w:val="00C27F40"/>
    <w:rsid w:val="00C3111C"/>
    <w:rsid w:val="00C312E7"/>
    <w:rsid w:val="00C31649"/>
    <w:rsid w:val="00C319CE"/>
    <w:rsid w:val="00C3449C"/>
    <w:rsid w:val="00C353A2"/>
    <w:rsid w:val="00C353D1"/>
    <w:rsid w:val="00C35C98"/>
    <w:rsid w:val="00C36530"/>
    <w:rsid w:val="00C3716B"/>
    <w:rsid w:val="00C40385"/>
    <w:rsid w:val="00C41CD3"/>
    <w:rsid w:val="00C4337C"/>
    <w:rsid w:val="00C44597"/>
    <w:rsid w:val="00C44EA3"/>
    <w:rsid w:val="00C45051"/>
    <w:rsid w:val="00C4517C"/>
    <w:rsid w:val="00C46CF8"/>
    <w:rsid w:val="00C475AA"/>
    <w:rsid w:val="00C525B1"/>
    <w:rsid w:val="00C53198"/>
    <w:rsid w:val="00C53CD2"/>
    <w:rsid w:val="00C53F6E"/>
    <w:rsid w:val="00C559FC"/>
    <w:rsid w:val="00C55BA1"/>
    <w:rsid w:val="00C55E6C"/>
    <w:rsid w:val="00C56654"/>
    <w:rsid w:val="00C60287"/>
    <w:rsid w:val="00C60BDC"/>
    <w:rsid w:val="00C61027"/>
    <w:rsid w:val="00C6263D"/>
    <w:rsid w:val="00C62C3D"/>
    <w:rsid w:val="00C64705"/>
    <w:rsid w:val="00C65576"/>
    <w:rsid w:val="00C65DB0"/>
    <w:rsid w:val="00C66165"/>
    <w:rsid w:val="00C66604"/>
    <w:rsid w:val="00C66AC7"/>
    <w:rsid w:val="00C7060E"/>
    <w:rsid w:val="00C710D1"/>
    <w:rsid w:val="00C7151A"/>
    <w:rsid w:val="00C71A0D"/>
    <w:rsid w:val="00C71F60"/>
    <w:rsid w:val="00C72241"/>
    <w:rsid w:val="00C72F38"/>
    <w:rsid w:val="00C743F3"/>
    <w:rsid w:val="00C74B55"/>
    <w:rsid w:val="00C74DEB"/>
    <w:rsid w:val="00C750C8"/>
    <w:rsid w:val="00C7560F"/>
    <w:rsid w:val="00C75A66"/>
    <w:rsid w:val="00C764CD"/>
    <w:rsid w:val="00C76819"/>
    <w:rsid w:val="00C7750C"/>
    <w:rsid w:val="00C77DAD"/>
    <w:rsid w:val="00C801F3"/>
    <w:rsid w:val="00C8022C"/>
    <w:rsid w:val="00C80592"/>
    <w:rsid w:val="00C80A0E"/>
    <w:rsid w:val="00C819EA"/>
    <w:rsid w:val="00C8213F"/>
    <w:rsid w:val="00C82B81"/>
    <w:rsid w:val="00C84F5F"/>
    <w:rsid w:val="00C85446"/>
    <w:rsid w:val="00C864ED"/>
    <w:rsid w:val="00C86B3D"/>
    <w:rsid w:val="00C8797A"/>
    <w:rsid w:val="00C87AA8"/>
    <w:rsid w:val="00C900B8"/>
    <w:rsid w:val="00C90C71"/>
    <w:rsid w:val="00C9104C"/>
    <w:rsid w:val="00C91339"/>
    <w:rsid w:val="00C91DDD"/>
    <w:rsid w:val="00C92755"/>
    <w:rsid w:val="00C92DB3"/>
    <w:rsid w:val="00C92FA3"/>
    <w:rsid w:val="00C931CF"/>
    <w:rsid w:val="00C935A8"/>
    <w:rsid w:val="00C938CF"/>
    <w:rsid w:val="00C94154"/>
    <w:rsid w:val="00C95420"/>
    <w:rsid w:val="00C956CE"/>
    <w:rsid w:val="00C95E59"/>
    <w:rsid w:val="00C9624D"/>
    <w:rsid w:val="00C969DA"/>
    <w:rsid w:val="00C96F69"/>
    <w:rsid w:val="00C979EA"/>
    <w:rsid w:val="00CA0678"/>
    <w:rsid w:val="00CA0E5B"/>
    <w:rsid w:val="00CA268D"/>
    <w:rsid w:val="00CA2C77"/>
    <w:rsid w:val="00CA2E69"/>
    <w:rsid w:val="00CA3BB5"/>
    <w:rsid w:val="00CA444F"/>
    <w:rsid w:val="00CA4FC1"/>
    <w:rsid w:val="00CA5245"/>
    <w:rsid w:val="00CA54EC"/>
    <w:rsid w:val="00CA620B"/>
    <w:rsid w:val="00CA623A"/>
    <w:rsid w:val="00CA6A3C"/>
    <w:rsid w:val="00CA6C94"/>
    <w:rsid w:val="00CA6D5D"/>
    <w:rsid w:val="00CA71F4"/>
    <w:rsid w:val="00CA7B09"/>
    <w:rsid w:val="00CB021A"/>
    <w:rsid w:val="00CB03C9"/>
    <w:rsid w:val="00CB1F4F"/>
    <w:rsid w:val="00CB244C"/>
    <w:rsid w:val="00CB2F2A"/>
    <w:rsid w:val="00CB3113"/>
    <w:rsid w:val="00CB5B1A"/>
    <w:rsid w:val="00CB5D9D"/>
    <w:rsid w:val="00CB6B22"/>
    <w:rsid w:val="00CB7CAF"/>
    <w:rsid w:val="00CB7F5F"/>
    <w:rsid w:val="00CC1B39"/>
    <w:rsid w:val="00CC2B70"/>
    <w:rsid w:val="00CC356C"/>
    <w:rsid w:val="00CC414A"/>
    <w:rsid w:val="00CC6F2C"/>
    <w:rsid w:val="00CC7BB0"/>
    <w:rsid w:val="00CD0110"/>
    <w:rsid w:val="00CD16BF"/>
    <w:rsid w:val="00CD22A9"/>
    <w:rsid w:val="00CD22D0"/>
    <w:rsid w:val="00CD31B3"/>
    <w:rsid w:val="00CD3798"/>
    <w:rsid w:val="00CD37E7"/>
    <w:rsid w:val="00CD4835"/>
    <w:rsid w:val="00CD4A91"/>
    <w:rsid w:val="00CD55D8"/>
    <w:rsid w:val="00CD6ADC"/>
    <w:rsid w:val="00CD7B9A"/>
    <w:rsid w:val="00CE0023"/>
    <w:rsid w:val="00CE08EB"/>
    <w:rsid w:val="00CE184E"/>
    <w:rsid w:val="00CE1BBA"/>
    <w:rsid w:val="00CE265D"/>
    <w:rsid w:val="00CE3788"/>
    <w:rsid w:val="00CE59DF"/>
    <w:rsid w:val="00CE6274"/>
    <w:rsid w:val="00CE6385"/>
    <w:rsid w:val="00CE7684"/>
    <w:rsid w:val="00CE7772"/>
    <w:rsid w:val="00CE77A2"/>
    <w:rsid w:val="00CF0CF7"/>
    <w:rsid w:val="00CF17AB"/>
    <w:rsid w:val="00CF1ADA"/>
    <w:rsid w:val="00CF2B8D"/>
    <w:rsid w:val="00CF3A04"/>
    <w:rsid w:val="00CF456B"/>
    <w:rsid w:val="00CF4C24"/>
    <w:rsid w:val="00CF4FF8"/>
    <w:rsid w:val="00CF5A22"/>
    <w:rsid w:val="00CF6875"/>
    <w:rsid w:val="00D0051C"/>
    <w:rsid w:val="00D0091B"/>
    <w:rsid w:val="00D024C4"/>
    <w:rsid w:val="00D0262E"/>
    <w:rsid w:val="00D028DD"/>
    <w:rsid w:val="00D03C62"/>
    <w:rsid w:val="00D04DC0"/>
    <w:rsid w:val="00D060D8"/>
    <w:rsid w:val="00D06801"/>
    <w:rsid w:val="00D06AA8"/>
    <w:rsid w:val="00D06AB8"/>
    <w:rsid w:val="00D06DC4"/>
    <w:rsid w:val="00D1003F"/>
    <w:rsid w:val="00D101D7"/>
    <w:rsid w:val="00D110BD"/>
    <w:rsid w:val="00D12A99"/>
    <w:rsid w:val="00D13675"/>
    <w:rsid w:val="00D141E1"/>
    <w:rsid w:val="00D15563"/>
    <w:rsid w:val="00D16080"/>
    <w:rsid w:val="00D17D6C"/>
    <w:rsid w:val="00D207E0"/>
    <w:rsid w:val="00D2212C"/>
    <w:rsid w:val="00D245B4"/>
    <w:rsid w:val="00D26404"/>
    <w:rsid w:val="00D26B08"/>
    <w:rsid w:val="00D26F17"/>
    <w:rsid w:val="00D2754D"/>
    <w:rsid w:val="00D27B27"/>
    <w:rsid w:val="00D3009F"/>
    <w:rsid w:val="00D31638"/>
    <w:rsid w:val="00D31E16"/>
    <w:rsid w:val="00D32E9F"/>
    <w:rsid w:val="00D330D0"/>
    <w:rsid w:val="00D3326F"/>
    <w:rsid w:val="00D33BE9"/>
    <w:rsid w:val="00D357FF"/>
    <w:rsid w:val="00D3642E"/>
    <w:rsid w:val="00D36BBF"/>
    <w:rsid w:val="00D37378"/>
    <w:rsid w:val="00D41B21"/>
    <w:rsid w:val="00D41C43"/>
    <w:rsid w:val="00D424C7"/>
    <w:rsid w:val="00D42F55"/>
    <w:rsid w:val="00D4377F"/>
    <w:rsid w:val="00D43B2A"/>
    <w:rsid w:val="00D4460D"/>
    <w:rsid w:val="00D470AC"/>
    <w:rsid w:val="00D473AD"/>
    <w:rsid w:val="00D47575"/>
    <w:rsid w:val="00D4761B"/>
    <w:rsid w:val="00D50CFB"/>
    <w:rsid w:val="00D50EB2"/>
    <w:rsid w:val="00D53955"/>
    <w:rsid w:val="00D54840"/>
    <w:rsid w:val="00D55131"/>
    <w:rsid w:val="00D574EB"/>
    <w:rsid w:val="00D57882"/>
    <w:rsid w:val="00D57D86"/>
    <w:rsid w:val="00D60241"/>
    <w:rsid w:val="00D607A1"/>
    <w:rsid w:val="00D60962"/>
    <w:rsid w:val="00D60A97"/>
    <w:rsid w:val="00D60B63"/>
    <w:rsid w:val="00D61610"/>
    <w:rsid w:val="00D62E57"/>
    <w:rsid w:val="00D64D66"/>
    <w:rsid w:val="00D64EDE"/>
    <w:rsid w:val="00D66887"/>
    <w:rsid w:val="00D67FF9"/>
    <w:rsid w:val="00D70829"/>
    <w:rsid w:val="00D709A2"/>
    <w:rsid w:val="00D70F16"/>
    <w:rsid w:val="00D71058"/>
    <w:rsid w:val="00D7192F"/>
    <w:rsid w:val="00D72FAA"/>
    <w:rsid w:val="00D74054"/>
    <w:rsid w:val="00D75C30"/>
    <w:rsid w:val="00D76236"/>
    <w:rsid w:val="00D7645F"/>
    <w:rsid w:val="00D76A44"/>
    <w:rsid w:val="00D815EF"/>
    <w:rsid w:val="00D8161D"/>
    <w:rsid w:val="00D81A7D"/>
    <w:rsid w:val="00D82B09"/>
    <w:rsid w:val="00D83745"/>
    <w:rsid w:val="00D83865"/>
    <w:rsid w:val="00D856C7"/>
    <w:rsid w:val="00D858C1"/>
    <w:rsid w:val="00D85C18"/>
    <w:rsid w:val="00D86D93"/>
    <w:rsid w:val="00D908A4"/>
    <w:rsid w:val="00D90E40"/>
    <w:rsid w:val="00D91923"/>
    <w:rsid w:val="00D9347C"/>
    <w:rsid w:val="00D93753"/>
    <w:rsid w:val="00D93E54"/>
    <w:rsid w:val="00D9477E"/>
    <w:rsid w:val="00D94F8A"/>
    <w:rsid w:val="00D95655"/>
    <w:rsid w:val="00DA0D83"/>
    <w:rsid w:val="00DA1502"/>
    <w:rsid w:val="00DA1F9E"/>
    <w:rsid w:val="00DA3099"/>
    <w:rsid w:val="00DA3167"/>
    <w:rsid w:val="00DA3748"/>
    <w:rsid w:val="00DA486E"/>
    <w:rsid w:val="00DA4DC3"/>
    <w:rsid w:val="00DA5076"/>
    <w:rsid w:val="00DA7068"/>
    <w:rsid w:val="00DA77A5"/>
    <w:rsid w:val="00DB09F4"/>
    <w:rsid w:val="00DB2EA5"/>
    <w:rsid w:val="00DB422C"/>
    <w:rsid w:val="00DB449E"/>
    <w:rsid w:val="00DB4846"/>
    <w:rsid w:val="00DB484F"/>
    <w:rsid w:val="00DB4A75"/>
    <w:rsid w:val="00DB50AE"/>
    <w:rsid w:val="00DC04F6"/>
    <w:rsid w:val="00DC0F7B"/>
    <w:rsid w:val="00DC2171"/>
    <w:rsid w:val="00DC2B80"/>
    <w:rsid w:val="00DC2E24"/>
    <w:rsid w:val="00DC3AA0"/>
    <w:rsid w:val="00DC3C57"/>
    <w:rsid w:val="00DC40DB"/>
    <w:rsid w:val="00DC5501"/>
    <w:rsid w:val="00DC77DD"/>
    <w:rsid w:val="00DD0F58"/>
    <w:rsid w:val="00DD18DE"/>
    <w:rsid w:val="00DD273C"/>
    <w:rsid w:val="00DD3B55"/>
    <w:rsid w:val="00DD3F28"/>
    <w:rsid w:val="00DD4537"/>
    <w:rsid w:val="00DD4BF9"/>
    <w:rsid w:val="00DD4E15"/>
    <w:rsid w:val="00DD4E30"/>
    <w:rsid w:val="00DD57AD"/>
    <w:rsid w:val="00DE0920"/>
    <w:rsid w:val="00DE1D3A"/>
    <w:rsid w:val="00DE3138"/>
    <w:rsid w:val="00DE3484"/>
    <w:rsid w:val="00DE37F8"/>
    <w:rsid w:val="00DE4576"/>
    <w:rsid w:val="00DE4E3D"/>
    <w:rsid w:val="00DE4F2E"/>
    <w:rsid w:val="00DE4FCB"/>
    <w:rsid w:val="00DE6C1F"/>
    <w:rsid w:val="00DE7832"/>
    <w:rsid w:val="00DF0580"/>
    <w:rsid w:val="00DF068C"/>
    <w:rsid w:val="00DF18FC"/>
    <w:rsid w:val="00DF21AD"/>
    <w:rsid w:val="00DF30DE"/>
    <w:rsid w:val="00DF5D2B"/>
    <w:rsid w:val="00DF6DD6"/>
    <w:rsid w:val="00E00C86"/>
    <w:rsid w:val="00E00E8E"/>
    <w:rsid w:val="00E0278D"/>
    <w:rsid w:val="00E031F5"/>
    <w:rsid w:val="00E03CCC"/>
    <w:rsid w:val="00E05630"/>
    <w:rsid w:val="00E06DBB"/>
    <w:rsid w:val="00E071DE"/>
    <w:rsid w:val="00E075C4"/>
    <w:rsid w:val="00E10149"/>
    <w:rsid w:val="00E105E6"/>
    <w:rsid w:val="00E107A3"/>
    <w:rsid w:val="00E10D7E"/>
    <w:rsid w:val="00E11B3F"/>
    <w:rsid w:val="00E1204B"/>
    <w:rsid w:val="00E132D7"/>
    <w:rsid w:val="00E159DF"/>
    <w:rsid w:val="00E16372"/>
    <w:rsid w:val="00E179F8"/>
    <w:rsid w:val="00E17DA4"/>
    <w:rsid w:val="00E20E4D"/>
    <w:rsid w:val="00E20ED6"/>
    <w:rsid w:val="00E21008"/>
    <w:rsid w:val="00E21358"/>
    <w:rsid w:val="00E2249B"/>
    <w:rsid w:val="00E22665"/>
    <w:rsid w:val="00E22A0D"/>
    <w:rsid w:val="00E2308A"/>
    <w:rsid w:val="00E23F2D"/>
    <w:rsid w:val="00E24BA0"/>
    <w:rsid w:val="00E255FC"/>
    <w:rsid w:val="00E264E1"/>
    <w:rsid w:val="00E2771E"/>
    <w:rsid w:val="00E3055A"/>
    <w:rsid w:val="00E312E5"/>
    <w:rsid w:val="00E314D6"/>
    <w:rsid w:val="00E31792"/>
    <w:rsid w:val="00E32225"/>
    <w:rsid w:val="00E34948"/>
    <w:rsid w:val="00E368AD"/>
    <w:rsid w:val="00E372F6"/>
    <w:rsid w:val="00E37569"/>
    <w:rsid w:val="00E37B6E"/>
    <w:rsid w:val="00E413FA"/>
    <w:rsid w:val="00E41780"/>
    <w:rsid w:val="00E41C57"/>
    <w:rsid w:val="00E41E30"/>
    <w:rsid w:val="00E42C2B"/>
    <w:rsid w:val="00E4308D"/>
    <w:rsid w:val="00E43762"/>
    <w:rsid w:val="00E43D70"/>
    <w:rsid w:val="00E464F8"/>
    <w:rsid w:val="00E4668A"/>
    <w:rsid w:val="00E466F3"/>
    <w:rsid w:val="00E47B2C"/>
    <w:rsid w:val="00E47D40"/>
    <w:rsid w:val="00E50506"/>
    <w:rsid w:val="00E50DC0"/>
    <w:rsid w:val="00E5102B"/>
    <w:rsid w:val="00E5119A"/>
    <w:rsid w:val="00E51560"/>
    <w:rsid w:val="00E51636"/>
    <w:rsid w:val="00E528ED"/>
    <w:rsid w:val="00E53158"/>
    <w:rsid w:val="00E53E74"/>
    <w:rsid w:val="00E53EA9"/>
    <w:rsid w:val="00E54347"/>
    <w:rsid w:val="00E549A3"/>
    <w:rsid w:val="00E55424"/>
    <w:rsid w:val="00E55BB5"/>
    <w:rsid w:val="00E57E3B"/>
    <w:rsid w:val="00E60FE5"/>
    <w:rsid w:val="00E62743"/>
    <w:rsid w:val="00E62A3B"/>
    <w:rsid w:val="00E633ED"/>
    <w:rsid w:val="00E64542"/>
    <w:rsid w:val="00E64F44"/>
    <w:rsid w:val="00E65E79"/>
    <w:rsid w:val="00E66BA2"/>
    <w:rsid w:val="00E673B4"/>
    <w:rsid w:val="00E67416"/>
    <w:rsid w:val="00E718B6"/>
    <w:rsid w:val="00E71BDE"/>
    <w:rsid w:val="00E723BA"/>
    <w:rsid w:val="00E73581"/>
    <w:rsid w:val="00E7420C"/>
    <w:rsid w:val="00E7437C"/>
    <w:rsid w:val="00E7483E"/>
    <w:rsid w:val="00E74F89"/>
    <w:rsid w:val="00E77BC0"/>
    <w:rsid w:val="00E829DD"/>
    <w:rsid w:val="00E833F7"/>
    <w:rsid w:val="00E83BDF"/>
    <w:rsid w:val="00E84C32"/>
    <w:rsid w:val="00E8602E"/>
    <w:rsid w:val="00E861BC"/>
    <w:rsid w:val="00E87A1D"/>
    <w:rsid w:val="00E87F96"/>
    <w:rsid w:val="00E90430"/>
    <w:rsid w:val="00E912A5"/>
    <w:rsid w:val="00E91997"/>
    <w:rsid w:val="00E926A5"/>
    <w:rsid w:val="00E95A16"/>
    <w:rsid w:val="00E9641F"/>
    <w:rsid w:val="00E968C5"/>
    <w:rsid w:val="00EA0802"/>
    <w:rsid w:val="00EA17C3"/>
    <w:rsid w:val="00EA1CEB"/>
    <w:rsid w:val="00EA221A"/>
    <w:rsid w:val="00EA2B54"/>
    <w:rsid w:val="00EA2CAA"/>
    <w:rsid w:val="00EA3373"/>
    <w:rsid w:val="00EA3864"/>
    <w:rsid w:val="00EA3A44"/>
    <w:rsid w:val="00EA3B46"/>
    <w:rsid w:val="00EA50D3"/>
    <w:rsid w:val="00EA5820"/>
    <w:rsid w:val="00EA6265"/>
    <w:rsid w:val="00EA6B67"/>
    <w:rsid w:val="00EA710D"/>
    <w:rsid w:val="00EA7A9E"/>
    <w:rsid w:val="00EB15B6"/>
    <w:rsid w:val="00EB1787"/>
    <w:rsid w:val="00EB2138"/>
    <w:rsid w:val="00EB29D3"/>
    <w:rsid w:val="00EB336A"/>
    <w:rsid w:val="00EB4065"/>
    <w:rsid w:val="00EB4916"/>
    <w:rsid w:val="00EB4BEC"/>
    <w:rsid w:val="00EB6270"/>
    <w:rsid w:val="00EB79DB"/>
    <w:rsid w:val="00EC00C9"/>
    <w:rsid w:val="00EC1528"/>
    <w:rsid w:val="00EC2649"/>
    <w:rsid w:val="00EC5397"/>
    <w:rsid w:val="00EC5B4B"/>
    <w:rsid w:val="00EC5C22"/>
    <w:rsid w:val="00EC6567"/>
    <w:rsid w:val="00EC65A6"/>
    <w:rsid w:val="00EC6D77"/>
    <w:rsid w:val="00EC7656"/>
    <w:rsid w:val="00ED078E"/>
    <w:rsid w:val="00ED15BF"/>
    <w:rsid w:val="00ED1C50"/>
    <w:rsid w:val="00ED3EA3"/>
    <w:rsid w:val="00ED4C0E"/>
    <w:rsid w:val="00ED53DD"/>
    <w:rsid w:val="00ED57EA"/>
    <w:rsid w:val="00ED5C09"/>
    <w:rsid w:val="00ED7F82"/>
    <w:rsid w:val="00ED7FC4"/>
    <w:rsid w:val="00EE07D3"/>
    <w:rsid w:val="00EE22AF"/>
    <w:rsid w:val="00EE3E5F"/>
    <w:rsid w:val="00EE46CD"/>
    <w:rsid w:val="00EE500F"/>
    <w:rsid w:val="00EE71C4"/>
    <w:rsid w:val="00EF0171"/>
    <w:rsid w:val="00EF1B25"/>
    <w:rsid w:val="00EF1BC9"/>
    <w:rsid w:val="00EF2B2A"/>
    <w:rsid w:val="00EF3420"/>
    <w:rsid w:val="00EF38F7"/>
    <w:rsid w:val="00EF3CBF"/>
    <w:rsid w:val="00EF4127"/>
    <w:rsid w:val="00EF43D5"/>
    <w:rsid w:val="00EF4747"/>
    <w:rsid w:val="00EF4BF8"/>
    <w:rsid w:val="00EF6A35"/>
    <w:rsid w:val="00EF6DE5"/>
    <w:rsid w:val="00EF6FB4"/>
    <w:rsid w:val="00EF708A"/>
    <w:rsid w:val="00EF710A"/>
    <w:rsid w:val="00F008A3"/>
    <w:rsid w:val="00F0127D"/>
    <w:rsid w:val="00F015CC"/>
    <w:rsid w:val="00F021FF"/>
    <w:rsid w:val="00F02253"/>
    <w:rsid w:val="00F03803"/>
    <w:rsid w:val="00F03C2E"/>
    <w:rsid w:val="00F0425A"/>
    <w:rsid w:val="00F04767"/>
    <w:rsid w:val="00F04A66"/>
    <w:rsid w:val="00F04B3B"/>
    <w:rsid w:val="00F0516C"/>
    <w:rsid w:val="00F05A41"/>
    <w:rsid w:val="00F060DE"/>
    <w:rsid w:val="00F067A2"/>
    <w:rsid w:val="00F06B8E"/>
    <w:rsid w:val="00F07D45"/>
    <w:rsid w:val="00F123A4"/>
    <w:rsid w:val="00F1263A"/>
    <w:rsid w:val="00F14781"/>
    <w:rsid w:val="00F1492C"/>
    <w:rsid w:val="00F14B87"/>
    <w:rsid w:val="00F175C8"/>
    <w:rsid w:val="00F1767D"/>
    <w:rsid w:val="00F17817"/>
    <w:rsid w:val="00F22363"/>
    <w:rsid w:val="00F23118"/>
    <w:rsid w:val="00F231EE"/>
    <w:rsid w:val="00F23C6B"/>
    <w:rsid w:val="00F24837"/>
    <w:rsid w:val="00F2575F"/>
    <w:rsid w:val="00F26268"/>
    <w:rsid w:val="00F26D52"/>
    <w:rsid w:val="00F26EAD"/>
    <w:rsid w:val="00F27565"/>
    <w:rsid w:val="00F279B3"/>
    <w:rsid w:val="00F310D4"/>
    <w:rsid w:val="00F31D5A"/>
    <w:rsid w:val="00F33DC9"/>
    <w:rsid w:val="00F33DE9"/>
    <w:rsid w:val="00F3619A"/>
    <w:rsid w:val="00F3626D"/>
    <w:rsid w:val="00F36482"/>
    <w:rsid w:val="00F36866"/>
    <w:rsid w:val="00F36E86"/>
    <w:rsid w:val="00F37250"/>
    <w:rsid w:val="00F40AAA"/>
    <w:rsid w:val="00F40BA7"/>
    <w:rsid w:val="00F426E6"/>
    <w:rsid w:val="00F44F02"/>
    <w:rsid w:val="00F46CB6"/>
    <w:rsid w:val="00F478BE"/>
    <w:rsid w:val="00F47DE8"/>
    <w:rsid w:val="00F538E1"/>
    <w:rsid w:val="00F542C1"/>
    <w:rsid w:val="00F54D7E"/>
    <w:rsid w:val="00F55141"/>
    <w:rsid w:val="00F55E73"/>
    <w:rsid w:val="00F55EDA"/>
    <w:rsid w:val="00F56B18"/>
    <w:rsid w:val="00F56E58"/>
    <w:rsid w:val="00F5706F"/>
    <w:rsid w:val="00F57561"/>
    <w:rsid w:val="00F60092"/>
    <w:rsid w:val="00F60402"/>
    <w:rsid w:val="00F61156"/>
    <w:rsid w:val="00F65F4B"/>
    <w:rsid w:val="00F674A0"/>
    <w:rsid w:val="00F70C9D"/>
    <w:rsid w:val="00F70D00"/>
    <w:rsid w:val="00F715ED"/>
    <w:rsid w:val="00F72191"/>
    <w:rsid w:val="00F73AB5"/>
    <w:rsid w:val="00F73B99"/>
    <w:rsid w:val="00F73F3D"/>
    <w:rsid w:val="00F74CD9"/>
    <w:rsid w:val="00F74F10"/>
    <w:rsid w:val="00F76202"/>
    <w:rsid w:val="00F76FD7"/>
    <w:rsid w:val="00F77463"/>
    <w:rsid w:val="00F77B81"/>
    <w:rsid w:val="00F80A7B"/>
    <w:rsid w:val="00F80E5D"/>
    <w:rsid w:val="00F813F1"/>
    <w:rsid w:val="00F8170F"/>
    <w:rsid w:val="00F825E7"/>
    <w:rsid w:val="00F829C4"/>
    <w:rsid w:val="00F851CE"/>
    <w:rsid w:val="00F86101"/>
    <w:rsid w:val="00F86A3F"/>
    <w:rsid w:val="00F86D74"/>
    <w:rsid w:val="00F90032"/>
    <w:rsid w:val="00F90827"/>
    <w:rsid w:val="00F91219"/>
    <w:rsid w:val="00F91BCC"/>
    <w:rsid w:val="00F92312"/>
    <w:rsid w:val="00F92832"/>
    <w:rsid w:val="00F928A2"/>
    <w:rsid w:val="00F94A04"/>
    <w:rsid w:val="00F97081"/>
    <w:rsid w:val="00F9725F"/>
    <w:rsid w:val="00F978A4"/>
    <w:rsid w:val="00F97A78"/>
    <w:rsid w:val="00FA049E"/>
    <w:rsid w:val="00FA0B20"/>
    <w:rsid w:val="00FA13FF"/>
    <w:rsid w:val="00FA1AB6"/>
    <w:rsid w:val="00FA24E7"/>
    <w:rsid w:val="00FA2C3D"/>
    <w:rsid w:val="00FA4B12"/>
    <w:rsid w:val="00FA62D7"/>
    <w:rsid w:val="00FA63E0"/>
    <w:rsid w:val="00FA6B86"/>
    <w:rsid w:val="00FA6E76"/>
    <w:rsid w:val="00FA7A5B"/>
    <w:rsid w:val="00FB0DC7"/>
    <w:rsid w:val="00FB0EFE"/>
    <w:rsid w:val="00FB1382"/>
    <w:rsid w:val="00FB1960"/>
    <w:rsid w:val="00FB2FCB"/>
    <w:rsid w:val="00FB40EE"/>
    <w:rsid w:val="00FB58B8"/>
    <w:rsid w:val="00FB72EE"/>
    <w:rsid w:val="00FB7AB2"/>
    <w:rsid w:val="00FC032F"/>
    <w:rsid w:val="00FC0C05"/>
    <w:rsid w:val="00FC1074"/>
    <w:rsid w:val="00FC1884"/>
    <w:rsid w:val="00FC1972"/>
    <w:rsid w:val="00FC23A1"/>
    <w:rsid w:val="00FC371D"/>
    <w:rsid w:val="00FC3C5B"/>
    <w:rsid w:val="00FC4F68"/>
    <w:rsid w:val="00FC4FA9"/>
    <w:rsid w:val="00FC5F0B"/>
    <w:rsid w:val="00FC737E"/>
    <w:rsid w:val="00FC7C76"/>
    <w:rsid w:val="00FD2100"/>
    <w:rsid w:val="00FD2203"/>
    <w:rsid w:val="00FD254E"/>
    <w:rsid w:val="00FD2EEC"/>
    <w:rsid w:val="00FD3015"/>
    <w:rsid w:val="00FD3FFA"/>
    <w:rsid w:val="00FD436C"/>
    <w:rsid w:val="00FD4465"/>
    <w:rsid w:val="00FD446D"/>
    <w:rsid w:val="00FD4816"/>
    <w:rsid w:val="00FD4B44"/>
    <w:rsid w:val="00FD5A0A"/>
    <w:rsid w:val="00FD5CC8"/>
    <w:rsid w:val="00FD6394"/>
    <w:rsid w:val="00FD73DD"/>
    <w:rsid w:val="00FD7E85"/>
    <w:rsid w:val="00FE0E6C"/>
    <w:rsid w:val="00FE0F91"/>
    <w:rsid w:val="00FE232A"/>
    <w:rsid w:val="00FE2482"/>
    <w:rsid w:val="00FE3309"/>
    <w:rsid w:val="00FE6650"/>
    <w:rsid w:val="00FE70C3"/>
    <w:rsid w:val="00FE7F08"/>
    <w:rsid w:val="00FF03BB"/>
    <w:rsid w:val="00FF0A55"/>
    <w:rsid w:val="00FF0FD4"/>
    <w:rsid w:val="00FF3DCF"/>
    <w:rsid w:val="00FF3FA3"/>
    <w:rsid w:val="00FF44C5"/>
    <w:rsid w:val="00FF492C"/>
    <w:rsid w:val="00FF4A21"/>
    <w:rsid w:val="00FF5AA3"/>
    <w:rsid w:val="00FF5AD8"/>
    <w:rsid w:val="00FF5F06"/>
    <w:rsid w:val="00FF667B"/>
    <w:rsid w:val="00FF6FB0"/>
    <w:rsid w:val="00FF77E2"/>
    <w:rsid w:val="00FF7E1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27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C98"/>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 Char"/>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spacing w:after="0"/>
      <w:ind w:left="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TableofFigures">
    <w:name w:val="table of figures"/>
    <w:basedOn w:val="Normal"/>
    <w:next w:val="Normal"/>
    <w:uiPriority w:val="99"/>
    <w:rsid w:val="00787CE3"/>
    <w:pPr>
      <w:widowControl/>
      <w:spacing w:after="120"/>
      <w:ind w:left="1202" w:hanging="1202"/>
      <w:jc w:val="left"/>
    </w:pPr>
    <w:rPr>
      <w:rFonts w:ascii="Cambria" w:hAnsi="Cambria" w:cs="Times New Roman"/>
      <w:snapToGrid/>
      <w:sz w:val="22"/>
      <w:szCs w:val="24"/>
    </w:rPr>
  </w:style>
  <w:style w:type="paragraph" w:customStyle="1" w:styleId="Tablefootnotes">
    <w:name w:val="Table footnotes"/>
    <w:basedOn w:val="BodyText"/>
    <w:qFormat/>
    <w:rsid w:val="007C464C"/>
    <w:pPr>
      <w:keepLines/>
      <w:widowControl/>
      <w:spacing w:after="240"/>
      <w:contextualSpacing/>
    </w:pPr>
    <w:rPr>
      <w:snapToGrid/>
      <w:sz w:val="16"/>
      <w:szCs w:val="24"/>
    </w:rPr>
  </w:style>
  <w:style w:type="paragraph" w:customStyle="1" w:styleId="Default">
    <w:name w:val="Default"/>
    <w:rsid w:val="00D76236"/>
    <w:pPr>
      <w:suppressAutoHyphens/>
      <w:autoSpaceDE w:val="0"/>
      <w:autoSpaceDN w:val="0"/>
    </w:pPr>
    <w:rPr>
      <w:color w:val="000000"/>
      <w:sz w:val="24"/>
      <w:szCs w:val="24"/>
      <w:lang w:val="en-US" w:eastAsia="en-US"/>
    </w:rPr>
  </w:style>
  <w:style w:type="paragraph" w:customStyle="1" w:styleId="TableText0">
    <w:name w:val="Table Text"/>
    <w:basedOn w:val="Normal"/>
    <w:qFormat/>
    <w:rsid w:val="00417CF1"/>
    <w:pPr>
      <w:widowControl/>
      <w:spacing w:before="40" w:after="40"/>
      <w:jc w:val="left"/>
    </w:pPr>
    <w:rPr>
      <w:rFonts w:ascii="Arial Narrow" w:eastAsiaTheme="minorHAnsi" w:hAnsi="Arial Narrow" w:cstheme="minorBidi"/>
      <w:snapToGrid/>
      <w:sz w:val="20"/>
    </w:rPr>
  </w:style>
  <w:style w:type="paragraph" w:customStyle="1" w:styleId="TableText1">
    <w:name w:val="TableText"/>
    <w:basedOn w:val="Normal"/>
    <w:link w:val="TableTextChar0"/>
    <w:qFormat/>
    <w:rsid w:val="00644563"/>
    <w:pPr>
      <w:keepNext/>
      <w:widowControl/>
      <w:spacing w:before="40" w:after="40" w:line="360" w:lineRule="auto"/>
      <w:jc w:val="left"/>
    </w:pPr>
    <w:rPr>
      <w:rFonts w:ascii="Arial Narrow" w:hAnsi="Arial Narrow" w:cs="Arial Narrow"/>
      <w:snapToGrid/>
      <w:sz w:val="20"/>
      <w:szCs w:val="20"/>
    </w:rPr>
  </w:style>
  <w:style w:type="character" w:customStyle="1" w:styleId="TableTextChar0">
    <w:name w:val="TableText Char"/>
    <w:basedOn w:val="DefaultParagraphFont"/>
    <w:link w:val="TableText1"/>
    <w:rsid w:val="00644563"/>
    <w:rPr>
      <w:rFonts w:ascii="Arial Narrow" w:hAnsi="Arial Narrow" w:cs="Arial Narrow"/>
      <w:lang w:eastAsia="en-US"/>
    </w:rPr>
  </w:style>
  <w:style w:type="paragraph" w:customStyle="1" w:styleId="Table">
    <w:name w:val="Table"/>
    <w:basedOn w:val="Normal"/>
    <w:qFormat/>
    <w:rsid w:val="007715FB"/>
    <w:pPr>
      <w:widowControl/>
      <w:jc w:val="left"/>
    </w:pPr>
    <w:rPr>
      <w:rFonts w:ascii="Arial Narrow" w:eastAsiaTheme="minorHAnsi" w:hAnsi="Arial Narrow" w:cstheme="minorBidi"/>
      <w:snapToGrid/>
      <w:sz w:val="20"/>
    </w:rPr>
  </w:style>
  <w:style w:type="paragraph" w:customStyle="1" w:styleId="xl78">
    <w:name w:val="xl78"/>
    <w:basedOn w:val="Normal"/>
    <w:rsid w:val="00B162F8"/>
    <w:pPr>
      <w:widowControl/>
      <w:shd w:val="clear" w:color="000000" w:fill="FFFF99"/>
      <w:spacing w:before="100" w:beforeAutospacing="1" w:after="100" w:afterAutospacing="1"/>
      <w:jc w:val="left"/>
    </w:pPr>
    <w:rPr>
      <w:rFonts w:ascii="Arial" w:hAnsi="Arial"/>
      <w:b/>
      <w:bCs/>
      <w:snapToGrid/>
      <w:szCs w:val="24"/>
      <w:lang w:eastAsia="en-AU"/>
    </w:rPr>
  </w:style>
  <w:style w:type="character" w:styleId="Emphasis">
    <w:name w:val="Emphasis"/>
    <w:basedOn w:val="DefaultParagraphFont"/>
    <w:uiPriority w:val="20"/>
    <w:qFormat/>
    <w:rsid w:val="00940740"/>
    <w:rPr>
      <w:i/>
      <w:iCs/>
    </w:rPr>
  </w:style>
  <w:style w:type="character" w:styleId="PlaceholderText">
    <w:name w:val="Placeholder Text"/>
    <w:basedOn w:val="DefaultParagraphFont"/>
    <w:uiPriority w:val="99"/>
    <w:semiHidden/>
    <w:rsid w:val="007156FA"/>
    <w:rPr>
      <w:color w:val="808080"/>
    </w:rPr>
  </w:style>
  <w:style w:type="paragraph" w:styleId="FootnoteText">
    <w:name w:val="footnote text"/>
    <w:basedOn w:val="Normal"/>
    <w:link w:val="FootnoteTextChar"/>
    <w:unhideWhenUsed/>
    <w:rsid w:val="007767EF"/>
    <w:rPr>
      <w:sz w:val="20"/>
      <w:szCs w:val="20"/>
    </w:rPr>
  </w:style>
  <w:style w:type="character" w:customStyle="1" w:styleId="FootnoteTextChar">
    <w:name w:val="Footnote Text Char"/>
    <w:basedOn w:val="DefaultParagraphFont"/>
    <w:link w:val="FootnoteText"/>
    <w:rsid w:val="007767EF"/>
    <w:rPr>
      <w:rFonts w:ascii="Calibri" w:hAnsi="Calibri" w:cs="Arial"/>
      <w:snapToGrid w:val="0"/>
      <w:lang w:eastAsia="en-US"/>
    </w:rPr>
  </w:style>
  <w:style w:type="character" w:styleId="FootnoteReference">
    <w:name w:val="footnote reference"/>
    <w:basedOn w:val="DefaultParagraphFont"/>
    <w:unhideWhenUsed/>
    <w:rsid w:val="007767EF"/>
    <w:rPr>
      <w:vertAlign w:val="superscript"/>
    </w:rPr>
  </w:style>
  <w:style w:type="character" w:customStyle="1" w:styleId="Heading3Char">
    <w:name w:val="Heading 3 Char"/>
    <w:basedOn w:val="DefaultParagraphFont"/>
    <w:link w:val="Heading3"/>
    <w:rsid w:val="00F37250"/>
    <w:rPr>
      <w:rFonts w:ascii="Calibri" w:hAnsi="Calibri" w:cs="Arial"/>
      <w:snapToGrid w:val="0"/>
      <w:sz w:val="24"/>
      <w:szCs w:val="22"/>
      <w:u w:val="single"/>
      <w:lang w:eastAsia="en-US"/>
    </w:rPr>
  </w:style>
  <w:style w:type="character" w:customStyle="1" w:styleId="Heading1Char">
    <w:name w:val="Heading 1 Char"/>
    <w:basedOn w:val="DefaultParagraphFont"/>
    <w:link w:val="Heading1"/>
    <w:rsid w:val="00563FEB"/>
    <w:rPr>
      <w:rFonts w:ascii="Calibri" w:hAnsi="Calibri" w:cs="Arial"/>
      <w:b/>
      <w:caps/>
      <w:snapToGrid w:val="0"/>
      <w:sz w:val="32"/>
      <w:szCs w:val="22"/>
      <w:lang w:eastAsia="en-US"/>
    </w:rPr>
  </w:style>
  <w:style w:type="character" w:customStyle="1" w:styleId="Heading4Char">
    <w:name w:val="Heading 4 Char"/>
    <w:basedOn w:val="DefaultParagraphFont"/>
    <w:link w:val="Heading4"/>
    <w:rsid w:val="00563FEB"/>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563FEB"/>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563FEB"/>
    <w:rPr>
      <w:rFonts w:ascii="Calibri" w:hAnsi="Calibri" w:cs="Arial"/>
      <w:b/>
      <w:bCs/>
      <w:i/>
      <w:snapToGrid w:val="0"/>
      <w:sz w:val="24"/>
      <w:szCs w:val="22"/>
      <w:lang w:eastAsia="en-US"/>
    </w:rPr>
  </w:style>
  <w:style w:type="character" w:customStyle="1" w:styleId="item-code2">
    <w:name w:val="item-code2"/>
    <w:rsid w:val="00776E88"/>
    <w:rPr>
      <w:vanish w:val="0"/>
      <w:webHidden w:val="0"/>
      <w:specVanish w:val="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4377F"/>
    <w:pPr>
      <w:widowControl/>
      <w:spacing w:after="160" w:line="240" w:lineRule="exact"/>
      <w:jc w:val="left"/>
    </w:pPr>
    <w:rPr>
      <w:rFonts w:ascii="Verdana" w:eastAsia="MS Mincho" w:hAnsi="Verdana" w:cs="Verdana"/>
      <w:snapToGrid/>
      <w:sz w:val="20"/>
      <w:szCs w:val="20"/>
      <w:lang w:val="en-US"/>
    </w:rPr>
  </w:style>
  <w:style w:type="character" w:customStyle="1" w:styleId="ilfuvd">
    <w:name w:val="ilfuvd"/>
    <w:basedOn w:val="DefaultParagraphFont"/>
    <w:rsid w:val="00AA6242"/>
  </w:style>
  <w:style w:type="paragraph" w:styleId="HTMLPreformatted">
    <w:name w:val="HTML Preformatted"/>
    <w:basedOn w:val="Normal"/>
    <w:link w:val="HTMLPreformattedChar"/>
    <w:uiPriority w:val="99"/>
    <w:unhideWhenUsed/>
    <w:rsid w:val="00D50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napToGrid/>
      <w:sz w:val="20"/>
      <w:szCs w:val="20"/>
      <w:lang w:eastAsia="en-AU"/>
    </w:rPr>
  </w:style>
  <w:style w:type="character" w:customStyle="1" w:styleId="HTMLPreformattedChar">
    <w:name w:val="HTML Preformatted Char"/>
    <w:basedOn w:val="DefaultParagraphFont"/>
    <w:link w:val="HTMLPreformatted"/>
    <w:uiPriority w:val="99"/>
    <w:rsid w:val="00D50CF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3705">
      <w:bodyDiv w:val="1"/>
      <w:marLeft w:val="0"/>
      <w:marRight w:val="0"/>
      <w:marTop w:val="0"/>
      <w:marBottom w:val="0"/>
      <w:divBdr>
        <w:top w:val="none" w:sz="0" w:space="0" w:color="auto"/>
        <w:left w:val="none" w:sz="0" w:space="0" w:color="auto"/>
        <w:bottom w:val="none" w:sz="0" w:space="0" w:color="auto"/>
        <w:right w:val="none" w:sz="0" w:space="0" w:color="auto"/>
      </w:divBdr>
      <w:divsChild>
        <w:div w:id="790123859">
          <w:marLeft w:val="1080"/>
          <w:marRight w:val="0"/>
          <w:marTop w:val="0"/>
          <w:marBottom w:val="0"/>
          <w:divBdr>
            <w:top w:val="none" w:sz="0" w:space="0" w:color="auto"/>
            <w:left w:val="none" w:sz="0" w:space="0" w:color="auto"/>
            <w:bottom w:val="none" w:sz="0" w:space="0" w:color="auto"/>
            <w:right w:val="none" w:sz="0" w:space="0" w:color="auto"/>
          </w:divBdr>
        </w:div>
        <w:div w:id="1523471157">
          <w:marLeft w:val="360"/>
          <w:marRight w:val="0"/>
          <w:marTop w:val="0"/>
          <w:marBottom w:val="0"/>
          <w:divBdr>
            <w:top w:val="none" w:sz="0" w:space="0" w:color="auto"/>
            <w:left w:val="none" w:sz="0" w:space="0" w:color="auto"/>
            <w:bottom w:val="none" w:sz="0" w:space="0" w:color="auto"/>
            <w:right w:val="none" w:sz="0" w:space="0" w:color="auto"/>
          </w:divBdr>
        </w:div>
        <w:div w:id="1751580838">
          <w:marLeft w:val="1080"/>
          <w:marRight w:val="0"/>
          <w:marTop w:val="0"/>
          <w:marBottom w:val="0"/>
          <w:divBdr>
            <w:top w:val="none" w:sz="0" w:space="0" w:color="auto"/>
            <w:left w:val="none" w:sz="0" w:space="0" w:color="auto"/>
            <w:bottom w:val="none" w:sz="0" w:space="0" w:color="auto"/>
            <w:right w:val="none" w:sz="0" w:space="0" w:color="auto"/>
          </w:divBdr>
        </w:div>
      </w:divsChild>
    </w:div>
    <w:div w:id="31686486">
      <w:bodyDiv w:val="1"/>
      <w:marLeft w:val="0"/>
      <w:marRight w:val="0"/>
      <w:marTop w:val="0"/>
      <w:marBottom w:val="0"/>
      <w:divBdr>
        <w:top w:val="none" w:sz="0" w:space="0" w:color="auto"/>
        <w:left w:val="none" w:sz="0" w:space="0" w:color="auto"/>
        <w:bottom w:val="none" w:sz="0" w:space="0" w:color="auto"/>
        <w:right w:val="none" w:sz="0" w:space="0" w:color="auto"/>
      </w:divBdr>
    </w:div>
    <w:div w:id="82652733">
      <w:bodyDiv w:val="1"/>
      <w:marLeft w:val="0"/>
      <w:marRight w:val="0"/>
      <w:marTop w:val="0"/>
      <w:marBottom w:val="0"/>
      <w:divBdr>
        <w:top w:val="none" w:sz="0" w:space="0" w:color="auto"/>
        <w:left w:val="none" w:sz="0" w:space="0" w:color="auto"/>
        <w:bottom w:val="none" w:sz="0" w:space="0" w:color="auto"/>
        <w:right w:val="none" w:sz="0" w:space="0" w:color="auto"/>
      </w:divBdr>
      <w:divsChild>
        <w:div w:id="1861040846">
          <w:marLeft w:val="547"/>
          <w:marRight w:val="0"/>
          <w:marTop w:val="96"/>
          <w:marBottom w:val="0"/>
          <w:divBdr>
            <w:top w:val="none" w:sz="0" w:space="0" w:color="auto"/>
            <w:left w:val="none" w:sz="0" w:space="0" w:color="auto"/>
            <w:bottom w:val="none" w:sz="0" w:space="0" w:color="auto"/>
            <w:right w:val="none" w:sz="0" w:space="0" w:color="auto"/>
          </w:divBdr>
        </w:div>
      </w:divsChild>
    </w:div>
    <w:div w:id="168952917">
      <w:bodyDiv w:val="1"/>
      <w:marLeft w:val="0"/>
      <w:marRight w:val="0"/>
      <w:marTop w:val="0"/>
      <w:marBottom w:val="0"/>
      <w:divBdr>
        <w:top w:val="none" w:sz="0" w:space="0" w:color="auto"/>
        <w:left w:val="none" w:sz="0" w:space="0" w:color="auto"/>
        <w:bottom w:val="none" w:sz="0" w:space="0" w:color="auto"/>
        <w:right w:val="none" w:sz="0" w:space="0" w:color="auto"/>
      </w:divBdr>
    </w:div>
    <w:div w:id="195390810">
      <w:bodyDiv w:val="1"/>
      <w:marLeft w:val="0"/>
      <w:marRight w:val="0"/>
      <w:marTop w:val="0"/>
      <w:marBottom w:val="0"/>
      <w:divBdr>
        <w:top w:val="none" w:sz="0" w:space="0" w:color="auto"/>
        <w:left w:val="none" w:sz="0" w:space="0" w:color="auto"/>
        <w:bottom w:val="none" w:sz="0" w:space="0" w:color="auto"/>
        <w:right w:val="none" w:sz="0" w:space="0" w:color="auto"/>
      </w:divBdr>
    </w:div>
    <w:div w:id="201207984">
      <w:bodyDiv w:val="1"/>
      <w:marLeft w:val="0"/>
      <w:marRight w:val="0"/>
      <w:marTop w:val="0"/>
      <w:marBottom w:val="0"/>
      <w:divBdr>
        <w:top w:val="none" w:sz="0" w:space="0" w:color="auto"/>
        <w:left w:val="none" w:sz="0" w:space="0" w:color="auto"/>
        <w:bottom w:val="none" w:sz="0" w:space="0" w:color="auto"/>
        <w:right w:val="none" w:sz="0" w:space="0" w:color="auto"/>
      </w:divBdr>
      <w:divsChild>
        <w:div w:id="1766344052">
          <w:marLeft w:val="1800"/>
          <w:marRight w:val="0"/>
          <w:marTop w:val="77"/>
          <w:marBottom w:val="0"/>
          <w:divBdr>
            <w:top w:val="none" w:sz="0" w:space="0" w:color="auto"/>
            <w:left w:val="none" w:sz="0" w:space="0" w:color="auto"/>
            <w:bottom w:val="none" w:sz="0" w:space="0" w:color="auto"/>
            <w:right w:val="none" w:sz="0" w:space="0" w:color="auto"/>
          </w:divBdr>
        </w:div>
      </w:divsChild>
    </w:div>
    <w:div w:id="356587756">
      <w:bodyDiv w:val="1"/>
      <w:marLeft w:val="0"/>
      <w:marRight w:val="0"/>
      <w:marTop w:val="0"/>
      <w:marBottom w:val="0"/>
      <w:divBdr>
        <w:top w:val="none" w:sz="0" w:space="0" w:color="auto"/>
        <w:left w:val="none" w:sz="0" w:space="0" w:color="auto"/>
        <w:bottom w:val="none" w:sz="0" w:space="0" w:color="auto"/>
        <w:right w:val="none" w:sz="0" w:space="0" w:color="auto"/>
      </w:divBdr>
    </w:div>
    <w:div w:id="503470710">
      <w:bodyDiv w:val="1"/>
      <w:marLeft w:val="0"/>
      <w:marRight w:val="0"/>
      <w:marTop w:val="0"/>
      <w:marBottom w:val="0"/>
      <w:divBdr>
        <w:top w:val="none" w:sz="0" w:space="0" w:color="auto"/>
        <w:left w:val="none" w:sz="0" w:space="0" w:color="auto"/>
        <w:bottom w:val="none" w:sz="0" w:space="0" w:color="auto"/>
        <w:right w:val="none" w:sz="0" w:space="0" w:color="auto"/>
      </w:divBdr>
    </w:div>
    <w:div w:id="630747377">
      <w:bodyDiv w:val="1"/>
      <w:marLeft w:val="0"/>
      <w:marRight w:val="0"/>
      <w:marTop w:val="0"/>
      <w:marBottom w:val="0"/>
      <w:divBdr>
        <w:top w:val="none" w:sz="0" w:space="0" w:color="auto"/>
        <w:left w:val="none" w:sz="0" w:space="0" w:color="auto"/>
        <w:bottom w:val="none" w:sz="0" w:space="0" w:color="auto"/>
        <w:right w:val="none" w:sz="0" w:space="0" w:color="auto"/>
      </w:divBdr>
    </w:div>
    <w:div w:id="652291857">
      <w:bodyDiv w:val="1"/>
      <w:marLeft w:val="0"/>
      <w:marRight w:val="0"/>
      <w:marTop w:val="0"/>
      <w:marBottom w:val="0"/>
      <w:divBdr>
        <w:top w:val="none" w:sz="0" w:space="0" w:color="auto"/>
        <w:left w:val="none" w:sz="0" w:space="0" w:color="auto"/>
        <w:bottom w:val="none" w:sz="0" w:space="0" w:color="auto"/>
        <w:right w:val="none" w:sz="0" w:space="0" w:color="auto"/>
      </w:divBdr>
      <w:divsChild>
        <w:div w:id="819811742">
          <w:marLeft w:val="360"/>
          <w:marRight w:val="0"/>
          <w:marTop w:val="200"/>
          <w:marBottom w:val="0"/>
          <w:divBdr>
            <w:top w:val="none" w:sz="0" w:space="0" w:color="auto"/>
            <w:left w:val="none" w:sz="0" w:space="0" w:color="auto"/>
            <w:bottom w:val="none" w:sz="0" w:space="0" w:color="auto"/>
            <w:right w:val="none" w:sz="0" w:space="0" w:color="auto"/>
          </w:divBdr>
        </w:div>
        <w:div w:id="925378647">
          <w:marLeft w:val="360"/>
          <w:marRight w:val="0"/>
          <w:marTop w:val="200"/>
          <w:marBottom w:val="0"/>
          <w:divBdr>
            <w:top w:val="none" w:sz="0" w:space="0" w:color="auto"/>
            <w:left w:val="none" w:sz="0" w:space="0" w:color="auto"/>
            <w:bottom w:val="none" w:sz="0" w:space="0" w:color="auto"/>
            <w:right w:val="none" w:sz="0" w:space="0" w:color="auto"/>
          </w:divBdr>
        </w:div>
        <w:div w:id="1339773113">
          <w:marLeft w:val="360"/>
          <w:marRight w:val="0"/>
          <w:marTop w:val="200"/>
          <w:marBottom w:val="0"/>
          <w:divBdr>
            <w:top w:val="none" w:sz="0" w:space="0" w:color="auto"/>
            <w:left w:val="none" w:sz="0" w:space="0" w:color="auto"/>
            <w:bottom w:val="none" w:sz="0" w:space="0" w:color="auto"/>
            <w:right w:val="none" w:sz="0" w:space="0" w:color="auto"/>
          </w:divBdr>
        </w:div>
        <w:div w:id="1435856274">
          <w:marLeft w:val="360"/>
          <w:marRight w:val="0"/>
          <w:marTop w:val="200"/>
          <w:marBottom w:val="0"/>
          <w:divBdr>
            <w:top w:val="none" w:sz="0" w:space="0" w:color="auto"/>
            <w:left w:val="none" w:sz="0" w:space="0" w:color="auto"/>
            <w:bottom w:val="none" w:sz="0" w:space="0" w:color="auto"/>
            <w:right w:val="none" w:sz="0" w:space="0" w:color="auto"/>
          </w:divBdr>
        </w:div>
        <w:div w:id="1729572061">
          <w:marLeft w:val="360"/>
          <w:marRight w:val="0"/>
          <w:marTop w:val="200"/>
          <w:marBottom w:val="0"/>
          <w:divBdr>
            <w:top w:val="none" w:sz="0" w:space="0" w:color="auto"/>
            <w:left w:val="none" w:sz="0" w:space="0" w:color="auto"/>
            <w:bottom w:val="none" w:sz="0" w:space="0" w:color="auto"/>
            <w:right w:val="none" w:sz="0" w:space="0" w:color="auto"/>
          </w:divBdr>
        </w:div>
        <w:div w:id="1822115159">
          <w:marLeft w:val="360"/>
          <w:marRight w:val="0"/>
          <w:marTop w:val="200"/>
          <w:marBottom w:val="0"/>
          <w:divBdr>
            <w:top w:val="none" w:sz="0" w:space="0" w:color="auto"/>
            <w:left w:val="none" w:sz="0" w:space="0" w:color="auto"/>
            <w:bottom w:val="none" w:sz="0" w:space="0" w:color="auto"/>
            <w:right w:val="none" w:sz="0" w:space="0" w:color="auto"/>
          </w:divBdr>
        </w:div>
      </w:divsChild>
    </w:div>
    <w:div w:id="686369471">
      <w:bodyDiv w:val="1"/>
      <w:marLeft w:val="0"/>
      <w:marRight w:val="0"/>
      <w:marTop w:val="0"/>
      <w:marBottom w:val="0"/>
      <w:divBdr>
        <w:top w:val="none" w:sz="0" w:space="0" w:color="auto"/>
        <w:left w:val="none" w:sz="0" w:space="0" w:color="auto"/>
        <w:bottom w:val="none" w:sz="0" w:space="0" w:color="auto"/>
        <w:right w:val="none" w:sz="0" w:space="0" w:color="auto"/>
      </w:divBdr>
    </w:div>
    <w:div w:id="722947136">
      <w:bodyDiv w:val="1"/>
      <w:marLeft w:val="0"/>
      <w:marRight w:val="0"/>
      <w:marTop w:val="0"/>
      <w:marBottom w:val="0"/>
      <w:divBdr>
        <w:top w:val="none" w:sz="0" w:space="0" w:color="auto"/>
        <w:left w:val="none" w:sz="0" w:space="0" w:color="auto"/>
        <w:bottom w:val="none" w:sz="0" w:space="0" w:color="auto"/>
        <w:right w:val="none" w:sz="0" w:space="0" w:color="auto"/>
      </w:divBdr>
      <w:divsChild>
        <w:div w:id="391655713">
          <w:marLeft w:val="446"/>
          <w:marRight w:val="0"/>
          <w:marTop w:val="0"/>
          <w:marBottom w:val="0"/>
          <w:divBdr>
            <w:top w:val="none" w:sz="0" w:space="0" w:color="auto"/>
            <w:left w:val="none" w:sz="0" w:space="0" w:color="auto"/>
            <w:bottom w:val="none" w:sz="0" w:space="0" w:color="auto"/>
            <w:right w:val="none" w:sz="0" w:space="0" w:color="auto"/>
          </w:divBdr>
        </w:div>
        <w:div w:id="403768006">
          <w:marLeft w:val="446"/>
          <w:marRight w:val="0"/>
          <w:marTop w:val="0"/>
          <w:marBottom w:val="0"/>
          <w:divBdr>
            <w:top w:val="none" w:sz="0" w:space="0" w:color="auto"/>
            <w:left w:val="none" w:sz="0" w:space="0" w:color="auto"/>
            <w:bottom w:val="none" w:sz="0" w:space="0" w:color="auto"/>
            <w:right w:val="none" w:sz="0" w:space="0" w:color="auto"/>
          </w:divBdr>
        </w:div>
        <w:div w:id="501311780">
          <w:marLeft w:val="446"/>
          <w:marRight w:val="0"/>
          <w:marTop w:val="0"/>
          <w:marBottom w:val="0"/>
          <w:divBdr>
            <w:top w:val="none" w:sz="0" w:space="0" w:color="auto"/>
            <w:left w:val="none" w:sz="0" w:space="0" w:color="auto"/>
            <w:bottom w:val="none" w:sz="0" w:space="0" w:color="auto"/>
            <w:right w:val="none" w:sz="0" w:space="0" w:color="auto"/>
          </w:divBdr>
        </w:div>
        <w:div w:id="1119688493">
          <w:marLeft w:val="446"/>
          <w:marRight w:val="0"/>
          <w:marTop w:val="0"/>
          <w:marBottom w:val="0"/>
          <w:divBdr>
            <w:top w:val="none" w:sz="0" w:space="0" w:color="auto"/>
            <w:left w:val="none" w:sz="0" w:space="0" w:color="auto"/>
            <w:bottom w:val="none" w:sz="0" w:space="0" w:color="auto"/>
            <w:right w:val="none" w:sz="0" w:space="0" w:color="auto"/>
          </w:divBdr>
        </w:div>
        <w:div w:id="1776172477">
          <w:marLeft w:val="446"/>
          <w:marRight w:val="0"/>
          <w:marTop w:val="0"/>
          <w:marBottom w:val="0"/>
          <w:divBdr>
            <w:top w:val="none" w:sz="0" w:space="0" w:color="auto"/>
            <w:left w:val="none" w:sz="0" w:space="0" w:color="auto"/>
            <w:bottom w:val="none" w:sz="0" w:space="0" w:color="auto"/>
            <w:right w:val="none" w:sz="0" w:space="0" w:color="auto"/>
          </w:divBdr>
        </w:div>
      </w:divsChild>
    </w:div>
    <w:div w:id="862019698">
      <w:bodyDiv w:val="1"/>
      <w:marLeft w:val="0"/>
      <w:marRight w:val="0"/>
      <w:marTop w:val="0"/>
      <w:marBottom w:val="0"/>
      <w:divBdr>
        <w:top w:val="none" w:sz="0" w:space="0" w:color="auto"/>
        <w:left w:val="none" w:sz="0" w:space="0" w:color="auto"/>
        <w:bottom w:val="none" w:sz="0" w:space="0" w:color="auto"/>
        <w:right w:val="none" w:sz="0" w:space="0" w:color="auto"/>
      </w:divBdr>
    </w:div>
    <w:div w:id="872154179">
      <w:bodyDiv w:val="1"/>
      <w:marLeft w:val="0"/>
      <w:marRight w:val="0"/>
      <w:marTop w:val="0"/>
      <w:marBottom w:val="0"/>
      <w:divBdr>
        <w:top w:val="none" w:sz="0" w:space="0" w:color="auto"/>
        <w:left w:val="none" w:sz="0" w:space="0" w:color="auto"/>
        <w:bottom w:val="none" w:sz="0" w:space="0" w:color="auto"/>
        <w:right w:val="none" w:sz="0" w:space="0" w:color="auto"/>
      </w:divBdr>
    </w:div>
    <w:div w:id="916748494">
      <w:bodyDiv w:val="1"/>
      <w:marLeft w:val="0"/>
      <w:marRight w:val="0"/>
      <w:marTop w:val="0"/>
      <w:marBottom w:val="0"/>
      <w:divBdr>
        <w:top w:val="none" w:sz="0" w:space="0" w:color="auto"/>
        <w:left w:val="none" w:sz="0" w:space="0" w:color="auto"/>
        <w:bottom w:val="none" w:sz="0" w:space="0" w:color="auto"/>
        <w:right w:val="none" w:sz="0" w:space="0" w:color="auto"/>
      </w:divBdr>
    </w:div>
    <w:div w:id="964458287">
      <w:bodyDiv w:val="1"/>
      <w:marLeft w:val="0"/>
      <w:marRight w:val="0"/>
      <w:marTop w:val="0"/>
      <w:marBottom w:val="0"/>
      <w:divBdr>
        <w:top w:val="none" w:sz="0" w:space="0" w:color="auto"/>
        <w:left w:val="none" w:sz="0" w:space="0" w:color="auto"/>
        <w:bottom w:val="none" w:sz="0" w:space="0" w:color="auto"/>
        <w:right w:val="none" w:sz="0" w:space="0" w:color="auto"/>
      </w:divBdr>
    </w:div>
    <w:div w:id="1055280510">
      <w:bodyDiv w:val="1"/>
      <w:marLeft w:val="0"/>
      <w:marRight w:val="0"/>
      <w:marTop w:val="0"/>
      <w:marBottom w:val="0"/>
      <w:divBdr>
        <w:top w:val="none" w:sz="0" w:space="0" w:color="auto"/>
        <w:left w:val="none" w:sz="0" w:space="0" w:color="auto"/>
        <w:bottom w:val="none" w:sz="0" w:space="0" w:color="auto"/>
        <w:right w:val="none" w:sz="0" w:space="0" w:color="auto"/>
      </w:divBdr>
    </w:div>
    <w:div w:id="1068110819">
      <w:bodyDiv w:val="1"/>
      <w:marLeft w:val="0"/>
      <w:marRight w:val="0"/>
      <w:marTop w:val="0"/>
      <w:marBottom w:val="0"/>
      <w:divBdr>
        <w:top w:val="none" w:sz="0" w:space="0" w:color="auto"/>
        <w:left w:val="none" w:sz="0" w:space="0" w:color="auto"/>
        <w:bottom w:val="none" w:sz="0" w:space="0" w:color="auto"/>
        <w:right w:val="none" w:sz="0" w:space="0" w:color="auto"/>
      </w:divBdr>
    </w:div>
    <w:div w:id="1089808941">
      <w:bodyDiv w:val="1"/>
      <w:marLeft w:val="0"/>
      <w:marRight w:val="0"/>
      <w:marTop w:val="0"/>
      <w:marBottom w:val="0"/>
      <w:divBdr>
        <w:top w:val="none" w:sz="0" w:space="0" w:color="auto"/>
        <w:left w:val="none" w:sz="0" w:space="0" w:color="auto"/>
        <w:bottom w:val="none" w:sz="0" w:space="0" w:color="auto"/>
        <w:right w:val="none" w:sz="0" w:space="0" w:color="auto"/>
      </w:divBdr>
    </w:div>
    <w:div w:id="1175878100">
      <w:bodyDiv w:val="1"/>
      <w:marLeft w:val="0"/>
      <w:marRight w:val="0"/>
      <w:marTop w:val="0"/>
      <w:marBottom w:val="0"/>
      <w:divBdr>
        <w:top w:val="none" w:sz="0" w:space="0" w:color="auto"/>
        <w:left w:val="none" w:sz="0" w:space="0" w:color="auto"/>
        <w:bottom w:val="none" w:sz="0" w:space="0" w:color="auto"/>
        <w:right w:val="none" w:sz="0" w:space="0" w:color="auto"/>
      </w:divBdr>
    </w:div>
    <w:div w:id="1184515909">
      <w:bodyDiv w:val="1"/>
      <w:marLeft w:val="0"/>
      <w:marRight w:val="0"/>
      <w:marTop w:val="0"/>
      <w:marBottom w:val="0"/>
      <w:divBdr>
        <w:top w:val="none" w:sz="0" w:space="0" w:color="auto"/>
        <w:left w:val="none" w:sz="0" w:space="0" w:color="auto"/>
        <w:bottom w:val="none" w:sz="0" w:space="0" w:color="auto"/>
        <w:right w:val="none" w:sz="0" w:space="0" w:color="auto"/>
      </w:divBdr>
    </w:div>
    <w:div w:id="1227450162">
      <w:bodyDiv w:val="1"/>
      <w:marLeft w:val="0"/>
      <w:marRight w:val="0"/>
      <w:marTop w:val="0"/>
      <w:marBottom w:val="0"/>
      <w:divBdr>
        <w:top w:val="none" w:sz="0" w:space="0" w:color="auto"/>
        <w:left w:val="none" w:sz="0" w:space="0" w:color="auto"/>
        <w:bottom w:val="none" w:sz="0" w:space="0" w:color="auto"/>
        <w:right w:val="none" w:sz="0" w:space="0" w:color="auto"/>
      </w:divBdr>
    </w:div>
    <w:div w:id="1420251929">
      <w:bodyDiv w:val="1"/>
      <w:marLeft w:val="0"/>
      <w:marRight w:val="0"/>
      <w:marTop w:val="0"/>
      <w:marBottom w:val="0"/>
      <w:divBdr>
        <w:top w:val="none" w:sz="0" w:space="0" w:color="auto"/>
        <w:left w:val="none" w:sz="0" w:space="0" w:color="auto"/>
        <w:bottom w:val="none" w:sz="0" w:space="0" w:color="auto"/>
        <w:right w:val="none" w:sz="0" w:space="0" w:color="auto"/>
      </w:divBdr>
    </w:div>
    <w:div w:id="1428580067">
      <w:bodyDiv w:val="1"/>
      <w:marLeft w:val="0"/>
      <w:marRight w:val="0"/>
      <w:marTop w:val="0"/>
      <w:marBottom w:val="0"/>
      <w:divBdr>
        <w:top w:val="none" w:sz="0" w:space="0" w:color="auto"/>
        <w:left w:val="none" w:sz="0" w:space="0" w:color="auto"/>
        <w:bottom w:val="none" w:sz="0" w:space="0" w:color="auto"/>
        <w:right w:val="none" w:sz="0" w:space="0" w:color="auto"/>
      </w:divBdr>
    </w:div>
    <w:div w:id="1568763348">
      <w:bodyDiv w:val="1"/>
      <w:marLeft w:val="0"/>
      <w:marRight w:val="0"/>
      <w:marTop w:val="0"/>
      <w:marBottom w:val="0"/>
      <w:divBdr>
        <w:top w:val="none" w:sz="0" w:space="0" w:color="auto"/>
        <w:left w:val="none" w:sz="0" w:space="0" w:color="auto"/>
        <w:bottom w:val="none" w:sz="0" w:space="0" w:color="auto"/>
        <w:right w:val="none" w:sz="0" w:space="0" w:color="auto"/>
      </w:divBdr>
    </w:div>
    <w:div w:id="1577131451">
      <w:bodyDiv w:val="1"/>
      <w:marLeft w:val="0"/>
      <w:marRight w:val="0"/>
      <w:marTop w:val="0"/>
      <w:marBottom w:val="0"/>
      <w:divBdr>
        <w:top w:val="none" w:sz="0" w:space="0" w:color="auto"/>
        <w:left w:val="none" w:sz="0" w:space="0" w:color="auto"/>
        <w:bottom w:val="none" w:sz="0" w:space="0" w:color="auto"/>
        <w:right w:val="none" w:sz="0" w:space="0" w:color="auto"/>
      </w:divBdr>
    </w:div>
    <w:div w:id="1624145357">
      <w:bodyDiv w:val="1"/>
      <w:marLeft w:val="0"/>
      <w:marRight w:val="0"/>
      <w:marTop w:val="0"/>
      <w:marBottom w:val="0"/>
      <w:divBdr>
        <w:top w:val="none" w:sz="0" w:space="0" w:color="auto"/>
        <w:left w:val="none" w:sz="0" w:space="0" w:color="auto"/>
        <w:bottom w:val="none" w:sz="0" w:space="0" w:color="auto"/>
        <w:right w:val="none" w:sz="0" w:space="0" w:color="auto"/>
      </w:divBdr>
    </w:div>
    <w:div w:id="1668169626">
      <w:bodyDiv w:val="1"/>
      <w:marLeft w:val="0"/>
      <w:marRight w:val="0"/>
      <w:marTop w:val="0"/>
      <w:marBottom w:val="0"/>
      <w:divBdr>
        <w:top w:val="none" w:sz="0" w:space="0" w:color="auto"/>
        <w:left w:val="none" w:sz="0" w:space="0" w:color="auto"/>
        <w:bottom w:val="none" w:sz="0" w:space="0" w:color="auto"/>
        <w:right w:val="none" w:sz="0" w:space="0" w:color="auto"/>
      </w:divBdr>
    </w:div>
    <w:div w:id="1709258930">
      <w:bodyDiv w:val="1"/>
      <w:marLeft w:val="0"/>
      <w:marRight w:val="0"/>
      <w:marTop w:val="0"/>
      <w:marBottom w:val="0"/>
      <w:divBdr>
        <w:top w:val="none" w:sz="0" w:space="0" w:color="auto"/>
        <w:left w:val="none" w:sz="0" w:space="0" w:color="auto"/>
        <w:bottom w:val="none" w:sz="0" w:space="0" w:color="auto"/>
        <w:right w:val="none" w:sz="0" w:space="0" w:color="auto"/>
      </w:divBdr>
    </w:div>
    <w:div w:id="1770999755">
      <w:bodyDiv w:val="1"/>
      <w:marLeft w:val="0"/>
      <w:marRight w:val="0"/>
      <w:marTop w:val="0"/>
      <w:marBottom w:val="0"/>
      <w:divBdr>
        <w:top w:val="none" w:sz="0" w:space="0" w:color="auto"/>
        <w:left w:val="none" w:sz="0" w:space="0" w:color="auto"/>
        <w:bottom w:val="none" w:sz="0" w:space="0" w:color="auto"/>
        <w:right w:val="none" w:sz="0" w:space="0" w:color="auto"/>
      </w:divBdr>
    </w:div>
    <w:div w:id="1822577652">
      <w:bodyDiv w:val="1"/>
      <w:marLeft w:val="0"/>
      <w:marRight w:val="0"/>
      <w:marTop w:val="0"/>
      <w:marBottom w:val="0"/>
      <w:divBdr>
        <w:top w:val="none" w:sz="0" w:space="0" w:color="auto"/>
        <w:left w:val="none" w:sz="0" w:space="0" w:color="auto"/>
        <w:bottom w:val="none" w:sz="0" w:space="0" w:color="auto"/>
        <w:right w:val="none" w:sz="0" w:space="0" w:color="auto"/>
      </w:divBdr>
    </w:div>
    <w:div w:id="1855995663">
      <w:bodyDiv w:val="1"/>
      <w:marLeft w:val="0"/>
      <w:marRight w:val="0"/>
      <w:marTop w:val="0"/>
      <w:marBottom w:val="0"/>
      <w:divBdr>
        <w:top w:val="none" w:sz="0" w:space="0" w:color="auto"/>
        <w:left w:val="none" w:sz="0" w:space="0" w:color="auto"/>
        <w:bottom w:val="none" w:sz="0" w:space="0" w:color="auto"/>
        <w:right w:val="none" w:sz="0" w:space="0" w:color="auto"/>
      </w:divBdr>
    </w:div>
    <w:div w:id="1858930535">
      <w:bodyDiv w:val="1"/>
      <w:marLeft w:val="0"/>
      <w:marRight w:val="0"/>
      <w:marTop w:val="0"/>
      <w:marBottom w:val="0"/>
      <w:divBdr>
        <w:top w:val="none" w:sz="0" w:space="0" w:color="auto"/>
        <w:left w:val="none" w:sz="0" w:space="0" w:color="auto"/>
        <w:bottom w:val="none" w:sz="0" w:space="0" w:color="auto"/>
        <w:right w:val="none" w:sz="0" w:space="0" w:color="auto"/>
      </w:divBdr>
    </w:div>
    <w:div w:id="1931892045">
      <w:bodyDiv w:val="1"/>
      <w:marLeft w:val="0"/>
      <w:marRight w:val="0"/>
      <w:marTop w:val="0"/>
      <w:marBottom w:val="0"/>
      <w:divBdr>
        <w:top w:val="none" w:sz="0" w:space="0" w:color="auto"/>
        <w:left w:val="none" w:sz="0" w:space="0" w:color="auto"/>
        <w:bottom w:val="none" w:sz="0" w:space="0" w:color="auto"/>
        <w:right w:val="none" w:sz="0" w:space="0" w:color="auto"/>
      </w:divBdr>
      <w:divsChild>
        <w:div w:id="1826316675">
          <w:marLeft w:val="1166"/>
          <w:marRight w:val="0"/>
          <w:marTop w:val="58"/>
          <w:marBottom w:val="0"/>
          <w:divBdr>
            <w:top w:val="none" w:sz="0" w:space="0" w:color="auto"/>
            <w:left w:val="none" w:sz="0" w:space="0" w:color="auto"/>
            <w:bottom w:val="none" w:sz="0" w:space="0" w:color="auto"/>
            <w:right w:val="none" w:sz="0" w:space="0" w:color="auto"/>
          </w:divBdr>
        </w:div>
      </w:divsChild>
    </w:div>
    <w:div w:id="199695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www.pbs.gov.au/info/industry/listing/participants/public-release-docs/2018-02/medicines-for-her2-positive-metastatic-breast-cancer" TargetMode="External"/><Relationship Id="rId1" Type="http://schemas.openxmlformats.org/officeDocument/2006/relationships/hyperlink" Target="https://www.abstracts2view.com/sabcs18/view.php?nu=SABCS18L_1698&amp;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A7B58-429F-4C17-94ED-F3BD5D44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14571</Words>
  <Characters>83374</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2019-06-25T04:31:00Z</dcterms:created>
  <dcterms:modified xsi:type="dcterms:W3CDTF">2019-07-05T04:48:00Z</dcterms:modified>
</cp:coreProperties>
</file>