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8" w:rsidRPr="00577C4D" w:rsidRDefault="004A6154" w:rsidP="00577C4D">
      <w:pPr>
        <w:pStyle w:val="Title"/>
        <w:spacing w:before="120" w:after="160"/>
        <w:ind w:left="720" w:hanging="720"/>
        <w:rPr>
          <w:rFonts w:asciiTheme="minorHAnsi" w:hAnsiTheme="minorHAnsi"/>
          <w:sz w:val="36"/>
          <w:szCs w:val="36"/>
        </w:rPr>
      </w:pPr>
      <w:r>
        <w:rPr>
          <w:rFonts w:asciiTheme="minorHAnsi" w:hAnsiTheme="minorHAnsi"/>
          <w:sz w:val="36"/>
          <w:szCs w:val="36"/>
        </w:rPr>
        <w:t>9</w:t>
      </w:r>
      <w:r w:rsidR="0004240E" w:rsidRPr="002B5596">
        <w:rPr>
          <w:rFonts w:asciiTheme="minorHAnsi" w:hAnsiTheme="minorHAnsi"/>
          <w:sz w:val="36"/>
          <w:szCs w:val="36"/>
        </w:rPr>
        <w:t>.</w:t>
      </w:r>
      <w:r w:rsidR="001E549B">
        <w:rPr>
          <w:rFonts w:asciiTheme="minorHAnsi" w:hAnsiTheme="minorHAnsi"/>
          <w:sz w:val="36"/>
          <w:szCs w:val="36"/>
        </w:rPr>
        <w:t>04</w:t>
      </w:r>
      <w:r>
        <w:rPr>
          <w:rFonts w:asciiTheme="minorHAnsi" w:hAnsiTheme="minorHAnsi"/>
          <w:sz w:val="36"/>
          <w:szCs w:val="36"/>
        </w:rPr>
        <w:t xml:space="preserve"> NATIONAL HEPATITIS C DATA COLLECTION</w:t>
      </w:r>
      <w:r w:rsidR="008A50F1" w:rsidRPr="002B5596">
        <w:rPr>
          <w:rFonts w:asciiTheme="minorHAnsi" w:hAnsiTheme="minorHAnsi"/>
          <w:sz w:val="36"/>
          <w:szCs w:val="36"/>
        </w:rPr>
        <w:t xml:space="preserve"> </w:t>
      </w:r>
    </w:p>
    <w:p w:rsidR="008A50F1" w:rsidRPr="00D4572C" w:rsidRDefault="00CE10C4" w:rsidP="00145C5A">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EF44A0" w:rsidRPr="002B5596" w:rsidRDefault="00667657" w:rsidP="00145C5A">
      <w:pPr>
        <w:pStyle w:val="ListParagraph"/>
        <w:widowControl/>
        <w:numPr>
          <w:ilvl w:val="1"/>
          <w:numId w:val="5"/>
        </w:numPr>
        <w:spacing w:before="120" w:after="120"/>
        <w:contextualSpacing w:val="0"/>
        <w:rPr>
          <w:rFonts w:asciiTheme="minorHAnsi" w:hAnsiTheme="minorHAnsi"/>
          <w:sz w:val="24"/>
          <w:szCs w:val="24"/>
        </w:rPr>
      </w:pPr>
      <w:r>
        <w:rPr>
          <w:rFonts w:asciiTheme="minorHAnsi" w:hAnsiTheme="minorHAnsi"/>
          <w:sz w:val="24"/>
          <w:szCs w:val="24"/>
        </w:rPr>
        <w:t xml:space="preserve">To update the PBAC </w:t>
      </w:r>
      <w:r w:rsidR="00EF44A0" w:rsidRPr="002B5596">
        <w:rPr>
          <w:rFonts w:asciiTheme="minorHAnsi" w:hAnsiTheme="minorHAnsi"/>
          <w:sz w:val="24"/>
          <w:szCs w:val="24"/>
        </w:rPr>
        <w:t>on</w:t>
      </w:r>
      <w:r w:rsidR="00841974">
        <w:rPr>
          <w:rFonts w:asciiTheme="minorHAnsi" w:hAnsiTheme="minorHAnsi"/>
          <w:sz w:val="24"/>
          <w:szCs w:val="24"/>
        </w:rPr>
        <w:t xml:space="preserve"> the </w:t>
      </w:r>
      <w:r>
        <w:rPr>
          <w:rFonts w:asciiTheme="minorHAnsi" w:hAnsiTheme="minorHAnsi"/>
          <w:sz w:val="24"/>
          <w:szCs w:val="24"/>
        </w:rPr>
        <w:t xml:space="preserve">progress of the </w:t>
      </w:r>
      <w:r w:rsidR="00841974">
        <w:rPr>
          <w:rFonts w:asciiTheme="minorHAnsi" w:hAnsiTheme="minorHAnsi"/>
          <w:sz w:val="24"/>
          <w:szCs w:val="24"/>
        </w:rPr>
        <w:t>National Hepatitis C Data Collection.</w:t>
      </w:r>
    </w:p>
    <w:p w:rsidR="006A12A5" w:rsidRPr="00577C4D" w:rsidRDefault="00BA1786" w:rsidP="00145C5A">
      <w:pPr>
        <w:pStyle w:val="PBACHeading1"/>
        <w:spacing w:before="120" w:after="120"/>
        <w:ind w:left="709" w:hanging="709"/>
        <w:rPr>
          <w:rFonts w:asciiTheme="minorHAnsi" w:hAnsiTheme="minorHAnsi"/>
          <w:sz w:val="32"/>
          <w:szCs w:val="32"/>
        </w:rPr>
      </w:pPr>
      <w:r>
        <w:rPr>
          <w:rFonts w:asciiTheme="minorHAnsi" w:hAnsiTheme="minorHAnsi"/>
          <w:sz w:val="32"/>
          <w:szCs w:val="32"/>
        </w:rPr>
        <w:t>Background</w:t>
      </w:r>
    </w:p>
    <w:p w:rsidR="00664E7A" w:rsidRPr="00664E7A" w:rsidRDefault="00B92FE8"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w:t>
      </w:r>
      <w:r w:rsidR="00664E7A" w:rsidRPr="00664E7A">
        <w:rPr>
          <w:rFonts w:asciiTheme="minorHAnsi" w:eastAsiaTheme="minorHAnsi" w:hAnsiTheme="minorHAnsi" w:cstheme="minorBidi"/>
          <w:snapToGrid/>
          <w:sz w:val="24"/>
          <w:szCs w:val="22"/>
        </w:rPr>
        <w:t>everal</w:t>
      </w:r>
      <w:r>
        <w:rPr>
          <w:rFonts w:asciiTheme="minorHAnsi" w:eastAsiaTheme="minorHAnsi" w:hAnsiTheme="minorHAnsi" w:cstheme="minorBidi"/>
          <w:snapToGrid/>
          <w:sz w:val="24"/>
          <w:szCs w:val="22"/>
        </w:rPr>
        <w:t xml:space="preserve"> new generation direct acting antiviral</w:t>
      </w:r>
      <w:r w:rsidR="00664E7A" w:rsidRPr="00664E7A">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w:t>
      </w:r>
      <w:r w:rsidR="00664E7A" w:rsidRPr="00664E7A">
        <w:rPr>
          <w:rFonts w:asciiTheme="minorHAnsi" w:eastAsiaTheme="minorHAnsi" w:hAnsiTheme="minorHAnsi" w:cstheme="minorBidi"/>
          <w:snapToGrid/>
          <w:sz w:val="24"/>
          <w:szCs w:val="22"/>
        </w:rPr>
        <w:t>DAA</w:t>
      </w:r>
      <w:r>
        <w:rPr>
          <w:rFonts w:asciiTheme="minorHAnsi" w:eastAsiaTheme="minorHAnsi" w:hAnsiTheme="minorHAnsi" w:cstheme="minorBidi"/>
          <w:snapToGrid/>
          <w:sz w:val="24"/>
          <w:szCs w:val="22"/>
        </w:rPr>
        <w:t>)</w:t>
      </w:r>
      <w:r w:rsidR="00664E7A" w:rsidRPr="00664E7A">
        <w:rPr>
          <w:rFonts w:asciiTheme="minorHAnsi" w:eastAsiaTheme="minorHAnsi" w:hAnsiTheme="minorHAnsi" w:cstheme="minorBidi"/>
          <w:snapToGrid/>
          <w:sz w:val="24"/>
          <w:szCs w:val="22"/>
        </w:rPr>
        <w:t xml:space="preserve"> medicines for the treatment of chronic hepatitis C</w:t>
      </w:r>
      <w:r w:rsidR="004150AF">
        <w:rPr>
          <w:rFonts w:asciiTheme="minorHAnsi" w:eastAsiaTheme="minorHAnsi" w:hAnsiTheme="minorHAnsi" w:cstheme="minorBidi"/>
          <w:snapToGrid/>
          <w:sz w:val="24"/>
          <w:szCs w:val="22"/>
        </w:rPr>
        <w:t xml:space="preserve"> </w:t>
      </w:r>
      <w:proofErr w:type="gramStart"/>
      <w:r w:rsidR="004150AF">
        <w:rPr>
          <w:rFonts w:asciiTheme="minorHAnsi" w:eastAsiaTheme="minorHAnsi" w:hAnsiTheme="minorHAnsi" w:cstheme="minorBidi"/>
          <w:snapToGrid/>
          <w:sz w:val="24"/>
          <w:szCs w:val="22"/>
        </w:rPr>
        <w:t>were listed</w:t>
      </w:r>
      <w:proofErr w:type="gramEnd"/>
      <w:r w:rsidR="004150AF">
        <w:rPr>
          <w:rFonts w:asciiTheme="minorHAnsi" w:eastAsiaTheme="minorHAnsi" w:hAnsiTheme="minorHAnsi" w:cstheme="minorBidi"/>
          <w:snapToGrid/>
          <w:sz w:val="24"/>
          <w:szCs w:val="22"/>
        </w:rPr>
        <w:t xml:space="preserve"> on the PBS from</w:t>
      </w:r>
      <w:r w:rsidR="00664E7A" w:rsidRPr="00664E7A">
        <w:rPr>
          <w:rFonts w:asciiTheme="minorHAnsi" w:eastAsiaTheme="minorHAnsi" w:hAnsiTheme="minorHAnsi" w:cstheme="minorBidi"/>
          <w:snapToGrid/>
          <w:sz w:val="24"/>
          <w:szCs w:val="22"/>
        </w:rPr>
        <w:t xml:space="preserve"> 1 March 2016.</w:t>
      </w:r>
    </w:p>
    <w:p w:rsidR="002F2A3E" w:rsidRDefault="00547506"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As part of the approval</w:t>
      </w:r>
      <w:r w:rsidR="00847F15">
        <w:rPr>
          <w:rFonts w:asciiTheme="minorHAnsi" w:eastAsiaTheme="minorHAnsi" w:hAnsiTheme="minorHAnsi" w:cstheme="minorBidi"/>
          <w:snapToGrid/>
          <w:sz w:val="24"/>
          <w:szCs w:val="22"/>
        </w:rPr>
        <w:t xml:space="preserve"> for listing</w:t>
      </w:r>
      <w:r>
        <w:rPr>
          <w:rFonts w:asciiTheme="minorHAnsi" w:eastAsiaTheme="minorHAnsi" w:hAnsiTheme="minorHAnsi" w:cstheme="minorBidi"/>
          <w:snapToGrid/>
          <w:sz w:val="24"/>
          <w:szCs w:val="22"/>
        </w:rPr>
        <w:t xml:space="preserve">, funding </w:t>
      </w:r>
      <w:proofErr w:type="gramStart"/>
      <w:r>
        <w:rPr>
          <w:rFonts w:asciiTheme="minorHAnsi" w:eastAsiaTheme="minorHAnsi" w:hAnsiTheme="minorHAnsi" w:cstheme="minorBidi"/>
          <w:snapToGrid/>
          <w:sz w:val="24"/>
          <w:szCs w:val="22"/>
        </w:rPr>
        <w:t>was allocated</w:t>
      </w:r>
      <w:proofErr w:type="gramEnd"/>
      <w:r>
        <w:rPr>
          <w:rFonts w:asciiTheme="minorHAnsi" w:eastAsiaTheme="minorHAnsi" w:hAnsiTheme="minorHAnsi" w:cstheme="minorBidi"/>
          <w:snapToGrid/>
          <w:sz w:val="24"/>
          <w:szCs w:val="22"/>
        </w:rPr>
        <w:t xml:space="preserve"> to develop a national data collection </w:t>
      </w:r>
      <w:r w:rsidR="003237E0" w:rsidRPr="002F2A3E">
        <w:rPr>
          <w:rFonts w:asciiTheme="minorHAnsi" w:eastAsiaTheme="minorHAnsi" w:hAnsiTheme="minorHAnsi" w:cstheme="minorBidi"/>
          <w:snapToGrid/>
          <w:sz w:val="24"/>
        </w:rPr>
        <w:t xml:space="preserve">for the ongoing assessment of the cost-effectiveness and </w:t>
      </w:r>
      <w:r w:rsidR="003B3682">
        <w:rPr>
          <w:rFonts w:asciiTheme="minorHAnsi" w:eastAsiaTheme="minorHAnsi" w:hAnsiTheme="minorHAnsi" w:cstheme="minorBidi"/>
          <w:snapToGrid/>
          <w:sz w:val="24"/>
        </w:rPr>
        <w:t xml:space="preserve">health outcomes </w:t>
      </w:r>
      <w:r w:rsidR="003237E0" w:rsidRPr="002F2A3E">
        <w:rPr>
          <w:rFonts w:asciiTheme="minorHAnsi" w:eastAsiaTheme="minorHAnsi" w:hAnsiTheme="minorHAnsi" w:cstheme="minorBidi"/>
          <w:snapToGrid/>
          <w:sz w:val="24"/>
        </w:rPr>
        <w:t>of the DAA medicines</w:t>
      </w:r>
      <w:r>
        <w:rPr>
          <w:rFonts w:asciiTheme="minorHAnsi" w:eastAsiaTheme="minorHAnsi" w:hAnsiTheme="minorHAnsi" w:cstheme="minorBidi"/>
          <w:snapToGrid/>
          <w:sz w:val="24"/>
          <w:szCs w:val="22"/>
        </w:rPr>
        <w:t>.</w:t>
      </w:r>
    </w:p>
    <w:p w:rsidR="002F2A3E" w:rsidRPr="002F2A3E" w:rsidRDefault="00ED613D"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F2A3E">
        <w:rPr>
          <w:rFonts w:asciiTheme="minorHAnsi" w:eastAsiaTheme="minorHAnsi" w:hAnsiTheme="minorHAnsi" w:cstheme="minorBidi"/>
          <w:snapToGrid/>
          <w:sz w:val="24"/>
        </w:rPr>
        <w:t xml:space="preserve">At its April 2016 Special meeting, the PBAC recommended a minimum dataset for </w:t>
      </w:r>
      <w:r w:rsidR="00E2576B">
        <w:rPr>
          <w:rFonts w:asciiTheme="minorHAnsi" w:eastAsiaTheme="minorHAnsi" w:hAnsiTheme="minorHAnsi" w:cstheme="minorBidi"/>
          <w:snapToGrid/>
          <w:sz w:val="24"/>
        </w:rPr>
        <w:t xml:space="preserve">the </w:t>
      </w:r>
      <w:r w:rsidR="00F6742B">
        <w:rPr>
          <w:rFonts w:asciiTheme="minorHAnsi" w:eastAsiaTheme="minorHAnsi" w:hAnsiTheme="minorHAnsi" w:cstheme="minorBidi"/>
          <w:snapToGrid/>
          <w:sz w:val="24"/>
        </w:rPr>
        <w:t xml:space="preserve">data </w:t>
      </w:r>
      <w:r w:rsidR="002E1303">
        <w:rPr>
          <w:rFonts w:asciiTheme="minorHAnsi" w:eastAsiaTheme="minorHAnsi" w:hAnsiTheme="minorHAnsi" w:cstheme="minorBidi"/>
          <w:snapToGrid/>
          <w:sz w:val="24"/>
        </w:rPr>
        <w:t>collection.</w:t>
      </w:r>
      <w:r w:rsidR="002E1303" w:rsidRPr="002F2A3E">
        <w:rPr>
          <w:rFonts w:asciiTheme="minorHAnsi" w:eastAsiaTheme="minorHAnsi" w:hAnsiTheme="minorHAnsi" w:cstheme="minorBidi"/>
          <w:snapToGrid/>
          <w:sz w:val="24"/>
        </w:rPr>
        <w:t xml:space="preserve"> The</w:t>
      </w:r>
      <w:r w:rsidRPr="002F2A3E">
        <w:rPr>
          <w:rFonts w:asciiTheme="minorHAnsi" w:eastAsiaTheme="minorHAnsi" w:hAnsiTheme="minorHAnsi" w:cstheme="minorBidi"/>
          <w:snapToGrid/>
          <w:sz w:val="24"/>
        </w:rPr>
        <w:t xml:space="preserve"> PBAC considered that surveillance programs funded through the O</w:t>
      </w:r>
      <w:r w:rsidR="00BF34D2">
        <w:rPr>
          <w:rFonts w:asciiTheme="minorHAnsi" w:eastAsiaTheme="minorHAnsi" w:hAnsiTheme="minorHAnsi" w:cstheme="minorBidi"/>
          <w:snapToGrid/>
          <w:sz w:val="24"/>
        </w:rPr>
        <w:t>ffice of Health Protection</w:t>
      </w:r>
      <w:r w:rsidRPr="002F2A3E">
        <w:rPr>
          <w:rFonts w:asciiTheme="minorHAnsi" w:eastAsiaTheme="minorHAnsi" w:hAnsiTheme="minorHAnsi" w:cstheme="minorBidi"/>
          <w:snapToGrid/>
          <w:sz w:val="24"/>
        </w:rPr>
        <w:t xml:space="preserve"> </w:t>
      </w:r>
      <w:proofErr w:type="gramStart"/>
      <w:r w:rsidRPr="002F2A3E">
        <w:rPr>
          <w:rFonts w:asciiTheme="minorHAnsi" w:eastAsiaTheme="minorHAnsi" w:hAnsiTheme="minorHAnsi" w:cstheme="minorBidi"/>
          <w:snapToGrid/>
          <w:sz w:val="24"/>
        </w:rPr>
        <w:t>may</w:t>
      </w:r>
      <w:proofErr w:type="gramEnd"/>
      <w:r w:rsidRPr="002F2A3E">
        <w:rPr>
          <w:rFonts w:asciiTheme="minorHAnsi" w:eastAsiaTheme="minorHAnsi" w:hAnsiTheme="minorHAnsi" w:cstheme="minorBidi"/>
          <w:snapToGrid/>
          <w:sz w:val="24"/>
        </w:rPr>
        <w:t xml:space="preserve"> meet the requirements for the data collection.</w:t>
      </w:r>
      <w:r w:rsidR="002F2A3E" w:rsidRPr="002F2A3E">
        <w:rPr>
          <w:rFonts w:asciiTheme="minorHAnsi" w:eastAsiaTheme="minorHAnsi" w:hAnsiTheme="minorHAnsi" w:cstheme="minorBidi"/>
          <w:snapToGrid/>
          <w:sz w:val="24"/>
        </w:rPr>
        <w:t xml:space="preserve"> </w:t>
      </w:r>
    </w:p>
    <w:p w:rsidR="00847F15" w:rsidRPr="00847F15" w:rsidRDefault="008D18D3"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Pr="00ED6D4A">
        <w:rPr>
          <w:rFonts w:asciiTheme="minorHAnsi" w:eastAsiaTheme="minorHAnsi" w:hAnsiTheme="minorHAnsi" w:cstheme="minorBidi"/>
          <w:snapToGrid/>
          <w:sz w:val="24"/>
          <w:szCs w:val="22"/>
        </w:rPr>
        <w:t>‘Real world efficacy of antiviral therapy in chronic hepatitis C’ (REACH-C) study</w:t>
      </w:r>
      <w:r w:rsidR="00BF5495">
        <w:rPr>
          <w:rFonts w:asciiTheme="minorHAnsi" w:eastAsiaTheme="minorHAnsi" w:hAnsiTheme="minorHAnsi" w:cstheme="minorBidi"/>
          <w:snapToGrid/>
          <w:sz w:val="24"/>
          <w:szCs w:val="22"/>
        </w:rPr>
        <w:t xml:space="preserve">, conducted by The Kirby Institute, was identified </w:t>
      </w:r>
      <w:r>
        <w:rPr>
          <w:rFonts w:asciiTheme="minorHAnsi" w:eastAsiaTheme="minorHAnsi" w:hAnsiTheme="minorHAnsi" w:cstheme="minorBidi"/>
          <w:snapToGrid/>
          <w:sz w:val="24"/>
          <w:szCs w:val="22"/>
        </w:rPr>
        <w:t>as capturing</w:t>
      </w:r>
      <w:r w:rsidR="002F2A3E" w:rsidRPr="002F2A3E">
        <w:rPr>
          <w:rFonts w:asciiTheme="minorHAnsi" w:eastAsiaTheme="minorHAnsi" w:hAnsiTheme="minorHAnsi" w:cstheme="minorBidi"/>
          <w:snapToGrid/>
          <w:sz w:val="24"/>
        </w:rPr>
        <w:t xml:space="preserve"> the majority of data elements recommended by the PBAC in April 2016. </w:t>
      </w:r>
    </w:p>
    <w:p w:rsidR="002F2A3E" w:rsidRPr="00B92FE8" w:rsidRDefault="002F2A3E"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F2A3E">
        <w:rPr>
          <w:rFonts w:asciiTheme="minorHAnsi" w:eastAsiaTheme="minorHAnsi" w:hAnsiTheme="minorHAnsi" w:cstheme="minorBidi"/>
          <w:snapToGrid/>
          <w:sz w:val="24"/>
        </w:rPr>
        <w:t xml:space="preserve">The Kirby Institute </w:t>
      </w:r>
      <w:proofErr w:type="gramStart"/>
      <w:r w:rsidR="00847F15">
        <w:rPr>
          <w:rFonts w:asciiTheme="minorHAnsi" w:eastAsiaTheme="minorHAnsi" w:hAnsiTheme="minorHAnsi" w:cstheme="minorBidi"/>
          <w:snapToGrid/>
          <w:sz w:val="24"/>
        </w:rPr>
        <w:t>was engaged</w:t>
      </w:r>
      <w:proofErr w:type="gramEnd"/>
      <w:r w:rsidR="00847F15">
        <w:rPr>
          <w:rFonts w:asciiTheme="minorHAnsi" w:eastAsiaTheme="minorHAnsi" w:hAnsiTheme="minorHAnsi" w:cstheme="minorBidi"/>
          <w:snapToGrid/>
          <w:sz w:val="24"/>
        </w:rPr>
        <w:t xml:space="preserve"> by the Department of Health in June 2017 </w:t>
      </w:r>
      <w:r w:rsidRPr="002F2A3E">
        <w:rPr>
          <w:rFonts w:asciiTheme="minorHAnsi" w:eastAsiaTheme="minorHAnsi" w:hAnsiTheme="minorHAnsi" w:cstheme="minorBidi"/>
          <w:snapToGrid/>
          <w:sz w:val="24"/>
        </w:rPr>
        <w:t>to extend the REACH-C study to establish the required data collection for hepatitis C.</w:t>
      </w:r>
    </w:p>
    <w:p w:rsidR="00B92FE8" w:rsidRPr="00E31846" w:rsidRDefault="00B92FE8"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rPr>
        <w:t xml:space="preserve">PBAC considered the initial data collected from REACH-C at is March 2018 meeting. </w:t>
      </w:r>
      <w:r w:rsidR="00E31846">
        <w:rPr>
          <w:rFonts w:asciiTheme="minorHAnsi" w:eastAsiaTheme="minorHAnsi" w:hAnsiTheme="minorHAnsi" w:cstheme="minorBidi"/>
          <w:snapToGrid/>
          <w:sz w:val="24"/>
          <w:szCs w:val="22"/>
        </w:rPr>
        <w:t xml:space="preserve">The data presented was considered </w:t>
      </w:r>
      <w:proofErr w:type="gramStart"/>
      <w:r w:rsidR="00E31846">
        <w:rPr>
          <w:rFonts w:asciiTheme="minorHAnsi" w:eastAsiaTheme="minorHAnsi" w:hAnsiTheme="minorHAnsi" w:cstheme="minorBidi"/>
          <w:snapToGrid/>
          <w:sz w:val="24"/>
          <w:szCs w:val="22"/>
        </w:rPr>
        <w:t>to be informative</w:t>
      </w:r>
      <w:proofErr w:type="gramEnd"/>
      <w:r w:rsidR="00E31846">
        <w:rPr>
          <w:rFonts w:asciiTheme="minorHAnsi" w:eastAsiaTheme="minorHAnsi" w:hAnsiTheme="minorHAnsi" w:cstheme="minorBidi"/>
          <w:snapToGrid/>
          <w:sz w:val="24"/>
          <w:szCs w:val="22"/>
        </w:rPr>
        <w:t xml:space="preserve"> for assessing the real-world treatment response rates across different patient types and in different settings. However</w:t>
      </w:r>
      <w:r w:rsidR="00E31846">
        <w:rPr>
          <w:rFonts w:asciiTheme="minorHAnsi" w:eastAsiaTheme="minorHAnsi" w:hAnsiTheme="minorHAnsi" w:cstheme="minorBidi"/>
          <w:snapToGrid/>
          <w:sz w:val="24"/>
        </w:rPr>
        <w:t xml:space="preserve"> PBAC noted there were several limitations with the data, including:</w:t>
      </w:r>
    </w:p>
    <w:p w:rsidR="00E31846" w:rsidRPr="00453EF0" w:rsidRDefault="00E31846" w:rsidP="00145C5A">
      <w:pPr>
        <w:pStyle w:val="ListParagraph"/>
        <w:numPr>
          <w:ilvl w:val="0"/>
          <w:numId w:val="19"/>
        </w:numPr>
        <w:spacing w:before="120" w:after="120"/>
        <w:ind w:left="1134" w:hanging="425"/>
        <w:contextualSpacing w:val="0"/>
        <w:rPr>
          <w:rFonts w:asciiTheme="minorHAnsi" w:eastAsiaTheme="minorHAnsi" w:hAnsiTheme="minorHAnsi" w:cstheme="minorBidi"/>
          <w:snapToGrid/>
          <w:szCs w:val="22"/>
        </w:rPr>
      </w:pPr>
      <w:proofErr w:type="gramStart"/>
      <w:r w:rsidRPr="00453EF0">
        <w:rPr>
          <w:rFonts w:asciiTheme="minorHAnsi" w:eastAsiaTheme="minorHAnsi" w:hAnsiTheme="minorHAnsi" w:cstheme="minorBidi"/>
          <w:snapToGrid/>
          <w:szCs w:val="22"/>
        </w:rPr>
        <w:t>most</w:t>
      </w:r>
      <w:proofErr w:type="gramEnd"/>
      <w:r w:rsidRPr="00453EF0">
        <w:rPr>
          <w:rFonts w:asciiTheme="minorHAnsi" w:eastAsiaTheme="minorHAnsi" w:hAnsiTheme="minorHAnsi" w:cstheme="minorBidi"/>
          <w:snapToGrid/>
          <w:szCs w:val="22"/>
        </w:rPr>
        <w:t xml:space="preserve"> of the participants in the REACH-C study were being treated through specialist viral hepatitis clinics. A greater representation of data from non-tertiary </w:t>
      </w:r>
      <w:r w:rsidR="00EC76D1">
        <w:rPr>
          <w:rFonts w:asciiTheme="minorHAnsi" w:eastAsiaTheme="minorHAnsi" w:hAnsiTheme="minorHAnsi" w:cstheme="minorBidi"/>
          <w:snapToGrid/>
          <w:szCs w:val="22"/>
        </w:rPr>
        <w:t>clinics was needed; and</w:t>
      </w:r>
    </w:p>
    <w:p w:rsidR="003204B7" w:rsidRPr="00453EF0" w:rsidRDefault="00125A2F" w:rsidP="00145C5A">
      <w:pPr>
        <w:pStyle w:val="ListParagraph"/>
        <w:numPr>
          <w:ilvl w:val="0"/>
          <w:numId w:val="19"/>
        </w:numPr>
        <w:spacing w:before="120" w:after="120"/>
        <w:ind w:left="1134" w:hanging="425"/>
        <w:contextualSpacing w:val="0"/>
        <w:rPr>
          <w:rFonts w:asciiTheme="minorHAnsi" w:eastAsiaTheme="minorHAnsi" w:hAnsiTheme="minorHAnsi" w:cstheme="minorBidi"/>
          <w:snapToGrid/>
          <w:szCs w:val="22"/>
        </w:rPr>
      </w:pPr>
      <w:proofErr w:type="gramStart"/>
      <w:r>
        <w:rPr>
          <w:rFonts w:asciiTheme="minorHAnsi" w:eastAsiaTheme="minorHAnsi" w:hAnsiTheme="minorHAnsi" w:cstheme="minorBidi"/>
          <w:snapToGrid/>
          <w:szCs w:val="22"/>
        </w:rPr>
        <w:t>t</w:t>
      </w:r>
      <w:r w:rsidR="00E31846" w:rsidRPr="00453EF0">
        <w:rPr>
          <w:rFonts w:asciiTheme="minorHAnsi" w:eastAsiaTheme="minorHAnsi" w:hAnsiTheme="minorHAnsi" w:cstheme="minorBidi"/>
          <w:snapToGrid/>
          <w:szCs w:val="22"/>
        </w:rPr>
        <w:t>here</w:t>
      </w:r>
      <w:proofErr w:type="gramEnd"/>
      <w:r w:rsidR="00E31846" w:rsidRPr="00453EF0">
        <w:rPr>
          <w:rFonts w:asciiTheme="minorHAnsi" w:eastAsiaTheme="minorHAnsi" w:hAnsiTheme="minorHAnsi" w:cstheme="minorBidi"/>
          <w:snapToGrid/>
          <w:szCs w:val="22"/>
        </w:rPr>
        <w:t xml:space="preserve"> were large numbers of treated individuals for whom no data on sustained viral response was available</w:t>
      </w:r>
      <w:r w:rsidR="003204B7" w:rsidRPr="00453EF0">
        <w:rPr>
          <w:rFonts w:asciiTheme="minorHAnsi" w:eastAsiaTheme="minorHAnsi" w:hAnsiTheme="minorHAnsi" w:cstheme="minorBidi"/>
          <w:snapToGrid/>
          <w:szCs w:val="22"/>
        </w:rPr>
        <w:t>. PBAC noted that follow-up information was not complete for all participants as the</w:t>
      </w:r>
      <w:r w:rsidR="00E31846" w:rsidRPr="00453EF0">
        <w:rPr>
          <w:rFonts w:asciiTheme="minorHAnsi" w:eastAsiaTheme="minorHAnsi" w:hAnsiTheme="minorHAnsi" w:cstheme="minorBidi"/>
          <w:snapToGrid/>
          <w:szCs w:val="22"/>
        </w:rPr>
        <w:t xml:space="preserve"> study was at an early stage</w:t>
      </w:r>
      <w:r w:rsidR="003204B7" w:rsidRPr="00453EF0">
        <w:rPr>
          <w:rFonts w:asciiTheme="minorHAnsi" w:eastAsiaTheme="minorHAnsi" w:hAnsiTheme="minorHAnsi" w:cstheme="minorBidi"/>
          <w:snapToGrid/>
          <w:szCs w:val="22"/>
        </w:rPr>
        <w:t>.</w:t>
      </w:r>
    </w:p>
    <w:p w:rsidR="00E31846" w:rsidRPr="002F2A3E" w:rsidRDefault="000E491A" w:rsidP="00145C5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requested the Department to work with The Kirby Institute to improve the quality of the data collection and increase the representation of data from general practice settings.</w:t>
      </w:r>
    </w:p>
    <w:p w:rsidR="005A3173" w:rsidRPr="00E42BDB" w:rsidRDefault="005A3173" w:rsidP="00145C5A">
      <w:pPr>
        <w:pStyle w:val="PBACHeading1"/>
        <w:spacing w:before="120" w:after="120"/>
        <w:ind w:left="709" w:hanging="709"/>
        <w:rPr>
          <w:rFonts w:asciiTheme="minorHAnsi" w:hAnsiTheme="minorHAnsi"/>
          <w:sz w:val="32"/>
          <w:szCs w:val="32"/>
        </w:rPr>
      </w:pPr>
      <w:r w:rsidRPr="003C2FB5">
        <w:rPr>
          <w:rFonts w:asciiTheme="minorHAnsi" w:hAnsiTheme="minorHAnsi"/>
          <w:sz w:val="32"/>
          <w:szCs w:val="32"/>
        </w:rPr>
        <w:t>C</w:t>
      </w:r>
      <w:r w:rsidR="00BA1786">
        <w:rPr>
          <w:rFonts w:asciiTheme="minorHAnsi" w:hAnsiTheme="minorHAnsi"/>
          <w:sz w:val="32"/>
          <w:szCs w:val="32"/>
        </w:rPr>
        <w:t>urrent situation</w:t>
      </w:r>
    </w:p>
    <w:p w:rsidR="008A1956" w:rsidRPr="00722FEA" w:rsidRDefault="00F76EB5" w:rsidP="00145C5A">
      <w:pPr>
        <w:pStyle w:val="ListParagraph"/>
        <w:widowControl/>
        <w:numPr>
          <w:ilvl w:val="1"/>
          <w:numId w:val="14"/>
        </w:numPr>
        <w:spacing w:before="120" w:after="120"/>
        <w:rPr>
          <w:rFonts w:asciiTheme="minorHAnsi" w:hAnsiTheme="minorHAnsi"/>
          <w:sz w:val="24"/>
          <w:szCs w:val="24"/>
        </w:rPr>
      </w:pPr>
      <w:r>
        <w:rPr>
          <w:rFonts w:asciiTheme="minorHAnsi" w:eastAsiaTheme="minorHAnsi" w:hAnsiTheme="minorHAnsi" w:cstheme="minorBidi"/>
          <w:snapToGrid/>
          <w:sz w:val="24"/>
          <w:szCs w:val="22"/>
        </w:rPr>
        <w:t xml:space="preserve">As at March 2018, data </w:t>
      </w:r>
      <w:proofErr w:type="gramStart"/>
      <w:r>
        <w:rPr>
          <w:rFonts w:asciiTheme="minorHAnsi" w:eastAsiaTheme="minorHAnsi" w:hAnsiTheme="minorHAnsi" w:cstheme="minorBidi"/>
          <w:snapToGrid/>
          <w:sz w:val="24"/>
          <w:szCs w:val="22"/>
        </w:rPr>
        <w:t>has been captured</w:t>
      </w:r>
      <w:proofErr w:type="gramEnd"/>
      <w:r>
        <w:rPr>
          <w:rFonts w:asciiTheme="minorHAnsi" w:eastAsiaTheme="minorHAnsi" w:hAnsiTheme="minorHAnsi" w:cstheme="minorBidi"/>
          <w:snapToGrid/>
          <w:sz w:val="24"/>
          <w:szCs w:val="22"/>
        </w:rPr>
        <w:t xml:space="preserve"> for 5,416 participants. </w:t>
      </w:r>
    </w:p>
    <w:p w:rsidR="00CA0995" w:rsidRDefault="00CA0995" w:rsidP="00145C5A">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The Kirby In</w:t>
      </w:r>
      <w:r w:rsidR="003B5B70">
        <w:rPr>
          <w:rFonts w:asciiTheme="minorHAnsi" w:hAnsiTheme="minorHAnsi"/>
          <w:sz w:val="24"/>
          <w:szCs w:val="24"/>
        </w:rPr>
        <w:t>stitute has provided a progress</w:t>
      </w:r>
      <w:r w:rsidR="004E5EEF">
        <w:rPr>
          <w:rFonts w:asciiTheme="minorHAnsi" w:hAnsiTheme="minorHAnsi"/>
          <w:sz w:val="24"/>
          <w:szCs w:val="24"/>
        </w:rPr>
        <w:t xml:space="preserve"> </w:t>
      </w:r>
      <w:r>
        <w:rPr>
          <w:rFonts w:asciiTheme="minorHAnsi" w:hAnsiTheme="minorHAnsi"/>
          <w:sz w:val="24"/>
          <w:szCs w:val="24"/>
        </w:rPr>
        <w:t xml:space="preserve">project report </w:t>
      </w:r>
      <w:r w:rsidR="00F93D34">
        <w:rPr>
          <w:rFonts w:asciiTheme="minorHAnsi" w:hAnsiTheme="minorHAnsi"/>
          <w:sz w:val="24"/>
          <w:szCs w:val="24"/>
        </w:rPr>
        <w:t xml:space="preserve">for participants initiating </w:t>
      </w:r>
      <w:r w:rsidR="004E5EEF">
        <w:rPr>
          <w:rFonts w:asciiTheme="minorHAnsi" w:hAnsiTheme="minorHAnsi"/>
          <w:sz w:val="24"/>
          <w:szCs w:val="24"/>
        </w:rPr>
        <w:t>on treatment</w:t>
      </w:r>
      <w:r w:rsidR="00F93D34">
        <w:rPr>
          <w:rFonts w:asciiTheme="minorHAnsi" w:hAnsiTheme="minorHAnsi"/>
          <w:sz w:val="24"/>
          <w:szCs w:val="24"/>
        </w:rPr>
        <w:t xml:space="preserve"> from</w:t>
      </w:r>
      <w:r w:rsidR="004E5EEF">
        <w:rPr>
          <w:rFonts w:asciiTheme="minorHAnsi" w:hAnsiTheme="minorHAnsi"/>
          <w:sz w:val="24"/>
          <w:szCs w:val="24"/>
        </w:rPr>
        <w:t xml:space="preserve"> 1 March 2016 to December 2017</w:t>
      </w:r>
      <w:r>
        <w:rPr>
          <w:rFonts w:asciiTheme="minorHAnsi" w:hAnsiTheme="minorHAnsi"/>
          <w:sz w:val="24"/>
          <w:szCs w:val="24"/>
        </w:rPr>
        <w:t>.</w:t>
      </w:r>
    </w:p>
    <w:p w:rsidR="003E24A8" w:rsidRPr="00381B31" w:rsidRDefault="00702166" w:rsidP="00145C5A">
      <w:pPr>
        <w:pStyle w:val="ListParagraph"/>
        <w:widowControl/>
        <w:numPr>
          <w:ilvl w:val="1"/>
          <w:numId w:val="14"/>
        </w:numPr>
        <w:spacing w:before="120" w:after="120"/>
        <w:rPr>
          <w:rFonts w:asciiTheme="minorHAnsi" w:hAnsiTheme="minorHAnsi"/>
          <w:sz w:val="24"/>
          <w:szCs w:val="24"/>
        </w:rPr>
      </w:pPr>
      <w:r>
        <w:rPr>
          <w:rFonts w:asciiTheme="minorHAnsi" w:hAnsiTheme="minorHAnsi"/>
          <w:sz w:val="24"/>
          <w:szCs w:val="24"/>
        </w:rPr>
        <w:t>The</w:t>
      </w:r>
      <w:r w:rsidR="007C77D5">
        <w:rPr>
          <w:rFonts w:asciiTheme="minorHAnsi" w:hAnsiTheme="minorHAnsi"/>
          <w:sz w:val="24"/>
          <w:szCs w:val="24"/>
        </w:rPr>
        <w:t xml:space="preserve"> Kirby</w:t>
      </w:r>
      <w:r>
        <w:rPr>
          <w:rFonts w:asciiTheme="minorHAnsi" w:hAnsiTheme="minorHAnsi"/>
          <w:sz w:val="24"/>
          <w:szCs w:val="24"/>
        </w:rPr>
        <w:t xml:space="preserve"> report notes that:</w:t>
      </w:r>
    </w:p>
    <w:p w:rsidR="00702166" w:rsidRPr="00581AF3" w:rsidRDefault="003E24A8" w:rsidP="00145C5A">
      <w:pPr>
        <w:pStyle w:val="ListParagraph"/>
        <w:widowControl/>
        <w:numPr>
          <w:ilvl w:val="1"/>
          <w:numId w:val="20"/>
        </w:numPr>
        <w:spacing w:before="120" w:after="120"/>
        <w:ind w:left="993" w:hanging="284"/>
        <w:contextualSpacing w:val="0"/>
        <w:rPr>
          <w:rFonts w:asciiTheme="minorHAnsi" w:hAnsiTheme="minorHAnsi"/>
          <w:sz w:val="24"/>
          <w:szCs w:val="24"/>
        </w:rPr>
      </w:pPr>
      <w:proofErr w:type="gramStart"/>
      <w:r>
        <w:rPr>
          <w:rFonts w:asciiTheme="minorHAnsi" w:hAnsiTheme="minorHAnsi"/>
          <w:sz w:val="24"/>
          <w:szCs w:val="24"/>
        </w:rPr>
        <w:lastRenderedPageBreak/>
        <w:t>34%</w:t>
      </w:r>
      <w:proofErr w:type="gramEnd"/>
      <w:r>
        <w:rPr>
          <w:rFonts w:asciiTheme="minorHAnsi" w:hAnsiTheme="minorHAnsi"/>
          <w:sz w:val="24"/>
          <w:szCs w:val="24"/>
        </w:rPr>
        <w:t xml:space="preserve"> of patients were treated in non-tertiary settings, including general practice, community health clinics, drug and alcohol services and sexual health services (Table 5 p18).</w:t>
      </w:r>
    </w:p>
    <w:p w:rsidR="00702166" w:rsidRPr="00581AF3" w:rsidRDefault="00702166" w:rsidP="00145C5A">
      <w:pPr>
        <w:pStyle w:val="ListParagraph"/>
        <w:widowControl/>
        <w:numPr>
          <w:ilvl w:val="1"/>
          <w:numId w:val="20"/>
        </w:numPr>
        <w:spacing w:before="120" w:after="120"/>
        <w:ind w:left="993" w:hanging="284"/>
        <w:contextualSpacing w:val="0"/>
        <w:rPr>
          <w:rFonts w:asciiTheme="minorHAnsi" w:hAnsiTheme="minorHAnsi"/>
          <w:sz w:val="24"/>
          <w:szCs w:val="24"/>
        </w:rPr>
      </w:pPr>
      <w:r>
        <w:rPr>
          <w:rFonts w:asciiTheme="minorHAnsi" w:hAnsiTheme="minorHAnsi"/>
          <w:sz w:val="24"/>
          <w:szCs w:val="24"/>
        </w:rPr>
        <w:t xml:space="preserve">The overall loss to follow-up for participants with an unknown </w:t>
      </w:r>
      <w:r w:rsidR="002F1AAB">
        <w:rPr>
          <w:rFonts w:asciiTheme="minorHAnsi" w:hAnsiTheme="minorHAnsi"/>
          <w:sz w:val="24"/>
          <w:szCs w:val="24"/>
        </w:rPr>
        <w:t xml:space="preserve">sustained virological response </w:t>
      </w:r>
      <w:r w:rsidR="003224AD">
        <w:rPr>
          <w:rFonts w:asciiTheme="minorHAnsi" w:hAnsiTheme="minorHAnsi"/>
          <w:sz w:val="24"/>
          <w:szCs w:val="24"/>
        </w:rPr>
        <w:t xml:space="preserve">outcome </w:t>
      </w:r>
      <w:r w:rsidR="002F1AAB">
        <w:rPr>
          <w:rFonts w:asciiTheme="minorHAnsi" w:hAnsiTheme="minorHAnsi"/>
          <w:sz w:val="24"/>
          <w:szCs w:val="24"/>
        </w:rPr>
        <w:t>(</w:t>
      </w:r>
      <w:r>
        <w:rPr>
          <w:rFonts w:asciiTheme="minorHAnsi" w:hAnsiTheme="minorHAnsi"/>
          <w:sz w:val="24"/>
          <w:szCs w:val="24"/>
        </w:rPr>
        <w:t>SVR12</w:t>
      </w:r>
      <w:r w:rsidR="002F1AAB">
        <w:rPr>
          <w:rFonts w:asciiTheme="minorHAnsi" w:hAnsiTheme="minorHAnsi"/>
          <w:sz w:val="24"/>
          <w:szCs w:val="24"/>
        </w:rPr>
        <w:t>)</w:t>
      </w:r>
      <w:r>
        <w:rPr>
          <w:rFonts w:asciiTheme="minorHAnsi" w:hAnsiTheme="minorHAnsi"/>
          <w:sz w:val="24"/>
          <w:szCs w:val="24"/>
        </w:rPr>
        <w:t xml:space="preserve"> was 17%.</w:t>
      </w:r>
    </w:p>
    <w:p w:rsidR="00ED6C53" w:rsidRPr="00581AF3" w:rsidRDefault="003E24A8" w:rsidP="00145C5A">
      <w:pPr>
        <w:pStyle w:val="ListParagraph"/>
        <w:widowControl/>
        <w:numPr>
          <w:ilvl w:val="1"/>
          <w:numId w:val="20"/>
        </w:numPr>
        <w:spacing w:before="120" w:after="120"/>
        <w:ind w:left="993" w:hanging="284"/>
        <w:contextualSpacing w:val="0"/>
        <w:rPr>
          <w:rFonts w:asciiTheme="minorHAnsi" w:hAnsiTheme="minorHAnsi"/>
          <w:sz w:val="24"/>
          <w:szCs w:val="24"/>
        </w:rPr>
      </w:pPr>
      <w:r>
        <w:rPr>
          <w:rFonts w:asciiTheme="minorHAnsi" w:hAnsiTheme="minorHAnsi"/>
          <w:sz w:val="24"/>
          <w:szCs w:val="24"/>
        </w:rPr>
        <w:t>For the 4,513 participants with a confirmed treatment out</w:t>
      </w:r>
      <w:r w:rsidR="00ED6C53">
        <w:rPr>
          <w:rFonts w:asciiTheme="minorHAnsi" w:hAnsiTheme="minorHAnsi"/>
          <w:sz w:val="24"/>
          <w:szCs w:val="24"/>
        </w:rPr>
        <w:t>come:</w:t>
      </w:r>
    </w:p>
    <w:p w:rsidR="00ED6C53" w:rsidRPr="00581AF3" w:rsidRDefault="007F192E" w:rsidP="00145C5A">
      <w:pPr>
        <w:pStyle w:val="ListParagraph"/>
        <w:widowControl/>
        <w:numPr>
          <w:ilvl w:val="1"/>
          <w:numId w:val="21"/>
        </w:numPr>
        <w:spacing w:before="120" w:after="120"/>
        <w:contextualSpacing w:val="0"/>
        <w:rPr>
          <w:rFonts w:asciiTheme="minorHAnsi" w:hAnsiTheme="minorHAnsi"/>
          <w:sz w:val="24"/>
          <w:szCs w:val="24"/>
        </w:rPr>
      </w:pPr>
      <w:proofErr w:type="gramStart"/>
      <w:r w:rsidRPr="00ED6C53">
        <w:rPr>
          <w:rFonts w:asciiTheme="minorHAnsi" w:hAnsiTheme="minorHAnsi"/>
          <w:sz w:val="24"/>
          <w:szCs w:val="24"/>
        </w:rPr>
        <w:t>96%</w:t>
      </w:r>
      <w:proofErr w:type="gramEnd"/>
      <w:r w:rsidRPr="00ED6C53">
        <w:rPr>
          <w:rFonts w:asciiTheme="minorHAnsi" w:hAnsiTheme="minorHAnsi"/>
          <w:sz w:val="24"/>
          <w:szCs w:val="24"/>
        </w:rPr>
        <w:t xml:space="preserve"> achieved SVR12.</w:t>
      </w:r>
    </w:p>
    <w:p w:rsidR="007F192E" w:rsidRPr="00816B4D" w:rsidRDefault="00ED6C53" w:rsidP="00145C5A">
      <w:pPr>
        <w:pStyle w:val="ListParagraph"/>
        <w:widowControl/>
        <w:numPr>
          <w:ilvl w:val="1"/>
          <w:numId w:val="21"/>
        </w:numPr>
        <w:spacing w:before="120" w:after="120"/>
        <w:contextualSpacing w:val="0"/>
        <w:rPr>
          <w:rFonts w:asciiTheme="minorHAnsi" w:hAnsiTheme="minorHAnsi"/>
          <w:sz w:val="24"/>
          <w:szCs w:val="24"/>
        </w:rPr>
      </w:pPr>
      <w:r>
        <w:rPr>
          <w:rFonts w:asciiTheme="minorHAnsi" w:hAnsiTheme="minorHAnsi"/>
          <w:sz w:val="24"/>
          <w:szCs w:val="24"/>
        </w:rPr>
        <w:t xml:space="preserve">Of </w:t>
      </w:r>
      <w:r w:rsidR="007726DE">
        <w:rPr>
          <w:rFonts w:asciiTheme="minorHAnsi" w:hAnsiTheme="minorHAnsi"/>
          <w:sz w:val="24"/>
          <w:szCs w:val="24"/>
        </w:rPr>
        <w:t>the 184 participants</w:t>
      </w:r>
      <w:r>
        <w:rPr>
          <w:rFonts w:asciiTheme="minorHAnsi" w:hAnsiTheme="minorHAnsi"/>
          <w:sz w:val="24"/>
          <w:szCs w:val="24"/>
        </w:rPr>
        <w:t xml:space="preserve"> who did not achieve SVR12, the main reasons were </w:t>
      </w:r>
      <w:r w:rsidR="007F192E" w:rsidRPr="00581AF3">
        <w:rPr>
          <w:rFonts w:asciiTheme="minorHAnsi" w:hAnsiTheme="minorHAnsi"/>
          <w:sz w:val="24"/>
          <w:szCs w:val="24"/>
        </w:rPr>
        <w:t>virologic</w:t>
      </w:r>
      <w:r w:rsidR="007726DE" w:rsidRPr="00581AF3">
        <w:rPr>
          <w:rFonts w:asciiTheme="minorHAnsi" w:hAnsiTheme="minorHAnsi"/>
          <w:sz w:val="24"/>
          <w:szCs w:val="24"/>
        </w:rPr>
        <w:t>al failure (72%) and</w:t>
      </w:r>
      <w:r w:rsidR="007F192E" w:rsidRPr="00581AF3">
        <w:rPr>
          <w:rFonts w:asciiTheme="minorHAnsi" w:hAnsiTheme="minorHAnsi"/>
          <w:sz w:val="24"/>
          <w:szCs w:val="24"/>
        </w:rPr>
        <w:t xml:space="preserve"> did not complete </w:t>
      </w:r>
      <w:r w:rsidRPr="00581AF3">
        <w:rPr>
          <w:rFonts w:asciiTheme="minorHAnsi" w:hAnsiTheme="minorHAnsi"/>
          <w:sz w:val="24"/>
          <w:szCs w:val="24"/>
        </w:rPr>
        <w:t xml:space="preserve">the </w:t>
      </w:r>
      <w:r w:rsidR="003224AD">
        <w:rPr>
          <w:rFonts w:asciiTheme="minorHAnsi" w:hAnsiTheme="minorHAnsi"/>
          <w:sz w:val="24"/>
          <w:szCs w:val="24"/>
        </w:rPr>
        <w:t xml:space="preserve">full </w:t>
      </w:r>
      <w:r w:rsidR="007726DE" w:rsidRPr="00581AF3">
        <w:rPr>
          <w:rFonts w:asciiTheme="minorHAnsi" w:hAnsiTheme="minorHAnsi"/>
          <w:sz w:val="24"/>
          <w:szCs w:val="24"/>
        </w:rPr>
        <w:t>treatment course (12</w:t>
      </w:r>
      <w:r w:rsidR="007F192E" w:rsidRPr="00581AF3">
        <w:rPr>
          <w:rFonts w:asciiTheme="minorHAnsi" w:hAnsiTheme="minorHAnsi"/>
          <w:sz w:val="24"/>
          <w:szCs w:val="24"/>
        </w:rPr>
        <w:t>%)</w:t>
      </w:r>
      <w:r w:rsidR="007726DE" w:rsidRPr="00581AF3">
        <w:rPr>
          <w:rFonts w:asciiTheme="minorHAnsi" w:hAnsiTheme="minorHAnsi"/>
          <w:sz w:val="24"/>
          <w:szCs w:val="24"/>
        </w:rPr>
        <w:t xml:space="preserve">. Reinfection was recorded as a reason for </w:t>
      </w:r>
      <w:proofErr w:type="gramStart"/>
      <w:r w:rsidR="007726DE" w:rsidRPr="00581AF3">
        <w:rPr>
          <w:rFonts w:asciiTheme="minorHAnsi" w:hAnsiTheme="minorHAnsi"/>
          <w:sz w:val="24"/>
          <w:szCs w:val="24"/>
        </w:rPr>
        <w:t>3</w:t>
      </w:r>
      <w:proofErr w:type="gramEnd"/>
      <w:r w:rsidR="007726DE" w:rsidRPr="00581AF3">
        <w:rPr>
          <w:rFonts w:asciiTheme="minorHAnsi" w:hAnsiTheme="minorHAnsi"/>
          <w:sz w:val="24"/>
          <w:szCs w:val="24"/>
        </w:rPr>
        <w:t xml:space="preserve"> individuals</w:t>
      </w:r>
      <w:r w:rsidR="003E24A8" w:rsidRPr="00581AF3">
        <w:rPr>
          <w:rFonts w:asciiTheme="minorHAnsi" w:hAnsiTheme="minorHAnsi"/>
          <w:sz w:val="24"/>
          <w:szCs w:val="24"/>
        </w:rPr>
        <w:t>.</w:t>
      </w:r>
    </w:p>
    <w:p w:rsidR="007F192E" w:rsidRDefault="00E52C0D"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hAnsiTheme="minorHAnsi"/>
          <w:sz w:val="24"/>
          <w:szCs w:val="24"/>
        </w:rPr>
        <w:t>The Department has en</w:t>
      </w:r>
      <w:r w:rsidR="007524E6">
        <w:rPr>
          <w:rFonts w:asciiTheme="minorHAnsi" w:hAnsiTheme="minorHAnsi"/>
          <w:sz w:val="24"/>
          <w:szCs w:val="24"/>
        </w:rPr>
        <w:t>gaged a health technology evaluator</w:t>
      </w:r>
      <w:r>
        <w:rPr>
          <w:rFonts w:asciiTheme="minorHAnsi" w:hAnsiTheme="minorHAnsi"/>
          <w:sz w:val="24"/>
          <w:szCs w:val="24"/>
        </w:rPr>
        <w:t xml:space="preserve"> to assess the suitability and reliability of the current data to </w:t>
      </w:r>
      <w:r w:rsidR="00352BC4">
        <w:rPr>
          <w:rFonts w:asciiTheme="minorHAnsi" w:hAnsiTheme="minorHAnsi"/>
          <w:sz w:val="24"/>
          <w:szCs w:val="24"/>
        </w:rPr>
        <w:t>examine the cost-effectiveness of the DAAs in practice.</w:t>
      </w:r>
      <w:r w:rsidR="001B7BAC">
        <w:rPr>
          <w:rFonts w:asciiTheme="minorHAnsi" w:hAnsiTheme="minorHAnsi"/>
          <w:sz w:val="24"/>
          <w:szCs w:val="24"/>
        </w:rPr>
        <w:t xml:space="preserve"> The Department is also undertaking a procurement process to identify other potential suppliers for the data collection.</w:t>
      </w:r>
    </w:p>
    <w:p w:rsidR="001B7BAC" w:rsidRDefault="00DC24D7"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hAnsiTheme="minorHAnsi"/>
          <w:sz w:val="24"/>
          <w:szCs w:val="24"/>
        </w:rPr>
        <w:t xml:space="preserve">The Department requested data from the National Prescribing Service (NPS) </w:t>
      </w:r>
      <w:proofErr w:type="spellStart"/>
      <w:r>
        <w:rPr>
          <w:rFonts w:asciiTheme="minorHAnsi" w:hAnsiTheme="minorHAnsi"/>
          <w:sz w:val="24"/>
          <w:szCs w:val="24"/>
        </w:rPr>
        <w:t>MedicineInsight</w:t>
      </w:r>
      <w:proofErr w:type="spellEnd"/>
      <w:r>
        <w:rPr>
          <w:rFonts w:asciiTheme="minorHAnsi" w:hAnsiTheme="minorHAnsi"/>
          <w:sz w:val="24"/>
          <w:szCs w:val="24"/>
        </w:rPr>
        <w:t xml:space="preserve"> program on the general practice management of patients with hepatitis C.</w:t>
      </w:r>
    </w:p>
    <w:p w:rsidR="00816B4D" w:rsidRDefault="007C77D5"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hAnsiTheme="minorHAnsi"/>
          <w:sz w:val="24"/>
          <w:szCs w:val="24"/>
        </w:rPr>
        <w:t>The NPS report notes that:</w:t>
      </w:r>
    </w:p>
    <w:p w:rsidR="00144852" w:rsidRDefault="00144852" w:rsidP="00145C5A">
      <w:pPr>
        <w:pStyle w:val="ListParagraph"/>
        <w:widowControl/>
        <w:numPr>
          <w:ilvl w:val="1"/>
          <w:numId w:val="23"/>
        </w:numPr>
        <w:spacing w:before="120" w:after="120"/>
        <w:ind w:left="993" w:hanging="284"/>
        <w:contextualSpacing w:val="0"/>
        <w:rPr>
          <w:rFonts w:asciiTheme="minorHAnsi" w:hAnsiTheme="minorHAnsi"/>
          <w:sz w:val="24"/>
          <w:szCs w:val="24"/>
        </w:rPr>
      </w:pPr>
      <w:r>
        <w:rPr>
          <w:rFonts w:asciiTheme="minorHAnsi" w:hAnsiTheme="minorHAnsi"/>
          <w:sz w:val="24"/>
          <w:szCs w:val="24"/>
        </w:rPr>
        <w:t xml:space="preserve">Reliable assessments </w:t>
      </w:r>
      <w:proofErr w:type="gramStart"/>
      <w:r>
        <w:rPr>
          <w:rFonts w:asciiTheme="minorHAnsi" w:hAnsiTheme="minorHAnsi"/>
          <w:sz w:val="24"/>
          <w:szCs w:val="24"/>
        </w:rPr>
        <w:t>could not be made</w:t>
      </w:r>
      <w:proofErr w:type="gramEnd"/>
      <w:r>
        <w:rPr>
          <w:rFonts w:asciiTheme="minorHAnsi" w:hAnsiTheme="minorHAnsi"/>
          <w:sz w:val="24"/>
          <w:szCs w:val="24"/>
        </w:rPr>
        <w:t xml:space="preserve"> </w:t>
      </w:r>
      <w:r w:rsidR="00353078">
        <w:rPr>
          <w:rFonts w:asciiTheme="minorHAnsi" w:hAnsiTheme="minorHAnsi"/>
          <w:sz w:val="24"/>
          <w:szCs w:val="24"/>
        </w:rPr>
        <w:t xml:space="preserve">from </w:t>
      </w:r>
      <w:proofErr w:type="spellStart"/>
      <w:r>
        <w:rPr>
          <w:rFonts w:asciiTheme="minorHAnsi" w:hAnsiTheme="minorHAnsi"/>
          <w:sz w:val="24"/>
          <w:szCs w:val="24"/>
        </w:rPr>
        <w:t>MedicineInsight</w:t>
      </w:r>
      <w:proofErr w:type="spellEnd"/>
      <w:r>
        <w:rPr>
          <w:rFonts w:asciiTheme="minorHAnsi" w:hAnsiTheme="minorHAnsi"/>
          <w:sz w:val="24"/>
          <w:szCs w:val="24"/>
        </w:rPr>
        <w:t xml:space="preserve"> on </w:t>
      </w:r>
      <w:r w:rsidR="00353078">
        <w:rPr>
          <w:rFonts w:asciiTheme="minorHAnsi" w:hAnsiTheme="minorHAnsi"/>
          <w:sz w:val="24"/>
          <w:szCs w:val="24"/>
        </w:rPr>
        <w:t xml:space="preserve">achievement of sustained </w:t>
      </w:r>
      <w:proofErr w:type="spellStart"/>
      <w:r w:rsidR="00353078">
        <w:rPr>
          <w:rFonts w:asciiTheme="minorHAnsi" w:hAnsiTheme="minorHAnsi"/>
          <w:sz w:val="24"/>
          <w:szCs w:val="24"/>
        </w:rPr>
        <w:t>virologic</w:t>
      </w:r>
      <w:proofErr w:type="spellEnd"/>
      <w:r w:rsidR="00353078">
        <w:rPr>
          <w:rFonts w:asciiTheme="minorHAnsi" w:hAnsiTheme="minorHAnsi"/>
          <w:sz w:val="24"/>
          <w:szCs w:val="24"/>
        </w:rPr>
        <w:t xml:space="preserve"> response, </w:t>
      </w:r>
      <w:r>
        <w:rPr>
          <w:rFonts w:asciiTheme="minorHAnsi" w:hAnsiTheme="minorHAnsi"/>
          <w:sz w:val="24"/>
          <w:szCs w:val="24"/>
        </w:rPr>
        <w:t>cirrhotic status, referrals to specialists and liver fibrosis.</w:t>
      </w:r>
    </w:p>
    <w:p w:rsidR="00144852" w:rsidRDefault="00144852" w:rsidP="00145C5A">
      <w:pPr>
        <w:pStyle w:val="ListParagraph"/>
        <w:widowControl/>
        <w:numPr>
          <w:ilvl w:val="1"/>
          <w:numId w:val="23"/>
        </w:numPr>
        <w:spacing w:before="120" w:after="120"/>
        <w:ind w:left="993" w:hanging="284"/>
        <w:contextualSpacing w:val="0"/>
        <w:rPr>
          <w:rFonts w:asciiTheme="minorHAnsi" w:hAnsiTheme="minorHAnsi"/>
          <w:sz w:val="24"/>
          <w:szCs w:val="24"/>
        </w:rPr>
      </w:pPr>
      <w:r>
        <w:rPr>
          <w:rFonts w:asciiTheme="minorHAnsi" w:hAnsiTheme="minorHAnsi"/>
          <w:sz w:val="24"/>
          <w:szCs w:val="24"/>
        </w:rPr>
        <w:t>Only 54.2% of patients had a HCV genotype test recorded before their DAA prescription</w:t>
      </w:r>
      <w:r w:rsidR="009A7AE8">
        <w:rPr>
          <w:rFonts w:asciiTheme="minorHAnsi" w:hAnsiTheme="minorHAnsi"/>
          <w:sz w:val="24"/>
          <w:szCs w:val="24"/>
        </w:rPr>
        <w:t>.</w:t>
      </w:r>
    </w:p>
    <w:p w:rsidR="00144852" w:rsidRDefault="00144852" w:rsidP="00145C5A">
      <w:pPr>
        <w:pStyle w:val="ListParagraph"/>
        <w:widowControl/>
        <w:numPr>
          <w:ilvl w:val="1"/>
          <w:numId w:val="23"/>
        </w:numPr>
        <w:spacing w:before="120" w:after="120"/>
        <w:ind w:left="993" w:hanging="284"/>
        <w:contextualSpacing w:val="0"/>
        <w:rPr>
          <w:rFonts w:asciiTheme="minorHAnsi" w:hAnsiTheme="minorHAnsi"/>
          <w:sz w:val="24"/>
          <w:szCs w:val="24"/>
        </w:rPr>
      </w:pPr>
      <w:r>
        <w:rPr>
          <w:rFonts w:asciiTheme="minorHAnsi" w:hAnsiTheme="minorHAnsi"/>
          <w:sz w:val="24"/>
          <w:szCs w:val="24"/>
        </w:rPr>
        <w:t xml:space="preserve">The HCV </w:t>
      </w:r>
      <w:proofErr w:type="gramStart"/>
      <w:r>
        <w:rPr>
          <w:rFonts w:asciiTheme="minorHAnsi" w:hAnsiTheme="minorHAnsi"/>
          <w:sz w:val="24"/>
          <w:szCs w:val="24"/>
        </w:rPr>
        <w:t>genotype testing</w:t>
      </w:r>
      <w:proofErr w:type="gramEnd"/>
      <w:r>
        <w:rPr>
          <w:rFonts w:asciiTheme="minorHAnsi" w:hAnsiTheme="minorHAnsi"/>
          <w:sz w:val="24"/>
          <w:szCs w:val="24"/>
        </w:rPr>
        <w:t xml:space="preserve"> rate was similar whether the patient was prescribed a genotype specific DAA </w:t>
      </w:r>
      <w:r w:rsidR="00C645E0">
        <w:rPr>
          <w:rFonts w:asciiTheme="minorHAnsi" w:hAnsiTheme="minorHAnsi"/>
          <w:sz w:val="24"/>
          <w:szCs w:val="24"/>
        </w:rPr>
        <w:t xml:space="preserve">regimen </w:t>
      </w:r>
      <w:r>
        <w:rPr>
          <w:rFonts w:asciiTheme="minorHAnsi" w:hAnsiTheme="minorHAnsi"/>
          <w:sz w:val="24"/>
          <w:szCs w:val="24"/>
        </w:rPr>
        <w:t xml:space="preserve">or pan-genotypic DAA </w:t>
      </w:r>
      <w:r w:rsidR="00C645E0">
        <w:rPr>
          <w:rFonts w:asciiTheme="minorHAnsi" w:hAnsiTheme="minorHAnsi"/>
          <w:sz w:val="24"/>
          <w:szCs w:val="24"/>
        </w:rPr>
        <w:t>regimen</w:t>
      </w:r>
      <w:r w:rsidR="009A7AE8">
        <w:rPr>
          <w:rFonts w:asciiTheme="minorHAnsi" w:hAnsiTheme="minorHAnsi"/>
          <w:sz w:val="24"/>
          <w:szCs w:val="24"/>
        </w:rPr>
        <w:t>.</w:t>
      </w:r>
      <w:r>
        <w:rPr>
          <w:rFonts w:asciiTheme="minorHAnsi" w:hAnsiTheme="minorHAnsi"/>
          <w:sz w:val="24"/>
          <w:szCs w:val="24"/>
        </w:rPr>
        <w:t xml:space="preserve"> </w:t>
      </w:r>
    </w:p>
    <w:p w:rsidR="007C77D5" w:rsidRPr="003E24A8" w:rsidRDefault="00D452C1" w:rsidP="00145C5A">
      <w:pPr>
        <w:pStyle w:val="ListParagraph"/>
        <w:widowControl/>
        <w:numPr>
          <w:ilvl w:val="1"/>
          <w:numId w:val="23"/>
        </w:numPr>
        <w:spacing w:before="120" w:after="120"/>
        <w:ind w:left="993" w:hanging="284"/>
        <w:contextualSpacing w:val="0"/>
        <w:rPr>
          <w:rFonts w:asciiTheme="minorHAnsi" w:hAnsiTheme="minorHAnsi"/>
          <w:sz w:val="24"/>
          <w:szCs w:val="24"/>
        </w:rPr>
      </w:pPr>
      <w:r>
        <w:rPr>
          <w:rFonts w:asciiTheme="minorHAnsi" w:hAnsiTheme="minorHAnsi"/>
          <w:sz w:val="24"/>
          <w:szCs w:val="24"/>
        </w:rPr>
        <w:t xml:space="preserve">For patients prescribed a DAA between 1 March 2016 and 31 December 2017, 7% </w:t>
      </w:r>
      <w:proofErr w:type="gramStart"/>
      <w:r>
        <w:rPr>
          <w:rFonts w:asciiTheme="minorHAnsi" w:hAnsiTheme="minorHAnsi"/>
          <w:sz w:val="24"/>
          <w:szCs w:val="24"/>
        </w:rPr>
        <w:t>were subsequently re-treated</w:t>
      </w:r>
      <w:proofErr w:type="gramEnd"/>
      <w:r>
        <w:rPr>
          <w:rFonts w:asciiTheme="minorHAnsi" w:hAnsiTheme="minorHAnsi"/>
          <w:sz w:val="24"/>
          <w:szCs w:val="24"/>
        </w:rPr>
        <w:t xml:space="preserve"> at the same practice.</w:t>
      </w:r>
    </w:p>
    <w:p w:rsidR="000B558D" w:rsidRDefault="00BA1786" w:rsidP="00145C5A">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t>R</w:t>
      </w:r>
      <w:r w:rsidR="007C55F6">
        <w:rPr>
          <w:rFonts w:asciiTheme="minorHAnsi" w:hAnsiTheme="minorHAnsi"/>
          <w:sz w:val="32"/>
          <w:szCs w:val="32"/>
        </w:rPr>
        <w:t>equested PBAC actions</w:t>
      </w:r>
    </w:p>
    <w:p w:rsidR="00AE0B8F" w:rsidRPr="00AE0B8F" w:rsidRDefault="001307A9"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eastAsiaTheme="minorHAnsi" w:hAnsiTheme="minorHAnsi" w:cstheme="minorBidi"/>
          <w:snapToGrid/>
          <w:sz w:val="24"/>
          <w:szCs w:val="22"/>
        </w:rPr>
        <w:t>That the PBAC note</w:t>
      </w:r>
      <w:r w:rsidR="00AE0B8F">
        <w:rPr>
          <w:rFonts w:asciiTheme="minorHAnsi" w:eastAsiaTheme="minorHAnsi" w:hAnsiTheme="minorHAnsi" w:cstheme="minorBidi"/>
          <w:snapToGrid/>
          <w:sz w:val="24"/>
          <w:szCs w:val="22"/>
        </w:rPr>
        <w:t>:</w:t>
      </w:r>
    </w:p>
    <w:p w:rsidR="00F901FA" w:rsidRPr="00F901FA" w:rsidRDefault="001307A9" w:rsidP="00145C5A">
      <w:pPr>
        <w:pStyle w:val="ListParagraph"/>
        <w:widowControl/>
        <w:numPr>
          <w:ilvl w:val="1"/>
          <w:numId w:val="15"/>
        </w:numPr>
        <w:spacing w:before="120" w:after="120"/>
        <w:ind w:left="1134" w:hanging="425"/>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w:t>
      </w:r>
      <w:r w:rsidR="009876C4">
        <w:rPr>
          <w:rFonts w:asciiTheme="minorHAnsi" w:eastAsiaTheme="minorHAnsi" w:hAnsiTheme="minorHAnsi" w:cstheme="minorBidi"/>
          <w:snapToGrid/>
          <w:sz w:val="24"/>
          <w:szCs w:val="22"/>
        </w:rPr>
        <w:t xml:space="preserve">progress report on the </w:t>
      </w:r>
      <w:r>
        <w:rPr>
          <w:rFonts w:asciiTheme="minorHAnsi" w:eastAsiaTheme="minorHAnsi" w:hAnsiTheme="minorHAnsi" w:cstheme="minorBidi"/>
          <w:snapToGrid/>
          <w:sz w:val="24"/>
          <w:szCs w:val="22"/>
        </w:rPr>
        <w:t>current data captured for 5,416 individuals</w:t>
      </w:r>
      <w:r w:rsidR="00AE0B8F">
        <w:rPr>
          <w:rFonts w:asciiTheme="minorHAnsi" w:eastAsiaTheme="minorHAnsi" w:hAnsiTheme="minorHAnsi" w:cstheme="minorBidi"/>
          <w:snapToGrid/>
          <w:sz w:val="24"/>
          <w:szCs w:val="22"/>
        </w:rPr>
        <w:t xml:space="preserve">. </w:t>
      </w:r>
    </w:p>
    <w:p w:rsidR="002120F7" w:rsidRPr="002120F7" w:rsidRDefault="000847C3" w:rsidP="00145C5A">
      <w:pPr>
        <w:pStyle w:val="ListParagraph"/>
        <w:widowControl/>
        <w:numPr>
          <w:ilvl w:val="1"/>
          <w:numId w:val="15"/>
        </w:numPr>
        <w:spacing w:before="120" w:after="120"/>
        <w:ind w:left="1134" w:hanging="425"/>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findings from the NPS report based on </w:t>
      </w:r>
      <w:proofErr w:type="spellStart"/>
      <w:r>
        <w:rPr>
          <w:rFonts w:asciiTheme="minorHAnsi" w:eastAsiaTheme="minorHAnsi" w:hAnsiTheme="minorHAnsi" w:cstheme="minorBidi"/>
          <w:snapToGrid/>
          <w:sz w:val="24"/>
          <w:szCs w:val="22"/>
        </w:rPr>
        <w:t>MedicineInsight</w:t>
      </w:r>
      <w:proofErr w:type="spellEnd"/>
      <w:r>
        <w:rPr>
          <w:rFonts w:asciiTheme="minorHAnsi" w:eastAsiaTheme="minorHAnsi" w:hAnsiTheme="minorHAnsi" w:cstheme="minorBidi"/>
          <w:snapToGrid/>
          <w:sz w:val="24"/>
          <w:szCs w:val="22"/>
        </w:rPr>
        <w:t xml:space="preserve"> data.</w:t>
      </w:r>
    </w:p>
    <w:p w:rsidR="00664E7A" w:rsidRPr="00FE7FBC" w:rsidRDefault="00217919" w:rsidP="00145C5A">
      <w:pPr>
        <w:pStyle w:val="ListParagraph"/>
        <w:widowControl/>
        <w:numPr>
          <w:ilvl w:val="1"/>
          <w:numId w:val="15"/>
        </w:numPr>
        <w:spacing w:before="120" w:after="120"/>
        <w:ind w:left="1134" w:hanging="425"/>
        <w:contextualSpacing w:val="0"/>
        <w:rPr>
          <w:rFonts w:asciiTheme="minorHAnsi" w:hAnsiTheme="minorHAnsi"/>
          <w:sz w:val="24"/>
          <w:szCs w:val="24"/>
        </w:rPr>
      </w:pPr>
      <w:r>
        <w:rPr>
          <w:rFonts w:asciiTheme="minorHAnsi" w:eastAsiaTheme="minorHAnsi" w:hAnsiTheme="minorHAnsi" w:cstheme="minorBidi"/>
          <w:snapToGrid/>
          <w:sz w:val="24"/>
          <w:szCs w:val="22"/>
        </w:rPr>
        <w:t>The activities</w:t>
      </w:r>
      <w:r w:rsidR="002120F7">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in relation to assessing the suitability of the current data collection and identifying other potential suppliers</w:t>
      </w:r>
      <w:r w:rsidR="003B38DA" w:rsidRPr="002120F7">
        <w:rPr>
          <w:rFonts w:asciiTheme="minorHAnsi" w:eastAsiaTheme="minorHAnsi" w:hAnsiTheme="minorHAnsi" w:cstheme="minorBidi"/>
          <w:snapToGrid/>
          <w:sz w:val="24"/>
          <w:szCs w:val="22"/>
        </w:rPr>
        <w:t>.</w:t>
      </w:r>
    </w:p>
    <w:p w:rsidR="00FE7FBC" w:rsidRDefault="00FE7FBC" w:rsidP="00145C5A">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Pr>
          <w:rFonts w:asciiTheme="minorHAnsi" w:hAnsiTheme="minorHAnsi"/>
          <w:sz w:val="32"/>
          <w:szCs w:val="32"/>
        </w:rPr>
        <w:t>PBAC Outcome</w:t>
      </w:r>
    </w:p>
    <w:p w:rsidR="00FE7FBC" w:rsidRPr="00FE7FBC" w:rsidRDefault="00FE7FBC"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eastAsiaTheme="minorHAnsi" w:hAnsiTheme="minorHAnsi" w:cstheme="minorBidi"/>
          <w:snapToGrid/>
          <w:sz w:val="24"/>
          <w:szCs w:val="22"/>
        </w:rPr>
        <w:t>The PBAC noted the provided</w:t>
      </w:r>
      <w:r w:rsidR="0022392C">
        <w:rPr>
          <w:rFonts w:asciiTheme="minorHAnsi" w:eastAsiaTheme="minorHAnsi" w:hAnsiTheme="minorHAnsi" w:cstheme="minorBidi"/>
          <w:snapToGrid/>
          <w:sz w:val="24"/>
          <w:szCs w:val="22"/>
        </w:rPr>
        <w:t xml:space="preserve"> REACH-C study</w:t>
      </w:r>
      <w:r>
        <w:rPr>
          <w:rFonts w:asciiTheme="minorHAnsi" w:eastAsiaTheme="minorHAnsi" w:hAnsiTheme="minorHAnsi" w:cstheme="minorBidi"/>
          <w:snapToGrid/>
          <w:sz w:val="24"/>
          <w:szCs w:val="22"/>
        </w:rPr>
        <w:t xml:space="preserve"> progress report and the NPS Report. </w:t>
      </w:r>
    </w:p>
    <w:p w:rsidR="00FE7FBC" w:rsidRPr="00FE7FBC" w:rsidRDefault="00FE7FBC"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eastAsiaTheme="minorHAnsi" w:hAnsiTheme="minorHAnsi" w:cstheme="minorBidi"/>
          <w:snapToGrid/>
          <w:sz w:val="24"/>
          <w:szCs w:val="22"/>
        </w:rPr>
        <w:lastRenderedPageBreak/>
        <w:t xml:space="preserve">The Committee recalled when it first considered the data that </w:t>
      </w:r>
      <w:proofErr w:type="gramStart"/>
      <w:r>
        <w:rPr>
          <w:rFonts w:asciiTheme="minorHAnsi" w:eastAsiaTheme="minorHAnsi" w:hAnsiTheme="minorHAnsi" w:cstheme="minorBidi"/>
          <w:snapToGrid/>
          <w:sz w:val="24"/>
          <w:szCs w:val="22"/>
        </w:rPr>
        <w:t>had been captured</w:t>
      </w:r>
      <w:proofErr w:type="gramEnd"/>
      <w:r>
        <w:rPr>
          <w:rFonts w:asciiTheme="minorHAnsi" w:eastAsiaTheme="minorHAnsi" w:hAnsiTheme="minorHAnsi" w:cstheme="minorBidi"/>
          <w:snapToGrid/>
          <w:sz w:val="24"/>
          <w:szCs w:val="22"/>
        </w:rPr>
        <w:t xml:space="preserve"> from the REACH-C study at its March 2018 meeting that the data had been limited by missing follow-up information due to the immaturity of the data at that stage. </w:t>
      </w:r>
    </w:p>
    <w:p w:rsidR="00FE7FBC" w:rsidRPr="00FE7FBC" w:rsidRDefault="00FE7FBC"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PBAC noted the REACH-C study had experienced a 17% loss to follow-up and noted that most of the data (~66%) </w:t>
      </w:r>
      <w:proofErr w:type="gramStart"/>
      <w:r>
        <w:rPr>
          <w:rFonts w:asciiTheme="minorHAnsi" w:eastAsiaTheme="minorHAnsi" w:hAnsiTheme="minorHAnsi" w:cstheme="minorBidi"/>
          <w:snapToGrid/>
          <w:sz w:val="24"/>
          <w:szCs w:val="22"/>
        </w:rPr>
        <w:t>was being captured</w:t>
      </w:r>
      <w:proofErr w:type="gramEnd"/>
      <w:r>
        <w:rPr>
          <w:rFonts w:asciiTheme="minorHAnsi" w:eastAsiaTheme="minorHAnsi" w:hAnsiTheme="minorHAnsi" w:cstheme="minorBidi"/>
          <w:snapToGrid/>
          <w:sz w:val="24"/>
          <w:szCs w:val="22"/>
        </w:rPr>
        <w:t xml:space="preserve"> from tertiary settings with the remainder from non-tertiary settings. The Committee considered that for the data to be more representative of current prescribing there was a need to capture more information from general practice and other community-based settings. The PBAC also considered the cohort in the study was outdate</w:t>
      </w:r>
      <w:r w:rsidR="00763E7F">
        <w:rPr>
          <w:rFonts w:asciiTheme="minorHAnsi" w:eastAsiaTheme="minorHAnsi" w:hAnsiTheme="minorHAnsi" w:cstheme="minorBidi"/>
          <w:snapToGrid/>
          <w:sz w:val="24"/>
          <w:szCs w:val="22"/>
        </w:rPr>
        <w:t>d</w:t>
      </w:r>
      <w:r>
        <w:rPr>
          <w:rFonts w:asciiTheme="minorHAnsi" w:eastAsiaTheme="minorHAnsi" w:hAnsiTheme="minorHAnsi" w:cstheme="minorBidi"/>
          <w:snapToGrid/>
          <w:sz w:val="24"/>
          <w:szCs w:val="22"/>
        </w:rPr>
        <w:t xml:space="preserve"> with the last patients initiating in December 2017.</w:t>
      </w:r>
    </w:p>
    <w:p w:rsidR="00FE7FBC" w:rsidRDefault="00FE7FBC" w:rsidP="00145C5A">
      <w:pPr>
        <w:pStyle w:val="ListParagraph"/>
        <w:widowControl/>
        <w:numPr>
          <w:ilvl w:val="1"/>
          <w:numId w:val="14"/>
        </w:numPr>
        <w:spacing w:before="120" w:after="120"/>
        <w:contextualSpacing w:val="0"/>
        <w:rPr>
          <w:rFonts w:asciiTheme="minorHAnsi" w:hAnsiTheme="minorHAnsi"/>
          <w:sz w:val="24"/>
          <w:szCs w:val="24"/>
        </w:rPr>
      </w:pPr>
      <w:r>
        <w:rPr>
          <w:rFonts w:asciiTheme="minorHAnsi" w:hAnsiTheme="minorHAnsi"/>
          <w:sz w:val="24"/>
          <w:szCs w:val="24"/>
        </w:rPr>
        <w:t xml:space="preserve">The PBAC also noted the report provided by the NPS </w:t>
      </w:r>
      <w:proofErr w:type="spellStart"/>
      <w:r>
        <w:rPr>
          <w:rFonts w:asciiTheme="minorHAnsi" w:hAnsiTheme="minorHAnsi"/>
          <w:sz w:val="24"/>
          <w:szCs w:val="24"/>
        </w:rPr>
        <w:t>MedicineInsight</w:t>
      </w:r>
      <w:proofErr w:type="spellEnd"/>
      <w:r>
        <w:rPr>
          <w:rFonts w:asciiTheme="minorHAnsi" w:hAnsiTheme="minorHAnsi"/>
          <w:sz w:val="24"/>
          <w:szCs w:val="24"/>
        </w:rPr>
        <w:t xml:space="preserve"> Program and considered it was informative, with data obtained from 359 general practitioner sites. The Committee considered the </w:t>
      </w:r>
      <w:r w:rsidR="00051683">
        <w:rPr>
          <w:rFonts w:asciiTheme="minorHAnsi" w:hAnsiTheme="minorHAnsi"/>
          <w:sz w:val="24"/>
          <w:szCs w:val="24"/>
        </w:rPr>
        <w:t>analyses for</w:t>
      </w:r>
      <w:r>
        <w:rPr>
          <w:rFonts w:asciiTheme="minorHAnsi" w:hAnsiTheme="minorHAnsi"/>
          <w:sz w:val="24"/>
          <w:szCs w:val="24"/>
        </w:rPr>
        <w:t xml:space="preserve"> an early-initiating cohort versus a later, younger cohort (with less cirrhosis) and</w:t>
      </w:r>
      <w:r w:rsidR="009A7AE8">
        <w:rPr>
          <w:rFonts w:asciiTheme="minorHAnsi" w:hAnsiTheme="minorHAnsi"/>
          <w:sz w:val="24"/>
          <w:szCs w:val="24"/>
        </w:rPr>
        <w:t xml:space="preserve"> </w:t>
      </w:r>
      <w:r>
        <w:rPr>
          <w:rFonts w:asciiTheme="minorHAnsi" w:hAnsiTheme="minorHAnsi"/>
          <w:sz w:val="24"/>
          <w:szCs w:val="24"/>
        </w:rPr>
        <w:t xml:space="preserve">analyses for Aboriginal and Torres Strait Islander populations were informative. The PBAC noted the approximate 7% rate of re-treatment and considered that was </w:t>
      </w:r>
      <w:proofErr w:type="gramStart"/>
      <w:r>
        <w:rPr>
          <w:rFonts w:asciiTheme="minorHAnsi" w:hAnsiTheme="minorHAnsi"/>
          <w:sz w:val="24"/>
          <w:szCs w:val="24"/>
        </w:rPr>
        <w:t>not unexpected</w:t>
      </w:r>
      <w:proofErr w:type="gramEnd"/>
      <w:r>
        <w:rPr>
          <w:rFonts w:asciiTheme="minorHAnsi" w:hAnsiTheme="minorHAnsi"/>
          <w:sz w:val="24"/>
          <w:szCs w:val="24"/>
        </w:rPr>
        <w:t xml:space="preserve"> based on the data upon which it had originally recommended the listings of the direct-acting antiviral regimens for the treatment of hepatitis C. The PBAC noted </w:t>
      </w:r>
      <w:r w:rsidR="009A7AE8">
        <w:rPr>
          <w:rFonts w:asciiTheme="minorHAnsi" w:hAnsiTheme="minorHAnsi"/>
          <w:sz w:val="24"/>
          <w:szCs w:val="24"/>
        </w:rPr>
        <w:t xml:space="preserve">that </w:t>
      </w:r>
      <w:r>
        <w:rPr>
          <w:rFonts w:asciiTheme="minorHAnsi" w:hAnsiTheme="minorHAnsi"/>
          <w:sz w:val="24"/>
          <w:szCs w:val="24"/>
        </w:rPr>
        <w:t xml:space="preserve">sustained virological response (SVR) rates </w:t>
      </w:r>
      <w:proofErr w:type="gramStart"/>
      <w:r w:rsidR="009A7AE8">
        <w:rPr>
          <w:rFonts w:asciiTheme="minorHAnsi" w:hAnsiTheme="minorHAnsi"/>
          <w:sz w:val="24"/>
          <w:szCs w:val="24"/>
        </w:rPr>
        <w:t xml:space="preserve">could not be reliably </w:t>
      </w:r>
      <w:r w:rsidR="00310D41">
        <w:rPr>
          <w:rFonts w:asciiTheme="minorHAnsi" w:hAnsiTheme="minorHAnsi"/>
          <w:sz w:val="24"/>
          <w:szCs w:val="24"/>
        </w:rPr>
        <w:t>assessed</w:t>
      </w:r>
      <w:proofErr w:type="gramEnd"/>
      <w:r w:rsidR="009A7AE8">
        <w:rPr>
          <w:rFonts w:asciiTheme="minorHAnsi" w:hAnsiTheme="minorHAnsi"/>
          <w:sz w:val="24"/>
          <w:szCs w:val="24"/>
        </w:rPr>
        <w:t xml:space="preserve"> from the </w:t>
      </w:r>
      <w:proofErr w:type="spellStart"/>
      <w:r w:rsidR="009A7AE8">
        <w:rPr>
          <w:rFonts w:asciiTheme="minorHAnsi" w:hAnsiTheme="minorHAnsi"/>
          <w:sz w:val="24"/>
          <w:szCs w:val="24"/>
        </w:rPr>
        <w:t>MedicineInsight</w:t>
      </w:r>
      <w:proofErr w:type="spellEnd"/>
      <w:r w:rsidR="009A7AE8">
        <w:rPr>
          <w:rFonts w:asciiTheme="minorHAnsi" w:hAnsiTheme="minorHAnsi"/>
          <w:sz w:val="24"/>
          <w:szCs w:val="24"/>
        </w:rPr>
        <w:t xml:space="preserve"> data </w:t>
      </w:r>
      <w:r>
        <w:rPr>
          <w:rFonts w:asciiTheme="minorHAnsi" w:hAnsiTheme="minorHAnsi"/>
          <w:sz w:val="24"/>
          <w:szCs w:val="24"/>
        </w:rPr>
        <w:t>and</w:t>
      </w:r>
      <w:r w:rsidR="009A7AE8">
        <w:rPr>
          <w:rFonts w:asciiTheme="minorHAnsi" w:hAnsiTheme="minorHAnsi"/>
          <w:sz w:val="24"/>
          <w:szCs w:val="24"/>
        </w:rPr>
        <w:t xml:space="preserve"> the</w:t>
      </w:r>
      <w:r>
        <w:rPr>
          <w:rFonts w:asciiTheme="minorHAnsi" w:hAnsiTheme="minorHAnsi"/>
          <w:sz w:val="24"/>
          <w:szCs w:val="24"/>
        </w:rPr>
        <w:t xml:space="preserve"> relatively low number of recorded genotypes (54%) in the NPS data, irrespective of whether patients had been initiated on pan-genotypic or genotype-specific treatments.</w:t>
      </w:r>
    </w:p>
    <w:p w:rsidR="00FE7FBC" w:rsidRPr="006247A3" w:rsidRDefault="006A577F" w:rsidP="006247A3">
      <w:pPr>
        <w:pStyle w:val="ListParagraph"/>
        <w:widowControl/>
        <w:spacing w:before="120" w:after="120"/>
        <w:contextualSpacing w:val="0"/>
        <w:rPr>
          <w:rFonts w:asciiTheme="minorHAnsi" w:hAnsiTheme="minorHAnsi"/>
          <w:sz w:val="24"/>
          <w:szCs w:val="24"/>
          <w:lang w:val="en-US"/>
        </w:rPr>
      </w:pPr>
      <w:r>
        <w:rPr>
          <w:rFonts w:asciiTheme="minorHAnsi" w:hAnsiTheme="minorHAnsi"/>
          <w:b/>
          <w:sz w:val="24"/>
          <w:szCs w:val="24"/>
        </w:rPr>
        <w:t xml:space="preserve">Outcome: </w:t>
      </w:r>
      <w:r>
        <w:rPr>
          <w:rFonts w:asciiTheme="minorHAnsi" w:hAnsiTheme="minorHAnsi"/>
          <w:sz w:val="24"/>
          <w:szCs w:val="24"/>
        </w:rPr>
        <w:t>Noted</w:t>
      </w:r>
      <w:bookmarkStart w:id="0" w:name="_GoBack"/>
      <w:bookmarkEnd w:id="0"/>
    </w:p>
    <w:sectPr w:rsidR="00FE7FBC" w:rsidRPr="006247A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211" w:rsidRDefault="00396211">
      <w:r>
        <w:separator/>
      </w:r>
    </w:p>
    <w:p w:rsidR="00396211" w:rsidRDefault="00396211"/>
  </w:endnote>
  <w:endnote w:type="continuationSeparator" w:id="0">
    <w:p w:rsidR="00396211" w:rsidRDefault="00396211">
      <w:r>
        <w:continuationSeparator/>
      </w:r>
    </w:p>
    <w:p w:rsidR="00396211" w:rsidRDefault="00396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5" w:rsidRDefault="00F80475" w:rsidP="00EF44A0">
    <w:pPr>
      <w:pStyle w:val="Footer"/>
      <w:jc w:val="center"/>
      <w:rPr>
        <w:rFonts w:ascii="Arial" w:hAnsi="Arial" w:cs="Arial"/>
        <w:b/>
        <w:sz w:val="20"/>
        <w:szCs w:val="20"/>
      </w:rPr>
    </w:pPr>
  </w:p>
  <w:p w:rsidR="006A577F" w:rsidRPr="002E1303" w:rsidRDefault="006A577F" w:rsidP="006A577F">
    <w:pPr>
      <w:pStyle w:val="Footer"/>
      <w:ind w:left="360"/>
      <w:jc w:val="center"/>
      <w:rPr>
        <w:rFonts w:ascii="Calibri" w:hAnsi="Calibri" w:cs="Arial"/>
        <w:b/>
      </w:rPr>
    </w:pPr>
    <w:r w:rsidRPr="002E1303">
      <w:rPr>
        <w:rFonts w:ascii="Calibri" w:hAnsi="Calibri" w:cs="Arial"/>
        <w:b/>
      </w:rPr>
      <w:fldChar w:fldCharType="begin"/>
    </w:r>
    <w:r w:rsidRPr="002E1303">
      <w:rPr>
        <w:rFonts w:ascii="Calibri" w:hAnsi="Calibri" w:cs="Arial"/>
        <w:b/>
      </w:rPr>
      <w:instrText xml:space="preserve"> PAGE   \* MERGEFORMAT </w:instrText>
    </w:r>
    <w:r w:rsidRPr="002E1303">
      <w:rPr>
        <w:rFonts w:ascii="Calibri" w:hAnsi="Calibri" w:cs="Arial"/>
        <w:b/>
      </w:rPr>
      <w:fldChar w:fldCharType="separate"/>
    </w:r>
    <w:r w:rsidR="006247A3">
      <w:rPr>
        <w:rFonts w:ascii="Calibri" w:hAnsi="Calibri" w:cs="Arial"/>
        <w:b/>
        <w:noProof/>
      </w:rPr>
      <w:t>3</w:t>
    </w:r>
    <w:r w:rsidRPr="002E1303">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211" w:rsidRDefault="00396211">
      <w:r>
        <w:separator/>
      </w:r>
    </w:p>
    <w:p w:rsidR="00396211" w:rsidRDefault="00396211"/>
  </w:footnote>
  <w:footnote w:type="continuationSeparator" w:id="0">
    <w:p w:rsidR="00396211" w:rsidRDefault="00396211">
      <w:r>
        <w:continuationSeparator/>
      </w:r>
    </w:p>
    <w:p w:rsidR="00396211" w:rsidRDefault="003962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76" w:rsidRPr="00AE6276" w:rsidRDefault="00AE6276" w:rsidP="00AE6276">
    <w:pPr>
      <w:tabs>
        <w:tab w:val="center" w:pos="4153"/>
        <w:tab w:val="right" w:pos="8306"/>
      </w:tabs>
      <w:ind w:left="360"/>
      <w:jc w:val="center"/>
      <w:rPr>
        <w:rFonts w:asciiTheme="minorHAnsi" w:hAnsiTheme="minorHAnsi" w:cs="Arial"/>
        <w:i/>
        <w:color w:val="808080"/>
      </w:rPr>
    </w:pPr>
    <w:r w:rsidRPr="00AE6276">
      <w:rPr>
        <w:rFonts w:asciiTheme="minorHAnsi" w:hAnsiTheme="minorHAnsi" w:cs="Arial"/>
        <w:i/>
        <w:color w:val="808080"/>
      </w:rPr>
      <w:t>Public Summary Document – March 2019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11" w:rsidRDefault="00396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632F5"/>
    <w:multiLevelType w:val="multilevel"/>
    <w:tmpl w:val="55D07E5E"/>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72FBA"/>
    <w:multiLevelType w:val="multilevel"/>
    <w:tmpl w:val="55D07E5E"/>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B7823"/>
    <w:multiLevelType w:val="multilevel"/>
    <w:tmpl w:val="328CB350"/>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F249D"/>
    <w:multiLevelType w:val="multilevel"/>
    <w:tmpl w:val="97B2374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E87B4C"/>
    <w:multiLevelType w:val="multilevel"/>
    <w:tmpl w:val="D4488B18"/>
    <w:lvl w:ilvl="0">
      <w:start w:val="1"/>
      <w:numFmt w:val="decimal"/>
      <w:lvlText w:val="%1"/>
      <w:lvlJc w:val="left"/>
      <w:pPr>
        <w:ind w:left="720" w:hanging="720"/>
      </w:pPr>
      <w:rPr>
        <w:rFonts w:hint="default"/>
        <w:b/>
      </w:rPr>
    </w:lvl>
    <w:lvl w:ilvl="1">
      <w:start w:val="1"/>
      <w:numFmt w:val="lowerLetter"/>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326F85"/>
    <w:multiLevelType w:val="multilevel"/>
    <w:tmpl w:val="0C845F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883049"/>
    <w:multiLevelType w:val="multilevel"/>
    <w:tmpl w:val="0C845F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8C0288"/>
    <w:multiLevelType w:val="multilevel"/>
    <w:tmpl w:val="98906F2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37E22"/>
    <w:multiLevelType w:val="hybridMultilevel"/>
    <w:tmpl w:val="8294CE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5"/>
  </w:num>
  <w:num w:numId="5">
    <w:abstractNumId w:val="20"/>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20"/>
  </w:num>
  <w:num w:numId="15">
    <w:abstractNumId w:val="16"/>
  </w:num>
  <w:num w:numId="16">
    <w:abstractNumId w:val="14"/>
  </w:num>
  <w:num w:numId="17">
    <w:abstractNumId w:val="17"/>
  </w:num>
  <w:num w:numId="18">
    <w:abstractNumId w:val="18"/>
  </w:num>
  <w:num w:numId="19">
    <w:abstractNumId w:val="6"/>
  </w:num>
  <w:num w:numId="20">
    <w:abstractNumId w:val="3"/>
  </w:num>
  <w:num w:numId="21">
    <w:abstractNumId w:val="21"/>
  </w:num>
  <w:num w:numId="22">
    <w:abstractNumId w:val="9"/>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8EC"/>
    <w:rsid w:val="00004460"/>
    <w:rsid w:val="00012635"/>
    <w:rsid w:val="00024524"/>
    <w:rsid w:val="0002464A"/>
    <w:rsid w:val="000254EC"/>
    <w:rsid w:val="0003106B"/>
    <w:rsid w:val="000421A1"/>
    <w:rsid w:val="0004240E"/>
    <w:rsid w:val="00045E26"/>
    <w:rsid w:val="000514B5"/>
    <w:rsid w:val="00051683"/>
    <w:rsid w:val="00054E7A"/>
    <w:rsid w:val="00060E64"/>
    <w:rsid w:val="00066755"/>
    <w:rsid w:val="00077143"/>
    <w:rsid w:val="00082169"/>
    <w:rsid w:val="000847C3"/>
    <w:rsid w:val="000969AD"/>
    <w:rsid w:val="000B558D"/>
    <w:rsid w:val="000C6996"/>
    <w:rsid w:val="000D23BA"/>
    <w:rsid w:val="000D6B25"/>
    <w:rsid w:val="000E491A"/>
    <w:rsid w:val="000E681E"/>
    <w:rsid w:val="000F0003"/>
    <w:rsid w:val="000F4E6A"/>
    <w:rsid w:val="001006A8"/>
    <w:rsid w:val="00104227"/>
    <w:rsid w:val="001107BF"/>
    <w:rsid w:val="001153EB"/>
    <w:rsid w:val="0012417C"/>
    <w:rsid w:val="00125A2F"/>
    <w:rsid w:val="001307A9"/>
    <w:rsid w:val="00142395"/>
    <w:rsid w:val="00142714"/>
    <w:rsid w:val="0014411F"/>
    <w:rsid w:val="00144852"/>
    <w:rsid w:val="001452ED"/>
    <w:rsid w:val="00145C5A"/>
    <w:rsid w:val="00146DDF"/>
    <w:rsid w:val="00163329"/>
    <w:rsid w:val="00164623"/>
    <w:rsid w:val="00165B64"/>
    <w:rsid w:val="00166152"/>
    <w:rsid w:val="001830CE"/>
    <w:rsid w:val="0018643B"/>
    <w:rsid w:val="001878DA"/>
    <w:rsid w:val="00196307"/>
    <w:rsid w:val="001A258B"/>
    <w:rsid w:val="001A33EA"/>
    <w:rsid w:val="001B017F"/>
    <w:rsid w:val="001B2BBC"/>
    <w:rsid w:val="001B5129"/>
    <w:rsid w:val="001B7BAC"/>
    <w:rsid w:val="001C0D01"/>
    <w:rsid w:val="001C1195"/>
    <w:rsid w:val="001E549B"/>
    <w:rsid w:val="001F1850"/>
    <w:rsid w:val="00203FAC"/>
    <w:rsid w:val="0020796F"/>
    <w:rsid w:val="002120F7"/>
    <w:rsid w:val="00213CFB"/>
    <w:rsid w:val="00217919"/>
    <w:rsid w:val="00217BE1"/>
    <w:rsid w:val="0022392C"/>
    <w:rsid w:val="00260690"/>
    <w:rsid w:val="00271BA1"/>
    <w:rsid w:val="002762FA"/>
    <w:rsid w:val="00277505"/>
    <w:rsid w:val="0029458F"/>
    <w:rsid w:val="002A104C"/>
    <w:rsid w:val="002A4960"/>
    <w:rsid w:val="002B1AE6"/>
    <w:rsid w:val="002B2DE8"/>
    <w:rsid w:val="002B30F8"/>
    <w:rsid w:val="002B5596"/>
    <w:rsid w:val="002C212F"/>
    <w:rsid w:val="002D4543"/>
    <w:rsid w:val="002E1303"/>
    <w:rsid w:val="002E3153"/>
    <w:rsid w:val="002E72CA"/>
    <w:rsid w:val="002F1AAB"/>
    <w:rsid w:val="002F2A3E"/>
    <w:rsid w:val="002F6C9A"/>
    <w:rsid w:val="00300AD6"/>
    <w:rsid w:val="00310D41"/>
    <w:rsid w:val="00317C6C"/>
    <w:rsid w:val="003204B7"/>
    <w:rsid w:val="003224AD"/>
    <w:rsid w:val="003237E0"/>
    <w:rsid w:val="00326E79"/>
    <w:rsid w:val="0033518A"/>
    <w:rsid w:val="003367EF"/>
    <w:rsid w:val="00340EE7"/>
    <w:rsid w:val="00341AE4"/>
    <w:rsid w:val="00345934"/>
    <w:rsid w:val="00352BC4"/>
    <w:rsid w:val="00353078"/>
    <w:rsid w:val="00381B31"/>
    <w:rsid w:val="003872CF"/>
    <w:rsid w:val="00395642"/>
    <w:rsid w:val="00396211"/>
    <w:rsid w:val="00396259"/>
    <w:rsid w:val="0039782C"/>
    <w:rsid w:val="003A5B4A"/>
    <w:rsid w:val="003B23C5"/>
    <w:rsid w:val="003B2A75"/>
    <w:rsid w:val="003B3682"/>
    <w:rsid w:val="003B38DA"/>
    <w:rsid w:val="003B5B70"/>
    <w:rsid w:val="003B6124"/>
    <w:rsid w:val="003C2FB5"/>
    <w:rsid w:val="003D4AC4"/>
    <w:rsid w:val="003D63B7"/>
    <w:rsid w:val="003E24A8"/>
    <w:rsid w:val="003E468B"/>
    <w:rsid w:val="003E6053"/>
    <w:rsid w:val="003F3228"/>
    <w:rsid w:val="003F5C8C"/>
    <w:rsid w:val="004150AF"/>
    <w:rsid w:val="004174E3"/>
    <w:rsid w:val="004252EC"/>
    <w:rsid w:val="004310FB"/>
    <w:rsid w:val="00435312"/>
    <w:rsid w:val="004359FA"/>
    <w:rsid w:val="00436A03"/>
    <w:rsid w:val="00443F72"/>
    <w:rsid w:val="0044459A"/>
    <w:rsid w:val="004465BD"/>
    <w:rsid w:val="00453EF0"/>
    <w:rsid w:val="00454B27"/>
    <w:rsid w:val="00466ADA"/>
    <w:rsid w:val="004677C5"/>
    <w:rsid w:val="00473D0C"/>
    <w:rsid w:val="00476245"/>
    <w:rsid w:val="00483035"/>
    <w:rsid w:val="00485940"/>
    <w:rsid w:val="00486438"/>
    <w:rsid w:val="004930C0"/>
    <w:rsid w:val="004A2484"/>
    <w:rsid w:val="004A5A85"/>
    <w:rsid w:val="004A6154"/>
    <w:rsid w:val="004A71D1"/>
    <w:rsid w:val="004B1E04"/>
    <w:rsid w:val="004B5640"/>
    <w:rsid w:val="004C1BD7"/>
    <w:rsid w:val="004C31FE"/>
    <w:rsid w:val="004C691D"/>
    <w:rsid w:val="004C6C07"/>
    <w:rsid w:val="004E5EEF"/>
    <w:rsid w:val="004E692D"/>
    <w:rsid w:val="004F330D"/>
    <w:rsid w:val="00501456"/>
    <w:rsid w:val="00501554"/>
    <w:rsid w:val="00514CD7"/>
    <w:rsid w:val="00525B70"/>
    <w:rsid w:val="005260C0"/>
    <w:rsid w:val="00527036"/>
    <w:rsid w:val="005319B2"/>
    <w:rsid w:val="00532402"/>
    <w:rsid w:val="00532C74"/>
    <w:rsid w:val="00534E2E"/>
    <w:rsid w:val="00544552"/>
    <w:rsid w:val="00547506"/>
    <w:rsid w:val="005548B4"/>
    <w:rsid w:val="005570CF"/>
    <w:rsid w:val="005745BC"/>
    <w:rsid w:val="00577C4D"/>
    <w:rsid w:val="00581932"/>
    <w:rsid w:val="005819E4"/>
    <w:rsid w:val="00581AF3"/>
    <w:rsid w:val="005963BB"/>
    <w:rsid w:val="005A0FB1"/>
    <w:rsid w:val="005A3173"/>
    <w:rsid w:val="005A3223"/>
    <w:rsid w:val="005A3DA3"/>
    <w:rsid w:val="005A4E5D"/>
    <w:rsid w:val="005A52C4"/>
    <w:rsid w:val="005A767C"/>
    <w:rsid w:val="005D03AB"/>
    <w:rsid w:val="005D5017"/>
    <w:rsid w:val="005E1333"/>
    <w:rsid w:val="005F3554"/>
    <w:rsid w:val="005F7703"/>
    <w:rsid w:val="00601A91"/>
    <w:rsid w:val="00602BA3"/>
    <w:rsid w:val="00612E34"/>
    <w:rsid w:val="00614159"/>
    <w:rsid w:val="00617C00"/>
    <w:rsid w:val="006247A3"/>
    <w:rsid w:val="006263BF"/>
    <w:rsid w:val="0062748A"/>
    <w:rsid w:val="00630A2C"/>
    <w:rsid w:val="0063682E"/>
    <w:rsid w:val="006436CD"/>
    <w:rsid w:val="00651169"/>
    <w:rsid w:val="00653D69"/>
    <w:rsid w:val="00664E7A"/>
    <w:rsid w:val="006670BE"/>
    <w:rsid w:val="00667657"/>
    <w:rsid w:val="00670A76"/>
    <w:rsid w:val="006711AA"/>
    <w:rsid w:val="00671D1E"/>
    <w:rsid w:val="00672B57"/>
    <w:rsid w:val="00675622"/>
    <w:rsid w:val="006906DB"/>
    <w:rsid w:val="00691E6C"/>
    <w:rsid w:val="00696129"/>
    <w:rsid w:val="00697CF2"/>
    <w:rsid w:val="006A12A5"/>
    <w:rsid w:val="006A577F"/>
    <w:rsid w:val="006B0D94"/>
    <w:rsid w:val="006B485D"/>
    <w:rsid w:val="006C5325"/>
    <w:rsid w:val="006C667B"/>
    <w:rsid w:val="006C708E"/>
    <w:rsid w:val="006D6EC7"/>
    <w:rsid w:val="006F5125"/>
    <w:rsid w:val="00702166"/>
    <w:rsid w:val="00702B6F"/>
    <w:rsid w:val="00705306"/>
    <w:rsid w:val="007111E0"/>
    <w:rsid w:val="0071340B"/>
    <w:rsid w:val="00716DAE"/>
    <w:rsid w:val="007174BB"/>
    <w:rsid w:val="0072025D"/>
    <w:rsid w:val="00722FEA"/>
    <w:rsid w:val="007353D3"/>
    <w:rsid w:val="007524BE"/>
    <w:rsid w:val="007524E6"/>
    <w:rsid w:val="0076353F"/>
    <w:rsid w:val="00763E7F"/>
    <w:rsid w:val="0076420C"/>
    <w:rsid w:val="007726DE"/>
    <w:rsid w:val="00772BEF"/>
    <w:rsid w:val="007753C2"/>
    <w:rsid w:val="007838B8"/>
    <w:rsid w:val="007B61D7"/>
    <w:rsid w:val="007B6654"/>
    <w:rsid w:val="007C0F57"/>
    <w:rsid w:val="007C40B6"/>
    <w:rsid w:val="007C55F6"/>
    <w:rsid w:val="007C729F"/>
    <w:rsid w:val="007C77D5"/>
    <w:rsid w:val="007D5A85"/>
    <w:rsid w:val="007E1D28"/>
    <w:rsid w:val="007E3569"/>
    <w:rsid w:val="007F192E"/>
    <w:rsid w:val="007F2641"/>
    <w:rsid w:val="007F7C36"/>
    <w:rsid w:val="0080166E"/>
    <w:rsid w:val="00806796"/>
    <w:rsid w:val="008151D6"/>
    <w:rsid w:val="00816B4D"/>
    <w:rsid w:val="00826F6D"/>
    <w:rsid w:val="008306F3"/>
    <w:rsid w:val="00837251"/>
    <w:rsid w:val="00841974"/>
    <w:rsid w:val="00844EDC"/>
    <w:rsid w:val="008468A3"/>
    <w:rsid w:val="00847F15"/>
    <w:rsid w:val="00856DDD"/>
    <w:rsid w:val="00863E68"/>
    <w:rsid w:val="00882085"/>
    <w:rsid w:val="00883188"/>
    <w:rsid w:val="00883346"/>
    <w:rsid w:val="00897D58"/>
    <w:rsid w:val="00897F22"/>
    <w:rsid w:val="008A1956"/>
    <w:rsid w:val="008A4937"/>
    <w:rsid w:val="008A50F1"/>
    <w:rsid w:val="008D18D3"/>
    <w:rsid w:val="008D1B5C"/>
    <w:rsid w:val="008D3C82"/>
    <w:rsid w:val="008D447E"/>
    <w:rsid w:val="008D7A41"/>
    <w:rsid w:val="008E3680"/>
    <w:rsid w:val="008E5870"/>
    <w:rsid w:val="008F1434"/>
    <w:rsid w:val="008F68B6"/>
    <w:rsid w:val="008F7355"/>
    <w:rsid w:val="0090275E"/>
    <w:rsid w:val="009067B7"/>
    <w:rsid w:val="009079E7"/>
    <w:rsid w:val="0091220E"/>
    <w:rsid w:val="00927255"/>
    <w:rsid w:val="00930937"/>
    <w:rsid w:val="00931D3B"/>
    <w:rsid w:val="00933E6C"/>
    <w:rsid w:val="00937958"/>
    <w:rsid w:val="00942160"/>
    <w:rsid w:val="0095146F"/>
    <w:rsid w:val="009602C5"/>
    <w:rsid w:val="00962223"/>
    <w:rsid w:val="00966D0D"/>
    <w:rsid w:val="00974C21"/>
    <w:rsid w:val="009876C4"/>
    <w:rsid w:val="009A7AE8"/>
    <w:rsid w:val="009B05FB"/>
    <w:rsid w:val="009B0F67"/>
    <w:rsid w:val="009C703C"/>
    <w:rsid w:val="009D2791"/>
    <w:rsid w:val="009D3CAA"/>
    <w:rsid w:val="009F4E46"/>
    <w:rsid w:val="009F5B65"/>
    <w:rsid w:val="009F5F2E"/>
    <w:rsid w:val="00A06225"/>
    <w:rsid w:val="00A128E6"/>
    <w:rsid w:val="00A33D02"/>
    <w:rsid w:val="00A34E6C"/>
    <w:rsid w:val="00A37C8D"/>
    <w:rsid w:val="00A5273B"/>
    <w:rsid w:val="00A53A9D"/>
    <w:rsid w:val="00A55FEE"/>
    <w:rsid w:val="00A62C1A"/>
    <w:rsid w:val="00A6426D"/>
    <w:rsid w:val="00A665C1"/>
    <w:rsid w:val="00A70622"/>
    <w:rsid w:val="00A70977"/>
    <w:rsid w:val="00A72829"/>
    <w:rsid w:val="00A7695E"/>
    <w:rsid w:val="00A77613"/>
    <w:rsid w:val="00A816AF"/>
    <w:rsid w:val="00A8390C"/>
    <w:rsid w:val="00A928BD"/>
    <w:rsid w:val="00AA4D1C"/>
    <w:rsid w:val="00AB3ABC"/>
    <w:rsid w:val="00AB78AE"/>
    <w:rsid w:val="00AC193C"/>
    <w:rsid w:val="00AC5206"/>
    <w:rsid w:val="00AE0B8F"/>
    <w:rsid w:val="00AE11A5"/>
    <w:rsid w:val="00AE13E2"/>
    <w:rsid w:val="00AE22D3"/>
    <w:rsid w:val="00AE6276"/>
    <w:rsid w:val="00AF62DF"/>
    <w:rsid w:val="00AF68CC"/>
    <w:rsid w:val="00AF7EF6"/>
    <w:rsid w:val="00B003EE"/>
    <w:rsid w:val="00B1059E"/>
    <w:rsid w:val="00B176C8"/>
    <w:rsid w:val="00B205AA"/>
    <w:rsid w:val="00B22E84"/>
    <w:rsid w:val="00B25F75"/>
    <w:rsid w:val="00B26B3F"/>
    <w:rsid w:val="00B43E90"/>
    <w:rsid w:val="00B467DC"/>
    <w:rsid w:val="00B56118"/>
    <w:rsid w:val="00B6773F"/>
    <w:rsid w:val="00B801BA"/>
    <w:rsid w:val="00B84D5C"/>
    <w:rsid w:val="00B92FE8"/>
    <w:rsid w:val="00BA1786"/>
    <w:rsid w:val="00BB69F5"/>
    <w:rsid w:val="00BB7EC3"/>
    <w:rsid w:val="00BC4B9A"/>
    <w:rsid w:val="00BD784C"/>
    <w:rsid w:val="00BF34D2"/>
    <w:rsid w:val="00BF4CB6"/>
    <w:rsid w:val="00BF5495"/>
    <w:rsid w:val="00C00DA7"/>
    <w:rsid w:val="00C12768"/>
    <w:rsid w:val="00C27B58"/>
    <w:rsid w:val="00C34CC7"/>
    <w:rsid w:val="00C35996"/>
    <w:rsid w:val="00C4747E"/>
    <w:rsid w:val="00C5342C"/>
    <w:rsid w:val="00C603D4"/>
    <w:rsid w:val="00C6256A"/>
    <w:rsid w:val="00C645E0"/>
    <w:rsid w:val="00C72984"/>
    <w:rsid w:val="00C77891"/>
    <w:rsid w:val="00C80D08"/>
    <w:rsid w:val="00C91449"/>
    <w:rsid w:val="00C92D10"/>
    <w:rsid w:val="00C94AE4"/>
    <w:rsid w:val="00C96F71"/>
    <w:rsid w:val="00CA0995"/>
    <w:rsid w:val="00CE10C4"/>
    <w:rsid w:val="00CE27B5"/>
    <w:rsid w:val="00D0321E"/>
    <w:rsid w:val="00D144B2"/>
    <w:rsid w:val="00D1455A"/>
    <w:rsid w:val="00D20EED"/>
    <w:rsid w:val="00D31150"/>
    <w:rsid w:val="00D3138B"/>
    <w:rsid w:val="00D3280C"/>
    <w:rsid w:val="00D3406A"/>
    <w:rsid w:val="00D36CE2"/>
    <w:rsid w:val="00D43598"/>
    <w:rsid w:val="00D452C1"/>
    <w:rsid w:val="00D4572C"/>
    <w:rsid w:val="00D469B2"/>
    <w:rsid w:val="00D741EB"/>
    <w:rsid w:val="00D82753"/>
    <w:rsid w:val="00D83605"/>
    <w:rsid w:val="00D84934"/>
    <w:rsid w:val="00D91271"/>
    <w:rsid w:val="00DA2318"/>
    <w:rsid w:val="00DA2CB5"/>
    <w:rsid w:val="00DA4BAC"/>
    <w:rsid w:val="00DB3B8A"/>
    <w:rsid w:val="00DB4660"/>
    <w:rsid w:val="00DB7D58"/>
    <w:rsid w:val="00DC24D7"/>
    <w:rsid w:val="00DC76F3"/>
    <w:rsid w:val="00DE11C7"/>
    <w:rsid w:val="00DE6D27"/>
    <w:rsid w:val="00DF217D"/>
    <w:rsid w:val="00DF26A7"/>
    <w:rsid w:val="00E15627"/>
    <w:rsid w:val="00E164B3"/>
    <w:rsid w:val="00E16910"/>
    <w:rsid w:val="00E2576B"/>
    <w:rsid w:val="00E31846"/>
    <w:rsid w:val="00E32137"/>
    <w:rsid w:val="00E41B4A"/>
    <w:rsid w:val="00E42BDB"/>
    <w:rsid w:val="00E52C0D"/>
    <w:rsid w:val="00E54C65"/>
    <w:rsid w:val="00E57EEB"/>
    <w:rsid w:val="00E62D94"/>
    <w:rsid w:val="00E65E54"/>
    <w:rsid w:val="00E80155"/>
    <w:rsid w:val="00E848C0"/>
    <w:rsid w:val="00E91B96"/>
    <w:rsid w:val="00E941A1"/>
    <w:rsid w:val="00E95CE3"/>
    <w:rsid w:val="00EA2825"/>
    <w:rsid w:val="00EB0B63"/>
    <w:rsid w:val="00EB5088"/>
    <w:rsid w:val="00EC059E"/>
    <w:rsid w:val="00EC76D1"/>
    <w:rsid w:val="00ED1644"/>
    <w:rsid w:val="00ED2593"/>
    <w:rsid w:val="00ED613D"/>
    <w:rsid w:val="00ED6C53"/>
    <w:rsid w:val="00ED6D4A"/>
    <w:rsid w:val="00ED7D9C"/>
    <w:rsid w:val="00EE16DC"/>
    <w:rsid w:val="00EF44A0"/>
    <w:rsid w:val="00EF4FED"/>
    <w:rsid w:val="00F050BD"/>
    <w:rsid w:val="00F05657"/>
    <w:rsid w:val="00F25578"/>
    <w:rsid w:val="00F258E5"/>
    <w:rsid w:val="00F27B4D"/>
    <w:rsid w:val="00F300BC"/>
    <w:rsid w:val="00F3334E"/>
    <w:rsid w:val="00F36CCB"/>
    <w:rsid w:val="00F374E5"/>
    <w:rsid w:val="00F43AF2"/>
    <w:rsid w:val="00F46EDE"/>
    <w:rsid w:val="00F50EC4"/>
    <w:rsid w:val="00F54EBA"/>
    <w:rsid w:val="00F550CF"/>
    <w:rsid w:val="00F56A90"/>
    <w:rsid w:val="00F57A6D"/>
    <w:rsid w:val="00F606DC"/>
    <w:rsid w:val="00F638CC"/>
    <w:rsid w:val="00F64CC1"/>
    <w:rsid w:val="00F6742B"/>
    <w:rsid w:val="00F72317"/>
    <w:rsid w:val="00F76EB5"/>
    <w:rsid w:val="00F80475"/>
    <w:rsid w:val="00F8247A"/>
    <w:rsid w:val="00F901FA"/>
    <w:rsid w:val="00F93D34"/>
    <w:rsid w:val="00F9629A"/>
    <w:rsid w:val="00F97EFC"/>
    <w:rsid w:val="00FA5883"/>
    <w:rsid w:val="00FA6055"/>
    <w:rsid w:val="00FB322F"/>
    <w:rsid w:val="00FB442F"/>
    <w:rsid w:val="00FC1929"/>
    <w:rsid w:val="00FC5B46"/>
    <w:rsid w:val="00FD36F8"/>
    <w:rsid w:val="00FD6D8E"/>
    <w:rsid w:val="00FD7EE8"/>
    <w:rsid w:val="00FE0E94"/>
    <w:rsid w:val="00FE1F7F"/>
    <w:rsid w:val="00FE7FBC"/>
    <w:rsid w:val="00FF00BD"/>
    <w:rsid w:val="00FF1ED4"/>
    <w:rsid w:val="00FF2801"/>
    <w:rsid w:val="00FF4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3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41F6-B86F-48C2-B961-1CAC5750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2019-06-28T00:32:00Z</dcterms:created>
  <dcterms:modified xsi:type="dcterms:W3CDTF">2019-07-01T04:54:00Z</dcterms:modified>
</cp:coreProperties>
</file>