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8F3" w:rsidRPr="005859EC" w:rsidRDefault="004745A6" w:rsidP="005859EC">
      <w:pPr>
        <w:pStyle w:val="Title"/>
        <w:ind w:left="851" w:hanging="851"/>
        <w:jc w:val="left"/>
      </w:pPr>
      <w:r w:rsidRPr="00304A90">
        <w:t>7</w:t>
      </w:r>
      <w:r w:rsidR="00433044" w:rsidRPr="00304A90">
        <w:t>.</w:t>
      </w:r>
      <w:r w:rsidR="00AA7BA9" w:rsidRPr="00304A90">
        <w:t>08</w:t>
      </w:r>
      <w:r w:rsidR="00B948F3" w:rsidRPr="00304A90">
        <w:tab/>
      </w:r>
      <w:r w:rsidR="00D02902" w:rsidRPr="00304A90">
        <w:t>LETERMOVIR,</w:t>
      </w:r>
      <w:r w:rsidR="00304A90">
        <w:br/>
      </w:r>
      <w:r w:rsidR="00A01AB3" w:rsidRPr="00304A90">
        <w:t>T</w:t>
      </w:r>
      <w:r w:rsidR="00D02902" w:rsidRPr="00304A90">
        <w:t>ablet 240</w:t>
      </w:r>
      <w:r w:rsidR="00532534">
        <w:t xml:space="preserve"> </w:t>
      </w:r>
      <w:r w:rsidR="00D02902" w:rsidRPr="00304A90">
        <w:t>mg</w:t>
      </w:r>
      <w:r w:rsidR="00532534">
        <w:t>,</w:t>
      </w:r>
      <w:r w:rsidR="00304A90">
        <w:br/>
      </w:r>
      <w:r w:rsidR="00D02902" w:rsidRPr="00304A90">
        <w:t>Prevymis™</w:t>
      </w:r>
      <w:r w:rsidR="00304A90">
        <w:t>,</w:t>
      </w:r>
      <w:r w:rsidR="00304A90">
        <w:br/>
      </w:r>
      <w:r w:rsidR="00D02902" w:rsidRPr="00304A90">
        <w:t xml:space="preserve">Merck Sharpe </w:t>
      </w:r>
      <w:r w:rsidR="00267D94">
        <w:t>&amp;</w:t>
      </w:r>
      <w:r w:rsidR="00D02902" w:rsidRPr="00304A90">
        <w:t xml:space="preserve"> Dohme </w:t>
      </w:r>
      <w:r w:rsidR="00267D94">
        <w:t>(</w:t>
      </w:r>
      <w:r w:rsidR="00D02902" w:rsidRPr="00304A90">
        <w:t>Australia</w:t>
      </w:r>
      <w:r w:rsidR="00267D94">
        <w:t>)</w:t>
      </w:r>
      <w:r w:rsidR="008805E2">
        <w:t xml:space="preserve"> Pty Ltd</w:t>
      </w:r>
    </w:p>
    <w:p w:rsidR="00B50DB8" w:rsidRPr="00407F2D" w:rsidRDefault="00B50DB8" w:rsidP="005859EC">
      <w:pPr>
        <w:pStyle w:val="PBACHeading1"/>
        <w:keepNext/>
        <w:spacing w:before="240" w:after="120"/>
      </w:pPr>
      <w:bookmarkStart w:id="0" w:name="_Toc536019876"/>
      <w:r w:rsidRPr="00407F2D">
        <w:t>Purpose of Application</w:t>
      </w:r>
      <w:bookmarkEnd w:id="0"/>
    </w:p>
    <w:p w:rsidR="002C2775" w:rsidRDefault="00663DCD" w:rsidP="00285461">
      <w:pPr>
        <w:pStyle w:val="ListParagraph"/>
        <w:keepNext/>
        <w:numPr>
          <w:ilvl w:val="1"/>
          <w:numId w:val="1"/>
        </w:numPr>
        <w:spacing w:after="120"/>
      </w:pPr>
      <w:r>
        <w:t xml:space="preserve">The resubmission requested a Section 100 </w:t>
      </w:r>
      <w:r w:rsidR="0036016C">
        <w:t>(Highly Specialised Drugs Program</w:t>
      </w:r>
      <w:r w:rsidR="008267AE">
        <w:t xml:space="preserve">) </w:t>
      </w:r>
      <w:r>
        <w:t xml:space="preserve">Authority Required listing for letermovir </w:t>
      </w:r>
      <w:r w:rsidRPr="004B3DDB">
        <w:t>for</w:t>
      </w:r>
      <w:r>
        <w:t xml:space="preserve"> prophylaxis of cytomegalovirus (CMV) infection or disease in CMV seropositive patients who have received a</w:t>
      </w:r>
      <w:r w:rsidR="0019000C">
        <w:t>n</w:t>
      </w:r>
      <w:r>
        <w:t xml:space="preserve"> </w:t>
      </w:r>
      <w:r w:rsidR="009B6DC8">
        <w:t xml:space="preserve">allogeneic </w:t>
      </w:r>
      <w:r>
        <w:t>haematopoietic stem cell transplant (HSCT</w:t>
      </w:r>
      <w:r w:rsidRPr="005A578E">
        <w:t>).</w:t>
      </w:r>
      <w:r w:rsidR="005859EC">
        <w:t xml:space="preserve"> </w:t>
      </w:r>
      <w:r w:rsidR="00A609C1">
        <w:t>The first submission was in July 2018.</w:t>
      </w:r>
    </w:p>
    <w:p w:rsidR="009A2589" w:rsidRPr="003F7F24" w:rsidRDefault="009A2589" w:rsidP="00285461">
      <w:pPr>
        <w:pStyle w:val="ListParagraph"/>
        <w:numPr>
          <w:ilvl w:val="1"/>
          <w:numId w:val="1"/>
        </w:numPr>
        <w:spacing w:after="120"/>
      </w:pPr>
      <w:r w:rsidRPr="003F7F24">
        <w:t>As for the July 2018 submission o</w:t>
      </w:r>
      <w:r w:rsidRPr="003F7F24">
        <w:rPr>
          <w:rFonts w:asciiTheme="minorHAnsi" w:hAnsiTheme="minorHAnsi" w:cs="Arial"/>
        </w:rPr>
        <w:t>nly the</w:t>
      </w:r>
      <w:r w:rsidR="0051523D">
        <w:rPr>
          <w:rFonts w:asciiTheme="minorHAnsi" w:hAnsiTheme="minorHAnsi" w:cs="Arial"/>
        </w:rPr>
        <w:t xml:space="preserve"> 240mg</w:t>
      </w:r>
      <w:r w:rsidRPr="003F7F24">
        <w:rPr>
          <w:rFonts w:asciiTheme="minorHAnsi" w:hAnsiTheme="minorHAnsi" w:cs="Arial"/>
        </w:rPr>
        <w:t xml:space="preserve"> tablets </w:t>
      </w:r>
      <w:r w:rsidR="0051523D">
        <w:rPr>
          <w:rFonts w:asciiTheme="minorHAnsi" w:hAnsiTheme="minorHAnsi" w:cs="Arial"/>
        </w:rPr>
        <w:t>are proposed</w:t>
      </w:r>
      <w:r w:rsidRPr="003F7F24">
        <w:rPr>
          <w:rFonts w:asciiTheme="minorHAnsi" w:hAnsiTheme="minorHAnsi" w:cs="Arial"/>
        </w:rPr>
        <w:t xml:space="preserve"> for listing.</w:t>
      </w:r>
      <w:r w:rsidR="005859EC">
        <w:rPr>
          <w:rFonts w:asciiTheme="minorHAnsi" w:hAnsiTheme="minorHAnsi" w:cs="Arial"/>
        </w:rPr>
        <w:t xml:space="preserve"> </w:t>
      </w:r>
      <w:r w:rsidRPr="003F7F24">
        <w:rPr>
          <w:rFonts w:asciiTheme="minorHAnsi" w:hAnsiTheme="minorHAnsi" w:cs="Arial"/>
        </w:rPr>
        <w:t xml:space="preserve">The </w:t>
      </w:r>
      <w:r w:rsidR="0051523D">
        <w:rPr>
          <w:rFonts w:asciiTheme="minorHAnsi" w:hAnsiTheme="minorHAnsi" w:cs="Arial"/>
        </w:rPr>
        <w:t>sponsor</w:t>
      </w:r>
      <w:r w:rsidR="0051523D" w:rsidRPr="003F7F24">
        <w:rPr>
          <w:rFonts w:asciiTheme="minorHAnsi" w:hAnsiTheme="minorHAnsi" w:cs="Arial"/>
        </w:rPr>
        <w:t xml:space="preserve"> </w:t>
      </w:r>
      <w:r w:rsidRPr="003F7F24">
        <w:rPr>
          <w:rFonts w:asciiTheme="minorHAnsi" w:hAnsiTheme="minorHAnsi" w:cs="Arial"/>
        </w:rPr>
        <w:t xml:space="preserve">has indicated </w:t>
      </w:r>
      <w:r w:rsidR="00F47CE2" w:rsidRPr="003F7F24">
        <w:t xml:space="preserve">reimbursement </w:t>
      </w:r>
      <w:r w:rsidR="0051523D">
        <w:t xml:space="preserve">is not being sought </w:t>
      </w:r>
      <w:r w:rsidR="00F47CE2" w:rsidRPr="003F7F24">
        <w:t>for the IV formulation</w:t>
      </w:r>
      <w:r w:rsidRPr="003F7F24">
        <w:t xml:space="preserve"> </w:t>
      </w:r>
      <w:r w:rsidR="00F47CE2" w:rsidRPr="003F7F24">
        <w:t xml:space="preserve">although </w:t>
      </w:r>
      <w:r w:rsidRPr="003F7F24">
        <w:t>the IV formulation will be made available for use in a hospital setting</w:t>
      </w:r>
      <w:r w:rsidR="00F47CE2" w:rsidRPr="003F7F24">
        <w:t>.</w:t>
      </w:r>
      <w:r w:rsidRPr="003F7F24">
        <w:rPr>
          <w:rFonts w:asciiTheme="minorHAnsi" w:hAnsiTheme="minorHAnsi" w:cs="Arial"/>
        </w:rPr>
        <w:t xml:space="preserve"> </w:t>
      </w:r>
    </w:p>
    <w:p w:rsidR="00C2778B" w:rsidRDefault="00A609C1" w:rsidP="00285461">
      <w:pPr>
        <w:pStyle w:val="ListParagraph"/>
        <w:numPr>
          <w:ilvl w:val="1"/>
          <w:numId w:val="1"/>
        </w:numPr>
        <w:spacing w:after="120"/>
      </w:pPr>
      <w:r>
        <w:t>Listing was requested on the basis of a cost utility analysis versus placebo.</w:t>
      </w:r>
      <w:r w:rsidR="005859EC">
        <w:t xml:space="preserve"> </w:t>
      </w:r>
      <w:r w:rsidRPr="00F46138">
        <w:t>The key components of the clinical issue</w:t>
      </w:r>
      <w:r>
        <w:t xml:space="preserve"> addressed by the resubmission are presented in Table 1.</w:t>
      </w:r>
    </w:p>
    <w:p w:rsidR="008B1757" w:rsidRPr="008B1757" w:rsidRDefault="00661DFA" w:rsidP="00610C0E">
      <w:pPr>
        <w:rPr>
          <w:rStyle w:val="CommentReference"/>
        </w:rPr>
      </w:pPr>
      <w:r w:rsidRPr="00401364">
        <w:rPr>
          <w:rFonts w:ascii="Arial Narrow" w:hAnsi="Arial Narrow"/>
          <w:b/>
          <w:sz w:val="20"/>
          <w:szCs w:val="20"/>
        </w:rPr>
        <w:t xml:space="preserve">Table </w:t>
      </w:r>
      <w:r w:rsidR="000D0E6D">
        <w:rPr>
          <w:rFonts w:ascii="Arial Narrow" w:hAnsi="Arial Narrow"/>
          <w:b/>
          <w:noProof/>
          <w:sz w:val="20"/>
          <w:szCs w:val="20"/>
        </w:rPr>
        <w:t>1</w:t>
      </w:r>
      <w:r w:rsidRPr="00617353">
        <w:rPr>
          <w:rFonts w:ascii="Arial Narrow" w:hAnsi="Arial Narrow"/>
          <w:b/>
          <w:sz w:val="20"/>
          <w:szCs w:val="20"/>
        </w:rPr>
        <w:t>:</w:t>
      </w:r>
      <w:r w:rsidR="005859EC">
        <w:rPr>
          <w:rStyle w:val="CommentReference"/>
        </w:rPr>
        <w:t xml:space="preserve"> </w:t>
      </w:r>
      <w:r w:rsidR="008B1757">
        <w:rPr>
          <w:rStyle w:val="CommentReference"/>
        </w:rPr>
        <w:t xml:space="preserve">Key components of the clinical issue addressed by the </w:t>
      </w:r>
      <w:r w:rsidR="0051523D">
        <w:rPr>
          <w:rStyle w:val="CommentReference"/>
        </w:rPr>
        <w:t>re</w:t>
      </w:r>
      <w:r w:rsidR="008B1757">
        <w:rPr>
          <w:rStyle w:val="CommentReference"/>
        </w:rPr>
        <w:t>submission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701"/>
        <w:gridCol w:w="7484"/>
      </w:tblGrid>
      <w:tr w:rsidR="008B1757" w:rsidRPr="00691913" w:rsidTr="004F2BF9">
        <w:trPr>
          <w:cantSplit/>
          <w:tblHeader/>
        </w:trPr>
        <w:tc>
          <w:tcPr>
            <w:tcW w:w="1701" w:type="dxa"/>
            <w:shd w:val="clear" w:color="auto" w:fill="auto"/>
            <w:vAlign w:val="center"/>
          </w:tcPr>
          <w:p w:rsidR="008B1757" w:rsidRPr="008B1757" w:rsidRDefault="008B1757" w:rsidP="00610C0E">
            <w:pPr>
              <w:pStyle w:val="Tabletext"/>
              <w:rPr>
                <w:b/>
                <w:szCs w:val="20"/>
              </w:rPr>
            </w:pPr>
            <w:r w:rsidRPr="008B1757">
              <w:rPr>
                <w:b/>
              </w:rPr>
              <w:t>Component</w:t>
            </w:r>
          </w:p>
        </w:tc>
        <w:tc>
          <w:tcPr>
            <w:tcW w:w="7484" w:type="dxa"/>
            <w:shd w:val="clear" w:color="auto" w:fill="auto"/>
            <w:vAlign w:val="center"/>
          </w:tcPr>
          <w:p w:rsidR="008B1757" w:rsidRPr="008B1757" w:rsidRDefault="008B1757" w:rsidP="00610C0E">
            <w:pPr>
              <w:pStyle w:val="Tabletext"/>
              <w:jc w:val="center"/>
              <w:rPr>
                <w:b/>
              </w:rPr>
            </w:pPr>
            <w:r w:rsidRPr="008B1757">
              <w:rPr>
                <w:b/>
              </w:rPr>
              <w:t>Description</w:t>
            </w:r>
          </w:p>
        </w:tc>
      </w:tr>
      <w:tr w:rsidR="008B1757" w:rsidRPr="00691913" w:rsidTr="004F2BF9">
        <w:trPr>
          <w:cantSplit/>
        </w:trPr>
        <w:tc>
          <w:tcPr>
            <w:tcW w:w="1701" w:type="dxa"/>
            <w:shd w:val="clear" w:color="auto" w:fill="auto"/>
            <w:vAlign w:val="center"/>
          </w:tcPr>
          <w:p w:rsidR="008B1757" w:rsidRPr="00691913" w:rsidRDefault="008B1757" w:rsidP="00610C0E">
            <w:pPr>
              <w:pStyle w:val="Tabletext"/>
            </w:pPr>
            <w:r w:rsidRPr="00691913">
              <w:t>Population</w:t>
            </w:r>
          </w:p>
        </w:tc>
        <w:tc>
          <w:tcPr>
            <w:tcW w:w="7484" w:type="dxa"/>
            <w:shd w:val="clear" w:color="auto" w:fill="auto"/>
            <w:vAlign w:val="center"/>
          </w:tcPr>
          <w:p w:rsidR="008B1757" w:rsidRPr="00691913" w:rsidRDefault="000F6981" w:rsidP="00610C0E">
            <w:pPr>
              <w:pStyle w:val="Tabletext"/>
            </w:pPr>
            <w:r>
              <w:t>Adult CMV-seropositive recipients [R+] of an allogeneic HSCT.</w:t>
            </w:r>
          </w:p>
        </w:tc>
      </w:tr>
      <w:tr w:rsidR="000F6981" w:rsidRPr="00691913" w:rsidTr="004F2BF9">
        <w:trPr>
          <w:cantSplit/>
        </w:trPr>
        <w:tc>
          <w:tcPr>
            <w:tcW w:w="1701" w:type="dxa"/>
            <w:shd w:val="clear" w:color="auto" w:fill="auto"/>
            <w:vAlign w:val="center"/>
          </w:tcPr>
          <w:p w:rsidR="000F6981" w:rsidRPr="00691913" w:rsidRDefault="000F6981" w:rsidP="00610C0E">
            <w:pPr>
              <w:pStyle w:val="Tabletext"/>
            </w:pPr>
            <w:r w:rsidRPr="00691913">
              <w:t>Intervention</w:t>
            </w:r>
          </w:p>
        </w:tc>
        <w:tc>
          <w:tcPr>
            <w:tcW w:w="7484" w:type="dxa"/>
            <w:shd w:val="clear" w:color="auto" w:fill="auto"/>
            <w:vAlign w:val="center"/>
          </w:tcPr>
          <w:p w:rsidR="000F6981" w:rsidRPr="00691913" w:rsidRDefault="000F6981" w:rsidP="00610C0E">
            <w:pPr>
              <w:pStyle w:val="Tabletext"/>
            </w:pPr>
            <w:r>
              <w:t xml:space="preserve">Letermovir 240mg IV/oral per day </w:t>
            </w:r>
            <w:r w:rsidR="00743208">
              <w:t>when</w:t>
            </w:r>
            <w:r>
              <w:t xml:space="preserve"> used concomitantly with cyclosporin (or 480mg IV/oral daily</w:t>
            </w:r>
            <w:r w:rsidR="008267AE">
              <w:t xml:space="preserve"> if used alone</w:t>
            </w:r>
            <w:r>
              <w:t>) through 100 days post-transplant in addition to standard of care pre-emptive treatment for active CMV infection as required.</w:t>
            </w:r>
          </w:p>
        </w:tc>
      </w:tr>
      <w:tr w:rsidR="000F6981" w:rsidRPr="00691913" w:rsidTr="004F2BF9">
        <w:trPr>
          <w:cantSplit/>
        </w:trPr>
        <w:tc>
          <w:tcPr>
            <w:tcW w:w="1701" w:type="dxa"/>
            <w:shd w:val="clear" w:color="auto" w:fill="auto"/>
            <w:vAlign w:val="center"/>
          </w:tcPr>
          <w:p w:rsidR="000F6981" w:rsidRPr="00691913" w:rsidRDefault="000F6981" w:rsidP="00610C0E">
            <w:pPr>
              <w:pStyle w:val="Tabletext"/>
            </w:pPr>
            <w:r w:rsidRPr="00691913">
              <w:t>Comparator</w:t>
            </w:r>
          </w:p>
        </w:tc>
        <w:tc>
          <w:tcPr>
            <w:tcW w:w="7484" w:type="dxa"/>
            <w:shd w:val="clear" w:color="auto" w:fill="auto"/>
            <w:vAlign w:val="center"/>
          </w:tcPr>
          <w:p w:rsidR="000F6981" w:rsidRPr="00691913" w:rsidRDefault="000F6981" w:rsidP="00610C0E">
            <w:pPr>
              <w:pStyle w:val="Tabletext"/>
            </w:pPr>
            <w:r w:rsidRPr="00FF1BBC">
              <w:t>Placebo prophylaxis</w:t>
            </w:r>
            <w:r>
              <w:t xml:space="preserve"> </w:t>
            </w:r>
            <w:r w:rsidRPr="00FF1BBC">
              <w:t>in addition to standard of care pre-emptive treatment for act</w:t>
            </w:r>
            <w:r>
              <w:t xml:space="preserve">ive CMV infection as required. </w:t>
            </w:r>
          </w:p>
        </w:tc>
      </w:tr>
      <w:tr w:rsidR="008B1757" w:rsidRPr="00691913" w:rsidTr="004F2BF9">
        <w:trPr>
          <w:cantSplit/>
        </w:trPr>
        <w:tc>
          <w:tcPr>
            <w:tcW w:w="1701" w:type="dxa"/>
            <w:shd w:val="clear" w:color="auto" w:fill="auto"/>
            <w:vAlign w:val="center"/>
          </w:tcPr>
          <w:p w:rsidR="008B1757" w:rsidRPr="00691913" w:rsidRDefault="008B1757" w:rsidP="00610C0E">
            <w:pPr>
              <w:pStyle w:val="Tabletext"/>
            </w:pPr>
            <w:r w:rsidRPr="00691913">
              <w:t>Outcomes</w:t>
            </w:r>
          </w:p>
        </w:tc>
        <w:tc>
          <w:tcPr>
            <w:tcW w:w="7484" w:type="dxa"/>
            <w:shd w:val="clear" w:color="auto" w:fill="auto"/>
            <w:vAlign w:val="center"/>
          </w:tcPr>
          <w:p w:rsidR="008B1757" w:rsidRPr="00691913" w:rsidRDefault="0051523D" w:rsidP="0051523D">
            <w:pPr>
              <w:pStyle w:val="Tabletext"/>
            </w:pPr>
            <w:r>
              <w:t>C</w:t>
            </w:r>
            <w:r w:rsidR="000F6981">
              <w:t>linically significant CMV infection and survival.</w:t>
            </w:r>
          </w:p>
        </w:tc>
      </w:tr>
      <w:tr w:rsidR="008B1757" w:rsidRPr="00691913" w:rsidTr="004F2BF9">
        <w:trPr>
          <w:cantSplit/>
        </w:trPr>
        <w:tc>
          <w:tcPr>
            <w:tcW w:w="1701" w:type="dxa"/>
            <w:shd w:val="clear" w:color="auto" w:fill="auto"/>
            <w:vAlign w:val="center"/>
          </w:tcPr>
          <w:p w:rsidR="008B1757" w:rsidRPr="00691913" w:rsidRDefault="008B1757" w:rsidP="00610C0E">
            <w:pPr>
              <w:pStyle w:val="Tabletext"/>
            </w:pPr>
            <w:r w:rsidRPr="00691913">
              <w:t>Clinical claim</w:t>
            </w:r>
          </w:p>
        </w:tc>
        <w:tc>
          <w:tcPr>
            <w:tcW w:w="7484" w:type="dxa"/>
            <w:shd w:val="clear" w:color="auto" w:fill="auto"/>
            <w:vAlign w:val="center"/>
          </w:tcPr>
          <w:p w:rsidR="008B1757" w:rsidRPr="00691913" w:rsidRDefault="000F6981" w:rsidP="0051523D">
            <w:pPr>
              <w:pStyle w:val="Tabletext"/>
            </w:pPr>
            <w:r>
              <w:t>Letermovir is superior in terms of efficacy and has non-inferior safety in the prophylaxis of CMV infection or disease compared to placebo.</w:t>
            </w:r>
          </w:p>
        </w:tc>
      </w:tr>
    </w:tbl>
    <w:p w:rsidR="00E225F2" w:rsidRPr="005859EC" w:rsidRDefault="000F6981" w:rsidP="00610C0E">
      <w:pPr>
        <w:pStyle w:val="TableFooter"/>
      </w:pPr>
      <w:r>
        <w:t>Source: Table 1-</w:t>
      </w:r>
      <w:r w:rsidR="00FE13ED">
        <w:t>2</w:t>
      </w:r>
      <w:r>
        <w:t>, p</w:t>
      </w:r>
      <w:r w:rsidR="00FE13ED">
        <w:t>5</w:t>
      </w:r>
      <w:r>
        <w:t xml:space="preserve"> of the resubmission.</w:t>
      </w:r>
    </w:p>
    <w:p w:rsidR="00B60939" w:rsidRDefault="00B50DB8" w:rsidP="005859EC">
      <w:pPr>
        <w:pStyle w:val="PBACHeading1"/>
        <w:keepNext/>
        <w:spacing w:before="240" w:after="120"/>
      </w:pPr>
      <w:bookmarkStart w:id="1" w:name="_Toc536019877"/>
      <w:r w:rsidRPr="00407F2D">
        <w:t>Requested listing</w:t>
      </w:r>
      <w:bookmarkEnd w:id="1"/>
    </w:p>
    <w:p w:rsidR="00617E12" w:rsidRPr="00053D75" w:rsidRDefault="00331FBC" w:rsidP="001961E8">
      <w:pPr>
        <w:pStyle w:val="ListParagraph"/>
        <w:numPr>
          <w:ilvl w:val="1"/>
          <w:numId w:val="1"/>
        </w:numPr>
        <w:spacing w:after="120"/>
      </w:pPr>
      <w:r w:rsidRPr="00053D75">
        <w:t xml:space="preserve">Suggestions and additions proposed by the Secretariat to the requested listing are added in italics and suggested deletions are crossed out with strikethrough. </w:t>
      </w:r>
    </w:p>
    <w:tbl>
      <w:tblPr>
        <w:tblW w:w="9072" w:type="dxa"/>
        <w:tblLayout w:type="fixed"/>
        <w:tblLook w:val="0000" w:firstRow="0" w:lastRow="0" w:firstColumn="0" w:lastColumn="0" w:noHBand="0" w:noVBand="0"/>
      </w:tblPr>
      <w:tblGrid>
        <w:gridCol w:w="2410"/>
        <w:gridCol w:w="425"/>
        <w:gridCol w:w="993"/>
        <w:gridCol w:w="708"/>
        <w:gridCol w:w="1560"/>
        <w:gridCol w:w="1275"/>
        <w:gridCol w:w="1701"/>
      </w:tblGrid>
      <w:tr w:rsidR="00271DCD" w:rsidRPr="00271DCD" w:rsidTr="004F2BF9">
        <w:trPr>
          <w:cantSplit/>
          <w:trHeight w:val="471"/>
        </w:trPr>
        <w:tc>
          <w:tcPr>
            <w:tcW w:w="2835" w:type="dxa"/>
            <w:gridSpan w:val="2"/>
            <w:tcBorders>
              <w:bottom w:val="single" w:sz="4" w:space="0" w:color="auto"/>
            </w:tcBorders>
          </w:tcPr>
          <w:p w:rsidR="00271DCD" w:rsidRPr="00271DCD" w:rsidRDefault="00271DCD" w:rsidP="004704B2">
            <w:pPr>
              <w:keepNext/>
              <w:ind w:left="-108"/>
              <w:rPr>
                <w:rFonts w:ascii="Arial Narrow" w:hAnsi="Arial Narrow" w:cs="Arial"/>
                <w:b/>
                <w:sz w:val="20"/>
                <w:szCs w:val="20"/>
              </w:rPr>
            </w:pPr>
            <w:r w:rsidRPr="00271DCD">
              <w:rPr>
                <w:rFonts w:ascii="Arial Narrow" w:hAnsi="Arial Narrow" w:cs="Arial"/>
                <w:b/>
                <w:sz w:val="20"/>
                <w:szCs w:val="20"/>
              </w:rPr>
              <w:t>Name, Restriction,</w:t>
            </w:r>
          </w:p>
          <w:p w:rsidR="00271DCD" w:rsidRPr="00271DCD" w:rsidRDefault="00271DCD" w:rsidP="004704B2">
            <w:pPr>
              <w:keepNext/>
              <w:ind w:left="-108"/>
              <w:rPr>
                <w:rFonts w:ascii="Arial Narrow" w:hAnsi="Arial Narrow" w:cs="Arial"/>
                <w:b/>
                <w:sz w:val="20"/>
                <w:szCs w:val="20"/>
              </w:rPr>
            </w:pPr>
            <w:r w:rsidRPr="00271DCD">
              <w:rPr>
                <w:rFonts w:ascii="Arial Narrow" w:hAnsi="Arial Narrow" w:cs="Arial"/>
                <w:b/>
                <w:sz w:val="20"/>
                <w:szCs w:val="20"/>
              </w:rPr>
              <w:t>Manner of administration and form</w:t>
            </w:r>
          </w:p>
        </w:tc>
        <w:tc>
          <w:tcPr>
            <w:tcW w:w="993" w:type="dxa"/>
            <w:tcBorders>
              <w:bottom w:val="single" w:sz="4" w:space="0" w:color="auto"/>
            </w:tcBorders>
          </w:tcPr>
          <w:p w:rsidR="00271DCD" w:rsidRPr="00271DCD" w:rsidRDefault="00271DCD" w:rsidP="004F2BF9">
            <w:pPr>
              <w:keepNext/>
              <w:ind w:left="-108"/>
              <w:jc w:val="center"/>
              <w:rPr>
                <w:rFonts w:ascii="Arial Narrow" w:hAnsi="Arial Narrow" w:cs="Arial"/>
                <w:b/>
                <w:sz w:val="20"/>
                <w:szCs w:val="20"/>
              </w:rPr>
            </w:pPr>
            <w:r w:rsidRPr="00271DCD">
              <w:rPr>
                <w:rFonts w:ascii="Arial Narrow" w:hAnsi="Arial Narrow" w:cs="Arial"/>
                <w:b/>
                <w:sz w:val="20"/>
                <w:szCs w:val="20"/>
              </w:rPr>
              <w:t>Max.</w:t>
            </w:r>
            <w:r w:rsidR="004F2BF9">
              <w:rPr>
                <w:rFonts w:ascii="Arial Narrow" w:hAnsi="Arial Narrow" w:cs="Arial"/>
                <w:b/>
                <w:sz w:val="20"/>
                <w:szCs w:val="20"/>
              </w:rPr>
              <w:t xml:space="preserve"> </w:t>
            </w:r>
            <w:r w:rsidRPr="00271DCD">
              <w:rPr>
                <w:rFonts w:ascii="Arial Narrow" w:hAnsi="Arial Narrow" w:cs="Arial"/>
                <w:b/>
                <w:sz w:val="20"/>
                <w:szCs w:val="20"/>
              </w:rPr>
              <w:t>Qty (packs)</w:t>
            </w:r>
          </w:p>
        </w:tc>
        <w:tc>
          <w:tcPr>
            <w:tcW w:w="708" w:type="dxa"/>
            <w:tcBorders>
              <w:bottom w:val="single" w:sz="4" w:space="0" w:color="auto"/>
            </w:tcBorders>
          </w:tcPr>
          <w:p w:rsidR="00271DCD" w:rsidRPr="00271DCD" w:rsidRDefault="00271DCD" w:rsidP="004704B2">
            <w:pPr>
              <w:keepNext/>
              <w:ind w:left="-108"/>
              <w:jc w:val="center"/>
              <w:rPr>
                <w:rFonts w:ascii="Arial Narrow" w:hAnsi="Arial Narrow" w:cs="Arial"/>
                <w:b/>
                <w:sz w:val="20"/>
                <w:szCs w:val="20"/>
              </w:rPr>
            </w:pPr>
            <w:r w:rsidRPr="00271DCD">
              <w:rPr>
                <w:rFonts w:ascii="Arial Narrow" w:hAnsi="Arial Narrow" w:cs="Arial"/>
                <w:b/>
                <w:sz w:val="20"/>
                <w:szCs w:val="20"/>
              </w:rPr>
              <w:t>№.of</w:t>
            </w:r>
          </w:p>
          <w:p w:rsidR="00271DCD" w:rsidRPr="00271DCD" w:rsidRDefault="00271DCD" w:rsidP="004704B2">
            <w:pPr>
              <w:keepNext/>
              <w:ind w:left="-108"/>
              <w:jc w:val="center"/>
              <w:rPr>
                <w:rFonts w:ascii="Arial Narrow" w:hAnsi="Arial Narrow" w:cs="Arial"/>
                <w:b/>
                <w:sz w:val="20"/>
                <w:szCs w:val="20"/>
              </w:rPr>
            </w:pPr>
            <w:r w:rsidRPr="00271DCD">
              <w:rPr>
                <w:rFonts w:ascii="Arial Narrow" w:hAnsi="Arial Narrow" w:cs="Arial"/>
                <w:b/>
                <w:sz w:val="20"/>
                <w:szCs w:val="20"/>
              </w:rPr>
              <w:t>Rpts</w:t>
            </w:r>
          </w:p>
        </w:tc>
        <w:tc>
          <w:tcPr>
            <w:tcW w:w="1560" w:type="dxa"/>
            <w:tcBorders>
              <w:bottom w:val="single" w:sz="4" w:space="0" w:color="auto"/>
            </w:tcBorders>
          </w:tcPr>
          <w:p w:rsidR="00271DCD" w:rsidRPr="00271DCD" w:rsidRDefault="00271DCD" w:rsidP="004704B2">
            <w:pPr>
              <w:keepNext/>
              <w:ind w:left="-108"/>
              <w:jc w:val="center"/>
              <w:rPr>
                <w:rFonts w:ascii="Arial Narrow" w:hAnsi="Arial Narrow" w:cs="Arial"/>
                <w:b/>
                <w:sz w:val="20"/>
                <w:szCs w:val="20"/>
              </w:rPr>
            </w:pPr>
            <w:r w:rsidRPr="00271DCD">
              <w:rPr>
                <w:rFonts w:ascii="Arial Narrow" w:hAnsi="Arial Narrow" w:cs="Arial"/>
                <w:b/>
                <w:sz w:val="20"/>
                <w:szCs w:val="20"/>
              </w:rPr>
              <w:t>Dispensed Price for Max. Qty</w:t>
            </w:r>
          </w:p>
        </w:tc>
        <w:tc>
          <w:tcPr>
            <w:tcW w:w="2976" w:type="dxa"/>
            <w:gridSpan w:val="2"/>
            <w:tcBorders>
              <w:bottom w:val="single" w:sz="4" w:space="0" w:color="auto"/>
            </w:tcBorders>
          </w:tcPr>
          <w:p w:rsidR="00271DCD" w:rsidRPr="00271DCD" w:rsidRDefault="00271DCD" w:rsidP="004704B2">
            <w:pPr>
              <w:keepNext/>
              <w:jc w:val="center"/>
              <w:rPr>
                <w:rFonts w:ascii="Arial Narrow" w:hAnsi="Arial Narrow" w:cs="Arial"/>
                <w:b/>
                <w:sz w:val="20"/>
                <w:szCs w:val="20"/>
                <w:lang w:val="fr-FR"/>
              </w:rPr>
            </w:pPr>
            <w:r w:rsidRPr="00271DCD">
              <w:rPr>
                <w:rFonts w:ascii="Arial Narrow" w:hAnsi="Arial Narrow" w:cs="Arial"/>
                <w:b/>
                <w:sz w:val="20"/>
                <w:szCs w:val="20"/>
              </w:rPr>
              <w:t>Proprietary Name and Manufacturer</w:t>
            </w:r>
          </w:p>
        </w:tc>
      </w:tr>
      <w:tr w:rsidR="00271DCD" w:rsidRPr="00271DCD" w:rsidTr="004F2BF9">
        <w:trPr>
          <w:cantSplit/>
          <w:trHeight w:val="577"/>
        </w:trPr>
        <w:tc>
          <w:tcPr>
            <w:tcW w:w="2835" w:type="dxa"/>
            <w:gridSpan w:val="2"/>
          </w:tcPr>
          <w:p w:rsidR="00271DCD" w:rsidRPr="00271DCD" w:rsidRDefault="00271DCD" w:rsidP="004704B2">
            <w:pPr>
              <w:pStyle w:val="NoSpacing"/>
              <w:widowControl/>
              <w:rPr>
                <w:rFonts w:ascii="Arial Narrow" w:hAnsi="Arial Narrow"/>
                <w:sz w:val="20"/>
              </w:rPr>
            </w:pPr>
          </w:p>
          <w:p w:rsidR="00271DCD" w:rsidRPr="00271DCD" w:rsidRDefault="00271DCD" w:rsidP="004704B2">
            <w:pPr>
              <w:pStyle w:val="NoSpacing"/>
              <w:widowControl/>
              <w:rPr>
                <w:rFonts w:ascii="Arial Narrow" w:hAnsi="Arial Narrow"/>
                <w:sz w:val="20"/>
              </w:rPr>
            </w:pPr>
            <w:r w:rsidRPr="00271DCD">
              <w:rPr>
                <w:rFonts w:ascii="Arial Narrow" w:hAnsi="Arial Narrow"/>
                <w:sz w:val="20"/>
              </w:rPr>
              <w:t>Letermovir 240 mg tablet, 28</w:t>
            </w:r>
          </w:p>
        </w:tc>
        <w:tc>
          <w:tcPr>
            <w:tcW w:w="993" w:type="dxa"/>
          </w:tcPr>
          <w:p w:rsidR="00271DCD" w:rsidRPr="00271DCD" w:rsidRDefault="00271DCD" w:rsidP="004704B2">
            <w:pPr>
              <w:pStyle w:val="NoSpacing"/>
              <w:widowControl/>
              <w:jc w:val="center"/>
              <w:rPr>
                <w:rFonts w:ascii="Arial Narrow" w:hAnsi="Arial Narrow"/>
                <w:sz w:val="20"/>
              </w:rPr>
            </w:pPr>
          </w:p>
          <w:p w:rsidR="00271DCD" w:rsidRPr="00271DCD" w:rsidRDefault="00271DCD" w:rsidP="004704B2">
            <w:pPr>
              <w:pStyle w:val="NoSpacing"/>
              <w:widowControl/>
              <w:jc w:val="center"/>
              <w:rPr>
                <w:rFonts w:ascii="Arial Narrow" w:hAnsi="Arial Narrow"/>
                <w:sz w:val="20"/>
              </w:rPr>
            </w:pPr>
            <w:r w:rsidRPr="00271DCD">
              <w:rPr>
                <w:rFonts w:ascii="Arial Narrow" w:hAnsi="Arial Narrow"/>
                <w:sz w:val="20"/>
              </w:rPr>
              <w:t>1</w:t>
            </w:r>
          </w:p>
        </w:tc>
        <w:tc>
          <w:tcPr>
            <w:tcW w:w="708" w:type="dxa"/>
          </w:tcPr>
          <w:p w:rsidR="00271DCD" w:rsidRPr="00271DCD" w:rsidRDefault="00271DCD" w:rsidP="004704B2">
            <w:pPr>
              <w:pStyle w:val="NoSpacing"/>
              <w:widowControl/>
              <w:jc w:val="center"/>
              <w:rPr>
                <w:rFonts w:ascii="Arial Narrow" w:hAnsi="Arial Narrow"/>
                <w:sz w:val="20"/>
              </w:rPr>
            </w:pPr>
          </w:p>
          <w:p w:rsidR="00271DCD" w:rsidRPr="00271DCD" w:rsidRDefault="00271DCD" w:rsidP="004704B2">
            <w:pPr>
              <w:pStyle w:val="NoSpacing"/>
              <w:widowControl/>
              <w:jc w:val="center"/>
              <w:rPr>
                <w:rFonts w:ascii="Arial Narrow" w:hAnsi="Arial Narrow"/>
                <w:sz w:val="20"/>
              </w:rPr>
            </w:pPr>
            <w:r w:rsidRPr="00271DCD">
              <w:rPr>
                <w:rFonts w:ascii="Arial Narrow" w:hAnsi="Arial Narrow"/>
                <w:sz w:val="20"/>
              </w:rPr>
              <w:t>3</w:t>
            </w:r>
          </w:p>
        </w:tc>
        <w:tc>
          <w:tcPr>
            <w:tcW w:w="1560" w:type="dxa"/>
          </w:tcPr>
          <w:p w:rsidR="00271DCD" w:rsidRPr="00271DCD" w:rsidRDefault="00271DCD" w:rsidP="004704B2">
            <w:pPr>
              <w:pStyle w:val="NoSpacing"/>
              <w:widowControl/>
              <w:jc w:val="center"/>
              <w:rPr>
                <w:rFonts w:ascii="Arial Narrow" w:hAnsi="Arial Narrow"/>
                <w:sz w:val="20"/>
              </w:rPr>
            </w:pPr>
          </w:p>
          <w:p w:rsidR="00271DCD" w:rsidRPr="00271DCD" w:rsidRDefault="00271DCD" w:rsidP="004704B2">
            <w:pPr>
              <w:pStyle w:val="NoSpacing"/>
              <w:widowControl/>
              <w:jc w:val="center"/>
              <w:rPr>
                <w:rFonts w:ascii="Arial Narrow" w:hAnsi="Arial Narrow"/>
                <w:sz w:val="20"/>
              </w:rPr>
            </w:pPr>
            <w:r w:rsidRPr="00271DCD">
              <w:rPr>
                <w:rFonts w:ascii="Arial Narrow" w:hAnsi="Arial Narrow"/>
                <w:sz w:val="20"/>
              </w:rPr>
              <w:t>$</w:t>
            </w:r>
            <w:r w:rsidR="00AE66CA">
              <w:rPr>
                <w:rFonts w:ascii="Arial Narrow" w:hAnsi="Arial Narrow"/>
                <w:noProof/>
                <w:color w:val="000000"/>
                <w:sz w:val="20"/>
                <w:highlight w:val="black"/>
              </w:rPr>
              <w:t>'''''''''''''''''''''</w:t>
            </w:r>
          </w:p>
        </w:tc>
        <w:tc>
          <w:tcPr>
            <w:tcW w:w="1275" w:type="dxa"/>
          </w:tcPr>
          <w:p w:rsidR="00271DCD" w:rsidRPr="00271DCD" w:rsidRDefault="00271DCD" w:rsidP="004704B2">
            <w:pPr>
              <w:pStyle w:val="NoSpacing"/>
              <w:widowControl/>
              <w:jc w:val="center"/>
              <w:rPr>
                <w:rFonts w:ascii="Arial Narrow" w:hAnsi="Arial Narrow"/>
                <w:sz w:val="20"/>
              </w:rPr>
            </w:pPr>
          </w:p>
          <w:p w:rsidR="00271DCD" w:rsidRPr="00271DCD" w:rsidRDefault="00271DCD" w:rsidP="004704B2">
            <w:pPr>
              <w:pStyle w:val="NoSpacing"/>
              <w:widowControl/>
              <w:jc w:val="center"/>
              <w:rPr>
                <w:rFonts w:ascii="Arial Narrow" w:hAnsi="Arial Narrow"/>
                <w:sz w:val="20"/>
              </w:rPr>
            </w:pPr>
            <w:r w:rsidRPr="00271DCD">
              <w:rPr>
                <w:rFonts w:ascii="Arial Narrow" w:hAnsi="Arial Narrow"/>
                <w:sz w:val="20"/>
              </w:rPr>
              <w:t>Prevymis</w:t>
            </w:r>
            <w:r w:rsidRPr="00271DCD">
              <w:rPr>
                <w:rFonts w:ascii="Arial Narrow" w:hAnsi="Arial Narrow"/>
                <w:sz w:val="20"/>
                <w:vertAlign w:val="superscript"/>
              </w:rPr>
              <w:t>TM</w:t>
            </w:r>
          </w:p>
        </w:tc>
        <w:tc>
          <w:tcPr>
            <w:tcW w:w="1701" w:type="dxa"/>
          </w:tcPr>
          <w:p w:rsidR="00271DCD" w:rsidRPr="00271DCD" w:rsidRDefault="00271DCD" w:rsidP="004704B2">
            <w:pPr>
              <w:pStyle w:val="NoSpacing"/>
              <w:widowControl/>
              <w:jc w:val="center"/>
              <w:rPr>
                <w:rFonts w:ascii="Arial Narrow" w:hAnsi="Arial Narrow"/>
                <w:sz w:val="20"/>
              </w:rPr>
            </w:pPr>
            <w:r w:rsidRPr="00271DCD">
              <w:rPr>
                <w:rFonts w:ascii="Arial Narrow" w:hAnsi="Arial Narrow"/>
                <w:sz w:val="20"/>
              </w:rPr>
              <w:t>Merck Sharpe &amp; Dohme (Australia) Pty Ltd</w:t>
            </w:r>
          </w:p>
        </w:tc>
      </w:tr>
      <w:tr w:rsidR="00271DCD" w:rsidRPr="00271DCD" w:rsidTr="004F2BF9">
        <w:trPr>
          <w:cantSplit/>
          <w:trHeight w:val="358"/>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Category/Program</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 xml:space="preserve">Section 100 – </w:t>
            </w:r>
            <w:r w:rsidRPr="00271DCD">
              <w:rPr>
                <w:rFonts w:ascii="Arial Narrow" w:hAnsi="Arial Narrow" w:cs="Arial"/>
                <w:strike/>
                <w:sz w:val="20"/>
                <w:szCs w:val="20"/>
              </w:rPr>
              <w:t xml:space="preserve">Authority Required </w:t>
            </w:r>
            <w:r w:rsidRPr="00271DCD">
              <w:rPr>
                <w:rFonts w:ascii="Arial Narrow" w:hAnsi="Arial Narrow" w:cs="Arial"/>
                <w:sz w:val="20"/>
                <w:szCs w:val="20"/>
              </w:rPr>
              <w:t>Highly Specialised Drugs Program (Private and Public Hospitals)</w:t>
            </w:r>
          </w:p>
        </w:tc>
      </w:tr>
      <w:tr w:rsidR="00271DCD" w:rsidRPr="00271DCD" w:rsidTr="004F2BF9">
        <w:trPr>
          <w:cantSplit/>
          <w:trHeight w:val="360"/>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Prescriber type:</w:t>
            </w:r>
          </w:p>
          <w:p w:rsidR="00271DCD" w:rsidRPr="00271DCD" w:rsidRDefault="00271DCD" w:rsidP="004704B2">
            <w:pPr>
              <w:rPr>
                <w:rFonts w:ascii="Arial Narrow" w:hAnsi="Arial Narrow" w:cs="Arial"/>
                <w:b/>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Check1"/>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Dental</w:t>
            </w:r>
            <w:r w:rsidR="005859EC">
              <w:rPr>
                <w:rFonts w:ascii="Arial Narrow" w:hAnsi="Arial Narrow" w:cs="Arial"/>
                <w:sz w:val="20"/>
                <w:szCs w:val="20"/>
              </w:rPr>
              <w:t xml:space="preserve"> </w:t>
            </w:r>
            <w:r w:rsidRPr="00271DCD">
              <w:rPr>
                <w:rFonts w:ascii="Arial Narrow" w:hAnsi="Arial Narrow" w:cs="Arial"/>
                <w:sz w:val="20"/>
                <w:szCs w:val="20"/>
              </w:rPr>
              <w:fldChar w:fldCharType="begin">
                <w:ffData>
                  <w:name w:val=""/>
                  <w:enabled/>
                  <w:calcOnExit w:val="0"/>
                  <w:checkBox>
                    <w:sizeAuto/>
                    <w:default w:val="1"/>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Medical Practitioners</w:t>
            </w:r>
            <w:r w:rsidR="005859EC">
              <w:rPr>
                <w:rFonts w:ascii="Arial Narrow" w:hAnsi="Arial Narrow" w:cs="Arial"/>
                <w:sz w:val="20"/>
                <w:szCs w:val="20"/>
              </w:rPr>
              <w:t xml:space="preserve"> </w:t>
            </w:r>
            <w:r w:rsidRPr="00271DCD">
              <w:rPr>
                <w:rFonts w:ascii="Arial Narrow" w:hAnsi="Arial Narrow" w:cs="Arial"/>
                <w:sz w:val="20"/>
                <w:szCs w:val="20"/>
              </w:rPr>
              <w:fldChar w:fldCharType="begin">
                <w:ffData>
                  <w:name w:val="Check3"/>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Nurse practitioners</w:t>
            </w:r>
            <w:r w:rsidR="005859EC">
              <w:rPr>
                <w:rFonts w:ascii="Arial Narrow" w:hAnsi="Arial Narrow" w:cs="Arial"/>
                <w:sz w:val="20"/>
                <w:szCs w:val="20"/>
              </w:rPr>
              <w:t xml:space="preserve"> </w:t>
            </w:r>
            <w:r w:rsidRPr="00271DCD">
              <w:rPr>
                <w:rFonts w:ascii="Arial Narrow" w:hAnsi="Arial Narrow" w:cs="Arial"/>
                <w:sz w:val="20"/>
                <w:szCs w:val="20"/>
              </w:rPr>
              <w:fldChar w:fldCharType="begin">
                <w:ffData>
                  <w:name w:val=""/>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Optometrists</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Check5"/>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Midwives</w:t>
            </w:r>
          </w:p>
        </w:tc>
      </w:tr>
      <w:tr w:rsidR="00271DCD" w:rsidRPr="00271DCD" w:rsidTr="004F2BF9">
        <w:trPr>
          <w:cantSplit/>
          <w:trHeight w:val="273"/>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Episodicity:</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trike/>
                <w:sz w:val="20"/>
                <w:szCs w:val="20"/>
              </w:rPr>
              <w:t>N/A</w:t>
            </w:r>
            <w:r w:rsidR="005859EC">
              <w:rPr>
                <w:rFonts w:ascii="Arial Narrow" w:hAnsi="Arial Narrow" w:cs="Arial"/>
                <w:sz w:val="20"/>
                <w:szCs w:val="20"/>
              </w:rPr>
              <w:t xml:space="preserve"> </w:t>
            </w:r>
            <w:r w:rsidRPr="00271DCD">
              <w:rPr>
                <w:rFonts w:ascii="Arial Narrow" w:hAnsi="Arial Narrow" w:cs="Arial"/>
                <w:sz w:val="20"/>
                <w:szCs w:val="20"/>
              </w:rPr>
              <w:t>Prophylaxis</w:t>
            </w:r>
          </w:p>
        </w:tc>
      </w:tr>
      <w:tr w:rsidR="00271DCD" w:rsidRPr="00271DCD" w:rsidTr="004F2BF9">
        <w:trPr>
          <w:cantSplit/>
          <w:trHeight w:val="135"/>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Severity:</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N/A</w:t>
            </w:r>
          </w:p>
        </w:tc>
      </w:tr>
      <w:tr w:rsidR="00271DCD" w:rsidRPr="00271DCD" w:rsidTr="004F2BF9">
        <w:trPr>
          <w:cantSplit/>
          <w:trHeight w:val="181"/>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trike/>
                <w:sz w:val="20"/>
                <w:szCs w:val="20"/>
              </w:rPr>
            </w:pPr>
            <w:r w:rsidRPr="00271DCD">
              <w:rPr>
                <w:rFonts w:ascii="Arial Narrow" w:hAnsi="Arial Narrow" w:cs="Arial"/>
                <w:sz w:val="20"/>
                <w:szCs w:val="20"/>
              </w:rPr>
              <w:t>Cytomegalovirus infection and disease</w:t>
            </w:r>
          </w:p>
        </w:tc>
      </w:tr>
      <w:tr w:rsidR="00271DCD" w:rsidRPr="00271DCD" w:rsidTr="004F2BF9">
        <w:trPr>
          <w:cantSplit/>
          <w:trHeight w:val="227"/>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lastRenderedPageBreak/>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 xml:space="preserve">Prophylaxis of cytomegalovirus infection and disease </w:t>
            </w:r>
          </w:p>
        </w:tc>
      </w:tr>
      <w:tr w:rsidR="00271DCD" w:rsidRPr="00271DCD" w:rsidTr="004F2BF9">
        <w:trPr>
          <w:cantSplit/>
          <w:trHeight w:val="117"/>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trike/>
                <w:sz w:val="20"/>
                <w:szCs w:val="20"/>
              </w:rPr>
            </w:pPr>
            <w:r w:rsidRPr="00271DCD">
              <w:rPr>
                <w:rFonts w:ascii="Arial Narrow" w:hAnsi="Arial Narrow" w:cs="Arial"/>
                <w:strike/>
                <w:sz w:val="20"/>
                <w:szCs w:val="20"/>
              </w:rPr>
              <w:t>Prophylaxis</w:t>
            </w:r>
          </w:p>
        </w:tc>
      </w:tr>
      <w:tr w:rsidR="00271DCD" w:rsidRPr="00271DCD" w:rsidTr="004F2BF9">
        <w:trPr>
          <w:cantSplit/>
          <w:trHeight w:val="360"/>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Restriction Level / Method:</w:t>
            </w:r>
          </w:p>
          <w:p w:rsidR="00271DCD" w:rsidRPr="00271DCD" w:rsidRDefault="00271DCD" w:rsidP="004704B2">
            <w:pPr>
              <w:rPr>
                <w:rFonts w:ascii="Arial Narrow" w:hAnsi="Arial Narrow" w:cs="Arial"/>
                <w:sz w:val="20"/>
                <w:szCs w:val="20"/>
              </w:rPr>
            </w:pPr>
          </w:p>
          <w:p w:rsidR="00271DCD" w:rsidRPr="00271DCD" w:rsidRDefault="00271DCD" w:rsidP="004704B2">
            <w:pPr>
              <w:rPr>
                <w:rFonts w:ascii="Arial Narrow" w:hAnsi="Arial Narrow" w:cs="Arial"/>
                <w:sz w:val="20"/>
                <w:szCs w:val="20"/>
              </w:rPr>
            </w:pPr>
          </w:p>
          <w:p w:rsidR="00271DCD" w:rsidRPr="00271DCD" w:rsidRDefault="00271DCD" w:rsidP="004704B2">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Check1"/>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Restricted benefit</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
                  <w:enabled/>
                  <w:calcOnExit w:val="0"/>
                  <w:checkBox>
                    <w:sizeAuto/>
                    <w:default w:val="1"/>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Authority Required - In Writing (Public/Private)</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Check3"/>
                  <w:enabled/>
                  <w:calcOnExit w:val="0"/>
                  <w:checkBox>
                    <w:sizeAuto/>
                    <w:default w:val="1"/>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Authority Required – Telephone (Public/Private)</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 xml:space="preserve">Authority Required – Emergency </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Check5"/>
                  <w:enabled/>
                  <w:calcOnExit w:val="0"/>
                  <w:checkBox>
                    <w:sizeAuto/>
                    <w:default w:val="0"/>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Authority Required - Electronic</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fldChar w:fldCharType="begin">
                <w:ffData>
                  <w:name w:val="Check5"/>
                  <w:enabled/>
                  <w:calcOnExit w:val="0"/>
                  <w:checkBox>
                    <w:sizeAuto/>
                    <w:default w:val="1"/>
                  </w:checkBox>
                </w:ffData>
              </w:fldChar>
            </w:r>
            <w:r w:rsidRPr="00271DCD">
              <w:rPr>
                <w:rFonts w:ascii="Arial Narrow" w:hAnsi="Arial Narrow" w:cs="Arial"/>
                <w:sz w:val="20"/>
                <w:szCs w:val="20"/>
              </w:rPr>
              <w:instrText xml:space="preserve"> FORMCHECKBOX </w:instrText>
            </w:r>
            <w:r w:rsidR="005859EC">
              <w:rPr>
                <w:rFonts w:ascii="Arial Narrow" w:hAnsi="Arial Narrow" w:cs="Arial"/>
                <w:sz w:val="20"/>
                <w:szCs w:val="20"/>
              </w:rPr>
            </w:r>
            <w:r w:rsidR="005859EC">
              <w:rPr>
                <w:rFonts w:ascii="Arial Narrow" w:hAnsi="Arial Narrow" w:cs="Arial"/>
                <w:sz w:val="20"/>
                <w:szCs w:val="20"/>
              </w:rPr>
              <w:fldChar w:fldCharType="separate"/>
            </w:r>
            <w:r w:rsidRPr="00271DCD">
              <w:rPr>
                <w:rFonts w:ascii="Arial Narrow" w:hAnsi="Arial Narrow" w:cs="Arial"/>
                <w:sz w:val="20"/>
                <w:szCs w:val="20"/>
              </w:rPr>
              <w:fldChar w:fldCharType="end"/>
            </w:r>
            <w:r w:rsidRPr="00271DCD">
              <w:rPr>
                <w:rFonts w:ascii="Arial Narrow" w:hAnsi="Arial Narrow" w:cs="Arial"/>
                <w:sz w:val="20"/>
                <w:szCs w:val="20"/>
              </w:rPr>
              <w:t>Streamlined (Public only)</w:t>
            </w:r>
          </w:p>
        </w:tc>
      </w:tr>
      <w:tr w:rsidR="00271DCD" w:rsidRPr="00271DCD" w:rsidTr="004F2BF9">
        <w:trPr>
          <w:cantSplit/>
          <w:trHeight w:val="360"/>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Clinical criteria:</w:t>
            </w:r>
          </w:p>
          <w:p w:rsidR="00271DCD" w:rsidRPr="00271DCD" w:rsidRDefault="00271DCD" w:rsidP="004704B2">
            <w:pPr>
              <w:rPr>
                <w:rFonts w:ascii="Arial Narrow" w:hAnsi="Arial Narrow" w:cs="Arial"/>
                <w:sz w:val="20"/>
                <w:szCs w:val="20"/>
              </w:rPr>
            </w:pPr>
          </w:p>
          <w:p w:rsidR="00271DCD" w:rsidRPr="00271DCD" w:rsidRDefault="00271DCD" w:rsidP="004704B2">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Patient must have undergone, be undergoing or be scheduled for an allogeneic haematopoietic stem cell transplant</w:t>
            </w:r>
            <w:r w:rsidRPr="00271DCD">
              <w:rPr>
                <w:rFonts w:ascii="Arial Narrow" w:hAnsi="Arial Narrow" w:cs="Arial"/>
                <w:strike/>
                <w:sz w:val="20"/>
                <w:szCs w:val="20"/>
              </w:rPr>
              <w:t>;</w:t>
            </w:r>
            <w:r w:rsidRPr="00271DCD">
              <w:rPr>
                <w:rFonts w:ascii="Arial Narrow" w:hAnsi="Arial Narrow" w:cs="Arial"/>
                <w:sz w:val="20"/>
                <w:szCs w:val="20"/>
              </w:rPr>
              <w:t>,</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AND</w:t>
            </w:r>
            <w:r w:rsidRPr="00271DCD">
              <w:rPr>
                <w:rFonts w:ascii="Arial Narrow" w:hAnsi="Arial Narrow" w:cs="Arial"/>
                <w:sz w:val="20"/>
                <w:szCs w:val="20"/>
              </w:rPr>
              <w:tab/>
            </w:r>
          </w:p>
          <w:p w:rsidR="00271DCD" w:rsidRPr="00271DCD" w:rsidRDefault="00271DCD" w:rsidP="004704B2">
            <w:pPr>
              <w:rPr>
                <w:rFonts w:ascii="Arial Narrow" w:hAnsi="Arial Narrow" w:cs="Arial"/>
                <w:sz w:val="20"/>
                <w:szCs w:val="20"/>
              </w:rPr>
            </w:pPr>
            <w:r w:rsidRPr="00271DCD">
              <w:rPr>
                <w:rFonts w:ascii="Arial Narrow" w:hAnsi="Arial Narrow" w:cs="Arial"/>
                <w:strike/>
                <w:sz w:val="20"/>
                <w:szCs w:val="20"/>
              </w:rPr>
              <w:t xml:space="preserve">The </w:t>
            </w:r>
            <w:r w:rsidRPr="00271DCD">
              <w:rPr>
                <w:rFonts w:ascii="Arial Narrow" w:hAnsi="Arial Narrow" w:cs="Arial"/>
                <w:sz w:val="20"/>
                <w:szCs w:val="20"/>
              </w:rPr>
              <w:t>Patient must have confirmed presence of cytomegalovirus-specific antibodies</w:t>
            </w:r>
            <w:r w:rsidRPr="00271DCD">
              <w:rPr>
                <w:rFonts w:ascii="Arial Narrow" w:hAnsi="Arial Narrow" w:cs="Arial"/>
                <w:strike/>
                <w:sz w:val="20"/>
                <w:szCs w:val="20"/>
              </w:rPr>
              <w:t>;</w:t>
            </w:r>
            <w:r w:rsidRPr="00271DCD">
              <w:rPr>
                <w:rFonts w:ascii="Arial Narrow" w:hAnsi="Arial Narrow" w:cs="Arial"/>
                <w:sz w:val="20"/>
                <w:szCs w:val="20"/>
              </w:rPr>
              <w:t>,</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AND</w:t>
            </w:r>
          </w:p>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 xml:space="preserve">The treatment must commence within 28 days of an allogeneic haematopoietic stem cell transplant. </w:t>
            </w:r>
          </w:p>
        </w:tc>
      </w:tr>
      <w:tr w:rsidR="00271DCD" w:rsidRPr="00271DCD" w:rsidTr="004F2BF9">
        <w:trPr>
          <w:cantSplit/>
          <w:trHeight w:val="135"/>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Patients must be 18 years of age or older.</w:t>
            </w:r>
          </w:p>
        </w:tc>
      </w:tr>
      <w:tr w:rsidR="00271DCD" w:rsidRPr="00271DCD" w:rsidTr="004F2BF9">
        <w:trPr>
          <w:cantSplit/>
          <w:trHeight w:val="360"/>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Prescriber Instructions</w:t>
            </w:r>
          </w:p>
          <w:p w:rsidR="00271DCD" w:rsidRPr="00271DCD" w:rsidRDefault="00271DCD" w:rsidP="004704B2">
            <w:pPr>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sz w:val="20"/>
                <w:szCs w:val="20"/>
              </w:rPr>
            </w:pPr>
            <w:r w:rsidRPr="00271DCD">
              <w:rPr>
                <w:rFonts w:ascii="Arial Narrow" w:hAnsi="Arial Narrow" w:cs="Arial"/>
                <w:sz w:val="20"/>
                <w:szCs w:val="20"/>
              </w:rPr>
              <w:t>For patients who are not concurrently taking cyclosporin and letermovir, two packs of 28 tablets will need to be requested and authorised for dispensing.</w:t>
            </w:r>
          </w:p>
        </w:tc>
      </w:tr>
      <w:tr w:rsidR="00271DCD" w:rsidRPr="0021510A" w:rsidTr="004F2BF9">
        <w:trPr>
          <w:cantSplit/>
          <w:trHeight w:val="145"/>
        </w:trPr>
        <w:tc>
          <w:tcPr>
            <w:tcW w:w="2410" w:type="dxa"/>
            <w:tcBorders>
              <w:top w:val="single" w:sz="4" w:space="0" w:color="auto"/>
              <w:left w:val="single" w:sz="4" w:space="0" w:color="auto"/>
              <w:bottom w:val="single" w:sz="4" w:space="0" w:color="auto"/>
              <w:right w:val="single" w:sz="4" w:space="0" w:color="auto"/>
            </w:tcBorders>
          </w:tcPr>
          <w:p w:rsidR="00271DCD" w:rsidRPr="00271DCD" w:rsidRDefault="00271DCD" w:rsidP="004704B2">
            <w:pPr>
              <w:rPr>
                <w:rFonts w:ascii="Arial Narrow" w:hAnsi="Arial Narrow" w:cs="Arial"/>
                <w:b/>
                <w:sz w:val="20"/>
                <w:szCs w:val="20"/>
              </w:rPr>
            </w:pPr>
            <w:r w:rsidRPr="00271DCD">
              <w:rPr>
                <w:rFonts w:ascii="Arial Narrow" w:hAnsi="Arial Narrow" w:cs="Arial"/>
                <w:b/>
                <w:sz w:val="20"/>
                <w:szCs w:val="20"/>
              </w:rPr>
              <w:t>Administrative Advice</w:t>
            </w:r>
          </w:p>
        </w:tc>
        <w:tc>
          <w:tcPr>
            <w:tcW w:w="6662" w:type="dxa"/>
            <w:gridSpan w:val="6"/>
            <w:tcBorders>
              <w:top w:val="single" w:sz="4" w:space="0" w:color="auto"/>
              <w:left w:val="single" w:sz="4" w:space="0" w:color="auto"/>
              <w:bottom w:val="single" w:sz="4" w:space="0" w:color="auto"/>
              <w:right w:val="single" w:sz="4" w:space="0" w:color="auto"/>
            </w:tcBorders>
          </w:tcPr>
          <w:p w:rsidR="00271DCD" w:rsidRPr="0021510A" w:rsidRDefault="00271DCD" w:rsidP="004704B2">
            <w:pPr>
              <w:rPr>
                <w:rFonts w:ascii="Arial Narrow" w:hAnsi="Arial Narrow" w:cs="Arial"/>
                <w:sz w:val="20"/>
                <w:szCs w:val="20"/>
              </w:rPr>
            </w:pPr>
            <w:r w:rsidRPr="00271DCD">
              <w:rPr>
                <w:rFonts w:ascii="Arial Narrow" w:hAnsi="Arial Narrow" w:cs="Arial"/>
                <w:sz w:val="20"/>
                <w:szCs w:val="20"/>
              </w:rPr>
              <w:t>No increase in the maximum number of repeats will be authorised</w:t>
            </w:r>
          </w:p>
        </w:tc>
      </w:tr>
    </w:tbl>
    <w:p w:rsidR="00DE0BE0" w:rsidRDefault="00B75562" w:rsidP="00186606">
      <w:pPr>
        <w:pStyle w:val="ListParagraph"/>
        <w:numPr>
          <w:ilvl w:val="1"/>
          <w:numId w:val="1"/>
        </w:numPr>
        <w:spacing w:before="120" w:after="120"/>
      </w:pPr>
      <w:r>
        <w:t>The resubmission indicated that the requested restriction has been updated from that proposed in the initial submission to reflect the suggestions and additions proposed by the PBAC Secretariat and the PBAC</w:t>
      </w:r>
      <w:r w:rsidR="000B0F68">
        <w:t xml:space="preserve"> </w:t>
      </w:r>
      <w:r w:rsidR="000B0F68" w:rsidRPr="000B0F68">
        <w:t>in the July 2018 consideration of letermovir</w:t>
      </w:r>
      <w:r>
        <w:t>.</w:t>
      </w:r>
      <w:r w:rsidR="005859EC">
        <w:t xml:space="preserve"> </w:t>
      </w:r>
      <w:r>
        <w:t>The changes made were as follows:</w:t>
      </w:r>
      <w:r w:rsidR="000E02E7">
        <w:t xml:space="preserve"> inclusion of clinical criteria to indicate when letermovir should be commenced; inclusion of criteria to restrict letermovir to those 18 years of age or older; inclusion of prescriber instructions for clarity of dosage for patients who do not concurrently receive cyclosporin and letermovir; </w:t>
      </w:r>
      <w:r w:rsidR="0051523D">
        <w:t>removed</w:t>
      </w:r>
      <w:r w:rsidR="00247B25">
        <w:t xml:space="preserve"> criteria for when to measure antibodies and </w:t>
      </w:r>
      <w:r w:rsidR="0051523D">
        <w:t>removed</w:t>
      </w:r>
      <w:r w:rsidR="00247B25">
        <w:t xml:space="preserve"> criteria for starting or not using letermovir in the presence of CMV infection</w:t>
      </w:r>
      <w:r w:rsidR="00077FA7">
        <w:t>; and alteration of the PBS indication for clarity</w:t>
      </w:r>
      <w:r w:rsidR="00247B25">
        <w:t>.</w:t>
      </w:r>
      <w:r w:rsidR="00704C8F">
        <w:t xml:space="preserve"> The PBAC considered that </w:t>
      </w:r>
      <w:r w:rsidR="008E38A9">
        <w:t>an age criterion was not required in the listing</w:t>
      </w:r>
      <w:r w:rsidR="003317B8">
        <w:t xml:space="preserve">. </w:t>
      </w:r>
    </w:p>
    <w:p w:rsidR="00D312F7" w:rsidRPr="0021510A" w:rsidRDefault="00B75562" w:rsidP="00186606">
      <w:pPr>
        <w:pStyle w:val="ListParagraph"/>
        <w:numPr>
          <w:ilvl w:val="1"/>
          <w:numId w:val="1"/>
        </w:numPr>
        <w:spacing w:after="120"/>
      </w:pPr>
      <w:r w:rsidRPr="0021510A">
        <w:t xml:space="preserve">The requested restriction was </w:t>
      </w:r>
      <w:r w:rsidR="003317B8">
        <w:t xml:space="preserve">largely </w:t>
      </w:r>
      <w:r w:rsidRPr="0021510A">
        <w:t xml:space="preserve">consistent with the changes recommended by the PBAC </w:t>
      </w:r>
      <w:r w:rsidR="008267AE" w:rsidRPr="0021510A">
        <w:t>in the July 2018 consideration of letermovir</w:t>
      </w:r>
      <w:r w:rsidRPr="0021510A">
        <w:t xml:space="preserve"> (paragraph 7.3 July 2018 </w:t>
      </w:r>
      <w:r w:rsidR="000E31A6">
        <w:t>Public Summary Document (</w:t>
      </w:r>
      <w:r w:rsidRPr="0021510A">
        <w:t>PSD</w:t>
      </w:r>
      <w:r w:rsidR="000E31A6">
        <w:t>)</w:t>
      </w:r>
      <w:r w:rsidRPr="0021510A">
        <w:t>).</w:t>
      </w:r>
      <w:r w:rsidR="000B0F68" w:rsidRPr="0021510A">
        <w:t xml:space="preserve"> The ESC noted that the PBAC had advised that as patients undergoing a HSCT are regularly monitored by </w:t>
      </w:r>
      <w:r w:rsidR="007024C3" w:rsidRPr="0021510A">
        <w:t xml:space="preserve">experienced clinical teams </w:t>
      </w:r>
      <w:r w:rsidR="000B0F68" w:rsidRPr="0021510A">
        <w:t xml:space="preserve">it was not necessary to include criteria related to not using letermovir in the presence of CMV infection (paragraph 7.3 July 2018 PSD). </w:t>
      </w:r>
      <w:r w:rsidR="00F73FB5" w:rsidRPr="0021510A">
        <w:t xml:space="preserve">The ESC noted that in the pivotal trial </w:t>
      </w:r>
      <w:r w:rsidR="00D312F7" w:rsidRPr="0021510A">
        <w:t xml:space="preserve">(Trial P001) </w:t>
      </w:r>
      <w:r w:rsidR="00F73FB5" w:rsidRPr="0021510A">
        <w:t>patients who developed CMV viraemia disc</w:t>
      </w:r>
      <w:r w:rsidR="00D312F7" w:rsidRPr="0021510A">
        <w:t>ontinued letermovir and commenced</w:t>
      </w:r>
      <w:r w:rsidR="00F73FB5" w:rsidRPr="0021510A">
        <w:t xml:space="preserve"> </w:t>
      </w:r>
      <w:r w:rsidR="007024C3" w:rsidRPr="0021510A">
        <w:t>pre-emptive treatment</w:t>
      </w:r>
      <w:r w:rsidR="00F73FB5" w:rsidRPr="0021510A">
        <w:t xml:space="preserve"> (PET)</w:t>
      </w:r>
      <w:r w:rsidR="00D312F7" w:rsidRPr="0021510A">
        <w:t xml:space="preserve">. Given the absence of evidence for the use of letermovir with PET the ESC expressed concern that </w:t>
      </w:r>
      <w:r w:rsidR="00F73FB5" w:rsidRPr="0021510A">
        <w:t xml:space="preserve">neither the restriction nor the TGA approved Product Information (PI) </w:t>
      </w:r>
      <w:r w:rsidR="00D312F7" w:rsidRPr="0021510A">
        <w:t xml:space="preserve">specify </w:t>
      </w:r>
      <w:r w:rsidR="00F73FB5" w:rsidRPr="0021510A">
        <w:t>the</w:t>
      </w:r>
      <w:r w:rsidR="00D312F7" w:rsidRPr="0021510A">
        <w:t xml:space="preserve"> need to cease letermovir when PET is commenced. </w:t>
      </w:r>
      <w:r w:rsidR="0004281E" w:rsidRPr="0021510A">
        <w:t xml:space="preserve">The ESC considered that inconsistencies in the use of terminology such as ‘prophylaxis’ </w:t>
      </w:r>
      <w:r w:rsidR="004D27F4" w:rsidRPr="0021510A">
        <w:t>across</w:t>
      </w:r>
      <w:r w:rsidR="0004281E" w:rsidRPr="0021510A">
        <w:t xml:space="preserve"> t</w:t>
      </w:r>
      <w:r w:rsidR="004D27F4" w:rsidRPr="0021510A">
        <w:t xml:space="preserve">he resubmission and restriction </w:t>
      </w:r>
      <w:r w:rsidR="009B2C89">
        <w:t>raises</w:t>
      </w:r>
      <w:r w:rsidR="0004281E" w:rsidRPr="0021510A">
        <w:t xml:space="preserve"> concern over how this will be </w:t>
      </w:r>
      <w:r w:rsidR="004D27F4" w:rsidRPr="0021510A">
        <w:t xml:space="preserve">interpreted </w:t>
      </w:r>
      <w:r w:rsidR="0033623D" w:rsidRPr="0021510A">
        <w:t xml:space="preserve">for letermovir </w:t>
      </w:r>
      <w:r w:rsidR="004D27F4" w:rsidRPr="0021510A">
        <w:t>in clinical practice</w:t>
      </w:r>
      <w:r w:rsidR="0004281E" w:rsidRPr="0021510A">
        <w:t xml:space="preserve">. </w:t>
      </w:r>
    </w:p>
    <w:p w:rsidR="000844FA" w:rsidRDefault="00D312F7" w:rsidP="00186606">
      <w:pPr>
        <w:pStyle w:val="ListParagraph"/>
        <w:numPr>
          <w:ilvl w:val="1"/>
          <w:numId w:val="1"/>
        </w:numPr>
        <w:spacing w:after="120"/>
      </w:pPr>
      <w:r w:rsidRPr="0021510A">
        <w:t xml:space="preserve">The ESC also noted that </w:t>
      </w:r>
      <w:r w:rsidR="00EC17D3" w:rsidRPr="0021510A">
        <w:t>Trial P001 excluded patients who had received a previous allogeneic HSCT. The ESC noted that the restriction did not exclude such patients and</w:t>
      </w:r>
      <w:r w:rsidR="00EC17D3" w:rsidRPr="000844FA">
        <w:rPr>
          <w:i/>
        </w:rPr>
        <w:t xml:space="preserve"> </w:t>
      </w:r>
      <w:r w:rsidR="00EC17D3" w:rsidRPr="0021510A">
        <w:t>considered that this was appropriate given the proportion of patients receiving more than one HSCT was likely to be very low.</w:t>
      </w:r>
    </w:p>
    <w:p w:rsidR="00AF5686" w:rsidRPr="00704C8F" w:rsidRDefault="00452229" w:rsidP="008A65D4">
      <w:pPr>
        <w:pStyle w:val="ListParagraph"/>
        <w:spacing w:after="120"/>
        <w:rPr>
          <w:rFonts w:cs="Arial"/>
          <w:b/>
          <w:snapToGrid w:val="0"/>
          <w:sz w:val="32"/>
          <w:szCs w:val="22"/>
        </w:rPr>
      </w:pPr>
      <w:r w:rsidRPr="00704C8F">
        <w:rPr>
          <w:i/>
        </w:rPr>
        <w:lastRenderedPageBreak/>
        <w:t>For more detail on PBAC’s view, see section 7 PBAC outcome.</w:t>
      </w:r>
      <w:bookmarkStart w:id="2" w:name="_Toc536019878"/>
    </w:p>
    <w:p w:rsidR="00B50DB8" w:rsidRPr="00407F2D" w:rsidRDefault="00B50DB8" w:rsidP="005859EC">
      <w:pPr>
        <w:pStyle w:val="PBACHeading1"/>
        <w:keepNext/>
        <w:spacing w:before="240" w:after="120"/>
      </w:pPr>
      <w:r w:rsidRPr="00407F2D">
        <w:t>Background</w:t>
      </w:r>
      <w:bookmarkEnd w:id="2"/>
    </w:p>
    <w:p w:rsidR="00B60939" w:rsidRPr="004151CF" w:rsidRDefault="00591957" w:rsidP="008A65D4">
      <w:pPr>
        <w:spacing w:after="120"/>
        <w:rPr>
          <w:b/>
          <w:i/>
          <w:sz w:val="28"/>
          <w:szCs w:val="28"/>
        </w:rPr>
      </w:pPr>
      <w:r w:rsidRPr="004151CF">
        <w:rPr>
          <w:b/>
          <w:i/>
          <w:sz w:val="28"/>
          <w:szCs w:val="28"/>
        </w:rPr>
        <w:t>Registration status</w:t>
      </w:r>
    </w:p>
    <w:p w:rsidR="00725602" w:rsidRPr="003F7F24" w:rsidRDefault="00725602" w:rsidP="008A65D4">
      <w:pPr>
        <w:pStyle w:val="ListParagraph"/>
        <w:numPr>
          <w:ilvl w:val="1"/>
          <w:numId w:val="1"/>
        </w:numPr>
        <w:spacing w:after="120"/>
      </w:pPr>
      <w:r w:rsidRPr="003F7F24">
        <w:t>Letermovir was registered on the ARTG on 22 June 2018.</w:t>
      </w:r>
      <w:r w:rsidR="005859EC">
        <w:t xml:space="preserve"> </w:t>
      </w:r>
      <w:r w:rsidRPr="003F7F24">
        <w:t>The approved indication is: ‘PREVYMIS is indicated for the prophylaxis of cytomegalovirus (CMV) infection or disease in adult CMV-seropositive recipients [R+] of an allogeneic hematopoietic stem cell transplant (HSC</w:t>
      </w:r>
      <w:r w:rsidR="00AF5686">
        <w:t xml:space="preserve">T)’. </w:t>
      </w:r>
      <w:r w:rsidRPr="003F7F24">
        <w:t>The approved indication corresponded to the requested PBS restriction.</w:t>
      </w:r>
    </w:p>
    <w:p w:rsidR="00EA417D" w:rsidRDefault="00EA417D" w:rsidP="008A65D4">
      <w:pPr>
        <w:pStyle w:val="ListParagraph"/>
        <w:numPr>
          <w:ilvl w:val="1"/>
          <w:numId w:val="1"/>
        </w:numPr>
        <w:spacing w:after="120"/>
      </w:pPr>
      <w:r>
        <w:t>Letermovir was designated</w:t>
      </w:r>
      <w:r w:rsidR="00AF5686">
        <w:t xml:space="preserve"> as an orphan drug by the TGA. </w:t>
      </w:r>
      <w:r>
        <w:t xml:space="preserve">The resubmission </w:t>
      </w:r>
      <w:r w:rsidR="007C4DFA">
        <w:t xml:space="preserve">stated </w:t>
      </w:r>
      <w:r>
        <w:t>that letermovir had been granted regulatory approval in Canada (1 November 2017), the US (8 November 2017), the EU (8 January 2018), Japan (23 March 2018) and Switzerland (4 April 2018).</w:t>
      </w:r>
    </w:p>
    <w:p w:rsidR="00B033E5" w:rsidRPr="004151CF" w:rsidRDefault="00B033E5" w:rsidP="008A65D4">
      <w:pPr>
        <w:spacing w:after="120"/>
        <w:rPr>
          <w:b/>
          <w:i/>
          <w:sz w:val="28"/>
          <w:szCs w:val="28"/>
        </w:rPr>
      </w:pPr>
      <w:r w:rsidRPr="004151CF">
        <w:rPr>
          <w:b/>
          <w:i/>
          <w:sz w:val="28"/>
          <w:szCs w:val="28"/>
        </w:rPr>
        <w:t>Previous PBAC consideration</w:t>
      </w:r>
    </w:p>
    <w:p w:rsidR="002C2775" w:rsidRPr="00B50DB8" w:rsidRDefault="001C6C18" w:rsidP="008A65D4">
      <w:pPr>
        <w:pStyle w:val="ListParagraph"/>
        <w:numPr>
          <w:ilvl w:val="1"/>
          <w:numId w:val="1"/>
        </w:numPr>
        <w:spacing w:after="120"/>
      </w:pPr>
      <w:r>
        <w:t>Following is a summary of the key concerns identified in the July 2018 PBAC submission and the response taken by the resubmission.</w:t>
      </w:r>
    </w:p>
    <w:p w:rsidR="00B60939" w:rsidRPr="00F80AE2" w:rsidRDefault="00661DFA" w:rsidP="00610C0E">
      <w:pPr>
        <w:keepNext/>
        <w:rPr>
          <w:rStyle w:val="CommentReference"/>
        </w:rPr>
      </w:pPr>
      <w:r w:rsidRPr="00F80AE2">
        <w:rPr>
          <w:rFonts w:ascii="Arial Narrow" w:hAnsi="Arial Narrow"/>
          <w:b/>
          <w:sz w:val="20"/>
          <w:szCs w:val="20"/>
        </w:rPr>
        <w:lastRenderedPageBreak/>
        <w:t xml:space="preserve">Table </w:t>
      </w:r>
      <w:r w:rsidR="000D0E6D">
        <w:rPr>
          <w:rFonts w:ascii="Arial Narrow" w:hAnsi="Arial Narrow"/>
          <w:b/>
          <w:noProof/>
          <w:sz w:val="20"/>
          <w:szCs w:val="20"/>
        </w:rPr>
        <w:t>2</w:t>
      </w:r>
      <w:r w:rsidR="00203181" w:rsidRPr="00F80AE2">
        <w:rPr>
          <w:rStyle w:val="CommentReference"/>
        </w:rPr>
        <w:t>:</w:t>
      </w:r>
      <w:r w:rsidR="005859EC">
        <w:rPr>
          <w:rStyle w:val="CommentReference"/>
        </w:rPr>
        <w:t xml:space="preserve"> </w:t>
      </w:r>
      <w:r w:rsidR="00203181" w:rsidRPr="00F80AE2">
        <w:rPr>
          <w:rStyle w:val="CommentReference"/>
        </w:rPr>
        <w:t>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outstanding matters of concern"/>
      </w:tblPr>
      <w:tblGrid>
        <w:gridCol w:w="1135"/>
        <w:gridCol w:w="3996"/>
        <w:gridCol w:w="3828"/>
      </w:tblGrid>
      <w:tr w:rsidR="00997E3F" w:rsidRPr="00F80AE2" w:rsidTr="00997E3F">
        <w:trPr>
          <w:tblHeader/>
        </w:trPr>
        <w:tc>
          <w:tcPr>
            <w:tcW w:w="1135" w:type="dxa"/>
            <w:vAlign w:val="center"/>
          </w:tcPr>
          <w:p w:rsidR="00203181" w:rsidRPr="00F80AE2" w:rsidRDefault="00203181" w:rsidP="00610C0E">
            <w:pPr>
              <w:pStyle w:val="Tabletext"/>
              <w:keepNext/>
              <w:rPr>
                <w:b/>
              </w:rPr>
            </w:pPr>
            <w:r w:rsidRPr="00F80AE2">
              <w:rPr>
                <w:b/>
              </w:rPr>
              <w:t>Component</w:t>
            </w:r>
          </w:p>
        </w:tc>
        <w:tc>
          <w:tcPr>
            <w:tcW w:w="3996" w:type="dxa"/>
            <w:vAlign w:val="center"/>
          </w:tcPr>
          <w:p w:rsidR="00203181" w:rsidRPr="00F80AE2" w:rsidRDefault="00203181" w:rsidP="00610C0E">
            <w:pPr>
              <w:pStyle w:val="Tabletext"/>
              <w:keepNext/>
              <w:jc w:val="center"/>
              <w:rPr>
                <w:b/>
              </w:rPr>
            </w:pPr>
            <w:r w:rsidRPr="00F80AE2">
              <w:rPr>
                <w:b/>
              </w:rPr>
              <w:t>Matter of concern</w:t>
            </w:r>
            <w:r w:rsidR="009F4C07">
              <w:rPr>
                <w:b/>
              </w:rPr>
              <w:t xml:space="preserve"> (July 2018)</w:t>
            </w:r>
          </w:p>
        </w:tc>
        <w:tc>
          <w:tcPr>
            <w:tcW w:w="3828" w:type="dxa"/>
            <w:vAlign w:val="center"/>
          </w:tcPr>
          <w:p w:rsidR="00203181" w:rsidRPr="00F80AE2" w:rsidRDefault="00203181" w:rsidP="00610C0E">
            <w:pPr>
              <w:pStyle w:val="Tabletext"/>
              <w:keepNext/>
              <w:jc w:val="center"/>
              <w:rPr>
                <w:b/>
              </w:rPr>
            </w:pPr>
            <w:r w:rsidRPr="00F80AE2">
              <w:rPr>
                <w:b/>
              </w:rPr>
              <w:t>How the resubmission addresses it</w:t>
            </w:r>
          </w:p>
        </w:tc>
      </w:tr>
      <w:tr w:rsidR="00997E3F" w:rsidRPr="00F80AE2" w:rsidTr="00004C33">
        <w:tc>
          <w:tcPr>
            <w:tcW w:w="1135" w:type="dxa"/>
            <w:vAlign w:val="center"/>
          </w:tcPr>
          <w:p w:rsidR="002B6237" w:rsidRPr="00F80AE2" w:rsidRDefault="002B6237" w:rsidP="00610C0E">
            <w:pPr>
              <w:pStyle w:val="Tabletext"/>
              <w:keepNext/>
            </w:pPr>
            <w:r>
              <w:t>Comparator</w:t>
            </w:r>
          </w:p>
        </w:tc>
        <w:tc>
          <w:tcPr>
            <w:tcW w:w="3996" w:type="dxa"/>
          </w:tcPr>
          <w:p w:rsidR="002B6237" w:rsidRPr="00F80AE2" w:rsidRDefault="002B6237" w:rsidP="00610C0E">
            <w:pPr>
              <w:pStyle w:val="Tabletext"/>
              <w:keepNext/>
            </w:pPr>
            <w:r w:rsidRPr="003D0B6D">
              <w:rPr>
                <w:u w:val="single"/>
              </w:rPr>
              <w:t>Paragraph 7.4</w:t>
            </w:r>
            <w:r>
              <w:t xml:space="preserve">: </w:t>
            </w:r>
            <w:r w:rsidR="003D0B6D">
              <w:t xml:space="preserve">PBAC considered that both </w:t>
            </w:r>
            <w:r w:rsidR="003D0B6D" w:rsidRPr="009149A1">
              <w:rPr>
                <w:lang w:val="en-US"/>
              </w:rPr>
              <w:t xml:space="preserve">placebo </w:t>
            </w:r>
            <w:r w:rsidR="003D0B6D">
              <w:rPr>
                <w:lang w:val="en-US"/>
              </w:rPr>
              <w:t>and</w:t>
            </w:r>
            <w:r w:rsidR="003D0B6D" w:rsidRPr="009149A1">
              <w:rPr>
                <w:lang w:val="en-US"/>
              </w:rPr>
              <w:t xml:space="preserve"> antiviral treatments would be informative comparator</w:t>
            </w:r>
            <w:r w:rsidR="003D0B6D">
              <w:rPr>
                <w:lang w:val="en-US"/>
              </w:rPr>
              <w:t>s.</w:t>
            </w:r>
          </w:p>
        </w:tc>
        <w:tc>
          <w:tcPr>
            <w:tcW w:w="3828" w:type="dxa"/>
            <w:vAlign w:val="center"/>
          </w:tcPr>
          <w:p w:rsidR="002B6237" w:rsidRPr="003F7F24" w:rsidRDefault="00BA29FC" w:rsidP="00610C0E">
            <w:pPr>
              <w:pStyle w:val="Tabletext"/>
              <w:keepNext/>
            </w:pPr>
            <w:r w:rsidRPr="003F7F24">
              <w:t>The resubmission nominated standard of care, i</w:t>
            </w:r>
            <w:r w:rsidR="00103DD2">
              <w:t>.</w:t>
            </w:r>
            <w:r w:rsidRPr="003F7F24">
              <w:t>e</w:t>
            </w:r>
            <w:r w:rsidR="00103DD2">
              <w:t>.</w:t>
            </w:r>
            <w:r w:rsidRPr="003F7F24">
              <w:t xml:space="preserve"> the use of antiviral treatments as PET as per the current standard of practice, as the comparator (see ‘Comparator’ below for discussion).</w:t>
            </w:r>
          </w:p>
        </w:tc>
      </w:tr>
      <w:tr w:rsidR="00997E3F" w:rsidRPr="00F80AE2" w:rsidTr="00004C33">
        <w:tc>
          <w:tcPr>
            <w:tcW w:w="1135" w:type="dxa"/>
            <w:vAlign w:val="center"/>
          </w:tcPr>
          <w:p w:rsidR="002B6237" w:rsidRPr="00F80AE2" w:rsidRDefault="00C713C8" w:rsidP="00610C0E">
            <w:pPr>
              <w:pStyle w:val="Tabletext"/>
              <w:keepNext/>
            </w:pPr>
            <w:r>
              <w:t>Clinical evidence</w:t>
            </w:r>
          </w:p>
        </w:tc>
        <w:tc>
          <w:tcPr>
            <w:tcW w:w="3996" w:type="dxa"/>
          </w:tcPr>
          <w:p w:rsidR="002B6237" w:rsidRPr="00F80AE2" w:rsidRDefault="00C713C8" w:rsidP="00610C0E">
            <w:pPr>
              <w:pStyle w:val="Tabletext"/>
              <w:keepNext/>
            </w:pPr>
            <w:r w:rsidRPr="00CF4E18">
              <w:rPr>
                <w:u w:val="single"/>
              </w:rPr>
              <w:t xml:space="preserve">Paragraph </w:t>
            </w:r>
            <w:r w:rsidR="00CF4E18" w:rsidRPr="00CF4E18">
              <w:rPr>
                <w:u w:val="single"/>
              </w:rPr>
              <w:t>7.5</w:t>
            </w:r>
            <w:r w:rsidR="00CF4E18">
              <w:t xml:space="preserve">: Overall, the PBAC considered that it had been demonstrated that letermovir reduces the use of PET but there was </w:t>
            </w:r>
            <w:r w:rsidR="00CF4E18">
              <w:rPr>
                <w:lang w:val="en-US"/>
              </w:rPr>
              <w:t>l</w:t>
            </w:r>
            <w:r w:rsidR="00CF4E18" w:rsidRPr="00A24DCF">
              <w:rPr>
                <w:lang w:val="en-US"/>
              </w:rPr>
              <w:t xml:space="preserve">ittle or no difference in CMV disease </w:t>
            </w:r>
            <w:r w:rsidR="00CF4E18">
              <w:rPr>
                <w:lang w:val="en-US"/>
              </w:rPr>
              <w:t>and associated sequalae.</w:t>
            </w:r>
          </w:p>
        </w:tc>
        <w:tc>
          <w:tcPr>
            <w:tcW w:w="3828" w:type="dxa"/>
            <w:vAlign w:val="center"/>
          </w:tcPr>
          <w:p w:rsidR="002B6237" w:rsidRPr="003F7F24" w:rsidRDefault="00CF4E18" w:rsidP="00610C0E">
            <w:pPr>
              <w:pStyle w:val="Tabletext"/>
              <w:keepNext/>
            </w:pPr>
            <w:r w:rsidRPr="003F7F24">
              <w:t>The resubmission re-presented evidence provided in the July submission</w:t>
            </w:r>
            <w:r w:rsidR="007F6B19" w:rsidRPr="003F7F24">
              <w:t xml:space="preserve"> (although results for GVHD were excluded)</w:t>
            </w:r>
            <w:r w:rsidRPr="003F7F24">
              <w:t xml:space="preserve"> and also included discussion of CMV-rel</w:t>
            </w:r>
            <w:r w:rsidR="00FA5110" w:rsidRPr="003F7F24">
              <w:t>a</w:t>
            </w:r>
            <w:r w:rsidRPr="003F7F24">
              <w:t>ted mortality</w:t>
            </w:r>
            <w:r w:rsidR="0028265F" w:rsidRPr="003F7F24">
              <w:t>.</w:t>
            </w:r>
            <w:r w:rsidR="005859EC">
              <w:t xml:space="preserve"> </w:t>
            </w:r>
            <w:r w:rsidR="0028265F" w:rsidRPr="003F7F24">
              <w:t>The resubmission provided post-hoc analyses of CMV-related mortality and all-cause mortality to support its claim that letermovir is an effect modifier for the effect of CMV infection on mortality.</w:t>
            </w:r>
            <w:r w:rsidR="005859EC">
              <w:t xml:space="preserve"> </w:t>
            </w:r>
            <w:r w:rsidR="0028265F" w:rsidRPr="003F7F24">
              <w:t>The evidence presented did not support the resubmission’s claim (see ‘</w:t>
            </w:r>
            <w:r w:rsidR="00997E3F" w:rsidRPr="003F7F24">
              <w:t>C</w:t>
            </w:r>
            <w:r w:rsidR="0028265F" w:rsidRPr="003F7F24">
              <w:t xml:space="preserve">omparative </w:t>
            </w:r>
            <w:r w:rsidR="00997E3F" w:rsidRPr="003F7F24">
              <w:t>effectiveness’ below for further discussion).</w:t>
            </w:r>
          </w:p>
        </w:tc>
      </w:tr>
      <w:tr w:rsidR="00997E3F" w:rsidRPr="00F80AE2" w:rsidTr="008A06CD">
        <w:tc>
          <w:tcPr>
            <w:tcW w:w="1135" w:type="dxa"/>
            <w:vAlign w:val="center"/>
          </w:tcPr>
          <w:p w:rsidR="002B6237" w:rsidRPr="00F80AE2" w:rsidRDefault="00BA29FC" w:rsidP="00610C0E">
            <w:pPr>
              <w:pStyle w:val="Tabletext"/>
              <w:keepNext/>
            </w:pPr>
            <w:r>
              <w:t>Economic evaluation</w:t>
            </w:r>
          </w:p>
        </w:tc>
        <w:tc>
          <w:tcPr>
            <w:tcW w:w="3996" w:type="dxa"/>
            <w:vAlign w:val="center"/>
          </w:tcPr>
          <w:p w:rsidR="002B6237" w:rsidRDefault="00BA29FC" w:rsidP="00610C0E">
            <w:pPr>
              <w:pStyle w:val="Tabletext"/>
              <w:keepNext/>
            </w:pPr>
            <w:r w:rsidRPr="00F576FF">
              <w:rPr>
                <w:u w:val="single"/>
              </w:rPr>
              <w:t>Paragraph 7.1</w:t>
            </w:r>
            <w:r w:rsidR="009F4C07">
              <w:t>:</w:t>
            </w:r>
            <w:r w:rsidR="005859EC">
              <w:t xml:space="preserve"> </w:t>
            </w:r>
            <w:r w:rsidR="009F4C07">
              <w:t>The Committee was unable to assess the cost-effectiveness of letermovir treatment because the economic analysis did not appropriately model the health benefits of treatment as demonstrated in the clinical trial.</w:t>
            </w:r>
          </w:p>
          <w:p w:rsidR="009F4C07" w:rsidRPr="00F80AE2" w:rsidRDefault="009F4C07" w:rsidP="00610C0E">
            <w:pPr>
              <w:pStyle w:val="Tabletext"/>
              <w:keepNext/>
            </w:pPr>
            <w:r w:rsidRPr="00F576FF">
              <w:rPr>
                <w:u w:val="single"/>
              </w:rPr>
              <w:t>Paragraph 7.8</w:t>
            </w:r>
            <w:r>
              <w:t xml:space="preserve">: </w:t>
            </w:r>
            <w:r w:rsidR="00001A08" w:rsidRPr="00B45E7F">
              <w:t xml:space="preserve">The </w:t>
            </w:r>
            <w:r w:rsidR="00001A08">
              <w:t xml:space="preserve">PBAC noted the issues raised by the ESC, including that the </w:t>
            </w:r>
            <w:r w:rsidR="00001A08" w:rsidRPr="00B45E7F">
              <w:t xml:space="preserve">outcomes </w:t>
            </w:r>
            <w:r w:rsidR="00001A08">
              <w:t>driving</w:t>
            </w:r>
            <w:r w:rsidR="00001A08" w:rsidRPr="00B45E7F">
              <w:t xml:space="preserve"> the economic model </w:t>
            </w:r>
            <w:r w:rsidR="00001A08">
              <w:t>(the</w:t>
            </w:r>
            <w:r w:rsidR="00001A08" w:rsidRPr="00B45E7F">
              <w:t xml:space="preserve"> occurrence of GVHD and all-cause mortality</w:t>
            </w:r>
            <w:r w:rsidR="00001A08">
              <w:t>)</w:t>
            </w:r>
            <w:r w:rsidR="00001A08" w:rsidRPr="00B45E7F">
              <w:t xml:space="preserve"> were</w:t>
            </w:r>
            <w:r w:rsidR="00001A08">
              <w:t xml:space="preserve"> not significantly different in the trial</w:t>
            </w:r>
            <w:r w:rsidR="00EC10CE">
              <w:t>.</w:t>
            </w:r>
            <w:r w:rsidR="005859EC">
              <w:t xml:space="preserve"> </w:t>
            </w:r>
            <w:r>
              <w:t xml:space="preserve">PBAC considered that the model should be based on the health benefits demonstrated in the trial, i.e. a reduction in the use of PET. </w:t>
            </w:r>
          </w:p>
        </w:tc>
        <w:tc>
          <w:tcPr>
            <w:tcW w:w="3828" w:type="dxa"/>
          </w:tcPr>
          <w:p w:rsidR="002B6237" w:rsidRPr="003F7F24" w:rsidRDefault="00EC10CE" w:rsidP="00610C0E">
            <w:pPr>
              <w:pStyle w:val="Tabletext"/>
              <w:keepNext/>
            </w:pPr>
            <w:r w:rsidRPr="003F7F24">
              <w:t xml:space="preserve">The resubmission modified the economic evaluation – the GVHD health states were removed, </w:t>
            </w:r>
            <w:r w:rsidR="004C1D66" w:rsidRPr="003F7F24">
              <w:t xml:space="preserve">survival </w:t>
            </w:r>
            <w:r w:rsidRPr="003F7F24">
              <w:t>was extrapolated</w:t>
            </w:r>
            <w:r w:rsidR="00743208" w:rsidRPr="003F7F24">
              <w:t xml:space="preserve"> using external data sources</w:t>
            </w:r>
            <w:r w:rsidRPr="003F7F24">
              <w:t xml:space="preserve"> and CMV-related mortality from Trial P001 was applied for patients with CMV infection</w:t>
            </w:r>
            <w:r w:rsidR="002F1B66" w:rsidRPr="003F7F24">
              <w:t>.</w:t>
            </w:r>
            <w:r w:rsidR="005859EC">
              <w:t xml:space="preserve"> </w:t>
            </w:r>
            <w:r w:rsidR="004C1D66" w:rsidRPr="003F7F24">
              <w:t xml:space="preserve">Death events </w:t>
            </w:r>
            <w:r w:rsidR="002F1B66" w:rsidRPr="003F7F24">
              <w:t xml:space="preserve">were limited to </w:t>
            </w:r>
            <w:r w:rsidR="004C1D66" w:rsidRPr="003F7F24">
              <w:t xml:space="preserve">those observed in </w:t>
            </w:r>
            <w:r w:rsidR="002F1B66" w:rsidRPr="003F7F24">
              <w:t>the trial period (24 and 48 weeks</w:t>
            </w:r>
            <w:r w:rsidR="00743208" w:rsidRPr="003F7F24">
              <w:t>)</w:t>
            </w:r>
            <w:r w:rsidR="002F1B66" w:rsidRPr="003F7F24">
              <w:t xml:space="preserve"> </w:t>
            </w:r>
            <w:r w:rsidR="00743208" w:rsidRPr="003F7F24">
              <w:t xml:space="preserve">and </w:t>
            </w:r>
            <w:r w:rsidR="004C1D66" w:rsidRPr="003F7F24">
              <w:t xml:space="preserve">survival was </w:t>
            </w:r>
            <w:r w:rsidR="00743208" w:rsidRPr="003F7F24">
              <w:t>extrapolated using</w:t>
            </w:r>
            <w:r w:rsidRPr="003F7F24">
              <w:t xml:space="preserve"> </w:t>
            </w:r>
            <w:r w:rsidR="002F1B66" w:rsidRPr="003F7F24">
              <w:t>A</w:t>
            </w:r>
            <w:r w:rsidRPr="003F7F24">
              <w:t>BMTRR data and ABS lifetables</w:t>
            </w:r>
            <w:r w:rsidR="002F1B66" w:rsidRPr="003F7F24">
              <w:t xml:space="preserve">. </w:t>
            </w:r>
            <w:r w:rsidR="00BE33AD" w:rsidRPr="003F7F24">
              <w:t>The economic model did not directly consider a reduction in the use of PET</w:t>
            </w:r>
            <w:r w:rsidR="00EC303A" w:rsidRPr="003F7F24">
              <w:t xml:space="preserve"> (see ‘Economic analysis</w:t>
            </w:r>
            <w:r w:rsidR="00B14734" w:rsidRPr="003F7F24">
              <w:t xml:space="preserve">’ </w:t>
            </w:r>
            <w:r w:rsidR="00EC303A" w:rsidRPr="003F7F24">
              <w:t>below for further discussion)</w:t>
            </w:r>
            <w:r w:rsidR="00BE33AD" w:rsidRPr="003F7F24">
              <w:t>.</w:t>
            </w:r>
          </w:p>
        </w:tc>
      </w:tr>
      <w:tr w:rsidR="00997E3F" w:rsidRPr="00F80AE2" w:rsidTr="00004C33">
        <w:tc>
          <w:tcPr>
            <w:tcW w:w="1135" w:type="dxa"/>
            <w:vAlign w:val="center"/>
          </w:tcPr>
          <w:p w:rsidR="00BA29FC" w:rsidRPr="00F80AE2" w:rsidRDefault="00EC303A" w:rsidP="00610C0E">
            <w:pPr>
              <w:pStyle w:val="Tabletext"/>
              <w:keepNext/>
            </w:pPr>
            <w:r>
              <w:t>Financial estimates</w:t>
            </w:r>
          </w:p>
        </w:tc>
        <w:tc>
          <w:tcPr>
            <w:tcW w:w="3996" w:type="dxa"/>
          </w:tcPr>
          <w:p w:rsidR="00BA29FC" w:rsidRPr="008D7EB4" w:rsidRDefault="00EC303A" w:rsidP="00610C0E">
            <w:pPr>
              <w:pStyle w:val="Tabletext"/>
              <w:keepNext/>
            </w:pPr>
            <w:r w:rsidRPr="008D7EB4">
              <w:rPr>
                <w:u w:val="single"/>
              </w:rPr>
              <w:t>Paragraph 7.9</w:t>
            </w:r>
            <w:r w:rsidRPr="008D7EB4">
              <w:t>:</w:t>
            </w:r>
            <w:r w:rsidR="005859EC">
              <w:t xml:space="preserve"> </w:t>
            </w:r>
            <w:r w:rsidR="008D7EB4" w:rsidRPr="008D7EB4">
              <w:rPr>
                <w:rFonts w:cs="Arial"/>
                <w:bCs/>
                <w:lang w:val="en-GB"/>
              </w:rPr>
              <w:t xml:space="preserve">The PBAC noted the view of </w:t>
            </w:r>
            <w:r w:rsidR="008D7EB4" w:rsidRPr="008D7EB4">
              <w:t>DUSC that the estimates of utilisation presented in the submission are underestimated</w:t>
            </w:r>
            <w:r w:rsidR="008D7EB4" w:rsidRPr="008D7EB4">
              <w:rPr>
                <w:rFonts w:cs="Arial"/>
                <w:bCs/>
                <w:lang w:val="en-GB"/>
              </w:rPr>
              <w:t>.</w:t>
            </w:r>
            <w:r w:rsidR="005859EC">
              <w:rPr>
                <w:rFonts w:cs="Arial"/>
                <w:bCs/>
                <w:lang w:val="en-GB"/>
              </w:rPr>
              <w:t xml:space="preserve"> </w:t>
            </w:r>
            <w:r w:rsidR="008D7EB4" w:rsidRPr="008D7EB4">
              <w:rPr>
                <w:rFonts w:cs="Arial"/>
                <w:bCs/>
                <w:lang w:val="en-GB"/>
              </w:rPr>
              <w:t xml:space="preserve">As with the economic analysis, the driver of the assumed cost of treatment was the duration of treatment and the </w:t>
            </w:r>
            <w:r w:rsidR="008D7EB4" w:rsidRPr="008D7EB4">
              <w:t>rate of patients using the lower amount of letermovir with concomitant cyclosporin.</w:t>
            </w:r>
          </w:p>
        </w:tc>
        <w:tc>
          <w:tcPr>
            <w:tcW w:w="3828" w:type="dxa"/>
            <w:vAlign w:val="center"/>
          </w:tcPr>
          <w:p w:rsidR="00BA29FC" w:rsidRPr="003F7F24" w:rsidRDefault="00F33AA2" w:rsidP="00610C0E">
            <w:pPr>
              <w:pStyle w:val="Tabletext"/>
              <w:keepNext/>
            </w:pPr>
            <w:r w:rsidRPr="003F7F24">
              <w:t xml:space="preserve">The resubmission has assumed the same treatment duration with letermovir (78 days) and has modified the proportion of patients using cyclosporin from </w:t>
            </w:r>
            <w:r w:rsidR="00AE66CA">
              <w:rPr>
                <w:noProof/>
                <w:color w:val="000000"/>
                <w:highlight w:val="black"/>
              </w:rPr>
              <w:t>''''''</w:t>
            </w:r>
            <w:r w:rsidRPr="003F7F24">
              <w:t xml:space="preserve">% </w:t>
            </w:r>
            <w:r w:rsidR="008319CB" w:rsidRPr="003F7F24">
              <w:t>used</w:t>
            </w:r>
            <w:r w:rsidRPr="003F7F24">
              <w:t xml:space="preserve"> in July 2018 to </w:t>
            </w:r>
            <w:r w:rsidR="00AE66CA">
              <w:rPr>
                <w:noProof/>
                <w:color w:val="000000"/>
                <w:highlight w:val="black"/>
              </w:rPr>
              <w:t>'''''</w:t>
            </w:r>
            <w:r w:rsidRPr="003F7F24">
              <w:t>%.</w:t>
            </w:r>
            <w:r w:rsidR="005859EC">
              <w:t xml:space="preserve"> </w:t>
            </w:r>
            <w:r w:rsidRPr="003F7F24">
              <w:t xml:space="preserve">Overall, the resubmission has not provided a broad consideration of cyclosporin usage in the Australian population nor has the resubmission provided detailed consideration of the data presented, </w:t>
            </w:r>
            <w:r w:rsidR="008805E2" w:rsidRPr="003F7F24">
              <w:t>i.e.</w:t>
            </w:r>
            <w:r w:rsidRPr="003F7F24">
              <w:t xml:space="preserve"> ABMTRR data from 2014 to 2016 (see ‘Estimated PBS usage </w:t>
            </w:r>
            <w:r w:rsidR="00F749CF" w:rsidRPr="003F7F24">
              <w:t>&amp; financial implications’ below for further discussion).</w:t>
            </w:r>
          </w:p>
        </w:tc>
      </w:tr>
    </w:tbl>
    <w:p w:rsidR="002B6237" w:rsidRDefault="005A716B" w:rsidP="00610C0E">
      <w:pPr>
        <w:pStyle w:val="TableFooter"/>
      </w:pPr>
      <w:r>
        <w:t xml:space="preserve">ABMTRR=Australasian Bone Marrow Transplant Recipient Registry; CMV=cytomegalovirus; </w:t>
      </w:r>
      <w:r w:rsidR="00FA5110">
        <w:t xml:space="preserve">GVHD=graft versus host disease; </w:t>
      </w:r>
      <w:r>
        <w:t xml:space="preserve">PET=pre-emptive therapy; </w:t>
      </w:r>
      <w:r w:rsidR="002B6237">
        <w:t>PSD=public summary document</w:t>
      </w:r>
    </w:p>
    <w:p w:rsidR="00203181" w:rsidRDefault="00203181" w:rsidP="00610C0E">
      <w:pPr>
        <w:pStyle w:val="TableFooter"/>
      </w:pPr>
      <w:r w:rsidRPr="00F80AE2">
        <w:t xml:space="preserve">Source: </w:t>
      </w:r>
      <w:r w:rsidR="007F6B19">
        <w:t>July 2018 PSD; Table 1-1, p3-5 of the resubmission.</w:t>
      </w:r>
    </w:p>
    <w:p w:rsidR="00452229" w:rsidRDefault="00452229" w:rsidP="00610C0E">
      <w:pPr>
        <w:pStyle w:val="TableFooter"/>
      </w:pPr>
    </w:p>
    <w:p w:rsidR="00452229" w:rsidRDefault="00452229" w:rsidP="001144D4">
      <w:pPr>
        <w:spacing w:after="120"/>
        <w:ind w:firstLine="720"/>
      </w:pPr>
      <w:r w:rsidRPr="003733B8">
        <w:rPr>
          <w:i/>
        </w:rPr>
        <w:t>For more detail on PBAC’s view, see section 7 PBAC outcome.</w:t>
      </w:r>
    </w:p>
    <w:p w:rsidR="00B50DB8" w:rsidRPr="00407F2D" w:rsidRDefault="00203181" w:rsidP="005859EC">
      <w:pPr>
        <w:pStyle w:val="PBACHeading1"/>
        <w:keepNext/>
        <w:spacing w:before="240" w:after="120"/>
      </w:pPr>
      <w:bookmarkStart w:id="3" w:name="_Toc536019879"/>
      <w:r>
        <w:t xml:space="preserve">Population and </w:t>
      </w:r>
      <w:r w:rsidR="008E0D3C">
        <w:t>d</w:t>
      </w:r>
      <w:r>
        <w:t>isease</w:t>
      </w:r>
      <w:bookmarkEnd w:id="3"/>
    </w:p>
    <w:p w:rsidR="00EB59D5" w:rsidRPr="0021510A" w:rsidRDefault="00EB59D5" w:rsidP="001144D4">
      <w:pPr>
        <w:pStyle w:val="ListParagraph"/>
        <w:numPr>
          <w:ilvl w:val="1"/>
          <w:numId w:val="1"/>
        </w:numPr>
        <w:spacing w:after="120"/>
      </w:pPr>
      <w:r>
        <w:t>CMV infection or CMV viraemia refers to the presence of viral proteins or nucleic acid in body fluids or tissue.</w:t>
      </w:r>
      <w:r w:rsidR="005859EC">
        <w:t xml:space="preserve"> </w:t>
      </w:r>
      <w:r>
        <w:t>It has been estimated that CMV infects 40% to 90% of all individuals worldwide.</w:t>
      </w:r>
      <w:r w:rsidR="005859EC">
        <w:t xml:space="preserve"> </w:t>
      </w:r>
      <w:r>
        <w:t>Following initial infection, CMV establishes a life-</w:t>
      </w:r>
      <w:r w:rsidRPr="0021510A">
        <w:t>long latent infection in the host.</w:t>
      </w:r>
      <w:r w:rsidR="005859EC">
        <w:t xml:space="preserve"> </w:t>
      </w:r>
      <w:r w:rsidRPr="0021510A">
        <w:t>Individuals who carry latent CMV are seropositive.</w:t>
      </w:r>
      <w:r w:rsidR="005859EC">
        <w:t xml:space="preserve"> </w:t>
      </w:r>
      <w:r w:rsidRPr="0021510A">
        <w:t>A sero-survey of CMV in Australia demonstrated that the population-weighted rate of CMV seropositivity in individuals aged between 1 to 59 years was 57%.</w:t>
      </w:r>
    </w:p>
    <w:p w:rsidR="00F27898" w:rsidRPr="0021510A" w:rsidRDefault="003B2CAF" w:rsidP="001144D4">
      <w:pPr>
        <w:pStyle w:val="ListParagraph"/>
        <w:numPr>
          <w:ilvl w:val="1"/>
          <w:numId w:val="1"/>
        </w:numPr>
        <w:spacing w:after="120"/>
      </w:pPr>
      <w:r w:rsidRPr="0021510A">
        <w:lastRenderedPageBreak/>
        <w:t>Following HSCT patients are at risk of developing opportunistic infections such as CMV due to the immunosuppressive regimens used as part of the transplant process.</w:t>
      </w:r>
      <w:r w:rsidR="005859EC">
        <w:t xml:space="preserve"> </w:t>
      </w:r>
      <w:r w:rsidRPr="0021510A">
        <w:t>CMV infection has been associated with an increased risk of bacterial and fungal infections, graft rejection, increased health care costs and decreased survival.</w:t>
      </w:r>
    </w:p>
    <w:p w:rsidR="000E3BDB" w:rsidRPr="0021510A" w:rsidRDefault="000E3BDB" w:rsidP="001144D4">
      <w:pPr>
        <w:pStyle w:val="ListParagraph"/>
        <w:numPr>
          <w:ilvl w:val="1"/>
          <w:numId w:val="1"/>
        </w:numPr>
        <w:spacing w:after="120"/>
      </w:pPr>
      <w:r w:rsidRPr="0021510A">
        <w:t xml:space="preserve">The ESC noted that </w:t>
      </w:r>
      <w:r w:rsidR="007106CE" w:rsidRPr="0021510A">
        <w:t>CMV infection is currently managed with prophylactic treatment</w:t>
      </w:r>
      <w:r w:rsidRPr="0021510A">
        <w:t xml:space="preserve"> or</w:t>
      </w:r>
      <w:r w:rsidR="007106CE" w:rsidRPr="0021510A">
        <w:t xml:space="preserve"> PET</w:t>
      </w:r>
      <w:r w:rsidRPr="0021510A">
        <w:t>.</w:t>
      </w:r>
      <w:r w:rsidR="005859EC">
        <w:t xml:space="preserve"> </w:t>
      </w:r>
      <w:r w:rsidRPr="0021510A">
        <w:t xml:space="preserve">PET involves initiation of antiviral therapy upon detection of active CMV infection through weekly blood testing. PET aims to treat the detected CMV infection and prevent development of symptoms and CMV disease. Prophylaxis involves initiation of antiviral therapy to all at-risk patients before active CMV infection is detected. The ESC noted that the meaning of prophylaxis in this context </w:t>
      </w:r>
      <w:r w:rsidR="00B80BB8" w:rsidRPr="0021510A">
        <w:t xml:space="preserve">(i.e. initiation of antiviral therapy) </w:t>
      </w:r>
      <w:r w:rsidRPr="0021510A">
        <w:t xml:space="preserve">is different to that intended in the letermovir restriction. </w:t>
      </w:r>
    </w:p>
    <w:p w:rsidR="007106CE" w:rsidRPr="0021510A" w:rsidRDefault="007106CE" w:rsidP="001144D4">
      <w:pPr>
        <w:pStyle w:val="ListParagraph"/>
        <w:numPr>
          <w:ilvl w:val="1"/>
          <w:numId w:val="1"/>
        </w:numPr>
        <w:spacing w:after="120"/>
      </w:pPr>
      <w:r w:rsidRPr="0021510A">
        <w:t>As in the July 2018 submission, letermovir is proposed for use as prophylactic therapy for CMV infection, with treatment commencing within 28 days of HSCT.</w:t>
      </w:r>
      <w:r w:rsidR="004054CF" w:rsidRPr="0021510A">
        <w:t xml:space="preserve"> The ESC considered that there was a clinical need for such therapy </w:t>
      </w:r>
      <w:r w:rsidR="004054CF" w:rsidRPr="0021510A">
        <w:rPr>
          <w:rFonts w:asciiTheme="minorHAnsi" w:hAnsiTheme="minorHAnsi" w:cstheme="minorHAnsi"/>
        </w:rPr>
        <w:t xml:space="preserve">as there are no licensed treatments available on the PBS specifically for preventing CMV reactivation after an allogeneic HSCT. </w:t>
      </w:r>
    </w:p>
    <w:p w:rsidR="00E55BB5" w:rsidRPr="00452229" w:rsidRDefault="00452229" w:rsidP="001144D4">
      <w:pPr>
        <w:pStyle w:val="ListParagraph"/>
        <w:spacing w:after="120"/>
        <w:rPr>
          <w:i/>
        </w:rPr>
      </w:pPr>
      <w:r w:rsidRPr="003733B8">
        <w:rPr>
          <w:i/>
        </w:rPr>
        <w:t>For more detail on PBAC’s view, see section 7 PBAC outcome.</w:t>
      </w:r>
    </w:p>
    <w:p w:rsidR="00B50DB8" w:rsidRPr="00407F2D" w:rsidRDefault="00B50DB8" w:rsidP="005859EC">
      <w:pPr>
        <w:pStyle w:val="PBACHeading1"/>
        <w:keepNext/>
        <w:spacing w:before="240" w:after="120"/>
      </w:pPr>
      <w:bookmarkStart w:id="4" w:name="_Toc536019880"/>
      <w:r w:rsidRPr="00407F2D">
        <w:t>Comparator</w:t>
      </w:r>
      <w:bookmarkEnd w:id="4"/>
    </w:p>
    <w:p w:rsidR="00F05CF3" w:rsidRPr="0021510A" w:rsidRDefault="00394CE0" w:rsidP="001144D4">
      <w:pPr>
        <w:pStyle w:val="ListParagraph"/>
        <w:numPr>
          <w:ilvl w:val="1"/>
          <w:numId w:val="1"/>
        </w:numPr>
        <w:spacing w:after="120"/>
      </w:pPr>
      <w:r w:rsidRPr="0021510A">
        <w:t xml:space="preserve">The resubmission nominated </w:t>
      </w:r>
      <w:r w:rsidR="008749C8" w:rsidRPr="0021510A">
        <w:t>standard of care, i</w:t>
      </w:r>
      <w:r w:rsidR="008A06CD" w:rsidRPr="0021510A">
        <w:t>.</w:t>
      </w:r>
      <w:r w:rsidR="008749C8" w:rsidRPr="0021510A">
        <w:t>e</w:t>
      </w:r>
      <w:r w:rsidR="008A06CD" w:rsidRPr="0021510A">
        <w:t>.</w:t>
      </w:r>
      <w:r w:rsidR="008749C8" w:rsidRPr="0021510A">
        <w:t xml:space="preserve"> the use of antiviral treatments as PET as per the current standard of practice</w:t>
      </w:r>
      <w:r w:rsidR="009C6673" w:rsidRPr="0021510A">
        <w:t>,</w:t>
      </w:r>
      <w:r w:rsidRPr="0021510A">
        <w:t xml:space="preserve"> as the comparator</w:t>
      </w:r>
      <w:r w:rsidR="001F61EC" w:rsidRPr="0021510A">
        <w:t>.</w:t>
      </w:r>
      <w:r w:rsidR="005859EC">
        <w:t xml:space="preserve"> </w:t>
      </w:r>
      <w:r w:rsidR="00F70D64" w:rsidRPr="0021510A">
        <w:t>However,</w:t>
      </w:r>
      <w:r w:rsidR="001F61EC" w:rsidRPr="0021510A">
        <w:t xml:space="preserve"> discussion of results in the resubmission </w:t>
      </w:r>
      <w:r w:rsidR="00F70D64" w:rsidRPr="0021510A">
        <w:t xml:space="preserve">referred to </w:t>
      </w:r>
      <w:r w:rsidR="001F61EC" w:rsidRPr="0021510A">
        <w:t>placebo as the comparator and listing was being sought for prophylaxis, not treatment of CMV infection.</w:t>
      </w:r>
      <w:r w:rsidR="005859EC">
        <w:t xml:space="preserve"> </w:t>
      </w:r>
    </w:p>
    <w:p w:rsidR="00A54782" w:rsidRPr="0021510A" w:rsidRDefault="00BA40D5" w:rsidP="001144D4">
      <w:pPr>
        <w:pStyle w:val="ListParagraph"/>
        <w:numPr>
          <w:ilvl w:val="1"/>
          <w:numId w:val="1"/>
        </w:numPr>
        <w:spacing w:after="120"/>
      </w:pPr>
      <w:r w:rsidRPr="0021510A">
        <w:t>The July 2018 submission used placebo as the comparator</w:t>
      </w:r>
      <w:r w:rsidR="00394CE0" w:rsidRPr="0021510A">
        <w:t>.</w:t>
      </w:r>
      <w:r w:rsidR="005859EC">
        <w:t xml:space="preserve"> </w:t>
      </w:r>
      <w:r w:rsidR="00394CE0" w:rsidRPr="0021510A">
        <w:t xml:space="preserve">The PBAC noted that the evidence, such as the </w:t>
      </w:r>
      <w:r w:rsidR="000844FA" w:rsidRPr="0021510A">
        <w:t>Australasian Bone Marrow Transplant Recipient Registry (</w:t>
      </w:r>
      <w:r w:rsidR="00394CE0" w:rsidRPr="0021510A">
        <w:t>ABMTRR</w:t>
      </w:r>
      <w:r w:rsidR="000844FA" w:rsidRPr="0021510A">
        <w:t>)</w:t>
      </w:r>
      <w:r w:rsidR="00394CE0" w:rsidRPr="0021510A">
        <w:t xml:space="preserve"> report</w:t>
      </w:r>
      <w:r w:rsidR="00523AA0">
        <w:t>,</w:t>
      </w:r>
      <w:r w:rsidR="00394CE0" w:rsidRPr="0021510A">
        <w:t xml:space="preserve"> showed that antiviral treatments are used in Australian practice, either prophylactically or as PET</w:t>
      </w:r>
      <w:r w:rsidR="00E92A2A">
        <w:t>,</w:t>
      </w:r>
      <w:r w:rsidR="00394CE0" w:rsidRPr="0021510A">
        <w:t xml:space="preserve"> and their use would likely be reduced with the availability of letermovir.</w:t>
      </w:r>
      <w:r w:rsidR="005859EC">
        <w:t xml:space="preserve"> </w:t>
      </w:r>
      <w:r w:rsidR="00394CE0" w:rsidRPr="0021510A">
        <w:t>The PBAC considered that both placebo and antiviral treatments would be informative comparators (paragraph 7.4 July 2018 PSD).</w:t>
      </w:r>
      <w:r w:rsidR="00A97D9F" w:rsidRPr="0021510A">
        <w:t xml:space="preserve"> </w:t>
      </w:r>
    </w:p>
    <w:p w:rsidR="00394CE0" w:rsidRPr="00BB21BB" w:rsidRDefault="00C1650E" w:rsidP="001144D4">
      <w:pPr>
        <w:pStyle w:val="ListParagraph"/>
        <w:numPr>
          <w:ilvl w:val="1"/>
          <w:numId w:val="1"/>
        </w:numPr>
        <w:spacing w:after="120"/>
      </w:pPr>
      <w:r w:rsidRPr="0021510A">
        <w:t xml:space="preserve">The resubmission stated (p18) that the sponsor does not agree that a direct comparison to other antiviral treatments as prophylaxis would be informative, for the following reasons: </w:t>
      </w:r>
      <w:r w:rsidR="003D6207" w:rsidRPr="0021510A">
        <w:t>o</w:t>
      </w:r>
      <w:r w:rsidRPr="0021510A">
        <w:t>ther agents are not routinely used in Australia for prophylaxis;</w:t>
      </w:r>
      <w:r w:rsidR="00351956" w:rsidRPr="0021510A">
        <w:t xml:space="preserve"> patients are usually managed with PET and in the vast majority of cases, letermovir would not replace any prophylaxis therapy but rather would be added on top of standard medical management, which is PET for the treatment of detected viraemia.</w:t>
      </w:r>
      <w:r w:rsidR="00503389" w:rsidRPr="0021510A">
        <w:t xml:space="preserve"> </w:t>
      </w:r>
      <w:r w:rsidR="00506BCD" w:rsidRPr="0021510A">
        <w:t>The ESC noted that the ABMTRR report indicate</w:t>
      </w:r>
      <w:r w:rsidR="00905F1F" w:rsidRPr="0021510A">
        <w:t xml:space="preserve">d approximately </w:t>
      </w:r>
      <w:r w:rsidR="00AE66CA">
        <w:rPr>
          <w:noProof/>
          <w:color w:val="000000"/>
          <w:highlight w:val="black"/>
        </w:rPr>
        <w:t>''''''</w:t>
      </w:r>
      <w:r w:rsidR="00905F1F" w:rsidRPr="0021510A">
        <w:t xml:space="preserve">% </w:t>
      </w:r>
      <w:r w:rsidR="008319CB" w:rsidRPr="0021510A">
        <w:t>of</w:t>
      </w:r>
      <w:r w:rsidR="00905F1F" w:rsidRPr="0021510A">
        <w:t xml:space="preserve"> </w:t>
      </w:r>
      <w:r w:rsidR="000F6816" w:rsidRPr="0021510A">
        <w:t xml:space="preserve">804 </w:t>
      </w:r>
      <w:r w:rsidR="00905F1F" w:rsidRPr="0021510A">
        <w:t xml:space="preserve">CMV seropositive patients and </w:t>
      </w:r>
      <w:r w:rsidR="00AE66CA">
        <w:rPr>
          <w:noProof/>
          <w:color w:val="000000"/>
          <w:highlight w:val="black"/>
        </w:rPr>
        <w:t>'''''</w:t>
      </w:r>
      <w:r w:rsidR="00905F1F" w:rsidRPr="0021510A">
        <w:t xml:space="preserve">% of </w:t>
      </w:r>
      <w:r w:rsidR="000F6816" w:rsidRPr="0021510A">
        <w:t xml:space="preserve">434 </w:t>
      </w:r>
      <w:r w:rsidR="00905F1F" w:rsidRPr="0021510A">
        <w:t xml:space="preserve">CMV seronegative patients received CMV prophylaxis over the 2014 to 2016 data collection period. </w:t>
      </w:r>
      <w:r w:rsidR="00AE607A" w:rsidRPr="0021510A">
        <w:t>The ESC noted</w:t>
      </w:r>
      <w:r w:rsidR="00905F1F" w:rsidRPr="0021510A">
        <w:t xml:space="preserve"> that the ABMTRR report submitted with the July 2018 submission </w:t>
      </w:r>
      <w:r w:rsidR="00D64535" w:rsidRPr="0021510A">
        <w:t>reported on whether</w:t>
      </w:r>
      <w:r w:rsidR="00905F1F" w:rsidRPr="0021510A">
        <w:t xml:space="preserve"> </w:t>
      </w:r>
      <w:r w:rsidR="000F6816" w:rsidRPr="0021510A">
        <w:t xml:space="preserve">ganciclovir use </w:t>
      </w:r>
      <w:r w:rsidR="00D64535" w:rsidRPr="0021510A">
        <w:t xml:space="preserve">in this context </w:t>
      </w:r>
      <w:r w:rsidR="000F6816" w:rsidRPr="0021510A">
        <w:t xml:space="preserve">in </w:t>
      </w:r>
      <w:r w:rsidR="00AE66CA">
        <w:rPr>
          <w:noProof/>
          <w:color w:val="000000"/>
          <w:highlight w:val="black"/>
        </w:rPr>
        <w:t>''''''''</w:t>
      </w:r>
      <w:r w:rsidR="000F6816" w:rsidRPr="0021510A">
        <w:t xml:space="preserve"> CMV seropositive patients was </w:t>
      </w:r>
      <w:r w:rsidR="00905F1F" w:rsidRPr="0021510A">
        <w:t>a pre-emptive strategy</w:t>
      </w:r>
      <w:r w:rsidR="000F7165" w:rsidRPr="0021510A">
        <w:t xml:space="preserve"> or primary prophylaxis</w:t>
      </w:r>
      <w:r w:rsidR="00905F1F" w:rsidRPr="0021510A">
        <w:t xml:space="preserve">. The ESC </w:t>
      </w:r>
      <w:r w:rsidR="000F6816" w:rsidRPr="0021510A">
        <w:t xml:space="preserve">noted that PET accounted for </w:t>
      </w:r>
      <w:r w:rsidR="00AE66CA">
        <w:rPr>
          <w:noProof/>
          <w:color w:val="000000"/>
          <w:highlight w:val="black"/>
        </w:rPr>
        <w:t>'''''</w:t>
      </w:r>
      <w:r w:rsidR="00905F1F" w:rsidRPr="0021510A">
        <w:t xml:space="preserve">% of </w:t>
      </w:r>
      <w:r w:rsidR="00D64535" w:rsidRPr="0021510A">
        <w:t>ganciclovir use in this context</w:t>
      </w:r>
      <w:r w:rsidR="000F6816" w:rsidRPr="0021510A">
        <w:t xml:space="preserve">, </w:t>
      </w:r>
      <w:r w:rsidR="00AE66CA">
        <w:rPr>
          <w:noProof/>
          <w:color w:val="000000"/>
          <w:highlight w:val="black"/>
        </w:rPr>
        <w:t>''''''</w:t>
      </w:r>
      <w:r w:rsidR="00905F1F" w:rsidRPr="0021510A">
        <w:t xml:space="preserve">% </w:t>
      </w:r>
      <w:r w:rsidR="000F6816" w:rsidRPr="0021510A">
        <w:t>was not PET</w:t>
      </w:r>
      <w:r w:rsidR="000F7165" w:rsidRPr="0021510A">
        <w:t xml:space="preserve"> (i.e. </w:t>
      </w:r>
      <w:r w:rsidR="00DD2EFF" w:rsidRPr="0021510A">
        <w:t xml:space="preserve">it was considered </w:t>
      </w:r>
      <w:r w:rsidR="000F7165" w:rsidRPr="0021510A">
        <w:t xml:space="preserve">primary </w:t>
      </w:r>
      <w:r w:rsidR="000F7165" w:rsidRPr="0021510A">
        <w:lastRenderedPageBreak/>
        <w:t>prophylaxis)</w:t>
      </w:r>
      <w:r w:rsidR="000F6816" w:rsidRPr="0021510A">
        <w:t xml:space="preserve"> and </w:t>
      </w:r>
      <w:r w:rsidR="007024C3" w:rsidRPr="0021510A">
        <w:t xml:space="preserve">in </w:t>
      </w:r>
      <w:r w:rsidR="00AE66CA">
        <w:rPr>
          <w:noProof/>
          <w:color w:val="000000"/>
          <w:highlight w:val="black"/>
        </w:rPr>
        <w:t>'''''</w:t>
      </w:r>
      <w:r w:rsidR="00905F1F" w:rsidRPr="0021510A">
        <w:t xml:space="preserve">% </w:t>
      </w:r>
      <w:r w:rsidR="000F6816" w:rsidRPr="0021510A">
        <w:t xml:space="preserve">of patients it was </w:t>
      </w:r>
      <w:r w:rsidR="00905F1F" w:rsidRPr="0021510A">
        <w:t>unknown</w:t>
      </w:r>
      <w:r w:rsidR="007024C3" w:rsidRPr="0021510A">
        <w:t xml:space="preserve"> whether use was classified as PET</w:t>
      </w:r>
      <w:r w:rsidR="00905F1F" w:rsidRPr="0021510A">
        <w:t xml:space="preserve">. </w:t>
      </w:r>
      <w:r w:rsidR="000F6816" w:rsidRPr="0021510A">
        <w:t xml:space="preserve">The ESC considered that the ABMTRR report indicated that </w:t>
      </w:r>
      <w:r w:rsidR="00506BCD" w:rsidRPr="0021510A">
        <w:t xml:space="preserve">antivirals </w:t>
      </w:r>
      <w:r w:rsidR="000F6816" w:rsidRPr="0021510A">
        <w:t xml:space="preserve">continue to be used as </w:t>
      </w:r>
      <w:r w:rsidR="00D64535" w:rsidRPr="0021510A">
        <w:t xml:space="preserve">primary </w:t>
      </w:r>
      <w:r w:rsidR="000F6816" w:rsidRPr="0021510A">
        <w:t>prophylaxis in Australia</w:t>
      </w:r>
      <w:r w:rsidR="00DD2EFF" w:rsidRPr="0021510A">
        <w:t xml:space="preserve"> and that the distinction between prophylaxis and PET in Australian clinical practice is not clear cut</w:t>
      </w:r>
      <w:r w:rsidR="000F6816" w:rsidRPr="0021510A">
        <w:t>. Hence, the</w:t>
      </w:r>
      <w:r w:rsidR="00503389" w:rsidRPr="0021510A">
        <w:t xml:space="preserve"> ESC </w:t>
      </w:r>
      <w:r w:rsidR="00D64535" w:rsidRPr="0021510A">
        <w:t>reaffirmed</w:t>
      </w:r>
      <w:r w:rsidR="00506BCD" w:rsidRPr="0021510A">
        <w:t xml:space="preserve"> </w:t>
      </w:r>
      <w:r w:rsidR="00503389" w:rsidRPr="0021510A">
        <w:t xml:space="preserve">the </w:t>
      </w:r>
      <w:r w:rsidR="00D64535" w:rsidRPr="0021510A">
        <w:t xml:space="preserve">July 2018 </w:t>
      </w:r>
      <w:r w:rsidR="00503389" w:rsidRPr="0021510A">
        <w:t>PBAC consideration that both placebo and antiviral treatments would be informative comparators.</w:t>
      </w:r>
      <w:r w:rsidR="004704B2">
        <w:t xml:space="preserve"> </w:t>
      </w:r>
      <w:r w:rsidR="00BB21BB" w:rsidRPr="00BB21BB">
        <w:t>The pre-PBAC response argued that the current use of prophylaxis is difficult to determine using the ABMTRR because the registry includes an unclear breakdown of a wide range of antivirals (</w:t>
      </w:r>
      <w:r w:rsidR="000D6D62">
        <w:t xml:space="preserve">e.g. </w:t>
      </w:r>
      <w:r w:rsidR="00DE42E7">
        <w:t>aci</w:t>
      </w:r>
      <w:r w:rsidR="00BB21BB" w:rsidRPr="00BB21BB">
        <w:t>clovir</w:t>
      </w:r>
      <w:r w:rsidR="00DE42E7">
        <w:t>, valaci</w:t>
      </w:r>
      <w:r w:rsidR="000D6D62">
        <w:t>clovir, famciclovir</w:t>
      </w:r>
      <w:r w:rsidR="00BB21BB" w:rsidRPr="00BB21BB">
        <w:t>) which are used for a variety of viral infections such as varicella-zoster virus and human herpesvirus.</w:t>
      </w:r>
    </w:p>
    <w:p w:rsidR="003B7C4F" w:rsidRPr="0021510A" w:rsidRDefault="00256988" w:rsidP="001144D4">
      <w:pPr>
        <w:pStyle w:val="ListParagraph"/>
        <w:numPr>
          <w:ilvl w:val="1"/>
          <w:numId w:val="1"/>
        </w:numPr>
        <w:spacing w:after="120"/>
      </w:pPr>
      <w:r w:rsidRPr="0021510A">
        <w:t>The resubmission also claimed that the clinical trial design inherently provides a comparison between letermovir prophylaxis and placebo prophylaxis on top of standard of care PET with other antivirals.</w:t>
      </w:r>
      <w:r w:rsidR="005859EC">
        <w:t xml:space="preserve"> </w:t>
      </w:r>
      <w:r w:rsidRPr="0021510A">
        <w:t>Patients who received letermovir and developed CMV viraemia received PET to treat an active CMV infection as per the current standard of practice and therefore the trial evidence provides a comparison that is more aligned to clinical practice. However</w:t>
      </w:r>
      <w:r w:rsidR="003B7C4F" w:rsidRPr="0021510A">
        <w:t>, the ESC noted that</w:t>
      </w:r>
      <w:r w:rsidRPr="0021510A">
        <w:t xml:space="preserve"> in the pivotal trial patients who developed CMV viraemia were required to discontinue </w:t>
      </w:r>
      <w:r w:rsidR="003D6207" w:rsidRPr="0021510A">
        <w:t>letermovir</w:t>
      </w:r>
      <w:r w:rsidR="000E1968" w:rsidRPr="0021510A">
        <w:t>,</w:t>
      </w:r>
      <w:r w:rsidRPr="0021510A">
        <w:t xml:space="preserve"> which would remove the possibility of a comparison.</w:t>
      </w:r>
      <w:r w:rsidR="00E22DCF" w:rsidRPr="0021510A">
        <w:t xml:space="preserve"> </w:t>
      </w:r>
      <w:r w:rsidR="00294049" w:rsidRPr="0021510A">
        <w:t xml:space="preserve">The </w:t>
      </w:r>
      <w:r w:rsidR="00ED1708">
        <w:t xml:space="preserve">PBAC agreed with the </w:t>
      </w:r>
      <w:r w:rsidR="00294049" w:rsidRPr="0021510A">
        <w:t xml:space="preserve">ESC </w:t>
      </w:r>
      <w:r w:rsidR="00ED1708">
        <w:t xml:space="preserve">and </w:t>
      </w:r>
      <w:r w:rsidR="00294049" w:rsidRPr="0021510A">
        <w:t xml:space="preserve">considered that the use of </w:t>
      </w:r>
      <w:r w:rsidR="008A662F" w:rsidRPr="0021510A">
        <w:t>ganciclovir</w:t>
      </w:r>
      <w:r w:rsidR="00294049" w:rsidRPr="0021510A">
        <w:t xml:space="preserve"> or other antivirals used before clinical</w:t>
      </w:r>
      <w:r w:rsidR="008A662F" w:rsidRPr="0021510A">
        <w:t xml:space="preserve"> viraemia </w:t>
      </w:r>
      <w:r w:rsidR="00294049" w:rsidRPr="0021510A">
        <w:t xml:space="preserve">was </w:t>
      </w:r>
      <w:r w:rsidR="008A662F" w:rsidRPr="0021510A">
        <w:t>present</w:t>
      </w:r>
      <w:r w:rsidR="007024C3" w:rsidRPr="0021510A">
        <w:t xml:space="preserve"> would be an informative comparator in this context</w:t>
      </w:r>
      <w:r w:rsidR="008A662F" w:rsidRPr="0021510A">
        <w:t>.</w:t>
      </w:r>
    </w:p>
    <w:p w:rsidR="00AE607A" w:rsidRPr="0021510A" w:rsidRDefault="00F607BA" w:rsidP="001144D4">
      <w:pPr>
        <w:pStyle w:val="ListParagraph"/>
        <w:numPr>
          <w:ilvl w:val="1"/>
          <w:numId w:val="1"/>
        </w:numPr>
        <w:spacing w:after="120"/>
      </w:pPr>
      <w:r w:rsidRPr="0021510A">
        <w:t>The resubmission also noted that an indirect comparison to ganciclovir prophylaxis would be based on studies published in 1993 for which there would be significant heterogeneity of the study design and lack of a consistent common comparator.</w:t>
      </w:r>
      <w:r w:rsidR="005859EC">
        <w:t xml:space="preserve"> </w:t>
      </w:r>
      <w:r w:rsidRPr="0021510A">
        <w:t>Therefore, any conclusions from such a comparison (e</w:t>
      </w:r>
      <w:r w:rsidR="00E15678" w:rsidRPr="0021510A">
        <w:t>.</w:t>
      </w:r>
      <w:r w:rsidRPr="0021510A">
        <w:t>g</w:t>
      </w:r>
      <w:r w:rsidR="00E15678" w:rsidRPr="0021510A">
        <w:t>.</w:t>
      </w:r>
      <w:r w:rsidRPr="0021510A">
        <w:t xml:space="preserve"> Gagelmann 2018)</w:t>
      </w:r>
      <w:r w:rsidR="00D64535" w:rsidRPr="0021510A">
        <w:t xml:space="preserve"> </w:t>
      </w:r>
      <w:r w:rsidRPr="0021510A">
        <w:t xml:space="preserve">would not </w:t>
      </w:r>
      <w:r w:rsidR="000F1591">
        <w:t xml:space="preserve">be </w:t>
      </w:r>
      <w:r w:rsidRPr="0021510A">
        <w:t>informative for the current resubmission.</w:t>
      </w:r>
      <w:r w:rsidR="005859EC">
        <w:t xml:space="preserve"> </w:t>
      </w:r>
      <w:r w:rsidR="003D67FA" w:rsidRPr="0021510A">
        <w:t xml:space="preserve">The </w:t>
      </w:r>
      <w:r w:rsidR="006C3AA2" w:rsidRPr="0021510A">
        <w:t xml:space="preserve">Gagelmann </w:t>
      </w:r>
      <w:r w:rsidR="003D67FA" w:rsidRPr="0021510A">
        <w:t>review had noted that it should be recognised that most ganciclovir studies were performed in the absence of PET which may introduce limitations to the generalisability of indirect comparisons of ganciclovir and new agents.</w:t>
      </w:r>
      <w:r w:rsidR="00E15678" w:rsidRPr="0021510A">
        <w:t xml:space="preserve"> </w:t>
      </w:r>
      <w:r w:rsidR="00AE607A" w:rsidRPr="0021510A">
        <w:t xml:space="preserve">The ESC noted that </w:t>
      </w:r>
      <w:r w:rsidR="007024C3" w:rsidRPr="0021510A">
        <w:t xml:space="preserve">the </w:t>
      </w:r>
      <w:r w:rsidR="00AE607A" w:rsidRPr="0021510A">
        <w:t>Gagelmann 2018 review acknowledged the limitations of its meta-analysis and network meta-analysis but</w:t>
      </w:r>
      <w:r w:rsidR="00651BD2" w:rsidRPr="0021510A">
        <w:t xml:space="preserve"> </w:t>
      </w:r>
      <w:r w:rsidR="00AE607A" w:rsidRPr="0021510A">
        <w:t>still drew</w:t>
      </w:r>
      <w:r w:rsidR="007024C3" w:rsidRPr="0021510A">
        <w:t xml:space="preserve"> the conclusion that the </w:t>
      </w:r>
      <w:r w:rsidR="00651BD2" w:rsidRPr="0021510A">
        <w:t xml:space="preserve">overall analysis suggested there </w:t>
      </w:r>
      <w:r w:rsidR="00852ADE" w:rsidRPr="0021510A">
        <w:t>w</w:t>
      </w:r>
      <w:r w:rsidR="00651BD2" w:rsidRPr="0021510A">
        <w:t>as probably little or no difference in the effect of letermovir in preventing CMV disease compared with other antivirals, as noted by the PBAC in July 2018 (</w:t>
      </w:r>
      <w:r w:rsidR="00852ADE" w:rsidRPr="0021510A">
        <w:t xml:space="preserve">paragraph 7.6 July 2018 </w:t>
      </w:r>
      <w:r w:rsidR="00651BD2" w:rsidRPr="0021510A">
        <w:t>PSD)</w:t>
      </w:r>
      <w:r w:rsidR="00AE607A" w:rsidRPr="0021510A">
        <w:t>.</w:t>
      </w:r>
    </w:p>
    <w:p w:rsidR="00452229" w:rsidRPr="002759EA" w:rsidRDefault="00452229" w:rsidP="001144D4">
      <w:pPr>
        <w:pStyle w:val="ListParagraph"/>
        <w:spacing w:after="120"/>
        <w:rPr>
          <w:i/>
        </w:rPr>
      </w:pPr>
      <w:r w:rsidRPr="00ED1708">
        <w:rPr>
          <w:i/>
        </w:rPr>
        <w:t>For more detail on PBAC’s view, see section 7 PBAC outcome.</w:t>
      </w:r>
    </w:p>
    <w:p w:rsidR="00B50DB8" w:rsidRPr="00407F2D" w:rsidRDefault="00BD6CF3" w:rsidP="005859EC">
      <w:pPr>
        <w:pStyle w:val="PBACHeading1"/>
        <w:keepNext/>
        <w:spacing w:before="240" w:after="120"/>
      </w:pPr>
      <w:bookmarkStart w:id="5" w:name="_Toc536019881"/>
      <w:r>
        <w:t>C</w:t>
      </w:r>
      <w:r w:rsidR="00B50DB8" w:rsidRPr="00407F2D">
        <w:t>onsideration of the evidence</w:t>
      </w:r>
      <w:bookmarkEnd w:id="5"/>
    </w:p>
    <w:p w:rsidR="00B60939" w:rsidRPr="00882085" w:rsidRDefault="0001194F" w:rsidP="001144D4">
      <w:pPr>
        <w:pStyle w:val="Heading2"/>
        <w:keepNext/>
        <w:spacing w:after="120"/>
      </w:pPr>
      <w:r>
        <w:t>Sponsor hearing</w:t>
      </w:r>
    </w:p>
    <w:p w:rsidR="0001194F" w:rsidRPr="00FA69D6" w:rsidRDefault="00FA69D6" w:rsidP="001144D4">
      <w:pPr>
        <w:keepNext/>
        <w:widowControl w:val="0"/>
        <w:numPr>
          <w:ilvl w:val="1"/>
          <w:numId w:val="1"/>
        </w:numPr>
        <w:spacing w:after="120"/>
        <w:rPr>
          <w:rFonts w:asciiTheme="minorHAnsi" w:hAnsiTheme="minorHAnsi" w:cs="Arial"/>
          <w:bCs/>
          <w:snapToGrid w:val="0"/>
        </w:rPr>
      </w:pPr>
      <w:r>
        <w:rPr>
          <w:rFonts w:asciiTheme="minorHAnsi" w:hAnsiTheme="minorHAnsi" w:cs="Arial"/>
          <w:bCs/>
          <w:snapToGrid w:val="0"/>
        </w:rPr>
        <w:t>There was no hearing for this item.</w:t>
      </w:r>
    </w:p>
    <w:p w:rsidR="0001194F" w:rsidRPr="00A13509" w:rsidRDefault="0001194F" w:rsidP="001144D4">
      <w:pPr>
        <w:pStyle w:val="Heading2"/>
        <w:keepNext/>
        <w:spacing w:after="120"/>
      </w:pPr>
      <w:r w:rsidRPr="0001194F">
        <w:t>Consumer comments</w:t>
      </w:r>
    </w:p>
    <w:p w:rsidR="0001194F" w:rsidRPr="00FA69D6" w:rsidRDefault="0001194F" w:rsidP="001144D4">
      <w:pPr>
        <w:widowControl w:val="0"/>
        <w:numPr>
          <w:ilvl w:val="1"/>
          <w:numId w:val="1"/>
        </w:numPr>
        <w:spacing w:after="120"/>
        <w:rPr>
          <w:rFonts w:asciiTheme="minorHAnsi" w:hAnsiTheme="minorHAnsi" w:cs="Arial"/>
          <w:bCs/>
          <w:snapToGrid w:val="0"/>
        </w:rPr>
      </w:pPr>
      <w:r w:rsidRPr="00FA69D6">
        <w:rPr>
          <w:rFonts w:asciiTheme="minorHAnsi" w:hAnsiTheme="minorHAnsi" w:cs="Arial"/>
          <w:bCs/>
          <w:snapToGrid w:val="0"/>
        </w:rPr>
        <w:t xml:space="preserve">The PBAC noted and welcomed the input from </w:t>
      </w:r>
      <w:r w:rsidR="009A1727" w:rsidRPr="00FA69D6">
        <w:rPr>
          <w:rFonts w:asciiTheme="minorHAnsi" w:hAnsiTheme="minorHAnsi" w:cs="Arial"/>
          <w:bCs/>
          <w:snapToGrid w:val="0"/>
        </w:rPr>
        <w:t>health care professionals (3</w:t>
      </w:r>
      <w:r w:rsidRPr="00FA69D6">
        <w:rPr>
          <w:rFonts w:asciiTheme="minorHAnsi" w:hAnsiTheme="minorHAnsi" w:cs="Arial"/>
          <w:bCs/>
          <w:snapToGrid w:val="0"/>
        </w:rPr>
        <w:t>) and organisatio</w:t>
      </w:r>
      <w:r w:rsidR="009A1727" w:rsidRPr="00FA69D6">
        <w:rPr>
          <w:rFonts w:asciiTheme="minorHAnsi" w:hAnsiTheme="minorHAnsi" w:cs="Arial"/>
          <w:bCs/>
          <w:snapToGrid w:val="0"/>
        </w:rPr>
        <w:t>ns (2</w:t>
      </w:r>
      <w:r w:rsidRPr="00FA69D6">
        <w:rPr>
          <w:rFonts w:asciiTheme="minorHAnsi" w:hAnsiTheme="minorHAnsi" w:cs="Arial"/>
          <w:bCs/>
          <w:snapToGrid w:val="0"/>
        </w:rPr>
        <w:t>) via the Consumer Comments facility on the PBS web</w:t>
      </w:r>
      <w:r w:rsidR="009A1727" w:rsidRPr="00FA69D6">
        <w:rPr>
          <w:rFonts w:asciiTheme="minorHAnsi" w:hAnsiTheme="minorHAnsi" w:cs="Arial"/>
          <w:bCs/>
          <w:snapToGrid w:val="0"/>
        </w:rPr>
        <w:t xml:space="preserve">site. The comments described the burden of CMV and highlighted that it remains a serious </w:t>
      </w:r>
      <w:r w:rsidR="009A1727" w:rsidRPr="00FA69D6">
        <w:rPr>
          <w:rFonts w:asciiTheme="minorHAnsi" w:hAnsiTheme="minorHAnsi" w:cs="Arial"/>
          <w:bCs/>
          <w:snapToGrid w:val="0"/>
        </w:rPr>
        <w:lastRenderedPageBreak/>
        <w:t xml:space="preserve">cause of morbidity and mortality for people undergoing allogeneic HSCT. In addition the comments expressed concern regarding the toxicity of existing treatment options. </w:t>
      </w:r>
    </w:p>
    <w:p w:rsidR="0001194F" w:rsidRPr="00905980" w:rsidRDefault="0001194F" w:rsidP="001144D4">
      <w:pPr>
        <w:pStyle w:val="ListParagraph"/>
        <w:numPr>
          <w:ilvl w:val="1"/>
          <w:numId w:val="1"/>
        </w:numPr>
        <w:spacing w:after="120"/>
      </w:pPr>
      <w:r w:rsidRPr="00905980">
        <w:t>The PBAC noted the advice receive</w:t>
      </w:r>
      <w:r w:rsidR="00905980" w:rsidRPr="00905980">
        <w:t>d from the Bone Marrow Transplant Society of Australia and New</w:t>
      </w:r>
      <w:r w:rsidR="00905980">
        <w:t xml:space="preserve"> </w:t>
      </w:r>
      <w:r w:rsidR="00905980" w:rsidRPr="00905980">
        <w:rPr>
          <w:rFonts w:asciiTheme="minorHAnsi" w:hAnsiTheme="minorHAnsi" w:cs="Arial"/>
          <w:bCs/>
          <w:snapToGrid w:val="0"/>
        </w:rPr>
        <w:t xml:space="preserve">Zealand </w:t>
      </w:r>
      <w:r w:rsidR="00905980">
        <w:rPr>
          <w:rFonts w:asciiTheme="minorHAnsi" w:hAnsiTheme="minorHAnsi" w:cs="Arial"/>
          <w:bCs/>
          <w:snapToGrid w:val="0"/>
        </w:rPr>
        <w:t>clarifying the likely use of letermovir</w:t>
      </w:r>
      <w:r w:rsidRPr="00905980">
        <w:rPr>
          <w:rFonts w:asciiTheme="minorHAnsi" w:hAnsiTheme="minorHAnsi" w:cs="Arial"/>
          <w:bCs/>
          <w:snapToGrid w:val="0"/>
        </w:rPr>
        <w:t xml:space="preserve"> in clinical practice.</w:t>
      </w:r>
      <w:r w:rsidR="005859EC">
        <w:rPr>
          <w:rFonts w:asciiTheme="minorHAnsi" w:hAnsiTheme="minorHAnsi" w:cs="Arial"/>
          <w:bCs/>
          <w:snapToGrid w:val="0"/>
        </w:rPr>
        <w:t xml:space="preserve"> </w:t>
      </w:r>
      <w:r w:rsidRPr="00905980">
        <w:rPr>
          <w:rFonts w:asciiTheme="minorHAnsi" w:hAnsiTheme="minorHAnsi" w:cs="Arial"/>
          <w:bCs/>
          <w:snapToGrid w:val="0"/>
        </w:rPr>
        <w:t>The PBAC n</w:t>
      </w:r>
      <w:r w:rsidR="00905980">
        <w:rPr>
          <w:rFonts w:asciiTheme="minorHAnsi" w:hAnsiTheme="minorHAnsi" w:cs="Arial"/>
          <w:bCs/>
          <w:snapToGrid w:val="0"/>
        </w:rPr>
        <w:t xml:space="preserve">oted the advice that current treatment revolves around PET with ganciclovir/valganciclovir and/or foscarnet, each of which has common toxicities which can limit treatment duration. </w:t>
      </w:r>
    </w:p>
    <w:p w:rsidR="0001194F" w:rsidRPr="00A13509" w:rsidRDefault="0001194F" w:rsidP="001144D4">
      <w:pPr>
        <w:pStyle w:val="Heading2"/>
        <w:spacing w:after="120"/>
      </w:pPr>
      <w:r w:rsidRPr="0001194F">
        <w:t>Clinical trials</w:t>
      </w:r>
    </w:p>
    <w:p w:rsidR="00F31C4B" w:rsidRPr="003F7F24" w:rsidRDefault="00206C40" w:rsidP="001144D4">
      <w:pPr>
        <w:pStyle w:val="ListParagraph"/>
        <w:numPr>
          <w:ilvl w:val="1"/>
          <w:numId w:val="1"/>
        </w:numPr>
        <w:spacing w:after="120"/>
      </w:pPr>
      <w:r w:rsidRPr="003F7F24">
        <w:t>The resubmission was based on Trial P001, a randomised, double-blind Phase III trial comparing letermovir and placebo in CMV seropositive patients who had received an allogeneic HSCT.</w:t>
      </w:r>
      <w:r w:rsidR="005859EC">
        <w:t xml:space="preserve"> </w:t>
      </w:r>
      <w:r w:rsidR="00E9148F" w:rsidRPr="003F7F24">
        <w:t>T</w:t>
      </w:r>
      <w:r w:rsidRPr="003F7F24">
        <w:t>he July 2018 submission</w:t>
      </w:r>
      <w:r w:rsidR="007F1731" w:rsidRPr="003F7F24">
        <w:t xml:space="preserve"> was based on</w:t>
      </w:r>
      <w:r w:rsidR="00E9148F" w:rsidRPr="003F7F24">
        <w:t xml:space="preserve"> the same trial</w:t>
      </w:r>
      <w:r w:rsidRPr="003F7F24">
        <w:t>.</w:t>
      </w:r>
      <w:r w:rsidR="005859EC">
        <w:t xml:space="preserve"> </w:t>
      </w:r>
      <w:r w:rsidRPr="003F7F24">
        <w:t xml:space="preserve">There </w:t>
      </w:r>
      <w:r w:rsidR="004566E9" w:rsidRPr="003F7F24">
        <w:t>are</w:t>
      </w:r>
      <w:r w:rsidRPr="003F7F24">
        <w:t xml:space="preserve"> a limited number of letermovir trials available, </w:t>
      </w:r>
      <w:r w:rsidR="007F1731" w:rsidRPr="003F7F24">
        <w:t>those being</w:t>
      </w:r>
      <w:r w:rsidR="004566E9" w:rsidRPr="003F7F24">
        <w:t xml:space="preserve"> the pivotal clinical trial</w:t>
      </w:r>
      <w:r w:rsidR="00E9148F" w:rsidRPr="003F7F24">
        <w:t xml:space="preserve"> (P001)</w:t>
      </w:r>
      <w:r w:rsidR="004566E9" w:rsidRPr="003F7F24">
        <w:t>, a Phase II trial (Chemaly 2014), a trial in kidney transplant patients</w:t>
      </w:r>
      <w:r w:rsidR="009F0A4E" w:rsidRPr="003F7F24">
        <w:t>,</w:t>
      </w:r>
      <w:r w:rsidR="004566E9" w:rsidRPr="003F7F24">
        <w:t xml:space="preserve"> and recently available on clinicaltrials.gov, a single arm open-label trial assessing use of letermovir for treatment of CMV infection and disease</w:t>
      </w:r>
      <w:r w:rsidR="009F0A4E" w:rsidRPr="003F7F24">
        <w:rPr>
          <w:rStyle w:val="FootnoteReference"/>
        </w:rPr>
        <w:footnoteReference w:id="1"/>
      </w:r>
      <w:r w:rsidR="004566E9" w:rsidRPr="003F7F24">
        <w:t>.</w:t>
      </w:r>
      <w:r w:rsidR="005859EC">
        <w:t xml:space="preserve"> </w:t>
      </w:r>
      <w:r w:rsidR="00F31C4B" w:rsidRPr="003F7F24">
        <w:t xml:space="preserve">The proposed study P040 which is intended to compare efficacy outcomes in patients treated with 100 days versus 200 days of letermovir is not yet </w:t>
      </w:r>
      <w:r w:rsidR="000A062B" w:rsidRPr="003F7F24">
        <w:t xml:space="preserve">listed </w:t>
      </w:r>
      <w:r w:rsidR="00F31C4B" w:rsidRPr="003F7F24">
        <w:t>on clinicaltrials.gov.</w:t>
      </w:r>
    </w:p>
    <w:p w:rsidR="00662C2B" w:rsidRPr="00B50DB8" w:rsidRDefault="00A3218D" w:rsidP="001144D4">
      <w:pPr>
        <w:pStyle w:val="ListParagraph"/>
        <w:numPr>
          <w:ilvl w:val="1"/>
          <w:numId w:val="1"/>
        </w:numPr>
        <w:spacing w:after="120"/>
      </w:pPr>
      <w:r>
        <w:rPr>
          <w:rFonts w:cs="Calibri"/>
          <w:lang w:val="en-US" w:eastAsia="en-AU"/>
        </w:rPr>
        <w:t>Citation details of Trial P001 are provided in the table below.</w:t>
      </w:r>
    </w:p>
    <w:p w:rsidR="008E0D3C" w:rsidRPr="008E0D3C" w:rsidRDefault="00661DFA" w:rsidP="000F1591">
      <w:pPr>
        <w:keepNext/>
        <w:rPr>
          <w:rStyle w:val="CommentReference"/>
        </w:rPr>
      </w:pPr>
      <w:r w:rsidRPr="00401364">
        <w:rPr>
          <w:rFonts w:ascii="Arial Narrow" w:hAnsi="Arial Narrow"/>
          <w:b/>
          <w:sz w:val="20"/>
          <w:szCs w:val="20"/>
        </w:rPr>
        <w:t xml:space="preserve">Table </w:t>
      </w:r>
      <w:r w:rsidR="000D0E6D">
        <w:rPr>
          <w:rFonts w:ascii="Arial Narrow" w:hAnsi="Arial Narrow"/>
          <w:b/>
          <w:noProof/>
          <w:sz w:val="20"/>
          <w:szCs w:val="20"/>
        </w:rPr>
        <w:t>3</w:t>
      </w:r>
      <w:r w:rsidR="008E0D3C" w:rsidRPr="008E0D3C">
        <w:rPr>
          <w:rStyle w:val="CommentReference"/>
        </w:rPr>
        <w:t>:</w:t>
      </w:r>
      <w:r w:rsidR="005859EC">
        <w:rPr>
          <w:rStyle w:val="CommentReference"/>
        </w:rPr>
        <w:t xml:space="preserve"> </w:t>
      </w:r>
      <w:r w:rsidR="008E0D3C" w:rsidRPr="008E0D3C">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936CDD" w:rsidRPr="00B41614" w:rsidTr="00B530F4">
        <w:trPr>
          <w:tblHeader/>
        </w:trPr>
        <w:tc>
          <w:tcPr>
            <w:tcW w:w="796" w:type="pct"/>
            <w:vAlign w:val="center"/>
          </w:tcPr>
          <w:p w:rsidR="00936CDD" w:rsidRPr="00B41614" w:rsidRDefault="00936CDD" w:rsidP="000F1591">
            <w:pPr>
              <w:pStyle w:val="Tabletext"/>
              <w:keepNext/>
              <w:rPr>
                <w:b/>
              </w:rPr>
            </w:pPr>
            <w:r w:rsidRPr="00B41614">
              <w:rPr>
                <w:b/>
              </w:rPr>
              <w:t>Trial ID</w:t>
            </w:r>
          </w:p>
        </w:tc>
        <w:tc>
          <w:tcPr>
            <w:tcW w:w="3027" w:type="pct"/>
            <w:vAlign w:val="center"/>
          </w:tcPr>
          <w:p w:rsidR="00936CDD" w:rsidRPr="00B41614" w:rsidRDefault="00936CDD" w:rsidP="000F1591">
            <w:pPr>
              <w:pStyle w:val="Tabletext"/>
              <w:keepNext/>
              <w:jc w:val="center"/>
              <w:rPr>
                <w:b/>
              </w:rPr>
            </w:pPr>
            <w:r w:rsidRPr="00B41614">
              <w:rPr>
                <w:b/>
              </w:rPr>
              <w:t>Protocol title/ Publication title</w:t>
            </w:r>
          </w:p>
        </w:tc>
        <w:tc>
          <w:tcPr>
            <w:tcW w:w="1177" w:type="pct"/>
            <w:vAlign w:val="center"/>
          </w:tcPr>
          <w:p w:rsidR="00936CDD" w:rsidRPr="00B41614" w:rsidRDefault="00936CDD" w:rsidP="000F1591">
            <w:pPr>
              <w:pStyle w:val="Tabletext"/>
              <w:keepNext/>
              <w:jc w:val="center"/>
              <w:rPr>
                <w:b/>
              </w:rPr>
            </w:pPr>
            <w:r w:rsidRPr="00B41614">
              <w:rPr>
                <w:b/>
              </w:rPr>
              <w:t>Publication citation</w:t>
            </w:r>
          </w:p>
        </w:tc>
      </w:tr>
      <w:tr w:rsidR="00936CDD" w:rsidRPr="00CB38A8" w:rsidTr="00B530F4">
        <w:tc>
          <w:tcPr>
            <w:tcW w:w="796" w:type="pct"/>
            <w:tcBorders>
              <w:bottom w:val="nil"/>
            </w:tcBorders>
            <w:vAlign w:val="center"/>
          </w:tcPr>
          <w:p w:rsidR="00936CDD" w:rsidRPr="00CB38A8" w:rsidRDefault="00936CDD" w:rsidP="000F1591">
            <w:pPr>
              <w:pStyle w:val="Tabletext"/>
              <w:keepNext/>
              <w:rPr>
                <w:rFonts w:ascii="Times" w:hAnsi="Times"/>
              </w:rPr>
            </w:pPr>
            <w:r>
              <w:t>P001</w:t>
            </w:r>
          </w:p>
        </w:tc>
        <w:tc>
          <w:tcPr>
            <w:tcW w:w="3027" w:type="pct"/>
            <w:tcBorders>
              <w:bottom w:val="nil"/>
            </w:tcBorders>
            <w:vAlign w:val="center"/>
          </w:tcPr>
          <w:p w:rsidR="00936CDD" w:rsidRPr="00D86457" w:rsidRDefault="00936CDD" w:rsidP="000F1591">
            <w:pPr>
              <w:pStyle w:val="Tabletext"/>
              <w:keepNext/>
              <w:rPr>
                <w:szCs w:val="18"/>
              </w:rPr>
            </w:pPr>
            <w:r w:rsidRPr="00D86457">
              <w:t>A Phase III Randomized, Placebo-controlled Clinical Trial to Evaluate the Safety and Efficacy of MK-8228 (Letermovir) for the Prevention of Clinically Significant Human Cytomegalovirus (CMV) Infection in Adult, CMV-Seropositive Allogeneic Hematopoietic Stem Cell Transplant Recipients</w:t>
            </w:r>
          </w:p>
        </w:tc>
        <w:tc>
          <w:tcPr>
            <w:tcW w:w="1177" w:type="pct"/>
            <w:tcBorders>
              <w:bottom w:val="nil"/>
            </w:tcBorders>
            <w:vAlign w:val="center"/>
          </w:tcPr>
          <w:p w:rsidR="00936CDD" w:rsidRPr="00CB38A8" w:rsidRDefault="00936CDD" w:rsidP="000F1591">
            <w:pPr>
              <w:pStyle w:val="Tabletext"/>
              <w:keepNext/>
              <w:rPr>
                <w:rFonts w:ascii="Times" w:hAnsi="Times"/>
              </w:rPr>
            </w:pPr>
            <w:r>
              <w:t>May 2017</w:t>
            </w:r>
          </w:p>
        </w:tc>
      </w:tr>
      <w:tr w:rsidR="00936CDD" w:rsidRPr="00E34A35" w:rsidTr="00B530F4">
        <w:tc>
          <w:tcPr>
            <w:tcW w:w="796" w:type="pct"/>
            <w:tcBorders>
              <w:top w:val="nil"/>
              <w:bottom w:val="single" w:sz="4" w:space="0" w:color="auto"/>
            </w:tcBorders>
            <w:vAlign w:val="center"/>
          </w:tcPr>
          <w:p w:rsidR="00936CDD" w:rsidRPr="00CB38A8" w:rsidRDefault="00936CDD" w:rsidP="000F1591">
            <w:pPr>
              <w:pStyle w:val="Tabletext"/>
              <w:keepNext/>
            </w:pPr>
          </w:p>
        </w:tc>
        <w:tc>
          <w:tcPr>
            <w:tcW w:w="3027" w:type="pct"/>
            <w:tcBorders>
              <w:top w:val="nil"/>
              <w:bottom w:val="single" w:sz="4" w:space="0" w:color="auto"/>
            </w:tcBorders>
            <w:vAlign w:val="center"/>
          </w:tcPr>
          <w:p w:rsidR="00936CDD" w:rsidRPr="00E34A35" w:rsidRDefault="00936CDD" w:rsidP="000F1591">
            <w:pPr>
              <w:pStyle w:val="Tabletext"/>
              <w:keepNext/>
              <w:rPr>
                <w:szCs w:val="18"/>
                <w:lang w:eastAsia="en-AU"/>
              </w:rPr>
            </w:pPr>
            <w:r w:rsidRPr="005F7916">
              <w:t xml:space="preserve">Marty FM, Ljungman P, Chemaly RF, Maertens J, </w:t>
            </w:r>
            <w:r>
              <w:t>et al</w:t>
            </w:r>
            <w:r w:rsidRPr="005F7916">
              <w:t>. Letermovir Prophylaxis for Cytomegalovirus in Hematopoietic-Cell Transplantation.</w:t>
            </w:r>
          </w:p>
        </w:tc>
        <w:tc>
          <w:tcPr>
            <w:tcW w:w="1177" w:type="pct"/>
            <w:tcBorders>
              <w:top w:val="nil"/>
              <w:bottom w:val="single" w:sz="4" w:space="0" w:color="auto"/>
            </w:tcBorders>
            <w:vAlign w:val="center"/>
          </w:tcPr>
          <w:p w:rsidR="00936CDD" w:rsidRPr="0021510A" w:rsidRDefault="00936CDD" w:rsidP="000F1591">
            <w:pPr>
              <w:pStyle w:val="Tabletext"/>
              <w:keepNext/>
              <w:rPr>
                <w:szCs w:val="18"/>
                <w:lang w:eastAsia="en-AU"/>
              </w:rPr>
            </w:pPr>
            <w:r w:rsidRPr="0021510A">
              <w:t>NEJM 2017; 377(25):2433-2444</w:t>
            </w:r>
          </w:p>
        </w:tc>
      </w:tr>
    </w:tbl>
    <w:p w:rsidR="008E0D3C" w:rsidRPr="00B1011F" w:rsidRDefault="00936CDD" w:rsidP="000F1591">
      <w:pPr>
        <w:pStyle w:val="TableFooter"/>
        <w:keepNext/>
        <w:rPr>
          <w:sz w:val="20"/>
        </w:rPr>
      </w:pPr>
      <w:r w:rsidRPr="007B1E45">
        <w:t>Source: Table 2-2, p3</w:t>
      </w:r>
      <w:r>
        <w:t>1</w:t>
      </w:r>
      <w:r w:rsidRPr="007B1E45">
        <w:t>-3</w:t>
      </w:r>
      <w:r>
        <w:t>2</w:t>
      </w:r>
      <w:r w:rsidRPr="007B1E45">
        <w:t xml:space="preserve"> of the </w:t>
      </w:r>
      <w:r>
        <w:t>re</w:t>
      </w:r>
      <w:r w:rsidRPr="007B1E45">
        <w:t>submission.</w:t>
      </w:r>
    </w:p>
    <w:p w:rsidR="00862502" w:rsidRPr="008F120A" w:rsidRDefault="00862502" w:rsidP="00610C0E"/>
    <w:p w:rsidR="007F1017" w:rsidRDefault="00C95BCE" w:rsidP="00610C0E">
      <w:pPr>
        <w:pStyle w:val="ListParagraph"/>
        <w:numPr>
          <w:ilvl w:val="1"/>
          <w:numId w:val="1"/>
        </w:numPr>
      </w:pPr>
      <w:r w:rsidRPr="00B50DB8">
        <w:t xml:space="preserve">The key features of </w:t>
      </w:r>
      <w:r>
        <w:t>Trial P001</w:t>
      </w:r>
      <w:r w:rsidRPr="00B50DB8">
        <w:t xml:space="preserve"> are summarised in the table below.</w:t>
      </w:r>
      <w:r w:rsidR="005859EC">
        <w:t xml:space="preserve"> </w:t>
      </w:r>
    </w:p>
    <w:p w:rsidR="007F1017" w:rsidRPr="00E2771E" w:rsidRDefault="00661DFA" w:rsidP="00610C0E">
      <w:pPr>
        <w:rPr>
          <w:rStyle w:val="CommentReference"/>
        </w:rPr>
      </w:pPr>
      <w:r w:rsidRPr="00401364">
        <w:rPr>
          <w:rFonts w:ascii="Arial Narrow" w:hAnsi="Arial Narrow"/>
          <w:b/>
          <w:sz w:val="20"/>
          <w:szCs w:val="20"/>
        </w:rPr>
        <w:t xml:space="preserve">Table </w:t>
      </w:r>
      <w:r w:rsidR="000D0E6D">
        <w:rPr>
          <w:rFonts w:ascii="Arial Narrow" w:hAnsi="Arial Narrow"/>
          <w:b/>
          <w:noProof/>
          <w:sz w:val="20"/>
          <w:szCs w:val="20"/>
        </w:rPr>
        <w:t>4</w:t>
      </w:r>
      <w:r w:rsidR="007F1017"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049"/>
        <w:gridCol w:w="682"/>
        <w:gridCol w:w="1560"/>
        <w:gridCol w:w="1057"/>
        <w:gridCol w:w="1511"/>
        <w:gridCol w:w="1726"/>
        <w:gridCol w:w="1432"/>
      </w:tblGrid>
      <w:tr w:rsidR="00C95BCE" w:rsidRPr="00B41614" w:rsidTr="00114FCD">
        <w:tc>
          <w:tcPr>
            <w:tcW w:w="582" w:type="pct"/>
            <w:shd w:val="clear" w:color="auto" w:fill="auto"/>
            <w:vAlign w:val="center"/>
          </w:tcPr>
          <w:p w:rsidR="00C95BCE" w:rsidRPr="00B41614" w:rsidRDefault="00C95BCE" w:rsidP="00610C0E">
            <w:pPr>
              <w:pStyle w:val="Tabletext"/>
              <w:rPr>
                <w:b/>
                <w:lang w:val="en-US"/>
              </w:rPr>
            </w:pPr>
            <w:r w:rsidRPr="00B41614">
              <w:rPr>
                <w:b/>
                <w:lang w:val="en-US"/>
              </w:rPr>
              <w:t>Trial</w:t>
            </w:r>
          </w:p>
        </w:tc>
        <w:tc>
          <w:tcPr>
            <w:tcW w:w="378" w:type="pct"/>
            <w:shd w:val="clear" w:color="auto" w:fill="auto"/>
            <w:vAlign w:val="center"/>
          </w:tcPr>
          <w:p w:rsidR="00C95BCE" w:rsidRPr="00B41614" w:rsidRDefault="00C95BCE" w:rsidP="00610C0E">
            <w:pPr>
              <w:pStyle w:val="Tabletext"/>
              <w:jc w:val="center"/>
              <w:rPr>
                <w:b/>
                <w:lang w:val="en-US"/>
              </w:rPr>
            </w:pPr>
            <w:r w:rsidRPr="00B41614">
              <w:rPr>
                <w:b/>
                <w:lang w:val="en-US"/>
              </w:rPr>
              <w:t>N</w:t>
            </w:r>
          </w:p>
        </w:tc>
        <w:tc>
          <w:tcPr>
            <w:tcW w:w="865" w:type="pct"/>
            <w:shd w:val="clear" w:color="auto" w:fill="auto"/>
            <w:vAlign w:val="center"/>
          </w:tcPr>
          <w:p w:rsidR="00C95BCE" w:rsidRPr="00B41614" w:rsidRDefault="00C95BCE" w:rsidP="00610C0E">
            <w:pPr>
              <w:pStyle w:val="Tabletext"/>
              <w:jc w:val="center"/>
              <w:rPr>
                <w:b/>
                <w:lang w:val="en-US"/>
              </w:rPr>
            </w:pPr>
            <w:r w:rsidRPr="00B41614">
              <w:rPr>
                <w:b/>
                <w:lang w:val="en-US"/>
              </w:rPr>
              <w:t>Design/ duration</w:t>
            </w:r>
          </w:p>
        </w:tc>
        <w:tc>
          <w:tcPr>
            <w:tcW w:w="586" w:type="pct"/>
            <w:shd w:val="clear" w:color="auto" w:fill="auto"/>
            <w:vAlign w:val="center"/>
          </w:tcPr>
          <w:p w:rsidR="00C95BCE" w:rsidRPr="00B41614" w:rsidRDefault="00C95BCE" w:rsidP="00610C0E">
            <w:pPr>
              <w:pStyle w:val="Tabletext"/>
              <w:jc w:val="center"/>
              <w:rPr>
                <w:b/>
                <w:lang w:val="en-US"/>
              </w:rPr>
            </w:pPr>
            <w:r w:rsidRPr="00B41614">
              <w:rPr>
                <w:b/>
                <w:lang w:val="en-US"/>
              </w:rPr>
              <w:t>Risk of bias</w:t>
            </w:r>
          </w:p>
        </w:tc>
        <w:tc>
          <w:tcPr>
            <w:tcW w:w="838" w:type="pct"/>
            <w:shd w:val="clear" w:color="auto" w:fill="auto"/>
            <w:vAlign w:val="center"/>
          </w:tcPr>
          <w:p w:rsidR="00C95BCE" w:rsidRPr="00B41614" w:rsidRDefault="00C95BCE" w:rsidP="00610C0E">
            <w:pPr>
              <w:pStyle w:val="Tabletext"/>
              <w:jc w:val="center"/>
              <w:rPr>
                <w:b/>
                <w:lang w:val="en-US"/>
              </w:rPr>
            </w:pPr>
            <w:r w:rsidRPr="00B41614">
              <w:rPr>
                <w:b/>
                <w:lang w:val="en-US"/>
              </w:rPr>
              <w:t>Patient population</w:t>
            </w:r>
          </w:p>
        </w:tc>
        <w:tc>
          <w:tcPr>
            <w:tcW w:w="957" w:type="pct"/>
            <w:shd w:val="clear" w:color="auto" w:fill="auto"/>
            <w:vAlign w:val="center"/>
          </w:tcPr>
          <w:p w:rsidR="00C95BCE" w:rsidRPr="00B41614" w:rsidRDefault="00C95BCE" w:rsidP="00610C0E">
            <w:pPr>
              <w:pStyle w:val="Tabletext"/>
              <w:jc w:val="center"/>
              <w:rPr>
                <w:b/>
                <w:lang w:val="en-US"/>
              </w:rPr>
            </w:pPr>
            <w:r>
              <w:rPr>
                <w:b/>
                <w:lang w:val="en-US"/>
              </w:rPr>
              <w:t>Outcomes</w:t>
            </w:r>
          </w:p>
        </w:tc>
        <w:tc>
          <w:tcPr>
            <w:tcW w:w="794" w:type="pct"/>
            <w:shd w:val="clear" w:color="auto" w:fill="auto"/>
            <w:vAlign w:val="center"/>
          </w:tcPr>
          <w:p w:rsidR="00C95BCE" w:rsidRPr="00B41614" w:rsidRDefault="00C95BCE" w:rsidP="00610C0E">
            <w:pPr>
              <w:pStyle w:val="Tabletext"/>
              <w:jc w:val="center"/>
              <w:rPr>
                <w:b/>
                <w:lang w:val="en-US"/>
              </w:rPr>
            </w:pPr>
            <w:r w:rsidRPr="00B41614">
              <w:rPr>
                <w:b/>
                <w:lang w:val="en-US"/>
              </w:rPr>
              <w:t>Use in modelled evaluation</w:t>
            </w:r>
          </w:p>
        </w:tc>
      </w:tr>
      <w:tr w:rsidR="00C95BCE" w:rsidRPr="00E2771E" w:rsidTr="00114FCD">
        <w:tc>
          <w:tcPr>
            <w:tcW w:w="582" w:type="pct"/>
            <w:shd w:val="clear" w:color="auto" w:fill="auto"/>
            <w:vAlign w:val="center"/>
          </w:tcPr>
          <w:p w:rsidR="00C95BCE" w:rsidRPr="00E2771E" w:rsidRDefault="00C95BCE" w:rsidP="00610C0E">
            <w:pPr>
              <w:pStyle w:val="Tabletext"/>
              <w:rPr>
                <w:lang w:val="en-US"/>
              </w:rPr>
            </w:pPr>
            <w:r>
              <w:rPr>
                <w:lang w:val="en-US"/>
              </w:rPr>
              <w:t>Trial P001</w:t>
            </w:r>
          </w:p>
        </w:tc>
        <w:tc>
          <w:tcPr>
            <w:tcW w:w="378" w:type="pct"/>
            <w:shd w:val="clear" w:color="auto" w:fill="auto"/>
            <w:vAlign w:val="center"/>
          </w:tcPr>
          <w:p w:rsidR="00C95BCE" w:rsidRPr="00E2771E" w:rsidRDefault="00C95BCE" w:rsidP="00610C0E">
            <w:pPr>
              <w:pStyle w:val="Tabletext"/>
              <w:jc w:val="center"/>
              <w:rPr>
                <w:lang w:val="en-US"/>
              </w:rPr>
            </w:pPr>
            <w:r>
              <w:rPr>
                <w:lang w:val="en-US"/>
              </w:rPr>
              <w:t>565</w:t>
            </w:r>
            <w:r w:rsidRPr="00DC1479">
              <w:rPr>
                <w:vertAlign w:val="superscript"/>
                <w:lang w:val="en-US"/>
              </w:rPr>
              <w:t>a</w:t>
            </w:r>
          </w:p>
        </w:tc>
        <w:tc>
          <w:tcPr>
            <w:tcW w:w="865" w:type="pct"/>
            <w:shd w:val="clear" w:color="auto" w:fill="auto"/>
            <w:vAlign w:val="center"/>
          </w:tcPr>
          <w:p w:rsidR="00C95BCE" w:rsidRPr="00E2771E" w:rsidRDefault="00C95BCE" w:rsidP="00610C0E">
            <w:pPr>
              <w:pStyle w:val="Tabletext"/>
              <w:rPr>
                <w:lang w:val="en-US"/>
              </w:rPr>
            </w:pPr>
            <w:r w:rsidRPr="00E2771E">
              <w:rPr>
                <w:lang w:val="en-US"/>
              </w:rPr>
              <w:t>R, DB</w:t>
            </w:r>
            <w:r>
              <w:rPr>
                <w:lang w:val="en-US"/>
              </w:rPr>
              <w:t>, MC</w:t>
            </w:r>
          </w:p>
          <w:p w:rsidR="00C95BCE" w:rsidRPr="00E2771E" w:rsidRDefault="00C95BCE" w:rsidP="00610C0E">
            <w:pPr>
              <w:pStyle w:val="Tabletext"/>
              <w:rPr>
                <w:lang w:val="en-US"/>
              </w:rPr>
            </w:pPr>
            <w:r>
              <w:rPr>
                <w:lang w:val="en-US"/>
              </w:rPr>
              <w:t>14 weeks treatment and follow-up through 48 weeks</w:t>
            </w:r>
          </w:p>
        </w:tc>
        <w:tc>
          <w:tcPr>
            <w:tcW w:w="586" w:type="pct"/>
            <w:shd w:val="clear" w:color="auto" w:fill="auto"/>
            <w:vAlign w:val="center"/>
          </w:tcPr>
          <w:p w:rsidR="00C95BCE" w:rsidRPr="00E2771E" w:rsidRDefault="00C95BCE" w:rsidP="00610C0E">
            <w:pPr>
              <w:pStyle w:val="Tabletext"/>
              <w:jc w:val="center"/>
              <w:rPr>
                <w:lang w:val="en-US"/>
              </w:rPr>
            </w:pPr>
            <w:r w:rsidRPr="00E2771E">
              <w:rPr>
                <w:lang w:val="en-US"/>
              </w:rPr>
              <w:t>Low</w:t>
            </w:r>
          </w:p>
        </w:tc>
        <w:tc>
          <w:tcPr>
            <w:tcW w:w="838" w:type="pct"/>
            <w:shd w:val="clear" w:color="auto" w:fill="auto"/>
            <w:vAlign w:val="center"/>
          </w:tcPr>
          <w:p w:rsidR="00C95BCE" w:rsidRPr="00E2771E" w:rsidRDefault="00C95BCE" w:rsidP="00610C0E">
            <w:pPr>
              <w:pStyle w:val="Tabletext"/>
              <w:rPr>
                <w:lang w:val="en-US"/>
              </w:rPr>
            </w:pPr>
            <w:r>
              <w:rPr>
                <w:lang w:val="en-US"/>
              </w:rPr>
              <w:t>CMV seropositive patients who were recipients of an allogeneic HSCT</w:t>
            </w:r>
          </w:p>
        </w:tc>
        <w:tc>
          <w:tcPr>
            <w:tcW w:w="957" w:type="pct"/>
            <w:shd w:val="clear" w:color="auto" w:fill="auto"/>
            <w:vAlign w:val="center"/>
          </w:tcPr>
          <w:p w:rsidR="00C95BCE" w:rsidRPr="00E2771E" w:rsidRDefault="00C95BCE" w:rsidP="00610C0E">
            <w:pPr>
              <w:pStyle w:val="Tabletext"/>
              <w:rPr>
                <w:lang w:val="en-US"/>
              </w:rPr>
            </w:pPr>
            <w:r>
              <w:rPr>
                <w:lang w:val="en-US"/>
              </w:rPr>
              <w:t>CMV infection, CMV disease, mortality,</w:t>
            </w:r>
            <w:r w:rsidR="00762A60">
              <w:rPr>
                <w:lang w:val="en-US"/>
              </w:rPr>
              <w:t xml:space="preserve"> </w:t>
            </w:r>
            <w:r w:rsidR="00A660B4">
              <w:rPr>
                <w:lang w:val="en-US"/>
              </w:rPr>
              <w:t xml:space="preserve">re-hospitalisation, </w:t>
            </w:r>
            <w:r>
              <w:rPr>
                <w:lang w:val="en-US"/>
              </w:rPr>
              <w:t>QoL</w:t>
            </w:r>
          </w:p>
        </w:tc>
        <w:tc>
          <w:tcPr>
            <w:tcW w:w="794" w:type="pct"/>
            <w:shd w:val="clear" w:color="auto" w:fill="auto"/>
            <w:vAlign w:val="center"/>
          </w:tcPr>
          <w:p w:rsidR="00C95BCE" w:rsidRPr="00E2771E" w:rsidRDefault="00C95BCE" w:rsidP="00610C0E">
            <w:pPr>
              <w:pStyle w:val="Tabletext"/>
              <w:rPr>
                <w:lang w:val="en-US"/>
              </w:rPr>
            </w:pPr>
            <w:r>
              <w:rPr>
                <w:lang w:val="en-US"/>
              </w:rPr>
              <w:t xml:space="preserve">CMV infection, </w:t>
            </w:r>
            <w:r w:rsidR="00762A60">
              <w:rPr>
                <w:lang w:val="en-US"/>
              </w:rPr>
              <w:t xml:space="preserve">CMV-related </w:t>
            </w:r>
            <w:r>
              <w:rPr>
                <w:lang w:val="en-US"/>
              </w:rPr>
              <w:t>mortality</w:t>
            </w:r>
          </w:p>
        </w:tc>
      </w:tr>
    </w:tbl>
    <w:p w:rsidR="00762A60" w:rsidRPr="00DC1479" w:rsidRDefault="00762A60" w:rsidP="00610C0E">
      <w:pPr>
        <w:pStyle w:val="TableFooter"/>
        <w:tabs>
          <w:tab w:val="left" w:pos="142"/>
        </w:tabs>
        <w:ind w:left="142" w:hanging="142"/>
      </w:pPr>
      <w:r w:rsidRPr="00DC1479">
        <w:rPr>
          <w:vertAlign w:val="superscript"/>
          <w:lang w:val="en-US"/>
        </w:rPr>
        <w:t>a</w:t>
      </w:r>
      <w:r>
        <w:rPr>
          <w:lang w:val="en-US"/>
        </w:rPr>
        <w:tab/>
        <w:t>While there were 565 patients randomised, the analysis population consisted of only 495 patients as 70 patients with detectable CMV DNA on Day 1 were excluded.</w:t>
      </w:r>
    </w:p>
    <w:p w:rsidR="00762A60" w:rsidRPr="0072416F" w:rsidRDefault="00762A60" w:rsidP="00610C0E">
      <w:pPr>
        <w:pStyle w:val="TableFooter"/>
      </w:pPr>
      <w:r>
        <w:t xml:space="preserve">CMV=cytomegalovirus; </w:t>
      </w:r>
      <w:r w:rsidRPr="0072416F">
        <w:t xml:space="preserve">DB=double blind; </w:t>
      </w:r>
      <w:r>
        <w:t>HSCT=haematopoietic stem cell transplant; MC=multi-centre; QoL=quality of life; R=randomised</w:t>
      </w:r>
    </w:p>
    <w:p w:rsidR="00045017" w:rsidRPr="00A660B4" w:rsidRDefault="00762A60" w:rsidP="00610C0E">
      <w:pPr>
        <w:pStyle w:val="TableFooter"/>
      </w:pPr>
      <w:r>
        <w:t>Source: Sections 2.2.3 to 2.4, p3</w:t>
      </w:r>
      <w:r w:rsidR="00A660B4">
        <w:t>0</w:t>
      </w:r>
      <w:r>
        <w:t>-4</w:t>
      </w:r>
      <w:r w:rsidR="00A660B4">
        <w:t>3</w:t>
      </w:r>
      <w:r>
        <w:t xml:space="preserve"> of the </w:t>
      </w:r>
      <w:r w:rsidR="00A660B4">
        <w:t>re</w:t>
      </w:r>
      <w:r>
        <w:t>submission.</w:t>
      </w:r>
    </w:p>
    <w:p w:rsidR="007F1017" w:rsidRDefault="007F1017" w:rsidP="00610C0E"/>
    <w:p w:rsidR="00446B5F" w:rsidRPr="003F7F24" w:rsidRDefault="00446B5F" w:rsidP="008E256F">
      <w:pPr>
        <w:pStyle w:val="ListParagraph"/>
        <w:numPr>
          <w:ilvl w:val="1"/>
          <w:numId w:val="1"/>
        </w:numPr>
        <w:spacing w:after="120"/>
      </w:pPr>
      <w:r w:rsidRPr="003F7F24">
        <w:lastRenderedPageBreak/>
        <w:t xml:space="preserve">The primary outcome in Trial P001 was the proportion of patients with clinically significant CMV infection at Week 24, </w:t>
      </w:r>
      <w:r w:rsidR="00F47383">
        <w:t xml:space="preserve">a composite endpoint </w:t>
      </w:r>
      <w:r w:rsidRPr="003F7F24">
        <w:t>comprised of onset of CMV end-organ disease or initiation of PET based on documented CMV viraemia and the clinical condition of the patient.</w:t>
      </w:r>
      <w:r w:rsidR="005859EC">
        <w:t xml:space="preserve"> </w:t>
      </w:r>
    </w:p>
    <w:p w:rsidR="002F1A6D" w:rsidRPr="003F7F24" w:rsidRDefault="002F1A6D" w:rsidP="008E256F">
      <w:pPr>
        <w:pStyle w:val="ListParagraph"/>
        <w:numPr>
          <w:ilvl w:val="1"/>
          <w:numId w:val="1"/>
        </w:numPr>
        <w:spacing w:after="120"/>
      </w:pPr>
      <w:r w:rsidRPr="003F7F24">
        <w:t xml:space="preserve">The July 2018 submission included presentation of results for occurrence of graft versus host disease (GVHD) and this outcome was included in the </w:t>
      </w:r>
      <w:r w:rsidR="001D5B95" w:rsidRPr="003F7F24">
        <w:t xml:space="preserve">July 2018 </w:t>
      </w:r>
      <w:r w:rsidRPr="003F7F24">
        <w:t>economic evaluation.</w:t>
      </w:r>
      <w:r w:rsidR="005859EC">
        <w:t xml:space="preserve"> </w:t>
      </w:r>
      <w:r w:rsidRPr="003F7F24">
        <w:t>The resubmission did not present results for GVHD and has removed th</w:t>
      </w:r>
      <w:r w:rsidR="00467432" w:rsidRPr="003F7F24">
        <w:t>is</w:t>
      </w:r>
      <w:r w:rsidRPr="003F7F24">
        <w:t xml:space="preserve"> outcome from the economic model</w:t>
      </w:r>
      <w:r w:rsidR="00AD573C" w:rsidRPr="003F7F24">
        <w:t>.</w:t>
      </w:r>
      <w:r w:rsidR="005859EC">
        <w:t xml:space="preserve"> </w:t>
      </w:r>
      <w:r w:rsidR="00AD573C" w:rsidRPr="003F7F24">
        <w:t xml:space="preserve">The </w:t>
      </w:r>
      <w:r w:rsidR="00AE607A" w:rsidRPr="005459EB">
        <w:t>ESC noted that the</w:t>
      </w:r>
      <w:r w:rsidR="00AE607A">
        <w:rPr>
          <w:i/>
        </w:rPr>
        <w:t xml:space="preserve"> </w:t>
      </w:r>
      <w:r w:rsidR="00AD573C" w:rsidRPr="003F7F24">
        <w:t xml:space="preserve">resubmission provided post-hoc analyses of CMV-related mortality (all-cause mortality in patients </w:t>
      </w:r>
      <w:r w:rsidR="00034268" w:rsidRPr="003F7F24">
        <w:t xml:space="preserve">who met the primary endpoint of clinically significant </w:t>
      </w:r>
      <w:r w:rsidR="00AD573C" w:rsidRPr="003F7F24">
        <w:t>CMV infection) and included this outcome in the economic evaluation.</w:t>
      </w:r>
    </w:p>
    <w:p w:rsidR="00AD573C" w:rsidRPr="003F7F24" w:rsidRDefault="00AD573C" w:rsidP="008E256F">
      <w:pPr>
        <w:pStyle w:val="ListParagraph"/>
        <w:numPr>
          <w:ilvl w:val="1"/>
          <w:numId w:val="1"/>
        </w:numPr>
        <w:spacing w:after="120"/>
      </w:pPr>
      <w:r w:rsidRPr="003F7F24">
        <w:t xml:space="preserve">While there were 565 patients randomised to treatment in Trial P001, only 495 patients </w:t>
      </w:r>
      <w:r w:rsidR="00034268" w:rsidRPr="003F7F24">
        <w:t xml:space="preserve">were </w:t>
      </w:r>
      <w:r w:rsidRPr="003F7F24">
        <w:t>analysed as patients with detectable CMV DNA on Day 1 of treatment were excluded from analysis.</w:t>
      </w:r>
      <w:r w:rsidR="005859EC">
        <w:t xml:space="preserve"> </w:t>
      </w:r>
      <w:r w:rsidRPr="003F7F24">
        <w:t>This was reasonable as these are the patients that are relevant to the requested listing.</w:t>
      </w:r>
    </w:p>
    <w:p w:rsidR="009428D1" w:rsidRPr="003F7F24" w:rsidRDefault="009428D1" w:rsidP="008E256F">
      <w:pPr>
        <w:pStyle w:val="ListParagraph"/>
        <w:numPr>
          <w:ilvl w:val="1"/>
          <w:numId w:val="1"/>
        </w:numPr>
        <w:spacing w:after="120"/>
      </w:pPr>
      <w:r w:rsidRPr="003F7F24">
        <w:t>When used with cyclosporin, letermovir is dosed at 240mg/day while when used alone, it is dosed at 480mg/day.</w:t>
      </w:r>
    </w:p>
    <w:p w:rsidR="001D55D4" w:rsidRPr="003F7F24" w:rsidRDefault="001D55D4" w:rsidP="008E256F">
      <w:pPr>
        <w:pStyle w:val="ListParagraph"/>
        <w:numPr>
          <w:ilvl w:val="1"/>
          <w:numId w:val="1"/>
        </w:numPr>
        <w:spacing w:after="120"/>
      </w:pPr>
      <w:r w:rsidRPr="003F7F24">
        <w:t xml:space="preserve">In Trial P001 </w:t>
      </w:r>
      <w:r w:rsidR="00C104AA">
        <w:t>51.9%</w:t>
      </w:r>
      <w:r w:rsidRPr="003F7F24">
        <w:t xml:space="preserve"> of patients received concomitant treatment with cyclosporin.</w:t>
      </w:r>
      <w:r w:rsidR="005859EC">
        <w:t xml:space="preserve"> </w:t>
      </w:r>
      <w:r w:rsidRPr="003F7F24">
        <w:t xml:space="preserve">In the economic model and financial impact estimates the resubmission altered the proportion of patients assumed to use cyclosporin from the </w:t>
      </w:r>
      <w:r w:rsidR="00AE66CA">
        <w:rPr>
          <w:noProof/>
          <w:color w:val="000000"/>
          <w:highlight w:val="black"/>
        </w:rPr>
        <w:t>''''''</w:t>
      </w:r>
      <w:r w:rsidRPr="003F7F24">
        <w:t xml:space="preserve">% </w:t>
      </w:r>
      <w:r w:rsidR="008319CB" w:rsidRPr="003F7F24">
        <w:t>applied</w:t>
      </w:r>
      <w:r w:rsidRPr="003F7F24">
        <w:t xml:space="preserve"> in the July 2018 submission to </w:t>
      </w:r>
      <w:r w:rsidR="00AE66CA">
        <w:rPr>
          <w:noProof/>
          <w:color w:val="000000"/>
          <w:highlight w:val="black"/>
        </w:rPr>
        <w:t>''''''</w:t>
      </w:r>
      <w:r w:rsidRPr="003F7F24">
        <w:t>%</w:t>
      </w:r>
      <w:r w:rsidR="00201020" w:rsidRPr="003F7F24">
        <w:t xml:space="preserve"> </w:t>
      </w:r>
      <w:r w:rsidR="008463C8" w:rsidRPr="003F7F24">
        <w:t>(see</w:t>
      </w:r>
      <w:r w:rsidR="00211924" w:rsidRPr="003F7F24">
        <w:t xml:space="preserve"> ‘Estimated PBS usage &amp; financial implications’ </w:t>
      </w:r>
      <w:r w:rsidR="008463C8" w:rsidRPr="003F7F24">
        <w:t xml:space="preserve">below for discussion of </w:t>
      </w:r>
      <w:r w:rsidR="00353737" w:rsidRPr="003F7F24">
        <w:t>the change in proportion using cyclosporin)</w:t>
      </w:r>
      <w:r w:rsidRPr="003F7F24">
        <w:t>.</w:t>
      </w:r>
    </w:p>
    <w:p w:rsidR="00B60939" w:rsidRPr="00C9624D" w:rsidRDefault="00B60939" w:rsidP="008E256F">
      <w:pPr>
        <w:pStyle w:val="Heading2"/>
        <w:spacing w:after="120"/>
      </w:pPr>
      <w:bookmarkStart w:id="6" w:name="_Toc536019883"/>
      <w:r w:rsidRPr="00C9624D">
        <w:t>Comparative effectiveness</w:t>
      </w:r>
      <w:bookmarkEnd w:id="6"/>
    </w:p>
    <w:p w:rsidR="00FE3E4A" w:rsidRPr="0021510A" w:rsidRDefault="00673C7B" w:rsidP="008E256F">
      <w:pPr>
        <w:pStyle w:val="ListParagraph"/>
        <w:numPr>
          <w:ilvl w:val="1"/>
          <w:numId w:val="1"/>
        </w:numPr>
        <w:spacing w:after="120"/>
      </w:pPr>
      <w:r w:rsidRPr="0021510A">
        <w:t xml:space="preserve">The resubmission provided the results for the primary outcome of Trial P001, the proportion of patients with </w:t>
      </w:r>
      <w:r w:rsidR="00F47383" w:rsidRPr="0021510A">
        <w:t xml:space="preserve">the composite endpoint of </w:t>
      </w:r>
      <w:r w:rsidRPr="0021510A">
        <w:t>clinically significant CMV infection through Week 24 post-transplant</w:t>
      </w:r>
      <w:r w:rsidR="00034268" w:rsidRPr="0021510A">
        <w:t>,</w:t>
      </w:r>
      <w:r w:rsidRPr="0021510A">
        <w:t xml:space="preserve"> based on </w:t>
      </w:r>
      <w:r w:rsidR="00034268" w:rsidRPr="0021510A">
        <w:t xml:space="preserve">both </w:t>
      </w:r>
      <w:r w:rsidRPr="0021510A">
        <w:t>the non-completers=failure approach (failure defined as CMV infection, discontinuation or missing an outcome) and the data-as-observed approach (patients with missing values were excluded).</w:t>
      </w:r>
      <w:r w:rsidR="005859EC">
        <w:t xml:space="preserve"> </w:t>
      </w:r>
      <w:r w:rsidRPr="0021510A">
        <w:t xml:space="preserve">The analysis using the data-as-observed approach </w:t>
      </w:r>
      <w:r w:rsidR="00034268" w:rsidRPr="0021510A">
        <w:t>was</w:t>
      </w:r>
      <w:r w:rsidRPr="0021510A">
        <w:t xml:space="preserve"> not presented in the July 2018 submission. The table below provides the results for both approaches to missing data.</w:t>
      </w:r>
      <w:r w:rsidR="00AC3E6D" w:rsidRPr="0021510A">
        <w:t xml:space="preserve"> The ESC considered that the data-as-observed approach results were </w:t>
      </w:r>
      <w:r w:rsidR="00C104AA">
        <w:t>informative</w:t>
      </w:r>
      <w:r w:rsidR="00AC3E6D" w:rsidRPr="0021510A">
        <w:t xml:space="preserve"> but advised that decision making should be based on review of the complete dataset.</w:t>
      </w:r>
    </w:p>
    <w:p w:rsidR="001C2C23" w:rsidRDefault="001C2C23" w:rsidP="00610C0E">
      <w:pPr>
        <w:keepNext/>
      </w:pPr>
      <w:r w:rsidRPr="00401364">
        <w:rPr>
          <w:rFonts w:ascii="Arial Narrow" w:hAnsi="Arial Narrow"/>
          <w:b/>
          <w:sz w:val="20"/>
          <w:szCs w:val="20"/>
        </w:rPr>
        <w:lastRenderedPageBreak/>
        <w:t xml:space="preserve">Table </w:t>
      </w:r>
      <w:r w:rsidR="000D0E6D">
        <w:rPr>
          <w:rFonts w:ascii="Arial Narrow" w:hAnsi="Arial Narrow"/>
          <w:b/>
          <w:noProof/>
          <w:sz w:val="20"/>
          <w:szCs w:val="20"/>
        </w:rPr>
        <w:t>5</w:t>
      </w:r>
      <w:r w:rsidRPr="00DA01E0">
        <w:rPr>
          <w:rFonts w:ascii="Arial Narrow" w:hAnsi="Arial Narrow"/>
          <w:b/>
          <w:sz w:val="20"/>
          <w:szCs w:val="20"/>
        </w:rPr>
        <w:t>:</w:t>
      </w:r>
      <w:r w:rsidR="005859EC">
        <w:rPr>
          <w:rFonts w:ascii="Arial Narrow" w:hAnsi="Arial Narrow"/>
          <w:b/>
          <w:sz w:val="20"/>
          <w:szCs w:val="20"/>
        </w:rPr>
        <w:t xml:space="preserve"> </w:t>
      </w:r>
      <w:r w:rsidRPr="00DA01E0">
        <w:rPr>
          <w:rFonts w:ascii="Arial Narrow" w:hAnsi="Arial Narrow"/>
          <w:b/>
          <w:sz w:val="20"/>
          <w:szCs w:val="20"/>
        </w:rPr>
        <w:t>Results for the primary outcome in Trial P001 – proportion of patients with clinically significant CMV infection</w:t>
      </w:r>
    </w:p>
    <w:tbl>
      <w:tblPr>
        <w:tblStyle w:val="TableGrid"/>
        <w:tblW w:w="9072" w:type="dxa"/>
        <w:tblInd w:w="-5" w:type="dxa"/>
        <w:tblLook w:val="04A0" w:firstRow="1" w:lastRow="0" w:firstColumn="1" w:lastColumn="0" w:noHBand="0" w:noVBand="1"/>
        <w:tblCaption w:val="Table 5:  Results for the primary outcome in Trial P001 – proportion of patients with clinically significant CMV infection"/>
      </w:tblPr>
      <w:tblGrid>
        <w:gridCol w:w="4111"/>
        <w:gridCol w:w="2377"/>
        <w:gridCol w:w="2584"/>
      </w:tblGrid>
      <w:tr w:rsidR="00E31F2B" w:rsidRPr="00DA01E0" w:rsidTr="004F2BF9">
        <w:trPr>
          <w:tblHeader/>
        </w:trPr>
        <w:tc>
          <w:tcPr>
            <w:tcW w:w="4111" w:type="dxa"/>
            <w:vAlign w:val="center"/>
          </w:tcPr>
          <w:p w:rsidR="00E31F2B" w:rsidRPr="00DA01E0" w:rsidRDefault="00E31F2B" w:rsidP="00610C0E">
            <w:pPr>
              <w:keepNext/>
              <w:keepLines/>
              <w:tabs>
                <w:tab w:val="left" w:pos="167"/>
              </w:tabs>
              <w:jc w:val="left"/>
              <w:rPr>
                <w:rFonts w:ascii="Arial Narrow" w:hAnsi="Arial Narrow"/>
                <w:b/>
                <w:sz w:val="20"/>
                <w:szCs w:val="20"/>
              </w:rPr>
            </w:pPr>
          </w:p>
        </w:tc>
        <w:tc>
          <w:tcPr>
            <w:tcW w:w="2377" w:type="dxa"/>
            <w:vAlign w:val="center"/>
          </w:tcPr>
          <w:p w:rsidR="00E31F2B" w:rsidRDefault="00E31F2B" w:rsidP="00610C0E">
            <w:pPr>
              <w:keepNext/>
              <w:keepLines/>
              <w:jc w:val="center"/>
              <w:rPr>
                <w:rFonts w:ascii="Arial Narrow" w:hAnsi="Arial Narrow"/>
                <w:b/>
                <w:sz w:val="20"/>
                <w:szCs w:val="20"/>
              </w:rPr>
            </w:pPr>
            <w:r w:rsidRPr="00DA01E0">
              <w:rPr>
                <w:rFonts w:ascii="Arial Narrow" w:hAnsi="Arial Narrow"/>
                <w:b/>
                <w:sz w:val="20"/>
                <w:szCs w:val="20"/>
              </w:rPr>
              <w:t xml:space="preserve">Letermovir </w:t>
            </w:r>
            <w:r>
              <w:rPr>
                <w:rFonts w:ascii="Arial Narrow" w:hAnsi="Arial Narrow"/>
                <w:b/>
                <w:sz w:val="20"/>
                <w:szCs w:val="20"/>
              </w:rPr>
              <w:t>(</w:t>
            </w:r>
            <w:r w:rsidRPr="00DA01E0">
              <w:rPr>
                <w:rFonts w:ascii="Arial Narrow" w:hAnsi="Arial Narrow"/>
                <w:b/>
                <w:sz w:val="20"/>
                <w:szCs w:val="20"/>
              </w:rPr>
              <w:t>N=325</w:t>
            </w:r>
            <w:r>
              <w:rPr>
                <w:rFonts w:ascii="Arial Narrow" w:hAnsi="Arial Narrow"/>
                <w:b/>
                <w:sz w:val="20"/>
                <w:szCs w:val="20"/>
              </w:rPr>
              <w:t>)</w:t>
            </w:r>
          </w:p>
          <w:p w:rsidR="00E31F2B" w:rsidRPr="00DA01E0" w:rsidRDefault="00E31F2B" w:rsidP="00610C0E">
            <w:pPr>
              <w:keepNext/>
              <w:keepLines/>
              <w:jc w:val="center"/>
              <w:rPr>
                <w:rFonts w:ascii="Arial Narrow" w:hAnsi="Arial Narrow"/>
                <w:b/>
                <w:sz w:val="20"/>
                <w:szCs w:val="20"/>
              </w:rPr>
            </w:pPr>
            <w:r>
              <w:rPr>
                <w:rFonts w:ascii="Arial Narrow" w:hAnsi="Arial Narrow"/>
                <w:b/>
                <w:sz w:val="20"/>
                <w:szCs w:val="20"/>
              </w:rPr>
              <w:t>n %</w:t>
            </w:r>
          </w:p>
        </w:tc>
        <w:tc>
          <w:tcPr>
            <w:tcW w:w="2584" w:type="dxa"/>
            <w:vAlign w:val="center"/>
          </w:tcPr>
          <w:p w:rsidR="00E31F2B" w:rsidRDefault="00E31F2B" w:rsidP="00610C0E">
            <w:pPr>
              <w:keepNext/>
              <w:keepLines/>
              <w:jc w:val="center"/>
              <w:rPr>
                <w:rFonts w:ascii="Arial Narrow" w:hAnsi="Arial Narrow"/>
                <w:b/>
                <w:sz w:val="20"/>
                <w:szCs w:val="20"/>
              </w:rPr>
            </w:pPr>
            <w:r w:rsidRPr="00DA01E0">
              <w:rPr>
                <w:rFonts w:ascii="Arial Narrow" w:hAnsi="Arial Narrow"/>
                <w:b/>
                <w:sz w:val="20"/>
                <w:szCs w:val="20"/>
              </w:rPr>
              <w:t xml:space="preserve">Placebo </w:t>
            </w:r>
            <w:r>
              <w:rPr>
                <w:rFonts w:ascii="Arial Narrow" w:hAnsi="Arial Narrow"/>
                <w:b/>
                <w:sz w:val="20"/>
                <w:szCs w:val="20"/>
              </w:rPr>
              <w:t>(</w:t>
            </w:r>
            <w:r w:rsidRPr="00DA01E0">
              <w:rPr>
                <w:rFonts w:ascii="Arial Narrow" w:hAnsi="Arial Narrow"/>
                <w:b/>
                <w:sz w:val="20"/>
                <w:szCs w:val="20"/>
              </w:rPr>
              <w:t>N=170</w:t>
            </w:r>
            <w:r>
              <w:rPr>
                <w:rFonts w:ascii="Arial Narrow" w:hAnsi="Arial Narrow"/>
                <w:b/>
                <w:sz w:val="20"/>
                <w:szCs w:val="20"/>
              </w:rPr>
              <w:t>)</w:t>
            </w:r>
          </w:p>
          <w:p w:rsidR="00E31F2B" w:rsidRPr="00DA01E0" w:rsidRDefault="00E31F2B" w:rsidP="00610C0E">
            <w:pPr>
              <w:keepNext/>
              <w:keepLines/>
              <w:jc w:val="center"/>
              <w:rPr>
                <w:rFonts w:ascii="Arial Narrow" w:hAnsi="Arial Narrow"/>
                <w:b/>
                <w:sz w:val="20"/>
                <w:szCs w:val="20"/>
              </w:rPr>
            </w:pPr>
            <w:r>
              <w:rPr>
                <w:rFonts w:ascii="Arial Narrow" w:hAnsi="Arial Narrow"/>
                <w:b/>
                <w:sz w:val="20"/>
                <w:szCs w:val="20"/>
              </w:rPr>
              <w:t>n %</w:t>
            </w:r>
          </w:p>
        </w:tc>
      </w:tr>
      <w:tr w:rsidR="00E31F2B" w:rsidRPr="00F447A1" w:rsidTr="004F2BF9">
        <w:tc>
          <w:tcPr>
            <w:tcW w:w="9072" w:type="dxa"/>
            <w:gridSpan w:val="3"/>
            <w:vAlign w:val="center"/>
          </w:tcPr>
          <w:p w:rsidR="00E31F2B" w:rsidRPr="00F447A1" w:rsidRDefault="00E31F2B" w:rsidP="00610C0E">
            <w:pPr>
              <w:keepNext/>
              <w:keepLines/>
              <w:jc w:val="left"/>
              <w:rPr>
                <w:rFonts w:ascii="Arial Narrow" w:hAnsi="Arial Narrow"/>
                <w:b/>
                <w:sz w:val="20"/>
                <w:szCs w:val="20"/>
              </w:rPr>
            </w:pPr>
            <w:r>
              <w:rPr>
                <w:rFonts w:ascii="Arial Narrow" w:hAnsi="Arial Narrow"/>
                <w:b/>
                <w:sz w:val="20"/>
                <w:szCs w:val="20"/>
              </w:rPr>
              <w:t>Non-completers=failure approach</w:t>
            </w:r>
            <w:r w:rsidRPr="00885433">
              <w:rPr>
                <w:rFonts w:ascii="Arial Narrow" w:hAnsi="Arial Narrow"/>
                <w:b/>
                <w:sz w:val="20"/>
                <w:szCs w:val="20"/>
                <w:vertAlign w:val="superscript"/>
              </w:rPr>
              <w:t>a</w:t>
            </w:r>
          </w:p>
        </w:tc>
      </w:tr>
      <w:tr w:rsidR="00E31F2B" w:rsidRPr="00DA01E0" w:rsidTr="004F2BF9">
        <w:tc>
          <w:tcPr>
            <w:tcW w:w="4111" w:type="dxa"/>
            <w:vAlign w:val="center"/>
          </w:tcPr>
          <w:p w:rsidR="00E31F2B" w:rsidRPr="00DA01E0"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Clinically significant CMV infection by Week 24</w:t>
            </w:r>
          </w:p>
        </w:tc>
        <w:tc>
          <w:tcPr>
            <w:tcW w:w="2377"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57 (17.5%)</w:t>
            </w:r>
          </w:p>
        </w:tc>
        <w:tc>
          <w:tcPr>
            <w:tcW w:w="2584"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71 (41.8%)</w:t>
            </w:r>
          </w:p>
        </w:tc>
      </w:tr>
      <w:tr w:rsidR="00E31F2B" w:rsidRPr="00DA01E0" w:rsidTr="004F2BF9">
        <w:tc>
          <w:tcPr>
            <w:tcW w:w="4111" w:type="dxa"/>
            <w:vAlign w:val="center"/>
          </w:tcPr>
          <w:p w:rsidR="00E31F2B" w:rsidRPr="00DA01E0"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ab/>
              <w:t>Initiation of PET</w:t>
            </w:r>
          </w:p>
        </w:tc>
        <w:tc>
          <w:tcPr>
            <w:tcW w:w="2377"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52 (16.0%)</w:t>
            </w:r>
          </w:p>
        </w:tc>
        <w:tc>
          <w:tcPr>
            <w:tcW w:w="2584"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68 (40.0%)</w:t>
            </w:r>
          </w:p>
        </w:tc>
      </w:tr>
      <w:tr w:rsidR="00E31F2B" w:rsidRPr="00DA01E0" w:rsidTr="004F2BF9">
        <w:tc>
          <w:tcPr>
            <w:tcW w:w="4111" w:type="dxa"/>
            <w:vAlign w:val="center"/>
          </w:tcPr>
          <w:p w:rsidR="00E31F2B" w:rsidRPr="00DA01E0"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ab/>
              <w:t>CMV end-organ disease</w:t>
            </w:r>
          </w:p>
        </w:tc>
        <w:tc>
          <w:tcPr>
            <w:tcW w:w="2377"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5 (1.5%)</w:t>
            </w:r>
          </w:p>
        </w:tc>
        <w:tc>
          <w:tcPr>
            <w:tcW w:w="2584"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3 (1.8%)</w:t>
            </w:r>
          </w:p>
        </w:tc>
      </w:tr>
      <w:tr w:rsidR="00E31F2B" w:rsidRPr="00DA01E0" w:rsidTr="004F2BF9">
        <w:tc>
          <w:tcPr>
            <w:tcW w:w="4111" w:type="dxa"/>
            <w:vAlign w:val="center"/>
          </w:tcPr>
          <w:p w:rsidR="00E31F2B" w:rsidRPr="00DA01E0"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Discontinued before Week 24</w:t>
            </w:r>
          </w:p>
        </w:tc>
        <w:tc>
          <w:tcPr>
            <w:tcW w:w="2377"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56 (17.2%)</w:t>
            </w:r>
          </w:p>
        </w:tc>
        <w:tc>
          <w:tcPr>
            <w:tcW w:w="2584"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27 (15.9%)</w:t>
            </w:r>
          </w:p>
        </w:tc>
      </w:tr>
      <w:tr w:rsidR="00E31F2B" w:rsidRPr="00DA01E0" w:rsidTr="004F2BF9">
        <w:tc>
          <w:tcPr>
            <w:tcW w:w="4111" w:type="dxa"/>
            <w:vAlign w:val="center"/>
          </w:tcPr>
          <w:p w:rsidR="00E31F2B" w:rsidRPr="00DA01E0"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Missing outcome in Week 24 visit window</w:t>
            </w:r>
          </w:p>
        </w:tc>
        <w:tc>
          <w:tcPr>
            <w:tcW w:w="2377"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9 (2.8%)</w:t>
            </w:r>
          </w:p>
        </w:tc>
        <w:tc>
          <w:tcPr>
            <w:tcW w:w="2584"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5 (2.9%)</w:t>
            </w:r>
          </w:p>
        </w:tc>
      </w:tr>
      <w:tr w:rsidR="00E31F2B" w:rsidRPr="00DA01E0" w:rsidTr="004F2BF9">
        <w:tc>
          <w:tcPr>
            <w:tcW w:w="4111" w:type="dxa"/>
            <w:vAlign w:val="center"/>
          </w:tcPr>
          <w:p w:rsidR="00E31F2B" w:rsidRPr="00DA01E0"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Total failures</w:t>
            </w:r>
            <w:r w:rsidRPr="0056015E">
              <w:rPr>
                <w:rFonts w:ascii="Arial Narrow" w:hAnsi="Arial Narrow"/>
                <w:sz w:val="20"/>
                <w:szCs w:val="20"/>
                <w:vertAlign w:val="superscript"/>
              </w:rPr>
              <w:t>a</w:t>
            </w:r>
          </w:p>
        </w:tc>
        <w:tc>
          <w:tcPr>
            <w:tcW w:w="2377"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122 (37.5%)</w:t>
            </w:r>
          </w:p>
        </w:tc>
        <w:tc>
          <w:tcPr>
            <w:tcW w:w="2584" w:type="dxa"/>
            <w:vAlign w:val="center"/>
          </w:tcPr>
          <w:p w:rsidR="00E31F2B" w:rsidRPr="00DA01E0" w:rsidRDefault="00E31F2B" w:rsidP="00610C0E">
            <w:pPr>
              <w:keepNext/>
              <w:keepLines/>
              <w:jc w:val="center"/>
              <w:rPr>
                <w:rFonts w:ascii="Arial Narrow" w:hAnsi="Arial Narrow"/>
                <w:sz w:val="20"/>
                <w:szCs w:val="20"/>
              </w:rPr>
            </w:pPr>
            <w:r>
              <w:rPr>
                <w:rFonts w:ascii="Arial Narrow" w:hAnsi="Arial Narrow"/>
                <w:sz w:val="20"/>
                <w:szCs w:val="20"/>
              </w:rPr>
              <w:t>103 (60.6%)</w:t>
            </w:r>
          </w:p>
        </w:tc>
      </w:tr>
      <w:tr w:rsidR="00E31F2B" w:rsidTr="004F2BF9">
        <w:tc>
          <w:tcPr>
            <w:tcW w:w="4111" w:type="dxa"/>
            <w:vAlign w:val="center"/>
          </w:tcPr>
          <w:p w:rsidR="00E31F2B" w:rsidRDefault="00E31F2B" w:rsidP="00610C0E">
            <w:pPr>
              <w:keepNext/>
              <w:keepLines/>
              <w:tabs>
                <w:tab w:val="left" w:pos="167"/>
              </w:tabs>
              <w:jc w:val="left"/>
              <w:rPr>
                <w:rFonts w:ascii="Arial Narrow" w:hAnsi="Arial Narrow"/>
                <w:sz w:val="20"/>
                <w:szCs w:val="20"/>
              </w:rPr>
            </w:pPr>
            <w:r w:rsidRPr="0056015E">
              <w:rPr>
                <w:rFonts w:ascii="Arial Narrow" w:hAnsi="Arial Narrow"/>
                <w:b/>
                <w:sz w:val="20"/>
                <w:szCs w:val="20"/>
              </w:rPr>
              <w:t>Stratum-adjusted treatment difference (95% CI)</w:t>
            </w:r>
          </w:p>
        </w:tc>
        <w:tc>
          <w:tcPr>
            <w:tcW w:w="4961" w:type="dxa"/>
            <w:gridSpan w:val="2"/>
            <w:vAlign w:val="center"/>
          </w:tcPr>
          <w:p w:rsidR="00E31F2B" w:rsidRDefault="00E31F2B" w:rsidP="00610C0E">
            <w:pPr>
              <w:keepNext/>
              <w:keepLines/>
              <w:jc w:val="center"/>
              <w:rPr>
                <w:rFonts w:ascii="Arial Narrow" w:hAnsi="Arial Narrow"/>
                <w:sz w:val="20"/>
                <w:szCs w:val="20"/>
              </w:rPr>
            </w:pPr>
            <w:r w:rsidRPr="0056015E">
              <w:rPr>
                <w:rFonts w:ascii="Arial Narrow" w:hAnsi="Arial Narrow"/>
                <w:b/>
                <w:sz w:val="20"/>
                <w:szCs w:val="20"/>
              </w:rPr>
              <w:t>-23.5 (-32.5, -14.6)</w:t>
            </w:r>
          </w:p>
        </w:tc>
      </w:tr>
      <w:tr w:rsidR="00E31F2B" w:rsidTr="004F2BF9">
        <w:tc>
          <w:tcPr>
            <w:tcW w:w="4111" w:type="dxa"/>
            <w:vAlign w:val="center"/>
          </w:tcPr>
          <w:p w:rsidR="00E31F2B" w:rsidRDefault="00E31F2B" w:rsidP="00610C0E">
            <w:pPr>
              <w:keepNext/>
              <w:keepLines/>
              <w:tabs>
                <w:tab w:val="left" w:pos="167"/>
              </w:tabs>
              <w:jc w:val="left"/>
              <w:rPr>
                <w:rFonts w:ascii="Arial Narrow" w:hAnsi="Arial Narrow"/>
                <w:sz w:val="20"/>
                <w:szCs w:val="20"/>
              </w:rPr>
            </w:pPr>
            <w:r>
              <w:rPr>
                <w:rFonts w:ascii="Arial Narrow" w:hAnsi="Arial Narrow"/>
                <w:b/>
                <w:sz w:val="20"/>
                <w:szCs w:val="20"/>
              </w:rPr>
              <w:t>Data-as-observed approach</w:t>
            </w:r>
            <w:r w:rsidRPr="00885433">
              <w:rPr>
                <w:rFonts w:ascii="Arial Narrow" w:hAnsi="Arial Narrow"/>
                <w:b/>
                <w:sz w:val="20"/>
                <w:szCs w:val="20"/>
                <w:vertAlign w:val="superscript"/>
              </w:rPr>
              <w:t>b</w:t>
            </w:r>
          </w:p>
        </w:tc>
        <w:tc>
          <w:tcPr>
            <w:tcW w:w="2377" w:type="dxa"/>
            <w:vAlign w:val="center"/>
          </w:tcPr>
          <w:p w:rsidR="00E31F2B" w:rsidRDefault="00E31F2B" w:rsidP="00610C0E">
            <w:pPr>
              <w:keepNext/>
              <w:keepLines/>
              <w:jc w:val="center"/>
              <w:rPr>
                <w:rFonts w:ascii="Arial Narrow" w:hAnsi="Arial Narrow"/>
                <w:b/>
                <w:sz w:val="20"/>
                <w:szCs w:val="20"/>
              </w:rPr>
            </w:pPr>
            <w:r w:rsidRPr="00DA01E0">
              <w:rPr>
                <w:rFonts w:ascii="Arial Narrow" w:hAnsi="Arial Narrow"/>
                <w:b/>
                <w:sz w:val="20"/>
                <w:szCs w:val="20"/>
              </w:rPr>
              <w:t xml:space="preserve">Letermovir </w:t>
            </w:r>
            <w:r>
              <w:rPr>
                <w:rFonts w:ascii="Arial Narrow" w:hAnsi="Arial Narrow"/>
                <w:b/>
                <w:sz w:val="20"/>
                <w:szCs w:val="20"/>
              </w:rPr>
              <w:t>(</w:t>
            </w:r>
            <w:r w:rsidRPr="00DA01E0">
              <w:rPr>
                <w:rFonts w:ascii="Arial Narrow" w:hAnsi="Arial Narrow"/>
                <w:b/>
                <w:sz w:val="20"/>
                <w:szCs w:val="20"/>
              </w:rPr>
              <w:t>N=</w:t>
            </w:r>
            <w:r>
              <w:rPr>
                <w:rFonts w:ascii="Arial Narrow" w:hAnsi="Arial Narrow"/>
                <w:b/>
                <w:sz w:val="20"/>
                <w:szCs w:val="20"/>
              </w:rPr>
              <w:t>260)</w:t>
            </w:r>
          </w:p>
          <w:p w:rsidR="00E31F2B" w:rsidRDefault="00E31F2B" w:rsidP="00610C0E">
            <w:pPr>
              <w:keepNext/>
              <w:keepLines/>
              <w:jc w:val="center"/>
              <w:rPr>
                <w:rFonts w:ascii="Arial Narrow" w:hAnsi="Arial Narrow"/>
                <w:sz w:val="20"/>
                <w:szCs w:val="20"/>
              </w:rPr>
            </w:pPr>
            <w:r>
              <w:rPr>
                <w:rFonts w:ascii="Arial Narrow" w:hAnsi="Arial Narrow"/>
                <w:b/>
                <w:sz w:val="20"/>
                <w:szCs w:val="20"/>
              </w:rPr>
              <w:t>n %</w:t>
            </w:r>
          </w:p>
        </w:tc>
        <w:tc>
          <w:tcPr>
            <w:tcW w:w="2584" w:type="dxa"/>
            <w:vAlign w:val="center"/>
          </w:tcPr>
          <w:p w:rsidR="00E31F2B" w:rsidRDefault="00E31F2B" w:rsidP="00610C0E">
            <w:pPr>
              <w:keepNext/>
              <w:keepLines/>
              <w:jc w:val="center"/>
              <w:rPr>
                <w:rFonts w:ascii="Arial Narrow" w:hAnsi="Arial Narrow"/>
                <w:b/>
                <w:sz w:val="20"/>
                <w:szCs w:val="20"/>
              </w:rPr>
            </w:pPr>
            <w:r w:rsidRPr="00DA01E0">
              <w:rPr>
                <w:rFonts w:ascii="Arial Narrow" w:hAnsi="Arial Narrow"/>
                <w:b/>
                <w:sz w:val="20"/>
                <w:szCs w:val="20"/>
              </w:rPr>
              <w:t xml:space="preserve">Placebo </w:t>
            </w:r>
            <w:r>
              <w:rPr>
                <w:rFonts w:ascii="Arial Narrow" w:hAnsi="Arial Narrow"/>
                <w:b/>
                <w:sz w:val="20"/>
                <w:szCs w:val="20"/>
              </w:rPr>
              <w:t>(</w:t>
            </w:r>
            <w:r w:rsidRPr="00DA01E0">
              <w:rPr>
                <w:rFonts w:ascii="Arial Narrow" w:hAnsi="Arial Narrow"/>
                <w:b/>
                <w:sz w:val="20"/>
                <w:szCs w:val="20"/>
              </w:rPr>
              <w:t>N=1</w:t>
            </w:r>
            <w:r>
              <w:rPr>
                <w:rFonts w:ascii="Arial Narrow" w:hAnsi="Arial Narrow"/>
                <w:b/>
                <w:sz w:val="20"/>
                <w:szCs w:val="20"/>
              </w:rPr>
              <w:t>38)</w:t>
            </w:r>
          </w:p>
          <w:p w:rsidR="00E31F2B" w:rsidRDefault="00E31F2B" w:rsidP="00610C0E">
            <w:pPr>
              <w:keepNext/>
              <w:keepLines/>
              <w:jc w:val="center"/>
              <w:rPr>
                <w:rFonts w:ascii="Arial Narrow" w:hAnsi="Arial Narrow"/>
                <w:sz w:val="20"/>
                <w:szCs w:val="20"/>
              </w:rPr>
            </w:pPr>
            <w:r>
              <w:rPr>
                <w:rFonts w:ascii="Arial Narrow" w:hAnsi="Arial Narrow"/>
                <w:b/>
                <w:sz w:val="20"/>
                <w:szCs w:val="20"/>
              </w:rPr>
              <w:t>n %</w:t>
            </w:r>
          </w:p>
        </w:tc>
      </w:tr>
      <w:tr w:rsidR="00E31F2B" w:rsidTr="004F2BF9">
        <w:tc>
          <w:tcPr>
            <w:tcW w:w="4111" w:type="dxa"/>
            <w:vAlign w:val="center"/>
          </w:tcPr>
          <w:p w:rsidR="00E31F2B"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Clinically significant CMV infection by Week 24</w:t>
            </w:r>
          </w:p>
        </w:tc>
        <w:tc>
          <w:tcPr>
            <w:tcW w:w="2377" w:type="dxa"/>
            <w:vAlign w:val="center"/>
          </w:tcPr>
          <w:p w:rsidR="00E31F2B" w:rsidRDefault="00E31F2B" w:rsidP="00610C0E">
            <w:pPr>
              <w:keepNext/>
              <w:keepLines/>
              <w:jc w:val="center"/>
              <w:rPr>
                <w:rFonts w:ascii="Arial Narrow" w:hAnsi="Arial Narrow"/>
                <w:sz w:val="20"/>
                <w:szCs w:val="20"/>
              </w:rPr>
            </w:pPr>
            <w:r>
              <w:rPr>
                <w:rFonts w:ascii="Arial Narrow" w:hAnsi="Arial Narrow"/>
                <w:sz w:val="20"/>
                <w:szCs w:val="20"/>
              </w:rPr>
              <w:t>57 (21.9%)</w:t>
            </w:r>
          </w:p>
        </w:tc>
        <w:tc>
          <w:tcPr>
            <w:tcW w:w="2584" w:type="dxa"/>
            <w:vAlign w:val="center"/>
          </w:tcPr>
          <w:p w:rsidR="00E31F2B" w:rsidRDefault="00E31F2B" w:rsidP="00610C0E">
            <w:pPr>
              <w:keepNext/>
              <w:keepLines/>
              <w:jc w:val="center"/>
              <w:rPr>
                <w:rFonts w:ascii="Arial Narrow" w:hAnsi="Arial Narrow"/>
                <w:sz w:val="20"/>
                <w:szCs w:val="20"/>
              </w:rPr>
            </w:pPr>
            <w:r>
              <w:rPr>
                <w:rFonts w:ascii="Arial Narrow" w:hAnsi="Arial Narrow"/>
                <w:sz w:val="20"/>
                <w:szCs w:val="20"/>
              </w:rPr>
              <w:t>71 (51.4%)</w:t>
            </w:r>
          </w:p>
        </w:tc>
      </w:tr>
      <w:tr w:rsidR="00E31F2B" w:rsidTr="004F2BF9">
        <w:tc>
          <w:tcPr>
            <w:tcW w:w="4111" w:type="dxa"/>
            <w:vAlign w:val="center"/>
          </w:tcPr>
          <w:p w:rsidR="00E31F2B"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ab/>
              <w:t>Initiation of PET</w:t>
            </w:r>
          </w:p>
        </w:tc>
        <w:tc>
          <w:tcPr>
            <w:tcW w:w="2377" w:type="dxa"/>
            <w:vAlign w:val="center"/>
          </w:tcPr>
          <w:p w:rsidR="00E31F2B" w:rsidRDefault="00E31F2B" w:rsidP="00610C0E">
            <w:pPr>
              <w:keepNext/>
              <w:keepLines/>
              <w:jc w:val="center"/>
              <w:rPr>
                <w:rFonts w:ascii="Arial Narrow" w:hAnsi="Arial Narrow"/>
                <w:sz w:val="20"/>
                <w:szCs w:val="20"/>
              </w:rPr>
            </w:pPr>
            <w:r>
              <w:rPr>
                <w:rFonts w:ascii="Arial Narrow" w:hAnsi="Arial Narrow"/>
                <w:sz w:val="20"/>
                <w:szCs w:val="20"/>
              </w:rPr>
              <w:t>52 (20.0%)</w:t>
            </w:r>
          </w:p>
        </w:tc>
        <w:tc>
          <w:tcPr>
            <w:tcW w:w="2584" w:type="dxa"/>
            <w:vAlign w:val="center"/>
          </w:tcPr>
          <w:p w:rsidR="00E31F2B" w:rsidRDefault="00E31F2B" w:rsidP="00610C0E">
            <w:pPr>
              <w:keepNext/>
              <w:keepLines/>
              <w:jc w:val="center"/>
              <w:rPr>
                <w:rFonts w:ascii="Arial Narrow" w:hAnsi="Arial Narrow"/>
                <w:sz w:val="20"/>
                <w:szCs w:val="20"/>
              </w:rPr>
            </w:pPr>
            <w:r>
              <w:rPr>
                <w:rFonts w:ascii="Arial Narrow" w:hAnsi="Arial Narrow"/>
                <w:sz w:val="20"/>
                <w:szCs w:val="20"/>
              </w:rPr>
              <w:t>68 (49.3%)</w:t>
            </w:r>
          </w:p>
        </w:tc>
      </w:tr>
      <w:tr w:rsidR="00E31F2B" w:rsidTr="004F2BF9">
        <w:tc>
          <w:tcPr>
            <w:tcW w:w="4111" w:type="dxa"/>
            <w:tcBorders>
              <w:bottom w:val="single" w:sz="4" w:space="0" w:color="auto"/>
            </w:tcBorders>
            <w:vAlign w:val="center"/>
          </w:tcPr>
          <w:p w:rsidR="00E31F2B" w:rsidRDefault="00E31F2B" w:rsidP="00610C0E">
            <w:pPr>
              <w:keepNext/>
              <w:keepLines/>
              <w:tabs>
                <w:tab w:val="left" w:pos="167"/>
              </w:tabs>
              <w:jc w:val="left"/>
              <w:rPr>
                <w:rFonts w:ascii="Arial Narrow" w:hAnsi="Arial Narrow"/>
                <w:sz w:val="20"/>
                <w:szCs w:val="20"/>
              </w:rPr>
            </w:pPr>
            <w:r>
              <w:rPr>
                <w:rFonts w:ascii="Arial Narrow" w:hAnsi="Arial Narrow"/>
                <w:sz w:val="20"/>
                <w:szCs w:val="20"/>
              </w:rPr>
              <w:tab/>
              <w:t>CMV end-organ disease</w:t>
            </w:r>
          </w:p>
        </w:tc>
        <w:tc>
          <w:tcPr>
            <w:tcW w:w="2377" w:type="dxa"/>
            <w:tcBorders>
              <w:bottom w:val="single" w:sz="4" w:space="0" w:color="auto"/>
            </w:tcBorders>
            <w:vAlign w:val="center"/>
          </w:tcPr>
          <w:p w:rsidR="00E31F2B" w:rsidRDefault="00E31F2B" w:rsidP="00610C0E">
            <w:pPr>
              <w:keepNext/>
              <w:keepLines/>
              <w:jc w:val="center"/>
              <w:rPr>
                <w:rFonts w:ascii="Arial Narrow" w:hAnsi="Arial Narrow"/>
                <w:sz w:val="20"/>
                <w:szCs w:val="20"/>
              </w:rPr>
            </w:pPr>
            <w:r>
              <w:rPr>
                <w:rFonts w:ascii="Arial Narrow" w:hAnsi="Arial Narrow"/>
                <w:sz w:val="20"/>
                <w:szCs w:val="20"/>
              </w:rPr>
              <w:t>5 (1.9%)</w:t>
            </w:r>
          </w:p>
        </w:tc>
        <w:tc>
          <w:tcPr>
            <w:tcW w:w="2584" w:type="dxa"/>
            <w:tcBorders>
              <w:bottom w:val="single" w:sz="4" w:space="0" w:color="auto"/>
            </w:tcBorders>
            <w:vAlign w:val="center"/>
          </w:tcPr>
          <w:p w:rsidR="00E31F2B" w:rsidRDefault="00E31F2B" w:rsidP="00610C0E">
            <w:pPr>
              <w:keepNext/>
              <w:keepLines/>
              <w:jc w:val="center"/>
              <w:rPr>
                <w:rFonts w:ascii="Arial Narrow" w:hAnsi="Arial Narrow"/>
                <w:sz w:val="20"/>
                <w:szCs w:val="20"/>
              </w:rPr>
            </w:pPr>
            <w:r>
              <w:rPr>
                <w:rFonts w:ascii="Arial Narrow" w:hAnsi="Arial Narrow"/>
                <w:sz w:val="20"/>
                <w:szCs w:val="20"/>
              </w:rPr>
              <w:t>3 (2.2%)</w:t>
            </w:r>
          </w:p>
        </w:tc>
      </w:tr>
      <w:tr w:rsidR="00E31F2B" w:rsidRPr="00541BF8" w:rsidTr="004F2BF9">
        <w:tc>
          <w:tcPr>
            <w:tcW w:w="4111" w:type="dxa"/>
            <w:vAlign w:val="center"/>
          </w:tcPr>
          <w:p w:rsidR="00E31F2B" w:rsidRDefault="00E31F2B" w:rsidP="00610C0E">
            <w:pPr>
              <w:keepNext/>
              <w:keepLines/>
              <w:tabs>
                <w:tab w:val="left" w:pos="167"/>
              </w:tabs>
              <w:jc w:val="left"/>
              <w:rPr>
                <w:rFonts w:ascii="Arial Narrow" w:hAnsi="Arial Narrow"/>
                <w:sz w:val="20"/>
                <w:szCs w:val="20"/>
              </w:rPr>
            </w:pPr>
            <w:r w:rsidRPr="0056015E">
              <w:rPr>
                <w:rFonts w:ascii="Arial Narrow" w:hAnsi="Arial Narrow"/>
                <w:b/>
                <w:sz w:val="20"/>
                <w:szCs w:val="20"/>
              </w:rPr>
              <w:t>Stratum-adjusted treatment difference (95% CI)</w:t>
            </w:r>
          </w:p>
        </w:tc>
        <w:tc>
          <w:tcPr>
            <w:tcW w:w="4961" w:type="dxa"/>
            <w:gridSpan w:val="2"/>
            <w:vAlign w:val="center"/>
          </w:tcPr>
          <w:p w:rsidR="00E31F2B" w:rsidRPr="00541BF8" w:rsidRDefault="00E31F2B" w:rsidP="00610C0E">
            <w:pPr>
              <w:keepNext/>
              <w:keepLines/>
              <w:jc w:val="center"/>
              <w:rPr>
                <w:rFonts w:ascii="Arial Narrow" w:hAnsi="Arial Narrow"/>
                <w:b/>
                <w:sz w:val="20"/>
                <w:szCs w:val="20"/>
              </w:rPr>
            </w:pPr>
            <w:r w:rsidRPr="00541BF8">
              <w:rPr>
                <w:rFonts w:ascii="Arial Narrow" w:hAnsi="Arial Narrow"/>
                <w:b/>
                <w:sz w:val="20"/>
                <w:szCs w:val="20"/>
              </w:rPr>
              <w:t>-30.7 (-40.3, -21.0)</w:t>
            </w:r>
          </w:p>
        </w:tc>
      </w:tr>
    </w:tbl>
    <w:p w:rsidR="002334D2" w:rsidRDefault="002334D2" w:rsidP="00610C0E">
      <w:pPr>
        <w:pStyle w:val="TableFooter"/>
        <w:keepNext/>
        <w:keepLines/>
        <w:tabs>
          <w:tab w:val="left" w:pos="142"/>
        </w:tabs>
        <w:ind w:left="142" w:hanging="142"/>
      </w:pPr>
      <w:r w:rsidRPr="00160BA5">
        <w:rPr>
          <w:vertAlign w:val="superscript"/>
        </w:rPr>
        <w:t>a</w:t>
      </w:r>
      <w:r w:rsidRPr="0056015E">
        <w:tab/>
        <w:t>As the analysis assumed non-completers</w:t>
      </w:r>
      <w:r w:rsidR="00BA150C">
        <w:t>=</w:t>
      </w:r>
      <w:r w:rsidRPr="0056015E">
        <w:t>failure, this total includes patients with CMV infection as well as those who discontinued or were missing outcome data at Week 24.</w:t>
      </w:r>
    </w:p>
    <w:p w:rsidR="002334D2" w:rsidRPr="0056015E" w:rsidRDefault="002334D2" w:rsidP="00610C0E">
      <w:pPr>
        <w:pStyle w:val="TableFooter"/>
        <w:keepNext/>
        <w:keepLines/>
        <w:tabs>
          <w:tab w:val="left" w:pos="142"/>
        </w:tabs>
        <w:ind w:left="142" w:hanging="142"/>
      </w:pPr>
      <w:r>
        <w:rPr>
          <w:vertAlign w:val="superscript"/>
        </w:rPr>
        <w:t>b</w:t>
      </w:r>
      <w:r w:rsidRPr="0056015E">
        <w:tab/>
      </w:r>
      <w:r>
        <w:t>Any patient with a missing value was excluded from the analysis.</w:t>
      </w:r>
    </w:p>
    <w:p w:rsidR="002334D2" w:rsidRDefault="002334D2" w:rsidP="00610C0E">
      <w:pPr>
        <w:pStyle w:val="TableFooter"/>
        <w:keepNext/>
        <w:keepLines/>
      </w:pPr>
      <w:r>
        <w:t xml:space="preserve">CI=confidence interval; CMV=cytomegalovirus; PET=pre-emptive therapy; </w:t>
      </w:r>
      <w:r w:rsidRPr="0056015E">
        <w:rPr>
          <w:b/>
        </w:rPr>
        <w:t>bold</w:t>
      </w:r>
      <w:r>
        <w:t>=statistically significant</w:t>
      </w:r>
    </w:p>
    <w:p w:rsidR="001C2C23" w:rsidRDefault="002334D2" w:rsidP="00610C0E">
      <w:pPr>
        <w:pStyle w:val="TableFooter"/>
      </w:pPr>
      <w:r>
        <w:t>Source:</w:t>
      </w:r>
      <w:r w:rsidR="005859EC">
        <w:t xml:space="preserve"> </w:t>
      </w:r>
      <w:r>
        <w:t>Table 2-9, p45 and Table 2-10, p46 of the resubmission.</w:t>
      </w:r>
    </w:p>
    <w:p w:rsidR="00034268" w:rsidRPr="003F7F24" w:rsidRDefault="008B4246" w:rsidP="00E0683E">
      <w:pPr>
        <w:pStyle w:val="ListParagraph"/>
        <w:numPr>
          <w:ilvl w:val="1"/>
          <w:numId w:val="1"/>
        </w:numPr>
        <w:spacing w:before="120" w:after="120"/>
      </w:pPr>
      <w:r w:rsidRPr="003F7F24">
        <w:t>With the analyses adjusted for low- and high-risk patients (risk of CMV reactivation) both approaches demonstrated a statistically significant lower risk of CMV infection for patients treated with letermovir.</w:t>
      </w:r>
      <w:r w:rsidR="005859EC">
        <w:t xml:space="preserve"> </w:t>
      </w:r>
    </w:p>
    <w:p w:rsidR="001C2C23" w:rsidRPr="003F7F24" w:rsidRDefault="00034268" w:rsidP="00E0683E">
      <w:pPr>
        <w:pStyle w:val="ListParagraph"/>
        <w:numPr>
          <w:ilvl w:val="1"/>
          <w:numId w:val="1"/>
        </w:numPr>
        <w:spacing w:before="120" w:after="120"/>
      </w:pPr>
      <w:r w:rsidRPr="003F7F24">
        <w:t>T</w:t>
      </w:r>
      <w:r w:rsidR="008B4246" w:rsidRPr="003F7F24">
        <w:t xml:space="preserve">he non-completers=failure approach </w:t>
      </w:r>
      <w:r w:rsidRPr="003F7F24">
        <w:t xml:space="preserve">was </w:t>
      </w:r>
      <w:r w:rsidR="008B4246" w:rsidRPr="003F7F24">
        <w:t>used as the primary approach for missing data</w:t>
      </w:r>
      <w:r w:rsidRPr="003F7F24">
        <w:t>.</w:t>
      </w:r>
      <w:r w:rsidR="005859EC">
        <w:t xml:space="preserve"> </w:t>
      </w:r>
      <w:r w:rsidRPr="003F7F24">
        <w:t>Based on this approach</w:t>
      </w:r>
      <w:r w:rsidR="008B4246" w:rsidRPr="003F7F24">
        <w:t>, the proportion with CMV infection was 17.5% in the letermovir group and 41.8% in the placebo group.</w:t>
      </w:r>
      <w:r w:rsidR="005859EC">
        <w:t xml:space="preserve"> </w:t>
      </w:r>
      <w:r w:rsidR="00082877">
        <w:t>C</w:t>
      </w:r>
      <w:r w:rsidR="008B4246" w:rsidRPr="003F7F24">
        <w:t>linically significant CMV infection was a composite outcome including (i) onset of CMV end-organ disease and (ii) initiation of PET.</w:t>
      </w:r>
      <w:r w:rsidR="005859EC">
        <w:t xml:space="preserve"> </w:t>
      </w:r>
      <w:r w:rsidRPr="003F7F24">
        <w:t xml:space="preserve">The </w:t>
      </w:r>
      <w:r w:rsidR="008B4246" w:rsidRPr="003F7F24">
        <w:t xml:space="preserve">PBAC </w:t>
      </w:r>
      <w:r w:rsidR="00082877">
        <w:t xml:space="preserve">previously </w:t>
      </w:r>
      <w:r w:rsidR="008B4246" w:rsidRPr="003F7F24">
        <w:t xml:space="preserve">noted that the decrease in CMV infection associated with letermovir was due to a difference in </w:t>
      </w:r>
      <w:r w:rsidRPr="003F7F24">
        <w:t xml:space="preserve">the </w:t>
      </w:r>
      <w:r w:rsidR="008B4246" w:rsidRPr="003F7F24">
        <w:t>proportion of patients requiring PET (40.0% for letermovir versus 16.0% for placebo) but not the proportion with end-organ disease (1.8% versus 1.5</w:t>
      </w:r>
      <w:r w:rsidR="00800FC3" w:rsidRPr="003F7F24">
        <w:t xml:space="preserve">%). </w:t>
      </w:r>
      <w:r w:rsidR="008B4246" w:rsidRPr="003F7F24">
        <w:t xml:space="preserve">As such, the difference between letermovir and placebo for proportion with clinically significant CMV infection </w:t>
      </w:r>
      <w:r w:rsidR="00082877">
        <w:t>was</w:t>
      </w:r>
      <w:r w:rsidR="008B4246" w:rsidRPr="003F7F24">
        <w:t xml:space="preserve"> </w:t>
      </w:r>
      <w:r w:rsidR="00082877">
        <w:t>due to</w:t>
      </w:r>
      <w:r w:rsidR="008B4246" w:rsidRPr="003F7F24">
        <w:t xml:space="preserve"> the difference in use of PET for CMV viraemia.</w:t>
      </w:r>
    </w:p>
    <w:p w:rsidR="00E0683E" w:rsidRDefault="0003192F" w:rsidP="00E0683E">
      <w:pPr>
        <w:pStyle w:val="ListParagraph"/>
        <w:numPr>
          <w:ilvl w:val="1"/>
          <w:numId w:val="1"/>
        </w:numPr>
        <w:spacing w:before="120" w:after="120"/>
      </w:pPr>
      <w:r>
        <w:t>The resubmission provided a comparison of the initiation of PET, using the non-completer=failure approach, which demonstrated that a statistically significantly smaller proportion of letermovir-treated patients initiated PET.</w:t>
      </w:r>
      <w:r w:rsidR="005859EC">
        <w:t xml:space="preserve"> </w:t>
      </w:r>
      <w:r>
        <w:t>Results of this analysis are provided in the table below.</w:t>
      </w:r>
    </w:p>
    <w:p w:rsidR="00994E77" w:rsidRDefault="00994E77" w:rsidP="00610C0E">
      <w:pPr>
        <w:keepNext/>
        <w:keepLines/>
      </w:pPr>
      <w:r w:rsidRPr="00401364">
        <w:rPr>
          <w:rFonts w:ascii="Arial Narrow" w:hAnsi="Arial Narrow"/>
          <w:b/>
          <w:sz w:val="20"/>
          <w:szCs w:val="20"/>
        </w:rPr>
        <w:t xml:space="preserve">Table </w:t>
      </w:r>
      <w:r w:rsidR="000D0E6D">
        <w:rPr>
          <w:rFonts w:ascii="Arial Narrow" w:hAnsi="Arial Narrow"/>
          <w:b/>
          <w:noProof/>
          <w:sz w:val="20"/>
          <w:szCs w:val="20"/>
        </w:rPr>
        <w:t>6</w:t>
      </w:r>
      <w:r w:rsidRPr="00DA01E0">
        <w:rPr>
          <w:rFonts w:ascii="Arial Narrow" w:hAnsi="Arial Narrow"/>
          <w:b/>
          <w:sz w:val="20"/>
          <w:szCs w:val="20"/>
        </w:rPr>
        <w:t>:</w:t>
      </w:r>
      <w:r w:rsidR="005859EC">
        <w:rPr>
          <w:rFonts w:ascii="Arial Narrow" w:hAnsi="Arial Narrow"/>
          <w:b/>
          <w:sz w:val="20"/>
          <w:szCs w:val="20"/>
        </w:rPr>
        <w:t xml:space="preserve"> </w:t>
      </w:r>
      <w:r>
        <w:rPr>
          <w:rFonts w:ascii="Arial Narrow" w:hAnsi="Arial Narrow"/>
          <w:b/>
          <w:sz w:val="20"/>
          <w:szCs w:val="20"/>
        </w:rPr>
        <w:t>Proportion of patients initiating PET at Week 24 post-transplant</w:t>
      </w:r>
    </w:p>
    <w:tbl>
      <w:tblPr>
        <w:tblStyle w:val="TableGrid"/>
        <w:tblW w:w="9039" w:type="dxa"/>
        <w:tblInd w:w="-5" w:type="dxa"/>
        <w:tblLook w:val="04A0" w:firstRow="1" w:lastRow="0" w:firstColumn="1" w:lastColumn="0" w:noHBand="0" w:noVBand="1"/>
        <w:tblCaption w:val="Table 6:  Proportion of patients initiating PET at Week 24 post-transplant"/>
      </w:tblPr>
      <w:tblGrid>
        <w:gridCol w:w="4111"/>
        <w:gridCol w:w="2377"/>
        <w:gridCol w:w="2551"/>
      </w:tblGrid>
      <w:tr w:rsidR="00684048" w:rsidRPr="00DA01E0" w:rsidTr="004F2BF9">
        <w:trPr>
          <w:tblHeader/>
        </w:trPr>
        <w:tc>
          <w:tcPr>
            <w:tcW w:w="4111" w:type="dxa"/>
          </w:tcPr>
          <w:p w:rsidR="00684048" w:rsidRPr="00DA01E0" w:rsidRDefault="00684048" w:rsidP="00610C0E">
            <w:pPr>
              <w:keepNext/>
              <w:keepLines/>
              <w:tabs>
                <w:tab w:val="left" w:pos="167"/>
              </w:tabs>
              <w:jc w:val="left"/>
              <w:rPr>
                <w:rFonts w:ascii="Arial Narrow" w:hAnsi="Arial Narrow"/>
                <w:b/>
                <w:sz w:val="20"/>
                <w:szCs w:val="20"/>
              </w:rPr>
            </w:pPr>
          </w:p>
        </w:tc>
        <w:tc>
          <w:tcPr>
            <w:tcW w:w="2377" w:type="dxa"/>
          </w:tcPr>
          <w:p w:rsidR="00684048" w:rsidRDefault="00684048" w:rsidP="00610C0E">
            <w:pPr>
              <w:keepNext/>
              <w:keepLines/>
              <w:jc w:val="center"/>
              <w:rPr>
                <w:rFonts w:ascii="Arial Narrow" w:hAnsi="Arial Narrow"/>
                <w:b/>
                <w:sz w:val="20"/>
                <w:szCs w:val="20"/>
              </w:rPr>
            </w:pPr>
            <w:r w:rsidRPr="00DA01E0">
              <w:rPr>
                <w:rFonts w:ascii="Arial Narrow" w:hAnsi="Arial Narrow"/>
                <w:b/>
                <w:sz w:val="20"/>
                <w:szCs w:val="20"/>
              </w:rPr>
              <w:t xml:space="preserve">Letermovir </w:t>
            </w:r>
            <w:r>
              <w:rPr>
                <w:rFonts w:ascii="Arial Narrow" w:hAnsi="Arial Narrow"/>
                <w:b/>
                <w:sz w:val="20"/>
                <w:szCs w:val="20"/>
              </w:rPr>
              <w:t>(</w:t>
            </w:r>
            <w:r w:rsidRPr="00DA01E0">
              <w:rPr>
                <w:rFonts w:ascii="Arial Narrow" w:hAnsi="Arial Narrow"/>
                <w:b/>
                <w:sz w:val="20"/>
                <w:szCs w:val="20"/>
              </w:rPr>
              <w:t>N=325</w:t>
            </w:r>
            <w:r>
              <w:rPr>
                <w:rFonts w:ascii="Arial Narrow" w:hAnsi="Arial Narrow"/>
                <w:b/>
                <w:sz w:val="20"/>
                <w:szCs w:val="20"/>
              </w:rPr>
              <w:t>)</w:t>
            </w:r>
          </w:p>
          <w:p w:rsidR="00684048" w:rsidRPr="00DA01E0" w:rsidRDefault="00684048" w:rsidP="00610C0E">
            <w:pPr>
              <w:keepNext/>
              <w:keepLines/>
              <w:jc w:val="center"/>
              <w:rPr>
                <w:rFonts w:ascii="Arial Narrow" w:hAnsi="Arial Narrow"/>
                <w:b/>
                <w:sz w:val="20"/>
                <w:szCs w:val="20"/>
              </w:rPr>
            </w:pPr>
            <w:r>
              <w:rPr>
                <w:rFonts w:ascii="Arial Narrow" w:hAnsi="Arial Narrow"/>
                <w:b/>
                <w:sz w:val="20"/>
                <w:szCs w:val="20"/>
              </w:rPr>
              <w:t>n %</w:t>
            </w:r>
          </w:p>
        </w:tc>
        <w:tc>
          <w:tcPr>
            <w:tcW w:w="2551" w:type="dxa"/>
          </w:tcPr>
          <w:p w:rsidR="00684048" w:rsidRDefault="00684048" w:rsidP="00610C0E">
            <w:pPr>
              <w:keepNext/>
              <w:keepLines/>
              <w:jc w:val="center"/>
              <w:rPr>
                <w:rFonts w:ascii="Arial Narrow" w:hAnsi="Arial Narrow"/>
                <w:b/>
                <w:sz w:val="20"/>
                <w:szCs w:val="20"/>
              </w:rPr>
            </w:pPr>
            <w:r w:rsidRPr="00DA01E0">
              <w:rPr>
                <w:rFonts w:ascii="Arial Narrow" w:hAnsi="Arial Narrow"/>
                <w:b/>
                <w:sz w:val="20"/>
                <w:szCs w:val="20"/>
              </w:rPr>
              <w:t xml:space="preserve">Placebo </w:t>
            </w:r>
            <w:r>
              <w:rPr>
                <w:rFonts w:ascii="Arial Narrow" w:hAnsi="Arial Narrow"/>
                <w:b/>
                <w:sz w:val="20"/>
                <w:szCs w:val="20"/>
              </w:rPr>
              <w:t>(</w:t>
            </w:r>
            <w:r w:rsidRPr="00DA01E0">
              <w:rPr>
                <w:rFonts w:ascii="Arial Narrow" w:hAnsi="Arial Narrow"/>
                <w:b/>
                <w:sz w:val="20"/>
                <w:szCs w:val="20"/>
              </w:rPr>
              <w:t>N=170</w:t>
            </w:r>
            <w:r>
              <w:rPr>
                <w:rFonts w:ascii="Arial Narrow" w:hAnsi="Arial Narrow"/>
                <w:b/>
                <w:sz w:val="20"/>
                <w:szCs w:val="20"/>
              </w:rPr>
              <w:t>)</w:t>
            </w:r>
          </w:p>
          <w:p w:rsidR="00684048" w:rsidRPr="00DA01E0" w:rsidRDefault="00684048" w:rsidP="00610C0E">
            <w:pPr>
              <w:keepNext/>
              <w:keepLines/>
              <w:jc w:val="center"/>
              <w:rPr>
                <w:rFonts w:ascii="Arial Narrow" w:hAnsi="Arial Narrow"/>
                <w:b/>
                <w:sz w:val="20"/>
                <w:szCs w:val="20"/>
              </w:rPr>
            </w:pPr>
            <w:r>
              <w:rPr>
                <w:rFonts w:ascii="Arial Narrow" w:hAnsi="Arial Narrow"/>
                <w:b/>
                <w:sz w:val="20"/>
                <w:szCs w:val="20"/>
              </w:rPr>
              <w:t>n %</w:t>
            </w:r>
          </w:p>
        </w:tc>
      </w:tr>
      <w:tr w:rsidR="00684048" w:rsidRPr="00DA01E0" w:rsidTr="004F2BF9">
        <w:tc>
          <w:tcPr>
            <w:tcW w:w="4111" w:type="dxa"/>
          </w:tcPr>
          <w:p w:rsidR="00684048" w:rsidRPr="00DA01E0" w:rsidRDefault="00684048" w:rsidP="00610C0E">
            <w:pPr>
              <w:keepNext/>
              <w:keepLines/>
              <w:tabs>
                <w:tab w:val="left" w:pos="167"/>
              </w:tabs>
              <w:jc w:val="left"/>
              <w:rPr>
                <w:rFonts w:ascii="Arial Narrow" w:hAnsi="Arial Narrow"/>
                <w:sz w:val="20"/>
                <w:szCs w:val="20"/>
              </w:rPr>
            </w:pPr>
            <w:r>
              <w:rPr>
                <w:rFonts w:ascii="Arial Narrow" w:hAnsi="Arial Narrow"/>
                <w:sz w:val="20"/>
                <w:szCs w:val="20"/>
              </w:rPr>
              <w:t>Initiation of PET</w:t>
            </w:r>
          </w:p>
        </w:tc>
        <w:tc>
          <w:tcPr>
            <w:tcW w:w="2377"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52 (16.0%)</w:t>
            </w:r>
          </w:p>
        </w:tc>
        <w:tc>
          <w:tcPr>
            <w:tcW w:w="2551"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68 (40.0%)</w:t>
            </w:r>
          </w:p>
        </w:tc>
      </w:tr>
      <w:tr w:rsidR="00684048" w:rsidRPr="00DA01E0" w:rsidTr="004F2BF9">
        <w:tc>
          <w:tcPr>
            <w:tcW w:w="4111" w:type="dxa"/>
          </w:tcPr>
          <w:p w:rsidR="00684048" w:rsidRPr="00DA01E0" w:rsidRDefault="00684048" w:rsidP="00610C0E">
            <w:pPr>
              <w:keepNext/>
              <w:keepLines/>
              <w:tabs>
                <w:tab w:val="left" w:pos="167"/>
              </w:tabs>
              <w:jc w:val="left"/>
              <w:rPr>
                <w:rFonts w:ascii="Arial Narrow" w:hAnsi="Arial Narrow"/>
                <w:sz w:val="20"/>
                <w:szCs w:val="20"/>
              </w:rPr>
            </w:pPr>
            <w:r>
              <w:rPr>
                <w:rFonts w:ascii="Arial Narrow" w:hAnsi="Arial Narrow"/>
                <w:sz w:val="20"/>
                <w:szCs w:val="20"/>
              </w:rPr>
              <w:t>Discontinued before Week 24</w:t>
            </w:r>
          </w:p>
        </w:tc>
        <w:tc>
          <w:tcPr>
            <w:tcW w:w="2377"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57 (17.5%)</w:t>
            </w:r>
          </w:p>
        </w:tc>
        <w:tc>
          <w:tcPr>
            <w:tcW w:w="2551"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28 (16.5%)</w:t>
            </w:r>
          </w:p>
        </w:tc>
      </w:tr>
      <w:tr w:rsidR="00684048" w:rsidRPr="00DA01E0" w:rsidTr="004F2BF9">
        <w:tc>
          <w:tcPr>
            <w:tcW w:w="4111" w:type="dxa"/>
          </w:tcPr>
          <w:p w:rsidR="00684048" w:rsidRPr="00DA01E0" w:rsidRDefault="00684048" w:rsidP="00610C0E">
            <w:pPr>
              <w:keepNext/>
              <w:keepLines/>
              <w:tabs>
                <w:tab w:val="left" w:pos="167"/>
              </w:tabs>
              <w:jc w:val="left"/>
              <w:rPr>
                <w:rFonts w:ascii="Arial Narrow" w:hAnsi="Arial Narrow"/>
                <w:sz w:val="20"/>
                <w:szCs w:val="20"/>
              </w:rPr>
            </w:pPr>
            <w:r>
              <w:rPr>
                <w:rFonts w:ascii="Arial Narrow" w:hAnsi="Arial Narrow"/>
                <w:sz w:val="20"/>
                <w:szCs w:val="20"/>
              </w:rPr>
              <w:t>Missing outcome in Week 24 visit window</w:t>
            </w:r>
          </w:p>
        </w:tc>
        <w:tc>
          <w:tcPr>
            <w:tcW w:w="2377"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10 (3.1%)</w:t>
            </w:r>
          </w:p>
        </w:tc>
        <w:tc>
          <w:tcPr>
            <w:tcW w:w="2551"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5 (2.9%)</w:t>
            </w:r>
          </w:p>
        </w:tc>
      </w:tr>
      <w:tr w:rsidR="00684048" w:rsidRPr="00DA01E0" w:rsidTr="004F2BF9">
        <w:tc>
          <w:tcPr>
            <w:tcW w:w="4111" w:type="dxa"/>
          </w:tcPr>
          <w:p w:rsidR="00684048" w:rsidRPr="00DA01E0" w:rsidRDefault="00684048" w:rsidP="00610C0E">
            <w:pPr>
              <w:keepNext/>
              <w:keepLines/>
              <w:tabs>
                <w:tab w:val="left" w:pos="167"/>
              </w:tabs>
              <w:jc w:val="left"/>
              <w:rPr>
                <w:rFonts w:ascii="Arial Narrow" w:hAnsi="Arial Narrow"/>
                <w:sz w:val="20"/>
                <w:szCs w:val="20"/>
              </w:rPr>
            </w:pPr>
            <w:r>
              <w:rPr>
                <w:rFonts w:ascii="Arial Narrow" w:hAnsi="Arial Narrow"/>
                <w:sz w:val="20"/>
                <w:szCs w:val="20"/>
              </w:rPr>
              <w:t>Total failures</w:t>
            </w:r>
          </w:p>
        </w:tc>
        <w:tc>
          <w:tcPr>
            <w:tcW w:w="2377"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119 (36.6%)</w:t>
            </w:r>
          </w:p>
        </w:tc>
        <w:tc>
          <w:tcPr>
            <w:tcW w:w="2551" w:type="dxa"/>
          </w:tcPr>
          <w:p w:rsidR="00684048" w:rsidRPr="00DA01E0" w:rsidRDefault="00684048" w:rsidP="00610C0E">
            <w:pPr>
              <w:keepNext/>
              <w:keepLines/>
              <w:jc w:val="center"/>
              <w:rPr>
                <w:rFonts w:ascii="Arial Narrow" w:hAnsi="Arial Narrow"/>
                <w:sz w:val="20"/>
                <w:szCs w:val="20"/>
              </w:rPr>
            </w:pPr>
            <w:r>
              <w:rPr>
                <w:rFonts w:ascii="Arial Narrow" w:hAnsi="Arial Narrow"/>
                <w:sz w:val="20"/>
                <w:szCs w:val="20"/>
              </w:rPr>
              <w:t>101 (59.4%)</w:t>
            </w:r>
          </w:p>
        </w:tc>
      </w:tr>
      <w:tr w:rsidR="00684048" w:rsidRPr="0056015E" w:rsidTr="004F2BF9">
        <w:tc>
          <w:tcPr>
            <w:tcW w:w="4111" w:type="dxa"/>
          </w:tcPr>
          <w:p w:rsidR="00684048" w:rsidRPr="0056015E" w:rsidRDefault="00684048" w:rsidP="00610C0E">
            <w:pPr>
              <w:keepNext/>
              <w:keepLines/>
              <w:tabs>
                <w:tab w:val="left" w:pos="167"/>
              </w:tabs>
              <w:jc w:val="left"/>
              <w:rPr>
                <w:rFonts w:ascii="Arial Narrow" w:hAnsi="Arial Narrow"/>
                <w:b/>
                <w:sz w:val="20"/>
                <w:szCs w:val="20"/>
              </w:rPr>
            </w:pPr>
            <w:r w:rsidRPr="0056015E">
              <w:rPr>
                <w:rFonts w:ascii="Arial Narrow" w:hAnsi="Arial Narrow"/>
                <w:b/>
                <w:sz w:val="20"/>
                <w:szCs w:val="20"/>
              </w:rPr>
              <w:t>Stratum-adjusted treatment difference (95% CI)</w:t>
            </w:r>
          </w:p>
        </w:tc>
        <w:tc>
          <w:tcPr>
            <w:tcW w:w="4928" w:type="dxa"/>
            <w:gridSpan w:val="2"/>
          </w:tcPr>
          <w:p w:rsidR="00684048" w:rsidRPr="0056015E" w:rsidRDefault="00684048" w:rsidP="00610C0E">
            <w:pPr>
              <w:keepNext/>
              <w:keepLines/>
              <w:jc w:val="center"/>
              <w:rPr>
                <w:rFonts w:ascii="Arial Narrow" w:hAnsi="Arial Narrow"/>
                <w:b/>
                <w:sz w:val="20"/>
                <w:szCs w:val="20"/>
              </w:rPr>
            </w:pPr>
            <w:r w:rsidRPr="0056015E">
              <w:rPr>
                <w:rFonts w:ascii="Arial Narrow" w:hAnsi="Arial Narrow"/>
                <w:b/>
                <w:sz w:val="20"/>
                <w:szCs w:val="20"/>
              </w:rPr>
              <w:t>-23.</w:t>
            </w:r>
            <w:r>
              <w:rPr>
                <w:rFonts w:ascii="Arial Narrow" w:hAnsi="Arial Narrow"/>
                <w:b/>
                <w:sz w:val="20"/>
                <w:szCs w:val="20"/>
              </w:rPr>
              <w:t>3</w:t>
            </w:r>
            <w:r w:rsidRPr="0056015E">
              <w:rPr>
                <w:rFonts w:ascii="Arial Narrow" w:hAnsi="Arial Narrow"/>
                <w:b/>
                <w:sz w:val="20"/>
                <w:szCs w:val="20"/>
              </w:rPr>
              <w:t xml:space="preserve"> (-32.</w:t>
            </w:r>
            <w:r>
              <w:rPr>
                <w:rFonts w:ascii="Arial Narrow" w:hAnsi="Arial Narrow"/>
                <w:b/>
                <w:sz w:val="20"/>
                <w:szCs w:val="20"/>
              </w:rPr>
              <w:t>3</w:t>
            </w:r>
            <w:r w:rsidRPr="0056015E">
              <w:rPr>
                <w:rFonts w:ascii="Arial Narrow" w:hAnsi="Arial Narrow"/>
                <w:b/>
                <w:sz w:val="20"/>
                <w:szCs w:val="20"/>
              </w:rPr>
              <w:t>, -14.</w:t>
            </w:r>
            <w:r>
              <w:rPr>
                <w:rFonts w:ascii="Arial Narrow" w:hAnsi="Arial Narrow"/>
                <w:b/>
                <w:sz w:val="20"/>
                <w:szCs w:val="20"/>
              </w:rPr>
              <w:t>3</w:t>
            </w:r>
            <w:r w:rsidRPr="0056015E">
              <w:rPr>
                <w:rFonts w:ascii="Arial Narrow" w:hAnsi="Arial Narrow"/>
                <w:b/>
                <w:sz w:val="20"/>
                <w:szCs w:val="20"/>
              </w:rPr>
              <w:t>)</w:t>
            </w:r>
          </w:p>
        </w:tc>
      </w:tr>
    </w:tbl>
    <w:p w:rsidR="00684048" w:rsidRDefault="00684048" w:rsidP="00610C0E">
      <w:pPr>
        <w:pStyle w:val="TableFooter"/>
      </w:pPr>
      <w:r>
        <w:t xml:space="preserve">CI=confidence interval; PET=pre-emptive therapy; </w:t>
      </w:r>
      <w:r w:rsidRPr="0056015E">
        <w:rPr>
          <w:b/>
        </w:rPr>
        <w:t>bold</w:t>
      </w:r>
      <w:r>
        <w:t>=statistically significant</w:t>
      </w:r>
    </w:p>
    <w:p w:rsidR="00994E77" w:rsidRDefault="00684048" w:rsidP="00610C0E">
      <w:pPr>
        <w:pStyle w:val="TableFooter"/>
      </w:pPr>
      <w:r>
        <w:t>Source:</w:t>
      </w:r>
      <w:r w:rsidR="005859EC">
        <w:t xml:space="preserve"> </w:t>
      </w:r>
      <w:r>
        <w:t>Table 2-11, p46-47 of the resubmission.</w:t>
      </w:r>
    </w:p>
    <w:p w:rsidR="00994E77" w:rsidRPr="003F7F24" w:rsidRDefault="007A65D5" w:rsidP="004666D4">
      <w:pPr>
        <w:pStyle w:val="ListParagraph"/>
        <w:numPr>
          <w:ilvl w:val="1"/>
          <w:numId w:val="1"/>
        </w:numPr>
        <w:spacing w:before="120" w:after="120"/>
      </w:pPr>
      <w:r w:rsidRPr="003F7F24">
        <w:lastRenderedPageBreak/>
        <w:t xml:space="preserve">The resubmission stated that </w:t>
      </w:r>
      <w:r w:rsidR="00432280">
        <w:t>the reduction in the proportion of patients initiating PET</w:t>
      </w:r>
      <w:r w:rsidRPr="003F7F24">
        <w:t xml:space="preserve"> translated to improvements in mortality, re-hospitalisations and health-related</w:t>
      </w:r>
      <w:r w:rsidR="003843C1" w:rsidRPr="003F7F24">
        <w:t xml:space="preserve"> quality of life</w:t>
      </w:r>
      <w:r w:rsidRPr="003F7F24">
        <w:t xml:space="preserve"> </w:t>
      </w:r>
      <w:r w:rsidR="003843C1" w:rsidRPr="003F7F24">
        <w:t>(</w:t>
      </w:r>
      <w:r w:rsidRPr="003F7F24">
        <w:t>QoL</w:t>
      </w:r>
      <w:r w:rsidR="003843C1" w:rsidRPr="003F7F24">
        <w:t>)</w:t>
      </w:r>
      <w:r w:rsidRPr="003F7F24">
        <w:t>.</w:t>
      </w:r>
      <w:r w:rsidR="005859EC">
        <w:t xml:space="preserve"> </w:t>
      </w:r>
      <w:r w:rsidRPr="003F7F24">
        <w:t xml:space="preserve">As </w:t>
      </w:r>
      <w:r w:rsidR="00650370" w:rsidRPr="003F7F24">
        <w:t>noted</w:t>
      </w:r>
      <w:r w:rsidRPr="003F7F24">
        <w:t xml:space="preserve"> below, the re-submission did not provide any evidence linking initiation of PET </w:t>
      </w:r>
      <w:r w:rsidR="00FC47B4">
        <w:t>to</w:t>
      </w:r>
      <w:r w:rsidR="00FC47B4" w:rsidRPr="003F7F24">
        <w:t xml:space="preserve"> </w:t>
      </w:r>
      <w:r w:rsidRPr="003F7F24">
        <w:t xml:space="preserve">re-hospitalisations and QoL, and the post-hoc analyses of mortality data </w:t>
      </w:r>
      <w:r w:rsidR="001B4B9B" w:rsidRPr="003F7F24">
        <w:t>did not</w:t>
      </w:r>
      <w:r w:rsidRPr="003F7F24">
        <w:t xml:space="preserve"> support a link between initiation of PET and mortality.</w:t>
      </w:r>
    </w:p>
    <w:p w:rsidR="007A65D5" w:rsidRPr="003F7F24" w:rsidRDefault="00F614BB" w:rsidP="004666D4">
      <w:pPr>
        <w:pStyle w:val="ListParagraph"/>
        <w:numPr>
          <w:ilvl w:val="1"/>
          <w:numId w:val="1"/>
        </w:numPr>
        <w:spacing w:before="120" w:after="120"/>
      </w:pPr>
      <w:r w:rsidRPr="003F7F24">
        <w:t>The resubmission presented all-cause mortality</w:t>
      </w:r>
      <w:r w:rsidR="009D4935" w:rsidRPr="003F7F24">
        <w:t xml:space="preserve"> data</w:t>
      </w:r>
      <w:r w:rsidR="00034268" w:rsidRPr="003F7F24">
        <w:t>,</w:t>
      </w:r>
      <w:r w:rsidR="009D4935" w:rsidRPr="003F7F24">
        <w:t xml:space="preserve"> as had been provided in the July 2018 submission, which showed a statistically significant advantage for letermovir at Week 24 (P=0.0327) but no advantage at Week 48 (p=0.1224).</w:t>
      </w:r>
      <w:r w:rsidR="005859EC">
        <w:t xml:space="preserve"> </w:t>
      </w:r>
    </w:p>
    <w:p w:rsidR="00EB714B" w:rsidRPr="003F7F24" w:rsidRDefault="00723F20" w:rsidP="004666D4">
      <w:pPr>
        <w:pStyle w:val="ListParagraph"/>
        <w:numPr>
          <w:ilvl w:val="1"/>
          <w:numId w:val="1"/>
        </w:numPr>
        <w:spacing w:before="120" w:after="120"/>
      </w:pPr>
      <w:r>
        <w:t>The resubmission also presented t</w:t>
      </w:r>
      <w:r w:rsidR="00EB714B" w:rsidRPr="003F7F24">
        <w:t>he outcome of CMV-related mortality</w:t>
      </w:r>
      <w:r>
        <w:t xml:space="preserve"> which was defined as</w:t>
      </w:r>
      <w:r w:rsidR="00EB714B" w:rsidRPr="003F7F24">
        <w:t xml:space="preserve"> all-cause mortality in patients </w:t>
      </w:r>
      <w:r w:rsidR="002E2A0D" w:rsidRPr="003F7F24">
        <w:t>who met the primary outcome of the trial (</w:t>
      </w:r>
      <w:r w:rsidR="008805E2" w:rsidRPr="003F7F24">
        <w:t>i.e.</w:t>
      </w:r>
      <w:r w:rsidR="002E2A0D" w:rsidRPr="003F7F24">
        <w:t xml:space="preserve"> </w:t>
      </w:r>
      <w:r w:rsidR="00EB714B" w:rsidRPr="003F7F24">
        <w:t>clinically significant CMV infection</w:t>
      </w:r>
      <w:r w:rsidR="002E2A0D" w:rsidRPr="003F7F24">
        <w:t>)</w:t>
      </w:r>
      <w:r w:rsidR="00EB714B" w:rsidRPr="003F7F24">
        <w:t>.</w:t>
      </w:r>
      <w:r w:rsidR="005859EC">
        <w:t xml:space="preserve"> </w:t>
      </w:r>
      <w:r w:rsidR="00EB714B" w:rsidRPr="003F7F24">
        <w:t xml:space="preserve">The Kaplan-Meier </w:t>
      </w:r>
      <w:r w:rsidR="00650370" w:rsidRPr="003F7F24">
        <w:t xml:space="preserve">mortality </w:t>
      </w:r>
      <w:r w:rsidR="00EB714B" w:rsidRPr="003F7F24">
        <w:t>rate for letermovir-treated patients at 24 weeks was 0.7% compared to 9.1% for placebo-treated patients which was a statist</w:t>
      </w:r>
      <w:r w:rsidR="00800FC3" w:rsidRPr="003F7F24">
        <w:t xml:space="preserve">ically significant difference. </w:t>
      </w:r>
      <w:r w:rsidR="00EB714B" w:rsidRPr="003F7F24">
        <w:t xml:space="preserve">At Week 48 the Kaplan-Meier </w:t>
      </w:r>
      <w:r w:rsidR="00650370" w:rsidRPr="003F7F24">
        <w:t xml:space="preserve">mortality </w:t>
      </w:r>
      <w:r w:rsidR="00EB714B" w:rsidRPr="003F7F24">
        <w:t>rate for letermovir-treated patients was 3.6% compared to 16.0% for placebo-treated patients which was also a statistically significant difference. The Kaplan-Meier plot for CMV-related mortality is provided below.</w:t>
      </w:r>
    </w:p>
    <w:p w:rsidR="00DD0A21" w:rsidRDefault="008F65FA" w:rsidP="00610C0E">
      <w:pPr>
        <w:keepNext/>
      </w:pPr>
      <w:r>
        <w:rPr>
          <w:rFonts w:ascii="Arial Narrow" w:hAnsi="Arial Narrow"/>
          <w:b/>
          <w:sz w:val="20"/>
          <w:szCs w:val="20"/>
        </w:rPr>
        <w:lastRenderedPageBreak/>
        <w:t>Figure</w:t>
      </w:r>
      <w:r w:rsidRPr="00401364">
        <w:rPr>
          <w:rFonts w:ascii="Arial Narrow" w:hAnsi="Arial Narrow"/>
          <w:b/>
          <w:sz w:val="20"/>
          <w:szCs w:val="20"/>
        </w:rPr>
        <w:t xml:space="preserve"> </w:t>
      </w:r>
      <w:r>
        <w:rPr>
          <w:rFonts w:ascii="Arial Narrow" w:hAnsi="Arial Narrow"/>
          <w:b/>
          <w:sz w:val="20"/>
          <w:szCs w:val="20"/>
        </w:rPr>
        <w:t>1</w:t>
      </w:r>
      <w:r w:rsidR="00D64DFC" w:rsidRPr="00920505">
        <w:rPr>
          <w:rFonts w:ascii="Arial Narrow" w:hAnsi="Arial Narrow"/>
          <w:b/>
          <w:sz w:val="20"/>
          <w:szCs w:val="20"/>
        </w:rPr>
        <w:t>:</w:t>
      </w:r>
      <w:r w:rsidR="005859EC">
        <w:rPr>
          <w:rFonts w:ascii="Arial Narrow" w:hAnsi="Arial Narrow"/>
          <w:b/>
          <w:sz w:val="20"/>
          <w:szCs w:val="20"/>
        </w:rPr>
        <w:t xml:space="preserve"> </w:t>
      </w:r>
      <w:r w:rsidR="006B48B0" w:rsidRPr="00920505">
        <w:rPr>
          <w:rFonts w:ascii="Arial Narrow" w:hAnsi="Arial Narrow"/>
          <w:b/>
          <w:sz w:val="20"/>
          <w:szCs w:val="20"/>
        </w:rPr>
        <w:t xml:space="preserve">Kaplan-Meier plot of time to </w:t>
      </w:r>
      <w:r w:rsidR="006B48B0">
        <w:rPr>
          <w:rFonts w:ascii="Arial Narrow" w:hAnsi="Arial Narrow"/>
          <w:b/>
          <w:sz w:val="20"/>
          <w:szCs w:val="20"/>
        </w:rPr>
        <w:t>CMV-related</w:t>
      </w:r>
      <w:r w:rsidR="006B48B0" w:rsidRPr="00920505">
        <w:rPr>
          <w:rFonts w:ascii="Arial Narrow" w:hAnsi="Arial Narrow"/>
          <w:b/>
          <w:sz w:val="20"/>
          <w:szCs w:val="20"/>
        </w:rPr>
        <w:t xml:space="preserve"> mortality through Week </w:t>
      </w:r>
      <w:r w:rsidR="006B48B0">
        <w:rPr>
          <w:rFonts w:ascii="Arial Narrow" w:hAnsi="Arial Narrow"/>
          <w:b/>
          <w:sz w:val="20"/>
          <w:szCs w:val="20"/>
        </w:rPr>
        <w:t>48</w:t>
      </w:r>
      <w:r w:rsidR="006B48B0" w:rsidRPr="00920505">
        <w:rPr>
          <w:rFonts w:ascii="Arial Narrow" w:hAnsi="Arial Narrow"/>
          <w:b/>
          <w:sz w:val="20"/>
          <w:szCs w:val="20"/>
        </w:rPr>
        <w:t xml:space="preserve"> post-transplant in Trial P001</w:t>
      </w:r>
    </w:p>
    <w:p w:rsidR="00DD0A21" w:rsidRDefault="00A11259" w:rsidP="00610C0E">
      <w:pPr>
        <w:keepNext/>
      </w:pPr>
      <w:r w:rsidRPr="00C03565">
        <w:rPr>
          <w:noProof/>
          <w:lang w:eastAsia="en-AU"/>
        </w:rPr>
        <w:drawing>
          <wp:inline distT="0" distB="0" distL="0" distR="0" wp14:anchorId="37670DD4" wp14:editId="078A5D54">
            <wp:extent cx="5126801" cy="4829175"/>
            <wp:effectExtent l="0" t="0" r="0" b="0"/>
            <wp:docPr id="5" name="Picture 5" title="Figure 1:  Kaplan-Meier plot of time to CMV-related mortality through Week 48 post-transplant in Trial 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37164" cy="4838936"/>
                    </a:xfrm>
                    <a:prstGeom prst="rect">
                      <a:avLst/>
                    </a:prstGeom>
                  </pic:spPr>
                </pic:pic>
              </a:graphicData>
            </a:graphic>
          </wp:inline>
        </w:drawing>
      </w:r>
    </w:p>
    <w:p w:rsidR="005B0647" w:rsidRDefault="005B0647" w:rsidP="00610C0E">
      <w:pPr>
        <w:pStyle w:val="TableFooter"/>
        <w:keepNext/>
      </w:pPr>
      <w:r>
        <w:t>Source:</w:t>
      </w:r>
      <w:r w:rsidR="005859EC">
        <w:t xml:space="preserve"> </w:t>
      </w:r>
      <w:r>
        <w:t>Figure 2-</w:t>
      </w:r>
      <w:r w:rsidR="00A11259">
        <w:t>3</w:t>
      </w:r>
      <w:r>
        <w:t>, p</w:t>
      </w:r>
      <w:r w:rsidR="00A11259">
        <w:t>48</w:t>
      </w:r>
      <w:r>
        <w:t xml:space="preserve"> of the resubmission.</w:t>
      </w:r>
    </w:p>
    <w:p w:rsidR="00DD0A21" w:rsidRDefault="00DD0A21" w:rsidP="00610C0E"/>
    <w:p w:rsidR="00DD0A21" w:rsidRDefault="00A11259" w:rsidP="0000151E">
      <w:pPr>
        <w:pStyle w:val="ListParagraph"/>
        <w:numPr>
          <w:ilvl w:val="1"/>
          <w:numId w:val="1"/>
        </w:numPr>
        <w:spacing w:after="120"/>
      </w:pPr>
      <w:r w:rsidRPr="003F7F24">
        <w:t xml:space="preserve">The PBAC </w:t>
      </w:r>
      <w:r w:rsidR="0063165F">
        <w:t>previously</w:t>
      </w:r>
      <w:r w:rsidR="0063165F" w:rsidRPr="003F7F24">
        <w:t xml:space="preserve"> </w:t>
      </w:r>
      <w:r w:rsidRPr="003F7F24">
        <w:t>noted (paragraph 6.20 July 2018 PSD) there was a discordance in mortality outcomes at Week 48, where all-cause mortality was not statistically significantly different between letermovir and placebo (p=0.1224) but CMV-related mortality showed a statistically significant difference between the two groups (p&lt;0.0001).</w:t>
      </w:r>
      <w:r w:rsidR="005859EC">
        <w:t xml:space="preserve"> </w:t>
      </w:r>
      <w:r w:rsidR="00895644" w:rsidRPr="003F7F24">
        <w:t>The July 2018 submission and the resubmission argued</w:t>
      </w:r>
      <w:r w:rsidR="00E17EB6" w:rsidRPr="003F7F24">
        <w:t xml:space="preserve"> that the lack of statistical significance </w:t>
      </w:r>
      <w:r w:rsidR="002E2A0D" w:rsidRPr="003F7F24">
        <w:t xml:space="preserve">for all-cause mortality </w:t>
      </w:r>
      <w:r w:rsidR="00E17EB6" w:rsidRPr="003F7F24">
        <w:t xml:space="preserve">at Week 48 post-transplant may be due to the trial not being statistically powered to detect a difference at 48 weeks and </w:t>
      </w:r>
      <w:r w:rsidR="0063165F">
        <w:t xml:space="preserve">the </w:t>
      </w:r>
      <w:r w:rsidR="00E17EB6" w:rsidRPr="003F7F24">
        <w:t>greater drop-out rate than anticipated.</w:t>
      </w:r>
      <w:r w:rsidR="005859EC">
        <w:t xml:space="preserve"> </w:t>
      </w:r>
      <w:r w:rsidR="00650370" w:rsidRPr="003F7F24">
        <w:t>T</w:t>
      </w:r>
      <w:r w:rsidR="00E17EB6" w:rsidRPr="003F7F24">
        <w:t>he drop-out rate between Week 24 and Week 48 was greater in the letermovir group (13.0%) than that observed in the placebo group (8.2%).</w:t>
      </w:r>
    </w:p>
    <w:p w:rsidR="005725EE" w:rsidRPr="003F7F24" w:rsidRDefault="009D5071" w:rsidP="0000151E">
      <w:pPr>
        <w:pStyle w:val="ListParagraph"/>
        <w:numPr>
          <w:ilvl w:val="1"/>
          <w:numId w:val="1"/>
        </w:numPr>
        <w:spacing w:after="120"/>
      </w:pPr>
      <w:r>
        <w:t>A</w:t>
      </w:r>
      <w:r w:rsidR="00AC7CB2" w:rsidRPr="0021510A">
        <w:t>s CMV-related mortality referred to all-cause mortality in patients who met the primary outcome (i.e. clinically significant CMV infection), CMV</w:t>
      </w:r>
      <w:r w:rsidR="00AC7CB2" w:rsidRPr="003F7F24">
        <w:t xml:space="preserve"> infection may or may </w:t>
      </w:r>
      <w:r w:rsidR="00AC7CB2" w:rsidRPr="003F7F24">
        <w:lastRenderedPageBreak/>
        <w:t>not be related to mortality.</w:t>
      </w:r>
      <w:r w:rsidR="00AC7CB2">
        <w:t xml:space="preserve"> </w:t>
      </w:r>
      <w:r w:rsidR="00AC7CB2" w:rsidRPr="003F7F24">
        <w:t>This point was raised by the FDA</w:t>
      </w:r>
      <w:r w:rsidR="000561FB" w:rsidRPr="00AC7CB2">
        <w:rPr>
          <w:vertAlign w:val="superscript"/>
        </w:rPr>
        <w:footnoteReference w:id="2"/>
      </w:r>
      <w:r w:rsidR="000561FB">
        <w:t xml:space="preserve"> and CADTH</w:t>
      </w:r>
      <w:r w:rsidR="000561FB" w:rsidRPr="00AC7CB2">
        <w:rPr>
          <w:vertAlign w:val="superscript"/>
        </w:rPr>
        <w:footnoteReference w:id="3"/>
      </w:r>
      <w:r w:rsidR="00AC7CB2" w:rsidRPr="003F7F24">
        <w:t xml:space="preserve"> in </w:t>
      </w:r>
      <w:r w:rsidR="000561FB">
        <w:t>their</w:t>
      </w:r>
      <w:r w:rsidR="00AC7CB2" w:rsidRPr="003F7F24">
        <w:t xml:space="preserve"> consideration</w:t>
      </w:r>
      <w:r w:rsidR="000561FB">
        <w:t>s</w:t>
      </w:r>
      <w:r w:rsidR="00AC7CB2" w:rsidRPr="003F7F24">
        <w:t xml:space="preserve"> of letermovir.</w:t>
      </w:r>
      <w:r w:rsidR="005859EC">
        <w:t xml:space="preserve"> </w:t>
      </w:r>
      <w:r w:rsidR="00AC7CB2" w:rsidRPr="003F7F24">
        <w:t xml:space="preserve">To illustrate, a patient may have died due to a heart attack and </w:t>
      </w:r>
      <w:r w:rsidR="000561FB">
        <w:t>if that</w:t>
      </w:r>
      <w:r w:rsidR="00AC7CB2" w:rsidRPr="003F7F24">
        <w:t xml:space="preserve"> patient had </w:t>
      </w:r>
      <w:r w:rsidR="000561FB">
        <w:t xml:space="preserve">a </w:t>
      </w:r>
      <w:r w:rsidR="00AC7CB2" w:rsidRPr="003F7F24">
        <w:t xml:space="preserve">CMV infection </w:t>
      </w:r>
      <w:r w:rsidR="000561FB">
        <w:t>it</w:t>
      </w:r>
      <w:r w:rsidR="00AC7CB2" w:rsidRPr="003F7F24">
        <w:t xml:space="preserve"> would have been recorded as CMV-related mortality.</w:t>
      </w:r>
      <w:r w:rsidR="005859EC">
        <w:t xml:space="preserve"> </w:t>
      </w:r>
      <w:r w:rsidR="00AC7CB2" w:rsidRPr="003F7F24">
        <w:t>There may be no difference in mortality</w:t>
      </w:r>
      <w:r w:rsidR="00005B26">
        <w:t xml:space="preserve"> related to CMV</w:t>
      </w:r>
      <w:r w:rsidR="00AC7CB2" w:rsidRPr="003F7F24">
        <w:t xml:space="preserve"> </w:t>
      </w:r>
      <w:r w:rsidR="00005B26">
        <w:t>across</w:t>
      </w:r>
      <w:r w:rsidR="00005B26" w:rsidRPr="003F7F24">
        <w:t xml:space="preserve"> </w:t>
      </w:r>
      <w:r w:rsidR="00AC7CB2" w:rsidRPr="003F7F24">
        <w:t>the letermovir and placebo arms</w:t>
      </w:r>
      <w:r w:rsidR="00005B26">
        <w:t xml:space="preserve"> as the difference across the arms may have </w:t>
      </w:r>
      <w:r w:rsidR="003951AA">
        <w:t xml:space="preserve">reflected </w:t>
      </w:r>
      <w:r w:rsidR="00005B26">
        <w:t xml:space="preserve">differences in the incidence of </w:t>
      </w:r>
      <w:r w:rsidR="00AC7CB2" w:rsidRPr="003F7F24">
        <w:t>clinically significant CMV infection.</w:t>
      </w:r>
      <w:r w:rsidR="005859EC">
        <w:t xml:space="preserve"> </w:t>
      </w:r>
      <w:r w:rsidR="00AC7CB2" w:rsidRPr="003F7F24">
        <w:t xml:space="preserve">Therefore, the statistically significant advantage for letermovir for CMV-related mortality is difficult </w:t>
      </w:r>
      <w:r w:rsidR="00AC7CB2" w:rsidRPr="0021510A">
        <w:t>to interpret and may not reflect a difference in mortality attributable to CMV infection.</w:t>
      </w:r>
      <w:r w:rsidR="005725EE" w:rsidRPr="0021510A">
        <w:t xml:space="preserve"> The </w:t>
      </w:r>
      <w:r w:rsidR="000E31A6">
        <w:t>Pre-Sub-Committee Response (</w:t>
      </w:r>
      <w:r w:rsidR="005725EE" w:rsidRPr="0021510A">
        <w:t>PSCR</w:t>
      </w:r>
      <w:r w:rsidR="000E31A6">
        <w:t>)</w:t>
      </w:r>
      <w:r w:rsidR="005725EE" w:rsidRPr="0021510A">
        <w:t xml:space="preserve"> argued that CMV-related mortality would only be recorded as directly related to CMV if the cause of death was a pathological process such as CMV pneumonitis or CMV colitis. The PSCR</w:t>
      </w:r>
      <w:r w:rsidR="00A31D35" w:rsidRPr="0021510A">
        <w:t xml:space="preserve"> provided a list of the most common causes of all-cause mortality along with </w:t>
      </w:r>
      <w:r w:rsidR="005725EE" w:rsidRPr="0021510A">
        <w:t>clinical opinion highlighting that ‘the attribution of cause of death in allogeneic bone marrow transplantation is extremely difficult’ to support its argument.</w:t>
      </w:r>
      <w:r w:rsidR="005725EE">
        <w:rPr>
          <w:i/>
        </w:rPr>
        <w:t xml:space="preserve"> </w:t>
      </w:r>
    </w:p>
    <w:p w:rsidR="00DD0A21" w:rsidRDefault="00432280" w:rsidP="0000151E">
      <w:pPr>
        <w:pStyle w:val="ListParagraph"/>
        <w:numPr>
          <w:ilvl w:val="1"/>
          <w:numId w:val="1"/>
        </w:numPr>
        <w:spacing w:after="120"/>
      </w:pPr>
      <w:r>
        <w:t>T</w:t>
      </w:r>
      <w:r w:rsidR="00061FB6" w:rsidRPr="003F7F24">
        <w:t>he resubmission provided post-hoc analyses of mortality outcomes, which it described as “Further analyses of the mortality outcomes from the clinical trial were undertaken to better understand the interaction of CMV infection and mortality post-transplant”.</w:t>
      </w:r>
      <w:r w:rsidR="005859EC">
        <w:t xml:space="preserve"> </w:t>
      </w:r>
      <w:r w:rsidR="00061FB6" w:rsidRPr="003F7F24">
        <w:t>The resubmission provided within-group comparisons of all-cause mortality in patients w</w:t>
      </w:r>
      <w:r w:rsidR="002E2A0D" w:rsidRPr="003F7F24">
        <w:t xml:space="preserve">ith clinically significant </w:t>
      </w:r>
      <w:r w:rsidR="00061FB6" w:rsidRPr="003F7F24">
        <w:t>CMV infection</w:t>
      </w:r>
      <w:r w:rsidR="00061FB6">
        <w:t xml:space="preserve"> and those who did not have </w:t>
      </w:r>
      <w:r w:rsidR="002E2A0D">
        <w:t xml:space="preserve">clinically significant </w:t>
      </w:r>
      <w:r w:rsidR="00061FB6">
        <w:t>CMV infection at Week 24 and Week 48.</w:t>
      </w:r>
      <w:r w:rsidR="005859EC">
        <w:t xml:space="preserve"> </w:t>
      </w:r>
      <w:r w:rsidR="00061FB6">
        <w:t>The results of these analyses are provided in the table below.</w:t>
      </w:r>
    </w:p>
    <w:p w:rsidR="00061FB6" w:rsidRDefault="002F3159" w:rsidP="00610C0E">
      <w:r w:rsidRPr="00401364">
        <w:rPr>
          <w:rFonts w:ascii="Arial Narrow" w:hAnsi="Arial Narrow"/>
          <w:b/>
          <w:sz w:val="20"/>
          <w:szCs w:val="20"/>
        </w:rPr>
        <w:t xml:space="preserve">Table </w:t>
      </w:r>
      <w:r>
        <w:rPr>
          <w:rFonts w:ascii="Arial Narrow" w:hAnsi="Arial Narrow"/>
          <w:b/>
          <w:noProof/>
          <w:sz w:val="20"/>
          <w:szCs w:val="20"/>
        </w:rPr>
        <w:t>7</w:t>
      </w:r>
      <w:r w:rsidRPr="00DA01E0">
        <w:rPr>
          <w:rFonts w:ascii="Arial Narrow" w:hAnsi="Arial Narrow"/>
          <w:b/>
          <w:sz w:val="20"/>
          <w:szCs w:val="20"/>
        </w:rPr>
        <w:t>:</w:t>
      </w:r>
      <w:r w:rsidR="005859EC">
        <w:rPr>
          <w:rFonts w:ascii="Arial Narrow" w:hAnsi="Arial Narrow"/>
          <w:b/>
          <w:sz w:val="20"/>
          <w:szCs w:val="20"/>
        </w:rPr>
        <w:t xml:space="preserve"> </w:t>
      </w:r>
      <w:r w:rsidR="00AD4FCA" w:rsidRPr="00CD6DFD">
        <w:rPr>
          <w:rFonts w:ascii="Arial Narrow" w:hAnsi="Arial Narrow"/>
          <w:b/>
          <w:sz w:val="20"/>
          <w:szCs w:val="20"/>
        </w:rPr>
        <w:t>All-cause mortality in patients with and without</w:t>
      </w:r>
      <w:r w:rsidR="002E2A0D">
        <w:rPr>
          <w:rFonts w:ascii="Arial Narrow" w:hAnsi="Arial Narrow"/>
          <w:b/>
          <w:sz w:val="20"/>
          <w:szCs w:val="20"/>
        </w:rPr>
        <w:t xml:space="preserve"> clinically significant</w:t>
      </w:r>
      <w:r w:rsidR="00AD4FCA" w:rsidRPr="00CD6DFD">
        <w:rPr>
          <w:rFonts w:ascii="Arial Narrow" w:hAnsi="Arial Narrow"/>
          <w:b/>
          <w:sz w:val="20"/>
          <w:szCs w:val="20"/>
        </w:rPr>
        <w:t xml:space="preserve"> CMV infection – post-hoc analysis</w:t>
      </w:r>
    </w:p>
    <w:tbl>
      <w:tblPr>
        <w:tblStyle w:val="TableGrid"/>
        <w:tblW w:w="9075" w:type="dxa"/>
        <w:tblCellMar>
          <w:left w:w="28" w:type="dxa"/>
          <w:right w:w="28" w:type="dxa"/>
        </w:tblCellMar>
        <w:tblLook w:val="04A0" w:firstRow="1" w:lastRow="0" w:firstColumn="1" w:lastColumn="0" w:noHBand="0" w:noVBand="1"/>
        <w:tblCaption w:val="Table 7:  All-cause mortality in patients with and without clinically significant CMV infection – post-hoc analysis"/>
      </w:tblPr>
      <w:tblGrid>
        <w:gridCol w:w="1021"/>
        <w:gridCol w:w="1275"/>
        <w:gridCol w:w="1560"/>
        <w:gridCol w:w="1134"/>
        <w:gridCol w:w="1319"/>
        <w:gridCol w:w="1516"/>
        <w:gridCol w:w="1250"/>
      </w:tblGrid>
      <w:tr w:rsidR="00FE4DC6" w:rsidTr="00532534">
        <w:trPr>
          <w:tblHeader/>
        </w:trPr>
        <w:tc>
          <w:tcPr>
            <w:tcW w:w="1021" w:type="dxa"/>
            <w:vMerge w:val="restart"/>
            <w:vAlign w:val="center"/>
          </w:tcPr>
          <w:p w:rsidR="00FE4DC6" w:rsidRPr="00C16E83" w:rsidRDefault="00FE4DC6" w:rsidP="00610C0E">
            <w:pPr>
              <w:jc w:val="left"/>
              <w:rPr>
                <w:rFonts w:ascii="Arial Narrow" w:hAnsi="Arial Narrow"/>
                <w:sz w:val="20"/>
                <w:szCs w:val="20"/>
              </w:rPr>
            </w:pPr>
          </w:p>
        </w:tc>
        <w:tc>
          <w:tcPr>
            <w:tcW w:w="3969" w:type="dxa"/>
            <w:gridSpan w:val="3"/>
            <w:tcBorders>
              <w:right w:val="double" w:sz="4" w:space="0" w:color="auto"/>
            </w:tcBorders>
            <w:vAlign w:val="center"/>
          </w:tcPr>
          <w:p w:rsidR="00FE4DC6" w:rsidRPr="008A07B2" w:rsidRDefault="00FE4DC6" w:rsidP="00610C0E">
            <w:pPr>
              <w:jc w:val="center"/>
              <w:rPr>
                <w:rFonts w:ascii="Arial Narrow" w:hAnsi="Arial Narrow"/>
                <w:b/>
                <w:sz w:val="20"/>
                <w:szCs w:val="20"/>
              </w:rPr>
            </w:pPr>
            <w:r w:rsidRPr="008A07B2">
              <w:rPr>
                <w:rFonts w:ascii="Arial Narrow" w:hAnsi="Arial Narrow"/>
                <w:b/>
                <w:sz w:val="20"/>
                <w:szCs w:val="20"/>
              </w:rPr>
              <w:t>Letermovir</w:t>
            </w:r>
          </w:p>
        </w:tc>
        <w:tc>
          <w:tcPr>
            <w:tcW w:w="4085" w:type="dxa"/>
            <w:gridSpan w:val="3"/>
            <w:tcBorders>
              <w:left w:val="double" w:sz="4" w:space="0" w:color="auto"/>
            </w:tcBorders>
            <w:vAlign w:val="center"/>
          </w:tcPr>
          <w:p w:rsidR="00FE4DC6" w:rsidRPr="008A07B2" w:rsidRDefault="00FE4DC6" w:rsidP="00610C0E">
            <w:pPr>
              <w:jc w:val="center"/>
              <w:rPr>
                <w:rFonts w:ascii="Arial Narrow" w:hAnsi="Arial Narrow"/>
                <w:b/>
                <w:sz w:val="20"/>
                <w:szCs w:val="20"/>
              </w:rPr>
            </w:pPr>
            <w:r w:rsidRPr="008A07B2">
              <w:rPr>
                <w:rFonts w:ascii="Arial Narrow" w:hAnsi="Arial Narrow"/>
                <w:b/>
                <w:sz w:val="20"/>
                <w:szCs w:val="20"/>
              </w:rPr>
              <w:t>Placebo</w:t>
            </w:r>
          </w:p>
        </w:tc>
      </w:tr>
      <w:tr w:rsidR="00FE4DC6" w:rsidTr="00532534">
        <w:trPr>
          <w:tblHeader/>
        </w:trPr>
        <w:tc>
          <w:tcPr>
            <w:tcW w:w="1021" w:type="dxa"/>
            <w:vMerge/>
            <w:vAlign w:val="center"/>
          </w:tcPr>
          <w:p w:rsidR="00FE4DC6" w:rsidRPr="00C16E83" w:rsidRDefault="00FE4DC6" w:rsidP="00610C0E">
            <w:pPr>
              <w:jc w:val="left"/>
              <w:rPr>
                <w:rFonts w:ascii="Arial Narrow" w:hAnsi="Arial Narrow"/>
                <w:sz w:val="20"/>
                <w:szCs w:val="20"/>
              </w:rPr>
            </w:pPr>
          </w:p>
        </w:tc>
        <w:tc>
          <w:tcPr>
            <w:tcW w:w="1275" w:type="dxa"/>
            <w:vAlign w:val="center"/>
          </w:tcPr>
          <w:p w:rsidR="00FE4DC6" w:rsidRPr="008A07B2" w:rsidRDefault="00FE4DC6" w:rsidP="00610C0E">
            <w:pPr>
              <w:jc w:val="center"/>
              <w:rPr>
                <w:rFonts w:ascii="Arial Narrow" w:hAnsi="Arial Narrow"/>
                <w:b/>
                <w:sz w:val="20"/>
                <w:szCs w:val="20"/>
              </w:rPr>
            </w:pPr>
            <w:r w:rsidRPr="008A07B2">
              <w:rPr>
                <w:rFonts w:ascii="Arial Narrow" w:hAnsi="Arial Narrow"/>
                <w:b/>
                <w:sz w:val="20"/>
                <w:szCs w:val="20"/>
              </w:rPr>
              <w:t>CMV infection</w:t>
            </w:r>
            <w:r>
              <w:rPr>
                <w:rFonts w:ascii="Arial Narrow" w:hAnsi="Arial Narrow"/>
                <w:b/>
                <w:sz w:val="20"/>
                <w:szCs w:val="20"/>
              </w:rPr>
              <w:t xml:space="preserve"> (N=57)</w:t>
            </w:r>
          </w:p>
        </w:tc>
        <w:tc>
          <w:tcPr>
            <w:tcW w:w="1560" w:type="dxa"/>
            <w:vAlign w:val="center"/>
          </w:tcPr>
          <w:p w:rsidR="00FE4DC6" w:rsidRPr="008A07B2" w:rsidRDefault="00FE4DC6" w:rsidP="00610C0E">
            <w:pPr>
              <w:jc w:val="center"/>
              <w:rPr>
                <w:rFonts w:ascii="Arial Narrow" w:hAnsi="Arial Narrow"/>
                <w:b/>
                <w:sz w:val="20"/>
                <w:szCs w:val="20"/>
              </w:rPr>
            </w:pPr>
            <w:r w:rsidRPr="008A07B2">
              <w:rPr>
                <w:rFonts w:ascii="Arial Narrow" w:hAnsi="Arial Narrow"/>
                <w:b/>
                <w:sz w:val="20"/>
                <w:szCs w:val="20"/>
              </w:rPr>
              <w:t>No CMV infection</w:t>
            </w:r>
            <w:r>
              <w:rPr>
                <w:rFonts w:ascii="Arial Narrow" w:hAnsi="Arial Narrow"/>
                <w:b/>
                <w:sz w:val="20"/>
                <w:szCs w:val="20"/>
              </w:rPr>
              <w:t xml:space="preserve"> (N=268)</w:t>
            </w:r>
          </w:p>
        </w:tc>
        <w:tc>
          <w:tcPr>
            <w:tcW w:w="1134" w:type="dxa"/>
            <w:tcBorders>
              <w:right w:val="double" w:sz="4" w:space="0" w:color="auto"/>
            </w:tcBorders>
            <w:vAlign w:val="center"/>
          </w:tcPr>
          <w:p w:rsidR="00FE4DC6" w:rsidRDefault="00FE4DC6" w:rsidP="00610C0E">
            <w:pPr>
              <w:jc w:val="center"/>
              <w:rPr>
                <w:rFonts w:ascii="Arial Narrow" w:hAnsi="Arial Narrow"/>
                <w:b/>
                <w:sz w:val="20"/>
                <w:szCs w:val="20"/>
              </w:rPr>
            </w:pPr>
            <w:r w:rsidRPr="008A07B2">
              <w:rPr>
                <w:rFonts w:ascii="Arial Narrow" w:hAnsi="Arial Narrow"/>
                <w:b/>
                <w:sz w:val="20"/>
                <w:szCs w:val="20"/>
              </w:rPr>
              <w:t>HR</w:t>
            </w:r>
            <w:r w:rsidR="00E52B09" w:rsidRPr="00E52B09">
              <w:rPr>
                <w:rFonts w:ascii="Arial Narrow" w:hAnsi="Arial Narrow"/>
                <w:b/>
                <w:sz w:val="20"/>
                <w:szCs w:val="20"/>
                <w:vertAlign w:val="superscript"/>
              </w:rPr>
              <w:t>a</w:t>
            </w:r>
            <w:r w:rsidRPr="008A07B2">
              <w:rPr>
                <w:rFonts w:ascii="Arial Narrow" w:hAnsi="Arial Narrow"/>
                <w:b/>
                <w:sz w:val="20"/>
                <w:szCs w:val="20"/>
              </w:rPr>
              <w:t xml:space="preserve"> </w:t>
            </w:r>
          </w:p>
          <w:p w:rsidR="00FE4DC6" w:rsidRPr="008A07B2" w:rsidRDefault="00FE4DC6" w:rsidP="00610C0E">
            <w:pPr>
              <w:jc w:val="center"/>
              <w:rPr>
                <w:rFonts w:ascii="Arial Narrow" w:hAnsi="Arial Narrow"/>
                <w:b/>
                <w:sz w:val="20"/>
                <w:szCs w:val="20"/>
              </w:rPr>
            </w:pPr>
            <w:r w:rsidRPr="008A07B2">
              <w:rPr>
                <w:rFonts w:ascii="Arial Narrow" w:hAnsi="Arial Narrow"/>
                <w:b/>
                <w:sz w:val="20"/>
                <w:szCs w:val="20"/>
              </w:rPr>
              <w:t>(95% CI)</w:t>
            </w:r>
          </w:p>
        </w:tc>
        <w:tc>
          <w:tcPr>
            <w:tcW w:w="1319" w:type="dxa"/>
            <w:tcBorders>
              <w:left w:val="double" w:sz="4" w:space="0" w:color="auto"/>
            </w:tcBorders>
            <w:vAlign w:val="center"/>
          </w:tcPr>
          <w:p w:rsidR="00FE4DC6" w:rsidRPr="00C16E83" w:rsidRDefault="00FE4DC6" w:rsidP="00610C0E">
            <w:pPr>
              <w:jc w:val="center"/>
              <w:rPr>
                <w:rFonts w:ascii="Arial Narrow" w:hAnsi="Arial Narrow"/>
                <w:sz w:val="20"/>
                <w:szCs w:val="20"/>
              </w:rPr>
            </w:pPr>
            <w:r w:rsidRPr="008A07B2">
              <w:rPr>
                <w:rFonts w:ascii="Arial Narrow" w:hAnsi="Arial Narrow"/>
                <w:b/>
                <w:sz w:val="20"/>
                <w:szCs w:val="20"/>
              </w:rPr>
              <w:t>CMV infection</w:t>
            </w:r>
            <w:r>
              <w:rPr>
                <w:rFonts w:ascii="Arial Narrow" w:hAnsi="Arial Narrow"/>
                <w:b/>
                <w:sz w:val="20"/>
                <w:szCs w:val="20"/>
              </w:rPr>
              <w:t xml:space="preserve"> (N=71)</w:t>
            </w:r>
          </w:p>
        </w:tc>
        <w:tc>
          <w:tcPr>
            <w:tcW w:w="1516" w:type="dxa"/>
            <w:vAlign w:val="center"/>
          </w:tcPr>
          <w:p w:rsidR="00FE4DC6" w:rsidRPr="00C16E83" w:rsidRDefault="00FE4DC6" w:rsidP="00610C0E">
            <w:pPr>
              <w:jc w:val="center"/>
              <w:rPr>
                <w:rFonts w:ascii="Arial Narrow" w:hAnsi="Arial Narrow"/>
                <w:sz w:val="20"/>
                <w:szCs w:val="20"/>
              </w:rPr>
            </w:pPr>
            <w:r w:rsidRPr="008A07B2">
              <w:rPr>
                <w:rFonts w:ascii="Arial Narrow" w:hAnsi="Arial Narrow"/>
                <w:b/>
                <w:sz w:val="20"/>
                <w:szCs w:val="20"/>
              </w:rPr>
              <w:t>No CMV infection</w:t>
            </w:r>
            <w:r>
              <w:rPr>
                <w:rFonts w:ascii="Arial Narrow" w:hAnsi="Arial Narrow"/>
                <w:b/>
                <w:sz w:val="20"/>
                <w:szCs w:val="20"/>
              </w:rPr>
              <w:t xml:space="preserve"> (N=99)</w:t>
            </w:r>
          </w:p>
        </w:tc>
        <w:tc>
          <w:tcPr>
            <w:tcW w:w="1250" w:type="dxa"/>
            <w:vAlign w:val="center"/>
          </w:tcPr>
          <w:p w:rsidR="00FE4DC6" w:rsidRDefault="00FE4DC6" w:rsidP="00610C0E">
            <w:pPr>
              <w:jc w:val="center"/>
              <w:rPr>
                <w:rFonts w:ascii="Arial Narrow" w:hAnsi="Arial Narrow"/>
                <w:b/>
                <w:sz w:val="20"/>
                <w:szCs w:val="20"/>
              </w:rPr>
            </w:pPr>
            <w:r w:rsidRPr="008A07B2">
              <w:rPr>
                <w:rFonts w:ascii="Arial Narrow" w:hAnsi="Arial Narrow"/>
                <w:b/>
                <w:sz w:val="20"/>
                <w:szCs w:val="20"/>
              </w:rPr>
              <w:t>HR</w:t>
            </w:r>
            <w:r w:rsidR="00E52B09" w:rsidRPr="00E52B09">
              <w:rPr>
                <w:rFonts w:ascii="Arial Narrow" w:hAnsi="Arial Narrow"/>
                <w:b/>
                <w:sz w:val="20"/>
                <w:szCs w:val="20"/>
                <w:vertAlign w:val="superscript"/>
              </w:rPr>
              <w:t>a</w:t>
            </w:r>
            <w:r w:rsidRPr="008A07B2">
              <w:rPr>
                <w:rFonts w:ascii="Arial Narrow" w:hAnsi="Arial Narrow"/>
                <w:b/>
                <w:sz w:val="20"/>
                <w:szCs w:val="20"/>
              </w:rPr>
              <w:t xml:space="preserve"> </w:t>
            </w:r>
          </w:p>
          <w:p w:rsidR="00FE4DC6" w:rsidRPr="00C16E83" w:rsidRDefault="00FE4DC6" w:rsidP="00610C0E">
            <w:pPr>
              <w:jc w:val="center"/>
              <w:rPr>
                <w:rFonts w:ascii="Arial Narrow" w:hAnsi="Arial Narrow"/>
                <w:sz w:val="20"/>
                <w:szCs w:val="20"/>
              </w:rPr>
            </w:pPr>
            <w:r w:rsidRPr="008A07B2">
              <w:rPr>
                <w:rFonts w:ascii="Arial Narrow" w:hAnsi="Arial Narrow"/>
                <w:b/>
                <w:sz w:val="20"/>
                <w:szCs w:val="20"/>
              </w:rPr>
              <w:t>(95% CI)</w:t>
            </w:r>
          </w:p>
        </w:tc>
      </w:tr>
      <w:tr w:rsidR="00FE4DC6" w:rsidTr="00532534">
        <w:trPr>
          <w:tblHeader/>
        </w:trPr>
        <w:tc>
          <w:tcPr>
            <w:tcW w:w="9075" w:type="dxa"/>
            <w:gridSpan w:val="7"/>
            <w:vAlign w:val="center"/>
          </w:tcPr>
          <w:p w:rsidR="00FE4DC6" w:rsidRPr="004A2408" w:rsidRDefault="00FE4DC6" w:rsidP="00610C0E">
            <w:pPr>
              <w:jc w:val="left"/>
              <w:rPr>
                <w:rFonts w:ascii="Arial Narrow" w:hAnsi="Arial Narrow"/>
                <w:b/>
                <w:sz w:val="20"/>
                <w:szCs w:val="20"/>
              </w:rPr>
            </w:pPr>
            <w:r>
              <w:rPr>
                <w:rFonts w:ascii="Arial Narrow" w:hAnsi="Arial Narrow"/>
                <w:b/>
                <w:sz w:val="20"/>
                <w:szCs w:val="20"/>
              </w:rPr>
              <w:t>Week 24</w:t>
            </w:r>
          </w:p>
        </w:tc>
      </w:tr>
      <w:tr w:rsidR="00FE4DC6" w:rsidTr="00532534">
        <w:trPr>
          <w:tblHeader/>
        </w:trPr>
        <w:tc>
          <w:tcPr>
            <w:tcW w:w="1021" w:type="dxa"/>
            <w:vAlign w:val="center"/>
          </w:tcPr>
          <w:p w:rsidR="00FE4DC6" w:rsidRPr="00C16E83" w:rsidRDefault="00FE4DC6" w:rsidP="00610C0E">
            <w:pPr>
              <w:jc w:val="left"/>
              <w:rPr>
                <w:rFonts w:ascii="Arial Narrow" w:hAnsi="Arial Narrow"/>
                <w:sz w:val="20"/>
                <w:szCs w:val="20"/>
              </w:rPr>
            </w:pPr>
            <w:r>
              <w:rPr>
                <w:rFonts w:ascii="Arial Narrow" w:hAnsi="Arial Narrow"/>
                <w:sz w:val="20"/>
                <w:szCs w:val="20"/>
              </w:rPr>
              <w:t>Death n (%)</w:t>
            </w:r>
          </w:p>
        </w:tc>
        <w:tc>
          <w:tcPr>
            <w:tcW w:w="1275" w:type="dxa"/>
            <w:vAlign w:val="center"/>
          </w:tcPr>
          <w:p w:rsidR="00FE4DC6" w:rsidRPr="00C16E83" w:rsidRDefault="00AE66CA" w:rsidP="00610C0E">
            <w:pPr>
              <w:jc w:val="center"/>
              <w:rPr>
                <w:rFonts w:ascii="Arial Narrow" w:hAnsi="Arial Narrow"/>
                <w:sz w:val="20"/>
                <w:szCs w:val="20"/>
              </w:rPr>
            </w:pPr>
            <w:r>
              <w:rPr>
                <w:rFonts w:ascii="Arial Narrow" w:hAnsi="Arial Narrow"/>
                <w:noProof/>
                <w:color w:val="000000"/>
                <w:sz w:val="20"/>
                <w:szCs w:val="20"/>
                <w:highlight w:val="black"/>
              </w:rPr>
              <w:t>'''</w:t>
            </w:r>
            <w:r w:rsidR="00FE4DC6">
              <w:rPr>
                <w:rFonts w:ascii="Arial Narrow" w:hAnsi="Arial Narrow"/>
                <w:sz w:val="20"/>
                <w:szCs w:val="20"/>
              </w:rPr>
              <w:t xml:space="preserve"> (</w:t>
            </w:r>
            <w:r>
              <w:rPr>
                <w:rFonts w:ascii="Arial Narrow" w:hAnsi="Arial Narrow"/>
                <w:noProof/>
                <w:color w:val="000000"/>
                <w:sz w:val="20"/>
                <w:szCs w:val="20"/>
                <w:highlight w:val="black"/>
              </w:rPr>
              <w:t>''''''''</w:t>
            </w:r>
            <w:r w:rsidR="00FE4DC6">
              <w:rPr>
                <w:rFonts w:ascii="Arial Narrow" w:hAnsi="Arial Narrow"/>
                <w:sz w:val="20"/>
                <w:szCs w:val="20"/>
              </w:rPr>
              <w:t>%)</w:t>
            </w:r>
          </w:p>
        </w:tc>
        <w:tc>
          <w:tcPr>
            <w:tcW w:w="1560" w:type="dxa"/>
            <w:vAlign w:val="center"/>
          </w:tcPr>
          <w:p w:rsidR="00FE4DC6" w:rsidRPr="00C16E83" w:rsidRDefault="00AE66CA" w:rsidP="00610C0E">
            <w:pPr>
              <w:jc w:val="center"/>
              <w:rPr>
                <w:rFonts w:ascii="Arial Narrow" w:hAnsi="Arial Narrow"/>
                <w:sz w:val="20"/>
                <w:szCs w:val="20"/>
              </w:rPr>
            </w:pPr>
            <w:r>
              <w:rPr>
                <w:rFonts w:ascii="Arial Narrow" w:hAnsi="Arial Narrow"/>
                <w:noProof/>
                <w:color w:val="000000"/>
                <w:sz w:val="20"/>
                <w:szCs w:val="20"/>
                <w:highlight w:val="black"/>
              </w:rPr>
              <w:t>''''''</w:t>
            </w:r>
            <w:r w:rsidR="00FE4DC6">
              <w:rPr>
                <w:rFonts w:ascii="Arial Narrow" w:hAnsi="Arial Narrow"/>
                <w:sz w:val="20"/>
                <w:szCs w:val="20"/>
              </w:rPr>
              <w:t xml:space="preserve"> (</w:t>
            </w:r>
            <w:r>
              <w:rPr>
                <w:rFonts w:ascii="Arial Narrow" w:hAnsi="Arial Narrow"/>
                <w:noProof/>
                <w:color w:val="000000"/>
                <w:sz w:val="20"/>
                <w:szCs w:val="20"/>
                <w:highlight w:val="black"/>
              </w:rPr>
              <w:t>''''''''''</w:t>
            </w:r>
            <w:r w:rsidR="00FE4DC6">
              <w:rPr>
                <w:rFonts w:ascii="Arial Narrow" w:hAnsi="Arial Narrow"/>
                <w:sz w:val="20"/>
                <w:szCs w:val="20"/>
              </w:rPr>
              <w:t>%)</w:t>
            </w:r>
          </w:p>
        </w:tc>
        <w:tc>
          <w:tcPr>
            <w:tcW w:w="1134" w:type="dxa"/>
            <w:tcBorders>
              <w:right w:val="double" w:sz="4" w:space="0" w:color="auto"/>
            </w:tcBorders>
            <w:vAlign w:val="center"/>
          </w:tcPr>
          <w:p w:rsidR="00FE4DC6" w:rsidRPr="00AE66CA" w:rsidRDefault="00AE66CA" w:rsidP="00610C0E">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p w:rsidR="00FE4DC6" w:rsidRPr="00C16E83" w:rsidRDefault="00FE4DC6" w:rsidP="00610C0E">
            <w:pPr>
              <w:jc w:val="center"/>
              <w:rPr>
                <w:rFonts w:ascii="Arial Narrow" w:hAnsi="Arial Narrow"/>
                <w:sz w:val="20"/>
                <w:szCs w:val="20"/>
              </w:rPr>
            </w:pPr>
            <w:r>
              <w:rPr>
                <w:rFonts w:ascii="Arial Narrow" w:hAnsi="Arial Narrow"/>
                <w:sz w:val="20"/>
                <w:szCs w:val="20"/>
              </w:rPr>
              <w:t>(</w:t>
            </w:r>
            <w:r w:rsidR="00AE66CA">
              <w:rPr>
                <w:rFonts w:ascii="Arial Narrow" w:hAnsi="Arial Narrow"/>
                <w:noProof/>
                <w:color w:val="000000"/>
                <w:sz w:val="20"/>
                <w:szCs w:val="20"/>
                <w:highlight w:val="black"/>
              </w:rPr>
              <w:t>'''''''''''''</w:t>
            </w:r>
            <w:r>
              <w:rPr>
                <w:rFonts w:ascii="Arial Narrow" w:hAnsi="Arial Narrow"/>
                <w:sz w:val="20"/>
                <w:szCs w:val="20"/>
              </w:rPr>
              <w:t xml:space="preserve">, </w:t>
            </w:r>
            <w:r w:rsidR="00AE66CA">
              <w:rPr>
                <w:rFonts w:ascii="Arial Narrow" w:hAnsi="Arial Narrow"/>
                <w:noProof/>
                <w:color w:val="000000"/>
                <w:sz w:val="20"/>
                <w:szCs w:val="20"/>
                <w:highlight w:val="black"/>
              </w:rPr>
              <w:t>'''''''''''''</w:t>
            </w:r>
            <w:r>
              <w:rPr>
                <w:rFonts w:ascii="Arial Narrow" w:hAnsi="Arial Narrow"/>
                <w:sz w:val="20"/>
                <w:szCs w:val="20"/>
              </w:rPr>
              <w:t>)</w:t>
            </w:r>
          </w:p>
        </w:tc>
        <w:tc>
          <w:tcPr>
            <w:tcW w:w="1319" w:type="dxa"/>
            <w:tcBorders>
              <w:left w:val="double" w:sz="4" w:space="0" w:color="auto"/>
            </w:tcBorders>
            <w:vAlign w:val="center"/>
          </w:tcPr>
          <w:p w:rsidR="00FE4DC6" w:rsidRPr="00C16E83" w:rsidRDefault="00AE66CA" w:rsidP="00610C0E">
            <w:pPr>
              <w:jc w:val="center"/>
              <w:rPr>
                <w:rFonts w:ascii="Arial Narrow" w:hAnsi="Arial Narrow"/>
                <w:sz w:val="20"/>
                <w:szCs w:val="20"/>
              </w:rPr>
            </w:pPr>
            <w:r>
              <w:rPr>
                <w:rFonts w:ascii="Arial Narrow" w:hAnsi="Arial Narrow"/>
                <w:noProof/>
                <w:color w:val="000000"/>
                <w:sz w:val="20"/>
                <w:szCs w:val="20"/>
                <w:highlight w:val="black"/>
              </w:rPr>
              <w:t>''''''</w:t>
            </w:r>
            <w:r w:rsidR="00FE4DC6">
              <w:rPr>
                <w:rFonts w:ascii="Arial Narrow" w:hAnsi="Arial Narrow"/>
                <w:sz w:val="20"/>
                <w:szCs w:val="20"/>
              </w:rPr>
              <w:t xml:space="preserve"> (</w:t>
            </w:r>
            <w:r>
              <w:rPr>
                <w:rFonts w:ascii="Arial Narrow" w:hAnsi="Arial Narrow"/>
                <w:noProof/>
                <w:color w:val="000000"/>
                <w:sz w:val="20"/>
                <w:szCs w:val="20"/>
                <w:highlight w:val="black"/>
              </w:rPr>
              <w:t>'''''''''''</w:t>
            </w:r>
            <w:r w:rsidR="00FE4DC6">
              <w:rPr>
                <w:rFonts w:ascii="Arial Narrow" w:hAnsi="Arial Narrow"/>
                <w:sz w:val="20"/>
                <w:szCs w:val="20"/>
              </w:rPr>
              <w:t>%)</w:t>
            </w:r>
          </w:p>
        </w:tc>
        <w:tc>
          <w:tcPr>
            <w:tcW w:w="1516" w:type="dxa"/>
            <w:vAlign w:val="center"/>
          </w:tcPr>
          <w:p w:rsidR="00FE4DC6" w:rsidRPr="00C16E83" w:rsidRDefault="00AE66CA" w:rsidP="00610C0E">
            <w:pPr>
              <w:jc w:val="center"/>
              <w:rPr>
                <w:rFonts w:ascii="Arial Narrow" w:hAnsi="Arial Narrow"/>
                <w:sz w:val="20"/>
                <w:szCs w:val="20"/>
              </w:rPr>
            </w:pPr>
            <w:r>
              <w:rPr>
                <w:rFonts w:ascii="Arial Narrow" w:hAnsi="Arial Narrow"/>
                <w:noProof/>
                <w:color w:val="000000"/>
                <w:sz w:val="20"/>
                <w:szCs w:val="20"/>
                <w:highlight w:val="black"/>
              </w:rPr>
              <w:t>'''''''</w:t>
            </w:r>
            <w:r w:rsidR="00FE4DC6">
              <w:rPr>
                <w:rFonts w:ascii="Arial Narrow" w:hAnsi="Arial Narrow"/>
                <w:sz w:val="20"/>
                <w:szCs w:val="20"/>
              </w:rPr>
              <w:t xml:space="preserve"> (</w:t>
            </w:r>
            <w:r>
              <w:rPr>
                <w:rFonts w:ascii="Arial Narrow" w:hAnsi="Arial Narrow"/>
                <w:noProof/>
                <w:color w:val="000000"/>
                <w:sz w:val="20"/>
                <w:szCs w:val="20"/>
                <w:highlight w:val="black"/>
              </w:rPr>
              <w:t>'''''''''''</w:t>
            </w:r>
            <w:r w:rsidR="00FE4DC6">
              <w:rPr>
                <w:rFonts w:ascii="Arial Narrow" w:hAnsi="Arial Narrow"/>
                <w:sz w:val="20"/>
                <w:szCs w:val="20"/>
              </w:rPr>
              <w:t>%)</w:t>
            </w:r>
          </w:p>
        </w:tc>
        <w:tc>
          <w:tcPr>
            <w:tcW w:w="1250" w:type="dxa"/>
            <w:vAlign w:val="center"/>
          </w:tcPr>
          <w:p w:rsidR="00FE4DC6" w:rsidRPr="00AE66CA" w:rsidRDefault="00AE66CA" w:rsidP="00610C0E">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p w:rsidR="00FE4DC6" w:rsidRPr="00C16E83" w:rsidRDefault="00FE4DC6" w:rsidP="00610C0E">
            <w:pPr>
              <w:jc w:val="center"/>
              <w:rPr>
                <w:rFonts w:ascii="Arial Narrow" w:hAnsi="Arial Narrow"/>
                <w:sz w:val="20"/>
                <w:szCs w:val="20"/>
              </w:rPr>
            </w:pPr>
            <w:r>
              <w:rPr>
                <w:rFonts w:ascii="Arial Narrow" w:hAnsi="Arial Narrow"/>
                <w:sz w:val="20"/>
                <w:szCs w:val="20"/>
              </w:rPr>
              <w:t>(</w:t>
            </w:r>
            <w:r w:rsidR="00AE66CA">
              <w:rPr>
                <w:rFonts w:ascii="Arial Narrow" w:hAnsi="Arial Narrow"/>
                <w:noProof/>
                <w:color w:val="000000"/>
                <w:sz w:val="20"/>
                <w:szCs w:val="20"/>
                <w:highlight w:val="black"/>
              </w:rPr>
              <w:t>''''''''''''''</w:t>
            </w:r>
            <w:r>
              <w:rPr>
                <w:rFonts w:ascii="Arial Narrow" w:hAnsi="Arial Narrow"/>
                <w:sz w:val="20"/>
                <w:szCs w:val="20"/>
              </w:rPr>
              <w:t xml:space="preserve">, </w:t>
            </w:r>
            <w:r w:rsidR="00AE66CA">
              <w:rPr>
                <w:rFonts w:ascii="Arial Narrow" w:hAnsi="Arial Narrow"/>
                <w:noProof/>
                <w:color w:val="000000"/>
                <w:sz w:val="20"/>
                <w:szCs w:val="20"/>
                <w:highlight w:val="black"/>
              </w:rPr>
              <w:t>''''''''''''</w:t>
            </w:r>
            <w:r>
              <w:rPr>
                <w:rFonts w:ascii="Arial Narrow" w:hAnsi="Arial Narrow"/>
                <w:sz w:val="20"/>
                <w:szCs w:val="20"/>
              </w:rPr>
              <w:t>)</w:t>
            </w:r>
          </w:p>
        </w:tc>
      </w:tr>
      <w:tr w:rsidR="00FE4DC6" w:rsidTr="00532534">
        <w:trPr>
          <w:tblHeader/>
        </w:trPr>
        <w:tc>
          <w:tcPr>
            <w:tcW w:w="9075" w:type="dxa"/>
            <w:gridSpan w:val="7"/>
            <w:vAlign w:val="center"/>
          </w:tcPr>
          <w:p w:rsidR="00FE4DC6" w:rsidRPr="004A2408" w:rsidRDefault="00FE4DC6" w:rsidP="00610C0E">
            <w:pPr>
              <w:jc w:val="left"/>
              <w:rPr>
                <w:rFonts w:ascii="Arial Narrow" w:hAnsi="Arial Narrow"/>
                <w:b/>
                <w:sz w:val="20"/>
                <w:szCs w:val="20"/>
              </w:rPr>
            </w:pPr>
            <w:r>
              <w:rPr>
                <w:rFonts w:ascii="Arial Narrow" w:hAnsi="Arial Narrow"/>
                <w:b/>
                <w:sz w:val="20"/>
                <w:szCs w:val="20"/>
              </w:rPr>
              <w:t>Week 48</w:t>
            </w:r>
          </w:p>
        </w:tc>
      </w:tr>
      <w:tr w:rsidR="00FE4DC6" w:rsidTr="00532534">
        <w:trPr>
          <w:tblHeader/>
        </w:trPr>
        <w:tc>
          <w:tcPr>
            <w:tcW w:w="1021" w:type="dxa"/>
            <w:vAlign w:val="center"/>
          </w:tcPr>
          <w:p w:rsidR="00FE4DC6" w:rsidRPr="00C16E83" w:rsidRDefault="00FE4DC6" w:rsidP="00610C0E">
            <w:pPr>
              <w:jc w:val="left"/>
              <w:rPr>
                <w:rFonts w:ascii="Arial Narrow" w:hAnsi="Arial Narrow"/>
                <w:sz w:val="20"/>
                <w:szCs w:val="20"/>
              </w:rPr>
            </w:pPr>
            <w:r>
              <w:rPr>
                <w:rFonts w:ascii="Arial Narrow" w:hAnsi="Arial Narrow"/>
                <w:sz w:val="20"/>
                <w:szCs w:val="20"/>
              </w:rPr>
              <w:t>Death n (%)</w:t>
            </w:r>
          </w:p>
        </w:tc>
        <w:tc>
          <w:tcPr>
            <w:tcW w:w="1275" w:type="dxa"/>
            <w:vAlign w:val="center"/>
          </w:tcPr>
          <w:p w:rsidR="00FE4DC6" w:rsidRPr="00C16E83" w:rsidRDefault="00FE4DC6" w:rsidP="00610C0E">
            <w:pPr>
              <w:jc w:val="center"/>
              <w:rPr>
                <w:rFonts w:ascii="Arial Narrow" w:hAnsi="Arial Narrow"/>
                <w:sz w:val="20"/>
                <w:szCs w:val="20"/>
              </w:rPr>
            </w:pPr>
            <w:r>
              <w:rPr>
                <w:rFonts w:ascii="Arial Narrow" w:hAnsi="Arial Narrow"/>
                <w:sz w:val="20"/>
                <w:szCs w:val="20"/>
              </w:rPr>
              <w:t>9 (15.8%)</w:t>
            </w:r>
          </w:p>
        </w:tc>
        <w:tc>
          <w:tcPr>
            <w:tcW w:w="1560" w:type="dxa"/>
            <w:vAlign w:val="center"/>
          </w:tcPr>
          <w:p w:rsidR="00FE4DC6" w:rsidRPr="00C16E83" w:rsidRDefault="00FE4DC6" w:rsidP="00610C0E">
            <w:pPr>
              <w:jc w:val="center"/>
              <w:rPr>
                <w:rFonts w:ascii="Arial Narrow" w:hAnsi="Arial Narrow"/>
                <w:sz w:val="20"/>
                <w:szCs w:val="20"/>
              </w:rPr>
            </w:pPr>
            <w:r>
              <w:rPr>
                <w:rFonts w:ascii="Arial Narrow" w:hAnsi="Arial Narrow"/>
                <w:sz w:val="20"/>
                <w:szCs w:val="20"/>
              </w:rPr>
              <w:t>52 (19.4%)</w:t>
            </w:r>
          </w:p>
        </w:tc>
        <w:tc>
          <w:tcPr>
            <w:tcW w:w="1134" w:type="dxa"/>
            <w:tcBorders>
              <w:right w:val="double" w:sz="4" w:space="0" w:color="auto"/>
            </w:tcBorders>
            <w:vAlign w:val="center"/>
          </w:tcPr>
          <w:p w:rsidR="00FE4DC6" w:rsidRDefault="00FE4DC6" w:rsidP="00610C0E">
            <w:pPr>
              <w:jc w:val="center"/>
              <w:rPr>
                <w:rFonts w:ascii="Arial Narrow" w:hAnsi="Arial Narrow"/>
                <w:sz w:val="20"/>
                <w:szCs w:val="20"/>
              </w:rPr>
            </w:pPr>
            <w:r>
              <w:rPr>
                <w:rFonts w:ascii="Arial Narrow" w:hAnsi="Arial Narrow"/>
                <w:sz w:val="20"/>
                <w:szCs w:val="20"/>
              </w:rPr>
              <w:t xml:space="preserve">1.149 </w:t>
            </w:r>
          </w:p>
          <w:p w:rsidR="00FE4DC6" w:rsidRPr="00C16E83" w:rsidRDefault="00FE4DC6" w:rsidP="00610C0E">
            <w:pPr>
              <w:jc w:val="center"/>
              <w:rPr>
                <w:rFonts w:ascii="Arial Narrow" w:hAnsi="Arial Narrow"/>
                <w:sz w:val="20"/>
                <w:szCs w:val="20"/>
              </w:rPr>
            </w:pPr>
            <w:r>
              <w:rPr>
                <w:rFonts w:ascii="Arial Narrow" w:hAnsi="Arial Narrow"/>
                <w:sz w:val="20"/>
                <w:szCs w:val="20"/>
              </w:rPr>
              <w:t>(0.556, 2.372)</w:t>
            </w:r>
          </w:p>
        </w:tc>
        <w:tc>
          <w:tcPr>
            <w:tcW w:w="1319" w:type="dxa"/>
            <w:tcBorders>
              <w:left w:val="double" w:sz="4" w:space="0" w:color="auto"/>
            </w:tcBorders>
            <w:vAlign w:val="center"/>
          </w:tcPr>
          <w:p w:rsidR="00FE4DC6" w:rsidRPr="00C16E83" w:rsidRDefault="00FE4DC6" w:rsidP="00610C0E">
            <w:pPr>
              <w:jc w:val="center"/>
              <w:rPr>
                <w:rFonts w:ascii="Arial Narrow" w:hAnsi="Arial Narrow"/>
                <w:sz w:val="20"/>
                <w:szCs w:val="20"/>
              </w:rPr>
            </w:pPr>
            <w:r>
              <w:rPr>
                <w:rFonts w:ascii="Arial Narrow" w:hAnsi="Arial Narrow"/>
                <w:sz w:val="20"/>
                <w:szCs w:val="20"/>
              </w:rPr>
              <w:t>22 (31.0%)</w:t>
            </w:r>
          </w:p>
        </w:tc>
        <w:tc>
          <w:tcPr>
            <w:tcW w:w="1516" w:type="dxa"/>
            <w:vAlign w:val="center"/>
          </w:tcPr>
          <w:p w:rsidR="00FE4DC6" w:rsidRPr="00C16E83" w:rsidRDefault="00FE4DC6" w:rsidP="00610C0E">
            <w:pPr>
              <w:jc w:val="center"/>
              <w:rPr>
                <w:rFonts w:ascii="Arial Narrow" w:hAnsi="Arial Narrow"/>
                <w:sz w:val="20"/>
                <w:szCs w:val="20"/>
              </w:rPr>
            </w:pPr>
            <w:r>
              <w:rPr>
                <w:rFonts w:ascii="Arial Narrow" w:hAnsi="Arial Narrow"/>
                <w:sz w:val="20"/>
                <w:szCs w:val="20"/>
              </w:rPr>
              <w:t>18 (18.2%)</w:t>
            </w:r>
          </w:p>
        </w:tc>
        <w:tc>
          <w:tcPr>
            <w:tcW w:w="1250" w:type="dxa"/>
            <w:vAlign w:val="center"/>
          </w:tcPr>
          <w:p w:rsidR="00FE4DC6" w:rsidRDefault="00FE4DC6" w:rsidP="00610C0E">
            <w:pPr>
              <w:jc w:val="center"/>
              <w:rPr>
                <w:rFonts w:ascii="Arial Narrow" w:hAnsi="Arial Narrow"/>
                <w:sz w:val="20"/>
                <w:szCs w:val="20"/>
              </w:rPr>
            </w:pPr>
            <w:r>
              <w:rPr>
                <w:rFonts w:ascii="Arial Narrow" w:hAnsi="Arial Narrow"/>
                <w:sz w:val="20"/>
                <w:szCs w:val="20"/>
              </w:rPr>
              <w:t xml:space="preserve">2.340 </w:t>
            </w:r>
          </w:p>
          <w:p w:rsidR="00FE4DC6" w:rsidRPr="00C16E83" w:rsidRDefault="00FE4DC6" w:rsidP="00610C0E">
            <w:pPr>
              <w:jc w:val="center"/>
              <w:rPr>
                <w:rFonts w:ascii="Arial Narrow" w:hAnsi="Arial Narrow"/>
                <w:sz w:val="20"/>
                <w:szCs w:val="20"/>
              </w:rPr>
            </w:pPr>
            <w:r>
              <w:rPr>
                <w:rFonts w:ascii="Arial Narrow" w:hAnsi="Arial Narrow"/>
                <w:sz w:val="20"/>
                <w:szCs w:val="20"/>
              </w:rPr>
              <w:t>(1.174, 4.666)</w:t>
            </w:r>
          </w:p>
        </w:tc>
      </w:tr>
    </w:tbl>
    <w:p w:rsidR="00E52B09" w:rsidRPr="00E52B09" w:rsidRDefault="00E52B09" w:rsidP="00610C0E">
      <w:pPr>
        <w:pStyle w:val="TableFooter"/>
        <w:tabs>
          <w:tab w:val="left" w:pos="142"/>
        </w:tabs>
      </w:pPr>
      <w:r w:rsidRPr="00E52B09">
        <w:rPr>
          <w:vertAlign w:val="superscript"/>
        </w:rPr>
        <w:t>a</w:t>
      </w:r>
      <w:r>
        <w:tab/>
      </w:r>
      <w:r w:rsidR="00892CAB">
        <w:t>Results are provided as in the resubmission, with three decimal places.</w:t>
      </w:r>
    </w:p>
    <w:p w:rsidR="00FE4DC6" w:rsidRDefault="00FE4DC6" w:rsidP="00610C0E">
      <w:pPr>
        <w:pStyle w:val="TableFooter"/>
      </w:pPr>
      <w:r>
        <w:t xml:space="preserve">CMV=cytomegalovirus; HR=hazard ratio </w:t>
      </w:r>
    </w:p>
    <w:p w:rsidR="00AD4FCA" w:rsidRDefault="00FE4DC6" w:rsidP="00610C0E">
      <w:pPr>
        <w:pStyle w:val="TableFooter"/>
      </w:pPr>
      <w:r>
        <w:t>Source:</w:t>
      </w:r>
      <w:r w:rsidR="005859EC">
        <w:t xml:space="preserve"> </w:t>
      </w:r>
      <w:r>
        <w:t>Table 2-12, p49 of the resubmission.</w:t>
      </w:r>
    </w:p>
    <w:p w:rsidR="00061FB6" w:rsidRPr="003F7F24" w:rsidRDefault="00F01CA1" w:rsidP="0033303B">
      <w:pPr>
        <w:pStyle w:val="ListParagraph"/>
        <w:numPr>
          <w:ilvl w:val="1"/>
          <w:numId w:val="1"/>
        </w:numPr>
        <w:spacing w:before="120" w:after="120"/>
      </w:pPr>
      <w:r w:rsidRPr="003F7F24">
        <w:t>The resubmission stated the analysis indicated that the occurrence of CMV infection increased the hazard of mortality through Week 48 by more than two times in those who received no prophylaxis (i</w:t>
      </w:r>
      <w:r w:rsidR="001C5115">
        <w:t>.</w:t>
      </w:r>
      <w:r w:rsidRPr="003F7F24">
        <w:t>e</w:t>
      </w:r>
      <w:r w:rsidR="001C5115">
        <w:t>.</w:t>
      </w:r>
      <w:r w:rsidRPr="003F7F24">
        <w:t xml:space="preserve"> placebo group).</w:t>
      </w:r>
      <w:r w:rsidR="005859EC">
        <w:t xml:space="preserve"> </w:t>
      </w:r>
      <w:r w:rsidRPr="003F7F24">
        <w:t xml:space="preserve">The resubmission also </w:t>
      </w:r>
      <w:r w:rsidRPr="0021510A">
        <w:t>stated that CMV infection was not associated with</w:t>
      </w:r>
      <w:r w:rsidR="00616456" w:rsidRPr="0021510A">
        <w:t xml:space="preserve"> an</w:t>
      </w:r>
      <w:r w:rsidRPr="0021510A">
        <w:t xml:space="preserve"> increas</w:t>
      </w:r>
      <w:r w:rsidR="00616456" w:rsidRPr="0021510A">
        <w:t>ed</w:t>
      </w:r>
      <w:r w:rsidRPr="0021510A">
        <w:t xml:space="preserve"> hazard of mortality in the letermovir-treated group through Week 48 with a HR=1.</w:t>
      </w:r>
      <w:r w:rsidR="00B530F4" w:rsidRPr="0021510A">
        <w:t xml:space="preserve">149. </w:t>
      </w:r>
      <w:r w:rsidR="00616456" w:rsidRPr="0021510A">
        <w:t xml:space="preserve">The resubmission concluded that these results indicate letermovir is an effect modifier for the effect of </w:t>
      </w:r>
      <w:r w:rsidR="00616456" w:rsidRPr="0021510A">
        <w:lastRenderedPageBreak/>
        <w:t>CMV infec</w:t>
      </w:r>
      <w:r w:rsidR="00B530F4" w:rsidRPr="0021510A">
        <w:t xml:space="preserve">tion on mortality. </w:t>
      </w:r>
      <w:r w:rsidR="009023EC" w:rsidRPr="0021510A">
        <w:t>The ESC considered that t</w:t>
      </w:r>
      <w:r w:rsidR="00616456" w:rsidRPr="0021510A">
        <w:t xml:space="preserve">his conclusion </w:t>
      </w:r>
      <w:r w:rsidR="00237FCA" w:rsidRPr="0021510A">
        <w:t>was not</w:t>
      </w:r>
      <w:r w:rsidR="00616456" w:rsidRPr="0021510A">
        <w:t xml:space="preserve"> strongly supported</w:t>
      </w:r>
      <w:r w:rsidR="00237FCA" w:rsidRPr="0021510A">
        <w:t xml:space="preserve"> because</w:t>
      </w:r>
      <w:r w:rsidR="00C07C49" w:rsidRPr="0021510A">
        <w:t>:</w:t>
      </w:r>
    </w:p>
    <w:p w:rsidR="00061FB6" w:rsidRPr="00850016" w:rsidRDefault="00432280" w:rsidP="0033303B">
      <w:pPr>
        <w:pStyle w:val="Bulletpoints"/>
        <w:spacing w:after="120"/>
        <w:ind w:left="1134"/>
      </w:pPr>
      <w:r w:rsidRPr="0021510A">
        <w:t xml:space="preserve">As outlined in paragraph </w:t>
      </w:r>
      <w:r w:rsidRPr="004F2BF9">
        <w:t>6.</w:t>
      </w:r>
      <w:r w:rsidR="004401BF" w:rsidRPr="004F2BF9">
        <w:t>2</w:t>
      </w:r>
      <w:r w:rsidR="003C511F" w:rsidRPr="004F2BF9">
        <w:t>0</w:t>
      </w:r>
      <w:r w:rsidR="009023EC" w:rsidRPr="0021510A">
        <w:t>, i</w:t>
      </w:r>
      <w:r w:rsidR="00EE0EDF" w:rsidRPr="0021510A">
        <w:t xml:space="preserve">n Trial P001 CMV-related mortality referred to all-cause </w:t>
      </w:r>
      <w:r w:rsidR="00EE0EDF" w:rsidRPr="00850016">
        <w:t>mortality in patients w</w:t>
      </w:r>
      <w:r w:rsidR="002E2A0D" w:rsidRPr="00850016">
        <w:t>ho met the primary outcome (i</w:t>
      </w:r>
      <w:r w:rsidR="001C5115" w:rsidRPr="00850016">
        <w:t>.</w:t>
      </w:r>
      <w:r w:rsidR="002E2A0D" w:rsidRPr="00850016">
        <w:t>e</w:t>
      </w:r>
      <w:r w:rsidR="001C5115" w:rsidRPr="00850016">
        <w:t>.</w:t>
      </w:r>
      <w:r w:rsidR="002E2A0D" w:rsidRPr="00850016">
        <w:t xml:space="preserve"> clinically significant </w:t>
      </w:r>
      <w:r w:rsidR="00EE0EDF" w:rsidRPr="00850016">
        <w:t>CMV infection</w:t>
      </w:r>
      <w:r w:rsidR="002E2A0D" w:rsidRPr="00850016">
        <w:t>)</w:t>
      </w:r>
      <w:r w:rsidR="00EE0EDF" w:rsidRPr="00850016">
        <w:t>.</w:t>
      </w:r>
      <w:r w:rsidR="005859EC">
        <w:t xml:space="preserve"> </w:t>
      </w:r>
      <w:r w:rsidR="00EE0EDF" w:rsidRPr="00850016">
        <w:t>Therefore,</w:t>
      </w:r>
      <w:r w:rsidR="007311D7">
        <w:t xml:space="preserve"> mortality may not be related to</w:t>
      </w:r>
      <w:r w:rsidR="00EE0EDF" w:rsidRPr="00850016">
        <w:t xml:space="preserve"> CMV infection.</w:t>
      </w:r>
    </w:p>
    <w:p w:rsidR="009023EC" w:rsidRPr="00850016" w:rsidRDefault="009023EC" w:rsidP="0033303B">
      <w:pPr>
        <w:pStyle w:val="Bulletpoints"/>
        <w:spacing w:after="120"/>
        <w:ind w:left="1134"/>
      </w:pPr>
      <w:r w:rsidRPr="00850016">
        <w:t>The PSCR stated that if letermovir treatment was not an effect modifier for the effect of CMV infection on mortality, it would be expected that deaths unrelated to CMV infection would occur in equal proportions in the treatment and placebo arms given randomisa</w:t>
      </w:r>
      <w:r w:rsidR="006D4484" w:rsidRPr="00850016">
        <w:t xml:space="preserve">tion. The ESC noted that the mortality improvement claim was based on a naïve comparison of letermovir versus placebo via the two CMV infection </w:t>
      </w:r>
      <w:r w:rsidR="007024C3" w:rsidRPr="00850016">
        <w:t xml:space="preserve">versus no </w:t>
      </w:r>
      <w:r w:rsidR="006D4484" w:rsidRPr="00850016">
        <w:t>CMV infection within-group analyses summarised in Table 7. The ESC considered that, as randomisation has been broken, it can no longer be assumed that imbalances in confounders in the infection sub-groups are being controlled which limits any comparison of the hazard ratios presented.</w:t>
      </w:r>
      <w:r w:rsidR="008B2233" w:rsidRPr="00850016">
        <w:t xml:space="preserve"> </w:t>
      </w:r>
    </w:p>
    <w:p w:rsidR="00F70823" w:rsidRDefault="007E6566" w:rsidP="0033303B">
      <w:pPr>
        <w:pStyle w:val="Bulletpoints"/>
        <w:spacing w:after="120"/>
        <w:ind w:left="1134"/>
      </w:pPr>
      <w:r w:rsidRPr="00850016">
        <w:t>In addition, little information on the methodology used for the post-hoc analyses was provided by the resubmission</w:t>
      </w:r>
      <w:r w:rsidRPr="0021510A">
        <w:t>.</w:t>
      </w:r>
      <w:r w:rsidR="005859EC">
        <w:t xml:space="preserve"> </w:t>
      </w:r>
      <w:r w:rsidRPr="0021510A">
        <w:t xml:space="preserve">While it was stated that the comparisons were adjusted for age, there was no discussion around why the comparisons were adjusted for age </w:t>
      </w:r>
      <w:r w:rsidR="00161C1C" w:rsidRPr="0021510A">
        <w:t>or</w:t>
      </w:r>
      <w:r w:rsidRPr="0021510A">
        <w:t xml:space="preserve"> how these results may have differed from those not adjusted for age.</w:t>
      </w:r>
      <w:r w:rsidR="005859EC">
        <w:t xml:space="preserve"> </w:t>
      </w:r>
      <w:r w:rsidRPr="0021510A">
        <w:t xml:space="preserve">The resubmission only provided visual comparisons of hazard ratios </w:t>
      </w:r>
      <w:r w:rsidR="003951AA">
        <w:t>for</w:t>
      </w:r>
      <w:r w:rsidRPr="0021510A">
        <w:t xml:space="preserve"> each within-group comparison and did not provide </w:t>
      </w:r>
      <w:r w:rsidR="00307C85" w:rsidRPr="0021510A">
        <w:t xml:space="preserve">between-group </w:t>
      </w:r>
      <w:r w:rsidRPr="0021510A">
        <w:t xml:space="preserve">statistical comparisons of the CMV infection and no CMV infection subgroups </w:t>
      </w:r>
      <w:r w:rsidR="00FE7ED0" w:rsidRPr="0021510A">
        <w:t xml:space="preserve">for </w:t>
      </w:r>
      <w:r w:rsidRPr="0021510A">
        <w:t>letermovir and placebo-treated patients.</w:t>
      </w:r>
      <w:r w:rsidR="00764A52" w:rsidRPr="0021510A">
        <w:t xml:space="preserve"> The PSCR </w:t>
      </w:r>
      <w:r w:rsidR="00747D64" w:rsidRPr="0021510A">
        <w:t xml:space="preserve">provided a </w:t>
      </w:r>
      <w:r w:rsidR="003951AA">
        <w:t>p</w:t>
      </w:r>
      <w:r w:rsidR="00747D64" w:rsidRPr="0021510A">
        <w:t>roportional hazard model for all-cause mortality through week 48 post-HSCT (</w:t>
      </w:r>
      <w:r w:rsidR="00AA5A11" w:rsidRPr="0021510A">
        <w:t xml:space="preserve">p5 </w:t>
      </w:r>
      <w:r w:rsidR="00747D64" w:rsidRPr="0021510A">
        <w:t>Table 2 and Appendix 2) to investigate the differential effect of CMV infection on mortality by treatment group. The PSCR stated that a</w:t>
      </w:r>
      <w:r w:rsidR="00A26515" w:rsidRPr="0021510A">
        <w:t xml:space="preserve"> Cox </w:t>
      </w:r>
      <w:r w:rsidR="00747D64" w:rsidRPr="0021510A">
        <w:t>regression model</w:t>
      </w:r>
      <w:r w:rsidR="007024C3" w:rsidRPr="0021510A">
        <w:t xml:space="preserve"> was fitted</w:t>
      </w:r>
      <w:r w:rsidR="00747D64" w:rsidRPr="0021510A">
        <w:t xml:space="preserve"> to estimate the treatment effect in patients with and without CMV infection </w:t>
      </w:r>
      <w:r w:rsidR="00AA5A11" w:rsidRPr="0021510A">
        <w:t>by adding CMV infection (as a time-dependent variable) and interaction between CMV infection and treatment into the selected model, whilst cont</w:t>
      </w:r>
      <w:r w:rsidR="007024C3" w:rsidRPr="0021510A">
        <w:t>rolling for age, acute GVHD grad</w:t>
      </w:r>
      <w:r w:rsidR="00AA5A11" w:rsidRPr="0021510A">
        <w:t>es II-IV, baseline CMV risk for reactivation (high vs low) and age (10 year groups). The ESC noted that the hazard ratio for all-cause mortality was 0.45 (95% CI, 0.21-1.00; P=0.05) for letermovir versus placebo a</w:t>
      </w:r>
      <w:r w:rsidR="007024C3" w:rsidRPr="0021510A">
        <w:t xml:space="preserve">mong patients who developed </w:t>
      </w:r>
      <w:r w:rsidR="00D410DC" w:rsidRPr="003F7F24">
        <w:t>clinically significant CMV infection</w:t>
      </w:r>
      <w:r w:rsidR="00D410DC" w:rsidRPr="0021510A" w:rsidDel="00D410DC">
        <w:t xml:space="preserve"> </w:t>
      </w:r>
      <w:r w:rsidR="00AA5A11" w:rsidRPr="0021510A">
        <w:t xml:space="preserve">through Week 24; and the HR was 1.05 (95% CI, 0.61-1.81; p = 0.85) for </w:t>
      </w:r>
      <w:r w:rsidR="007024C3" w:rsidRPr="0021510A">
        <w:t xml:space="preserve">letermovir versus </w:t>
      </w:r>
      <w:r w:rsidR="00AA5A11" w:rsidRPr="0021510A">
        <w:t xml:space="preserve">placebo among patients who did not develop </w:t>
      </w:r>
      <w:r w:rsidR="00D410DC" w:rsidRPr="003F7F24">
        <w:t>clinically significant CMV infection</w:t>
      </w:r>
      <w:r w:rsidR="00AA5A11" w:rsidRPr="0021510A">
        <w:t>.</w:t>
      </w:r>
      <w:r w:rsidR="00747D64" w:rsidRPr="0021510A">
        <w:t xml:space="preserve"> </w:t>
      </w:r>
      <w:r w:rsidR="00AA5A11" w:rsidRPr="0021510A">
        <w:t xml:space="preserve">The ESC </w:t>
      </w:r>
      <w:r w:rsidR="002F280F" w:rsidRPr="0021510A">
        <w:t>was concerned that the comparisons were not adjusted for other predictors of all-cause mortality (e.g. disease course or previous treatments). The ESC considered that the ongoing confounder imbalance for those predictors not included in the</w:t>
      </w:r>
      <w:r w:rsidR="002F280F" w:rsidRPr="007A329D">
        <w:t xml:space="preserve"> </w:t>
      </w:r>
      <w:r w:rsidR="002F280F" w:rsidRPr="0021510A">
        <w:t>multivariate Cox regression model presented in the PSCR coupled with the borderline insignificant hazard ratio for letermovir versus placebo a</w:t>
      </w:r>
      <w:r w:rsidR="007024C3" w:rsidRPr="0021510A">
        <w:t xml:space="preserve">mong patients who developed </w:t>
      </w:r>
      <w:r w:rsidR="00D410DC" w:rsidRPr="003F7F24">
        <w:t>clinically significant CMV infection</w:t>
      </w:r>
      <w:r w:rsidR="002F280F" w:rsidRPr="0021510A">
        <w:t xml:space="preserve"> made it difficult to claim any clear mortality benefit favouring letermovir from the data presented.</w:t>
      </w:r>
      <w:r w:rsidR="00EF44F0">
        <w:t xml:space="preserve"> </w:t>
      </w:r>
      <w:r w:rsidR="00850016" w:rsidRPr="00850016">
        <w:t>The pre-PBAC response acknowledged the borderline insignificant hazard ratio but also highlight</w:t>
      </w:r>
      <w:r w:rsidR="00850016">
        <w:t>ed</w:t>
      </w:r>
      <w:r w:rsidR="00850016" w:rsidRPr="00850016">
        <w:t xml:space="preserve"> the challenges associated with undertaking a study that is adequately powered to </w:t>
      </w:r>
      <w:r w:rsidR="00850016" w:rsidRPr="00850016">
        <w:lastRenderedPageBreak/>
        <w:t>detect a mortality benefit in allo</w:t>
      </w:r>
      <w:r w:rsidR="00AB49ED">
        <w:t xml:space="preserve">geneic </w:t>
      </w:r>
      <w:r w:rsidR="00850016" w:rsidRPr="00850016">
        <w:t xml:space="preserve">HSCT patients, especially when utilising the surrogate endpoint of CMV infection which is known to increase the risk of mortality. </w:t>
      </w:r>
      <w:r w:rsidR="00850016">
        <w:t xml:space="preserve">The PBAC disagreed with the sponsor </w:t>
      </w:r>
      <w:r w:rsidR="00CE0B39">
        <w:t xml:space="preserve">and considered that based on the size of the modelled mortality benefit </w:t>
      </w:r>
      <w:r w:rsidR="00850016">
        <w:t>that</w:t>
      </w:r>
      <w:r w:rsidR="00CE0B39">
        <w:t xml:space="preserve"> </w:t>
      </w:r>
      <w:r w:rsidR="000D6D62">
        <w:t xml:space="preserve">Trial P001 </w:t>
      </w:r>
      <w:r w:rsidR="00CE0B39">
        <w:t>would have been adequately powered to detect such a difference</w:t>
      </w:r>
      <w:r w:rsidR="00850016">
        <w:t>.</w:t>
      </w:r>
      <w:r w:rsidR="005859EC">
        <w:t xml:space="preserve"> </w:t>
      </w:r>
    </w:p>
    <w:p w:rsidR="00DF7B62" w:rsidRPr="003F7F24" w:rsidRDefault="00DF7B62" w:rsidP="0033303B">
      <w:pPr>
        <w:pStyle w:val="ListParagraph"/>
        <w:numPr>
          <w:ilvl w:val="1"/>
          <w:numId w:val="1"/>
        </w:numPr>
        <w:spacing w:after="120"/>
      </w:pPr>
      <w:r w:rsidRPr="003F7F24">
        <w:t xml:space="preserve">The resubmission also cited an advantage in re-hospitalisations for patients with </w:t>
      </w:r>
      <w:r w:rsidR="00161C1C" w:rsidRPr="003F7F24">
        <w:t xml:space="preserve">clinically significant </w:t>
      </w:r>
      <w:r w:rsidRPr="003F7F24">
        <w:t>CMV infection.</w:t>
      </w:r>
      <w:r w:rsidR="005859EC">
        <w:t xml:space="preserve"> </w:t>
      </w:r>
      <w:r w:rsidRPr="003F7F24">
        <w:t>Th</w:t>
      </w:r>
      <w:r w:rsidR="002B4142" w:rsidRPr="003F7F24">
        <w:t>e</w:t>
      </w:r>
      <w:r w:rsidRPr="003F7F24">
        <w:t>s</w:t>
      </w:r>
      <w:r w:rsidR="002B4142" w:rsidRPr="003F7F24">
        <w:t>e</w:t>
      </w:r>
      <w:r w:rsidRPr="003F7F24">
        <w:t xml:space="preserve"> data </w:t>
      </w:r>
      <w:r w:rsidR="002B4142" w:rsidRPr="003F7F24">
        <w:t>are</w:t>
      </w:r>
      <w:r w:rsidRPr="003F7F24">
        <w:t xml:space="preserve"> provided below</w:t>
      </w:r>
      <w:r w:rsidR="00CE0B39">
        <w:t>, statistical comparisons were not presented</w:t>
      </w:r>
      <w:r w:rsidRPr="003F7F24">
        <w:t>.</w:t>
      </w:r>
    </w:p>
    <w:p w:rsidR="00085D15" w:rsidRDefault="00085D15" w:rsidP="00610C0E">
      <w:r w:rsidRPr="00401364">
        <w:rPr>
          <w:rFonts w:ascii="Arial Narrow" w:hAnsi="Arial Narrow"/>
          <w:b/>
          <w:sz w:val="20"/>
          <w:szCs w:val="20"/>
        </w:rPr>
        <w:t xml:space="preserve">Table </w:t>
      </w:r>
      <w:r w:rsidR="000D0E6D">
        <w:rPr>
          <w:rFonts w:ascii="Arial Narrow" w:hAnsi="Arial Narrow"/>
          <w:b/>
          <w:noProof/>
          <w:sz w:val="20"/>
          <w:szCs w:val="20"/>
        </w:rPr>
        <w:t>8</w:t>
      </w:r>
      <w:r w:rsidRPr="00DA01E0">
        <w:rPr>
          <w:rFonts w:ascii="Arial Narrow" w:hAnsi="Arial Narrow"/>
          <w:b/>
          <w:sz w:val="20"/>
          <w:szCs w:val="20"/>
        </w:rPr>
        <w:t>:</w:t>
      </w:r>
      <w:r w:rsidR="005859EC">
        <w:rPr>
          <w:rFonts w:ascii="Arial Narrow" w:hAnsi="Arial Narrow"/>
          <w:b/>
          <w:sz w:val="20"/>
          <w:szCs w:val="20"/>
        </w:rPr>
        <w:t xml:space="preserve"> </w:t>
      </w:r>
      <w:r w:rsidRPr="00F06ABD">
        <w:rPr>
          <w:rFonts w:ascii="Arial Narrow" w:hAnsi="Arial Narrow"/>
          <w:b/>
          <w:sz w:val="20"/>
          <w:szCs w:val="20"/>
        </w:rPr>
        <w:t>Patients with re-hospitalisation after clinically significant CMV infection</w:t>
      </w:r>
    </w:p>
    <w:tbl>
      <w:tblPr>
        <w:tblStyle w:val="TableGrid"/>
        <w:tblW w:w="0" w:type="auto"/>
        <w:tblLook w:val="04A0" w:firstRow="1" w:lastRow="0" w:firstColumn="1" w:lastColumn="0" w:noHBand="0" w:noVBand="1"/>
        <w:tblCaption w:val="Table 8:  Patients with re-hospitalisation after clinically significant CMV infection"/>
      </w:tblPr>
      <w:tblGrid>
        <w:gridCol w:w="4139"/>
        <w:gridCol w:w="2473"/>
        <w:gridCol w:w="2405"/>
      </w:tblGrid>
      <w:tr w:rsidR="00085D15" w:rsidRPr="0084172E" w:rsidTr="00532534">
        <w:trPr>
          <w:tblHeader/>
        </w:trPr>
        <w:tc>
          <w:tcPr>
            <w:tcW w:w="4219" w:type="dxa"/>
            <w:vAlign w:val="center"/>
          </w:tcPr>
          <w:p w:rsidR="00085D15" w:rsidRPr="00633E3E" w:rsidRDefault="00085D15" w:rsidP="00610C0E">
            <w:pPr>
              <w:jc w:val="left"/>
              <w:rPr>
                <w:rFonts w:ascii="Arial Narrow" w:hAnsi="Arial Narrow"/>
                <w:b/>
                <w:sz w:val="20"/>
                <w:szCs w:val="20"/>
              </w:rPr>
            </w:pPr>
            <w:r w:rsidRPr="00633E3E">
              <w:rPr>
                <w:rFonts w:ascii="Arial Narrow" w:hAnsi="Arial Narrow"/>
                <w:b/>
                <w:sz w:val="20"/>
                <w:szCs w:val="20"/>
              </w:rPr>
              <w:t>Clinically significant CMV infection + discontinued + missing data</w:t>
            </w:r>
          </w:p>
        </w:tc>
        <w:tc>
          <w:tcPr>
            <w:tcW w:w="2514" w:type="dxa"/>
            <w:vAlign w:val="center"/>
          </w:tcPr>
          <w:p w:rsidR="00085D15" w:rsidRPr="00633E3E" w:rsidRDefault="00085D15" w:rsidP="00610C0E">
            <w:pPr>
              <w:jc w:val="center"/>
              <w:rPr>
                <w:rFonts w:ascii="Arial Narrow" w:hAnsi="Arial Narrow"/>
                <w:b/>
                <w:sz w:val="20"/>
                <w:szCs w:val="20"/>
              </w:rPr>
            </w:pPr>
            <w:r w:rsidRPr="00633E3E">
              <w:rPr>
                <w:rFonts w:ascii="Arial Narrow" w:hAnsi="Arial Narrow"/>
                <w:b/>
                <w:sz w:val="20"/>
                <w:szCs w:val="20"/>
              </w:rPr>
              <w:t>Letermovir (N=122)</w:t>
            </w:r>
          </w:p>
        </w:tc>
        <w:tc>
          <w:tcPr>
            <w:tcW w:w="2451" w:type="dxa"/>
            <w:vAlign w:val="center"/>
          </w:tcPr>
          <w:p w:rsidR="00085D15" w:rsidRPr="00633E3E" w:rsidRDefault="00085D15" w:rsidP="00610C0E">
            <w:pPr>
              <w:jc w:val="center"/>
              <w:rPr>
                <w:rFonts w:ascii="Arial Narrow" w:hAnsi="Arial Narrow"/>
                <w:b/>
                <w:sz w:val="20"/>
                <w:szCs w:val="20"/>
              </w:rPr>
            </w:pPr>
            <w:r w:rsidRPr="00633E3E">
              <w:rPr>
                <w:rFonts w:ascii="Arial Narrow" w:hAnsi="Arial Narrow"/>
                <w:b/>
                <w:sz w:val="20"/>
                <w:szCs w:val="20"/>
              </w:rPr>
              <w:t>Placebo (N=103)</w:t>
            </w:r>
          </w:p>
        </w:tc>
      </w:tr>
      <w:tr w:rsidR="00085D15" w:rsidRPr="0084172E" w:rsidTr="00532534">
        <w:trPr>
          <w:tblHeader/>
        </w:trPr>
        <w:tc>
          <w:tcPr>
            <w:tcW w:w="4219" w:type="dxa"/>
            <w:vAlign w:val="center"/>
          </w:tcPr>
          <w:p w:rsidR="00085D15" w:rsidRPr="00633E3E" w:rsidRDefault="00085D15" w:rsidP="00610C0E">
            <w:pPr>
              <w:jc w:val="left"/>
              <w:rPr>
                <w:rFonts w:ascii="Arial Narrow" w:hAnsi="Arial Narrow"/>
                <w:sz w:val="20"/>
                <w:szCs w:val="20"/>
              </w:rPr>
            </w:pPr>
            <w:r w:rsidRPr="00633E3E">
              <w:rPr>
                <w:rFonts w:ascii="Arial Narrow" w:hAnsi="Arial Narrow"/>
                <w:sz w:val="20"/>
                <w:szCs w:val="20"/>
              </w:rPr>
              <w:t>Re-hospitalisation for CMV infection/disease</w:t>
            </w:r>
          </w:p>
        </w:tc>
        <w:tc>
          <w:tcPr>
            <w:tcW w:w="2514" w:type="dxa"/>
            <w:vAlign w:val="center"/>
          </w:tcPr>
          <w:p w:rsidR="00085D15" w:rsidRPr="00633E3E" w:rsidRDefault="00085D15" w:rsidP="00610C0E">
            <w:pPr>
              <w:jc w:val="center"/>
              <w:rPr>
                <w:rFonts w:ascii="Arial Narrow" w:hAnsi="Arial Narrow"/>
                <w:sz w:val="20"/>
                <w:szCs w:val="20"/>
              </w:rPr>
            </w:pPr>
            <w:r w:rsidRPr="00633E3E">
              <w:rPr>
                <w:rFonts w:ascii="Arial Narrow" w:hAnsi="Arial Narrow"/>
                <w:sz w:val="20"/>
                <w:szCs w:val="20"/>
              </w:rPr>
              <w:t>10 (8.2%)</w:t>
            </w:r>
          </w:p>
        </w:tc>
        <w:tc>
          <w:tcPr>
            <w:tcW w:w="2451" w:type="dxa"/>
            <w:vAlign w:val="center"/>
          </w:tcPr>
          <w:p w:rsidR="00085D15" w:rsidRPr="00633E3E" w:rsidRDefault="00085D15" w:rsidP="00610C0E">
            <w:pPr>
              <w:jc w:val="center"/>
              <w:rPr>
                <w:rFonts w:ascii="Arial Narrow" w:hAnsi="Arial Narrow"/>
                <w:sz w:val="20"/>
                <w:szCs w:val="20"/>
              </w:rPr>
            </w:pPr>
            <w:r w:rsidRPr="00633E3E">
              <w:rPr>
                <w:rFonts w:ascii="Arial Narrow" w:hAnsi="Arial Narrow"/>
                <w:sz w:val="20"/>
                <w:szCs w:val="20"/>
              </w:rPr>
              <w:t>13 (12.6%)</w:t>
            </w:r>
          </w:p>
        </w:tc>
      </w:tr>
      <w:tr w:rsidR="00085D15" w:rsidRPr="00664DF2" w:rsidTr="00532534">
        <w:trPr>
          <w:tblHeader/>
        </w:trPr>
        <w:tc>
          <w:tcPr>
            <w:tcW w:w="4219" w:type="dxa"/>
            <w:vAlign w:val="center"/>
          </w:tcPr>
          <w:p w:rsidR="00085D15" w:rsidRPr="00633E3E" w:rsidRDefault="00085D15" w:rsidP="00610C0E">
            <w:pPr>
              <w:jc w:val="left"/>
              <w:rPr>
                <w:rFonts w:ascii="Arial Narrow" w:hAnsi="Arial Narrow"/>
                <w:b/>
                <w:sz w:val="20"/>
                <w:szCs w:val="20"/>
              </w:rPr>
            </w:pPr>
            <w:r w:rsidRPr="00633E3E">
              <w:rPr>
                <w:rFonts w:ascii="Arial Narrow" w:hAnsi="Arial Narrow"/>
                <w:b/>
                <w:sz w:val="20"/>
                <w:szCs w:val="20"/>
              </w:rPr>
              <w:t>Clinically significant CMV infection</w:t>
            </w:r>
          </w:p>
        </w:tc>
        <w:tc>
          <w:tcPr>
            <w:tcW w:w="2514" w:type="dxa"/>
            <w:vAlign w:val="center"/>
          </w:tcPr>
          <w:p w:rsidR="00085D15" w:rsidRPr="00633E3E" w:rsidRDefault="00085D15" w:rsidP="00610C0E">
            <w:pPr>
              <w:jc w:val="center"/>
              <w:rPr>
                <w:rFonts w:ascii="Arial Narrow" w:hAnsi="Arial Narrow"/>
                <w:sz w:val="20"/>
                <w:szCs w:val="20"/>
              </w:rPr>
            </w:pPr>
            <w:r w:rsidRPr="00633E3E">
              <w:rPr>
                <w:rFonts w:ascii="Arial Narrow" w:hAnsi="Arial Narrow"/>
                <w:b/>
                <w:sz w:val="20"/>
                <w:szCs w:val="20"/>
              </w:rPr>
              <w:t>Letermovir (N=57)</w:t>
            </w:r>
          </w:p>
        </w:tc>
        <w:tc>
          <w:tcPr>
            <w:tcW w:w="2451" w:type="dxa"/>
            <w:vAlign w:val="center"/>
          </w:tcPr>
          <w:p w:rsidR="00085D15" w:rsidRPr="00633E3E" w:rsidRDefault="00085D15" w:rsidP="00610C0E">
            <w:pPr>
              <w:jc w:val="center"/>
              <w:rPr>
                <w:rFonts w:ascii="Arial Narrow" w:hAnsi="Arial Narrow"/>
                <w:sz w:val="20"/>
                <w:szCs w:val="20"/>
              </w:rPr>
            </w:pPr>
            <w:r w:rsidRPr="00633E3E">
              <w:rPr>
                <w:rFonts w:ascii="Arial Narrow" w:hAnsi="Arial Narrow"/>
                <w:b/>
                <w:sz w:val="20"/>
                <w:szCs w:val="20"/>
              </w:rPr>
              <w:t>Placebo (N=71)</w:t>
            </w:r>
          </w:p>
        </w:tc>
      </w:tr>
      <w:tr w:rsidR="00085D15" w:rsidRPr="00664DF2" w:rsidTr="00532534">
        <w:trPr>
          <w:tblHeader/>
        </w:trPr>
        <w:tc>
          <w:tcPr>
            <w:tcW w:w="4219" w:type="dxa"/>
            <w:vAlign w:val="center"/>
          </w:tcPr>
          <w:p w:rsidR="00085D15" w:rsidRPr="00633E3E" w:rsidRDefault="00085D15" w:rsidP="00610C0E">
            <w:pPr>
              <w:jc w:val="left"/>
              <w:rPr>
                <w:rFonts w:ascii="Arial Narrow" w:hAnsi="Arial Narrow"/>
                <w:sz w:val="20"/>
                <w:szCs w:val="20"/>
              </w:rPr>
            </w:pPr>
            <w:r w:rsidRPr="00633E3E">
              <w:rPr>
                <w:rFonts w:ascii="Arial Narrow" w:hAnsi="Arial Narrow"/>
                <w:sz w:val="20"/>
                <w:szCs w:val="20"/>
              </w:rPr>
              <w:t>Re-hospitalisation for CMV infection/disease</w:t>
            </w:r>
          </w:p>
        </w:tc>
        <w:tc>
          <w:tcPr>
            <w:tcW w:w="2514" w:type="dxa"/>
            <w:vAlign w:val="center"/>
          </w:tcPr>
          <w:p w:rsidR="00085D15" w:rsidRPr="00633E3E" w:rsidRDefault="00085D15" w:rsidP="00610C0E">
            <w:pPr>
              <w:jc w:val="center"/>
              <w:rPr>
                <w:rFonts w:ascii="Arial Narrow" w:hAnsi="Arial Narrow"/>
                <w:sz w:val="20"/>
                <w:szCs w:val="20"/>
              </w:rPr>
            </w:pPr>
            <w:r w:rsidRPr="00633E3E">
              <w:rPr>
                <w:rFonts w:ascii="Arial Narrow" w:hAnsi="Arial Narrow"/>
                <w:sz w:val="20"/>
                <w:szCs w:val="20"/>
              </w:rPr>
              <w:t>10 (17.5%)</w:t>
            </w:r>
          </w:p>
        </w:tc>
        <w:tc>
          <w:tcPr>
            <w:tcW w:w="2451" w:type="dxa"/>
            <w:vAlign w:val="center"/>
          </w:tcPr>
          <w:p w:rsidR="00085D15" w:rsidRPr="00633E3E" w:rsidRDefault="00085D15" w:rsidP="00610C0E">
            <w:pPr>
              <w:jc w:val="center"/>
              <w:rPr>
                <w:rFonts w:ascii="Arial Narrow" w:hAnsi="Arial Narrow"/>
                <w:sz w:val="20"/>
                <w:szCs w:val="20"/>
              </w:rPr>
            </w:pPr>
            <w:r w:rsidRPr="00633E3E">
              <w:rPr>
                <w:rFonts w:ascii="Arial Narrow" w:hAnsi="Arial Narrow"/>
                <w:sz w:val="20"/>
                <w:szCs w:val="20"/>
              </w:rPr>
              <w:t>13 (18.3%)</w:t>
            </w:r>
          </w:p>
        </w:tc>
      </w:tr>
    </w:tbl>
    <w:p w:rsidR="00085D15" w:rsidRDefault="00085D15" w:rsidP="00610C0E">
      <w:pPr>
        <w:pStyle w:val="TableFooter"/>
      </w:pPr>
      <w:r>
        <w:t>Source:</w:t>
      </w:r>
      <w:r w:rsidR="005859EC">
        <w:t xml:space="preserve"> </w:t>
      </w:r>
      <w:r>
        <w:t>Table 2-14, p53 and Table 2-9, p45 of the resubmission and proportions calculated during the evaluation.</w:t>
      </w:r>
    </w:p>
    <w:p w:rsidR="00DF7B62" w:rsidRPr="0021510A" w:rsidRDefault="00633E3E" w:rsidP="0001348C">
      <w:pPr>
        <w:pStyle w:val="ListParagraph"/>
        <w:numPr>
          <w:ilvl w:val="1"/>
          <w:numId w:val="1"/>
        </w:numPr>
        <w:spacing w:before="120" w:after="120"/>
      </w:pPr>
      <w:r w:rsidRPr="0021510A">
        <w:t>The ESC noted that w</w:t>
      </w:r>
      <w:r w:rsidR="00F03BBE" w:rsidRPr="0021510A">
        <w:t xml:space="preserve">hile the proportion with re-hospitalisation was lower for letermovir-treated patients (8.2%) compared to placebo-treated patients (12.6%) when the denominator included discontinued patients </w:t>
      </w:r>
      <w:r w:rsidR="00161C1C" w:rsidRPr="0021510A">
        <w:t>and</w:t>
      </w:r>
      <w:r w:rsidR="00F03BBE" w:rsidRPr="0021510A">
        <w:t xml:space="preserve"> those with missing data, the proportions were similar between letermovir and placebo (17.5% and 18.3%) when only those who were identified as having CMV infection are included in the denominator.</w:t>
      </w:r>
      <w:r w:rsidR="005859EC">
        <w:t xml:space="preserve"> </w:t>
      </w:r>
      <w:r w:rsidR="00F03BBE" w:rsidRPr="0021510A">
        <w:t xml:space="preserve">As such, </w:t>
      </w:r>
      <w:r w:rsidRPr="0021510A">
        <w:t xml:space="preserve">the ESC considered </w:t>
      </w:r>
      <w:r w:rsidR="00F03BBE" w:rsidRPr="0021510A">
        <w:t>there is little support for the re-submission’s claim that the differences between groups in re-hospitalisation may have been due to the lower incidence of clinically significant CMV infection in the letermovir group.</w:t>
      </w:r>
    </w:p>
    <w:p w:rsidR="00382B8F" w:rsidRPr="003F7F24" w:rsidRDefault="00382B8F" w:rsidP="0001348C">
      <w:pPr>
        <w:pStyle w:val="ListParagraph"/>
        <w:numPr>
          <w:ilvl w:val="1"/>
          <w:numId w:val="1"/>
        </w:numPr>
        <w:spacing w:before="120" w:after="120"/>
      </w:pPr>
      <w:r w:rsidRPr="003F7F24">
        <w:t>The resubmission did not provide any results for the occurrence of bacterial and fungal infections</w:t>
      </w:r>
      <w:r w:rsidR="009A43DD" w:rsidRPr="003F7F24">
        <w:t xml:space="preserve"> but noted</w:t>
      </w:r>
      <w:r w:rsidR="00A35A32" w:rsidRPr="003F7F24">
        <w:t xml:space="preserve"> </w:t>
      </w:r>
      <w:r w:rsidR="009A43DD" w:rsidRPr="003F7F24">
        <w:t xml:space="preserve">that </w:t>
      </w:r>
      <w:r w:rsidR="00A35A32" w:rsidRPr="003F7F24">
        <w:t xml:space="preserve">CMV infection </w:t>
      </w:r>
      <w:r w:rsidR="002B4142" w:rsidRPr="003F7F24">
        <w:t xml:space="preserve">is associated with </w:t>
      </w:r>
      <w:r w:rsidR="00A35A32" w:rsidRPr="003F7F24">
        <w:t>an increased risk of ba</w:t>
      </w:r>
      <w:r w:rsidR="00B530F4">
        <w:t xml:space="preserve">cterial and fungal infections. </w:t>
      </w:r>
      <w:r w:rsidR="00A35A32" w:rsidRPr="003F7F24">
        <w:t>The trial C</w:t>
      </w:r>
      <w:r w:rsidR="00D410DC">
        <w:t xml:space="preserve">linical </w:t>
      </w:r>
      <w:r w:rsidR="00A35A32" w:rsidRPr="003F7F24">
        <w:t>S</w:t>
      </w:r>
      <w:r w:rsidR="00D410DC">
        <w:t xml:space="preserve">tudy </w:t>
      </w:r>
      <w:r w:rsidR="00A35A32" w:rsidRPr="003F7F24">
        <w:t>R</w:t>
      </w:r>
      <w:r w:rsidR="00D410DC">
        <w:t>eport</w:t>
      </w:r>
      <w:r w:rsidR="00A35A32" w:rsidRPr="003F7F24">
        <w:t>s</w:t>
      </w:r>
      <w:r w:rsidR="00D410DC">
        <w:t xml:space="preserve"> (CSR)</w:t>
      </w:r>
      <w:r w:rsidR="00A35A32" w:rsidRPr="003F7F24">
        <w:t xml:space="preserve"> provided results for this outcome, which are summarised in the table below at Week 24 and Week 48.</w:t>
      </w:r>
    </w:p>
    <w:p w:rsidR="00A35A32" w:rsidRPr="007311D7" w:rsidRDefault="00A35A32" w:rsidP="00610C0E">
      <w:r w:rsidRPr="007311D7">
        <w:rPr>
          <w:rFonts w:ascii="Arial Narrow" w:hAnsi="Arial Narrow"/>
          <w:b/>
          <w:sz w:val="20"/>
          <w:szCs w:val="20"/>
        </w:rPr>
        <w:t xml:space="preserve">Table </w:t>
      </w:r>
      <w:r w:rsidR="000D0E6D" w:rsidRPr="007311D7">
        <w:rPr>
          <w:rFonts w:ascii="Arial Narrow" w:hAnsi="Arial Narrow"/>
          <w:b/>
          <w:noProof/>
          <w:sz w:val="20"/>
          <w:szCs w:val="20"/>
        </w:rPr>
        <w:t>9</w:t>
      </w:r>
      <w:r w:rsidRPr="007311D7">
        <w:rPr>
          <w:rFonts w:ascii="Arial Narrow" w:hAnsi="Arial Narrow"/>
          <w:b/>
          <w:sz w:val="20"/>
          <w:szCs w:val="20"/>
        </w:rPr>
        <w:t>:</w:t>
      </w:r>
      <w:r w:rsidR="005859EC">
        <w:rPr>
          <w:rFonts w:ascii="Arial Narrow" w:hAnsi="Arial Narrow"/>
          <w:b/>
          <w:sz w:val="20"/>
          <w:szCs w:val="20"/>
        </w:rPr>
        <w:t xml:space="preserve"> </w:t>
      </w:r>
      <w:r w:rsidR="007A1E95" w:rsidRPr="007311D7">
        <w:rPr>
          <w:rFonts w:ascii="Arial Narrow" w:hAnsi="Arial Narrow"/>
          <w:b/>
          <w:sz w:val="20"/>
          <w:szCs w:val="20"/>
        </w:rPr>
        <w:t>Patients with bacterial or fungal infections</w:t>
      </w:r>
    </w:p>
    <w:tbl>
      <w:tblPr>
        <w:tblStyle w:val="TableGrid"/>
        <w:tblW w:w="0" w:type="auto"/>
        <w:tblLook w:val="04A0" w:firstRow="1" w:lastRow="0" w:firstColumn="1" w:lastColumn="0" w:noHBand="0" w:noVBand="1"/>
        <w:tblCaption w:val="Table 9:  Patients with bacterial or fungal infections"/>
      </w:tblPr>
      <w:tblGrid>
        <w:gridCol w:w="4132"/>
        <w:gridCol w:w="2476"/>
        <w:gridCol w:w="2409"/>
      </w:tblGrid>
      <w:tr w:rsidR="007A1E95" w:rsidRPr="007311D7" w:rsidTr="00532534">
        <w:trPr>
          <w:tblHeader/>
        </w:trPr>
        <w:tc>
          <w:tcPr>
            <w:tcW w:w="4219" w:type="dxa"/>
            <w:vAlign w:val="center"/>
          </w:tcPr>
          <w:p w:rsidR="007A1E95" w:rsidRPr="007311D7" w:rsidRDefault="007A1E95" w:rsidP="00610C0E">
            <w:pPr>
              <w:jc w:val="left"/>
              <w:rPr>
                <w:rFonts w:ascii="Arial Narrow" w:hAnsi="Arial Narrow"/>
                <w:b/>
                <w:sz w:val="20"/>
                <w:szCs w:val="20"/>
              </w:rPr>
            </w:pPr>
          </w:p>
        </w:tc>
        <w:tc>
          <w:tcPr>
            <w:tcW w:w="2514" w:type="dxa"/>
            <w:vAlign w:val="center"/>
          </w:tcPr>
          <w:p w:rsidR="007A1E95" w:rsidRPr="007311D7" w:rsidRDefault="007A1E95" w:rsidP="00610C0E">
            <w:pPr>
              <w:jc w:val="center"/>
              <w:rPr>
                <w:rFonts w:ascii="Arial Narrow" w:hAnsi="Arial Narrow"/>
                <w:b/>
                <w:sz w:val="20"/>
                <w:szCs w:val="20"/>
              </w:rPr>
            </w:pPr>
            <w:r w:rsidRPr="007311D7">
              <w:rPr>
                <w:rFonts w:ascii="Arial Narrow" w:hAnsi="Arial Narrow"/>
                <w:b/>
                <w:sz w:val="20"/>
                <w:szCs w:val="20"/>
              </w:rPr>
              <w:t>Letermovir (N=325)</w:t>
            </w:r>
          </w:p>
        </w:tc>
        <w:tc>
          <w:tcPr>
            <w:tcW w:w="2451" w:type="dxa"/>
            <w:vAlign w:val="center"/>
          </w:tcPr>
          <w:p w:rsidR="007A1E95" w:rsidRPr="007311D7" w:rsidRDefault="007A1E95" w:rsidP="00610C0E">
            <w:pPr>
              <w:jc w:val="center"/>
              <w:rPr>
                <w:rFonts w:ascii="Arial Narrow" w:hAnsi="Arial Narrow"/>
                <w:b/>
                <w:sz w:val="20"/>
                <w:szCs w:val="20"/>
              </w:rPr>
            </w:pPr>
            <w:r w:rsidRPr="007311D7">
              <w:rPr>
                <w:rFonts w:ascii="Arial Narrow" w:hAnsi="Arial Narrow"/>
                <w:b/>
                <w:sz w:val="20"/>
                <w:szCs w:val="20"/>
              </w:rPr>
              <w:t>Placebo (N=170)</w:t>
            </w:r>
          </w:p>
        </w:tc>
      </w:tr>
      <w:tr w:rsidR="007A1E95" w:rsidRPr="007311D7" w:rsidTr="00532534">
        <w:trPr>
          <w:tblHeader/>
        </w:trPr>
        <w:tc>
          <w:tcPr>
            <w:tcW w:w="9184" w:type="dxa"/>
            <w:gridSpan w:val="3"/>
            <w:vAlign w:val="center"/>
          </w:tcPr>
          <w:p w:rsidR="007A1E95" w:rsidRPr="007311D7" w:rsidRDefault="007A1E95" w:rsidP="00610C0E">
            <w:pPr>
              <w:jc w:val="left"/>
              <w:rPr>
                <w:rFonts w:ascii="Arial Narrow" w:hAnsi="Arial Narrow"/>
                <w:b/>
                <w:sz w:val="20"/>
                <w:szCs w:val="20"/>
              </w:rPr>
            </w:pPr>
            <w:r w:rsidRPr="007311D7">
              <w:rPr>
                <w:rFonts w:ascii="Arial Narrow" w:hAnsi="Arial Narrow"/>
                <w:b/>
                <w:sz w:val="20"/>
                <w:szCs w:val="20"/>
              </w:rPr>
              <w:t>Week 24</w:t>
            </w:r>
          </w:p>
        </w:tc>
      </w:tr>
      <w:tr w:rsidR="007A1E95" w:rsidRPr="007311D7" w:rsidTr="00532534">
        <w:trPr>
          <w:tblHeader/>
        </w:trPr>
        <w:tc>
          <w:tcPr>
            <w:tcW w:w="4219" w:type="dxa"/>
            <w:vAlign w:val="center"/>
          </w:tcPr>
          <w:p w:rsidR="007A1E95" w:rsidRPr="007311D7" w:rsidRDefault="007A1E95" w:rsidP="00610C0E">
            <w:pPr>
              <w:jc w:val="left"/>
              <w:rPr>
                <w:rFonts w:ascii="Arial Narrow" w:hAnsi="Arial Narrow"/>
                <w:sz w:val="20"/>
                <w:szCs w:val="20"/>
              </w:rPr>
            </w:pPr>
            <w:r w:rsidRPr="007311D7">
              <w:rPr>
                <w:rFonts w:ascii="Arial Narrow" w:hAnsi="Arial Narrow"/>
                <w:sz w:val="20"/>
                <w:szCs w:val="20"/>
              </w:rPr>
              <w:t>Bacterial and/or fungal infection</w:t>
            </w:r>
          </w:p>
        </w:tc>
        <w:tc>
          <w:tcPr>
            <w:tcW w:w="2514" w:type="dxa"/>
            <w:vAlign w:val="center"/>
          </w:tcPr>
          <w:p w:rsidR="007A1E95" w:rsidRPr="007311D7" w:rsidRDefault="007A1E95" w:rsidP="00610C0E">
            <w:pPr>
              <w:jc w:val="center"/>
              <w:rPr>
                <w:rFonts w:ascii="Arial Narrow" w:hAnsi="Arial Narrow"/>
                <w:sz w:val="20"/>
                <w:szCs w:val="20"/>
              </w:rPr>
            </w:pPr>
            <w:r w:rsidRPr="007311D7">
              <w:rPr>
                <w:rFonts w:ascii="Arial Narrow" w:hAnsi="Arial Narrow"/>
                <w:sz w:val="20"/>
                <w:szCs w:val="20"/>
              </w:rPr>
              <w:t>87 (26.8%)</w:t>
            </w:r>
          </w:p>
        </w:tc>
        <w:tc>
          <w:tcPr>
            <w:tcW w:w="2451" w:type="dxa"/>
            <w:vAlign w:val="center"/>
          </w:tcPr>
          <w:p w:rsidR="007A1E95" w:rsidRPr="007311D7" w:rsidRDefault="007A1E95" w:rsidP="00610C0E">
            <w:pPr>
              <w:jc w:val="center"/>
              <w:rPr>
                <w:rFonts w:ascii="Arial Narrow" w:hAnsi="Arial Narrow"/>
                <w:sz w:val="20"/>
                <w:szCs w:val="20"/>
              </w:rPr>
            </w:pPr>
            <w:r w:rsidRPr="007311D7">
              <w:rPr>
                <w:rFonts w:ascii="Arial Narrow" w:hAnsi="Arial Narrow"/>
                <w:sz w:val="20"/>
                <w:szCs w:val="20"/>
              </w:rPr>
              <w:t>43 (25.3%)</w:t>
            </w:r>
          </w:p>
        </w:tc>
      </w:tr>
      <w:tr w:rsidR="007A1E95" w:rsidRPr="007311D7" w:rsidTr="00532534">
        <w:trPr>
          <w:tblHeader/>
        </w:trPr>
        <w:tc>
          <w:tcPr>
            <w:tcW w:w="9184" w:type="dxa"/>
            <w:gridSpan w:val="3"/>
            <w:vAlign w:val="center"/>
          </w:tcPr>
          <w:p w:rsidR="007A1E95" w:rsidRPr="007311D7" w:rsidRDefault="007A1E95" w:rsidP="00610C0E">
            <w:pPr>
              <w:jc w:val="left"/>
              <w:rPr>
                <w:rFonts w:ascii="Arial Narrow" w:hAnsi="Arial Narrow"/>
                <w:b/>
                <w:sz w:val="20"/>
                <w:szCs w:val="20"/>
              </w:rPr>
            </w:pPr>
            <w:r w:rsidRPr="007311D7">
              <w:rPr>
                <w:rFonts w:ascii="Arial Narrow" w:hAnsi="Arial Narrow"/>
                <w:b/>
                <w:sz w:val="20"/>
                <w:szCs w:val="20"/>
              </w:rPr>
              <w:t>Week 48</w:t>
            </w:r>
          </w:p>
        </w:tc>
      </w:tr>
      <w:tr w:rsidR="007A1E95" w:rsidRPr="007311D7" w:rsidTr="00532534">
        <w:trPr>
          <w:tblHeader/>
        </w:trPr>
        <w:tc>
          <w:tcPr>
            <w:tcW w:w="4219" w:type="dxa"/>
            <w:vAlign w:val="center"/>
          </w:tcPr>
          <w:p w:rsidR="007A1E95" w:rsidRPr="007311D7" w:rsidRDefault="007A1E95" w:rsidP="00610C0E">
            <w:pPr>
              <w:jc w:val="left"/>
              <w:rPr>
                <w:rFonts w:ascii="Arial Narrow" w:hAnsi="Arial Narrow"/>
                <w:sz w:val="20"/>
                <w:szCs w:val="20"/>
              </w:rPr>
            </w:pPr>
            <w:r w:rsidRPr="007311D7">
              <w:rPr>
                <w:rFonts w:ascii="Arial Narrow" w:hAnsi="Arial Narrow"/>
                <w:sz w:val="20"/>
                <w:szCs w:val="20"/>
              </w:rPr>
              <w:t>Bacterial and/or fungal infection</w:t>
            </w:r>
          </w:p>
        </w:tc>
        <w:tc>
          <w:tcPr>
            <w:tcW w:w="2514" w:type="dxa"/>
            <w:vAlign w:val="center"/>
          </w:tcPr>
          <w:p w:rsidR="007A1E95" w:rsidRPr="007311D7" w:rsidRDefault="007A1E95" w:rsidP="00610C0E">
            <w:pPr>
              <w:jc w:val="center"/>
              <w:rPr>
                <w:rFonts w:ascii="Arial Narrow" w:hAnsi="Arial Narrow"/>
                <w:sz w:val="20"/>
                <w:szCs w:val="20"/>
              </w:rPr>
            </w:pPr>
            <w:r w:rsidRPr="007311D7">
              <w:rPr>
                <w:rFonts w:ascii="Arial Narrow" w:hAnsi="Arial Narrow"/>
                <w:sz w:val="20"/>
                <w:szCs w:val="20"/>
              </w:rPr>
              <w:t>112 (34.5%)</w:t>
            </w:r>
          </w:p>
        </w:tc>
        <w:tc>
          <w:tcPr>
            <w:tcW w:w="2451" w:type="dxa"/>
            <w:vAlign w:val="center"/>
          </w:tcPr>
          <w:p w:rsidR="007A1E95" w:rsidRPr="007311D7" w:rsidRDefault="007A1E95" w:rsidP="00610C0E">
            <w:pPr>
              <w:jc w:val="center"/>
              <w:rPr>
                <w:rFonts w:ascii="Arial Narrow" w:hAnsi="Arial Narrow"/>
                <w:sz w:val="20"/>
                <w:szCs w:val="20"/>
              </w:rPr>
            </w:pPr>
            <w:r w:rsidRPr="007311D7">
              <w:rPr>
                <w:rFonts w:ascii="Arial Narrow" w:hAnsi="Arial Narrow"/>
                <w:sz w:val="20"/>
                <w:szCs w:val="20"/>
              </w:rPr>
              <w:t>55 (32.4%)</w:t>
            </w:r>
          </w:p>
        </w:tc>
      </w:tr>
    </w:tbl>
    <w:p w:rsidR="00A35A32" w:rsidRDefault="007A1E95" w:rsidP="00610C0E">
      <w:pPr>
        <w:pStyle w:val="TableFooter"/>
      </w:pPr>
      <w:r w:rsidRPr="00180379">
        <w:t>Source:</w:t>
      </w:r>
      <w:r w:rsidR="005859EC">
        <w:t xml:space="preserve"> </w:t>
      </w:r>
      <w:r w:rsidRPr="00180379">
        <w:t>Table 11-21, p222 of P001V01 CSR and Table 11-6, p95 of P001V02 CSR.</w:t>
      </w:r>
    </w:p>
    <w:p w:rsidR="00A35A32" w:rsidRPr="0021510A" w:rsidRDefault="007A1E95" w:rsidP="005936C8">
      <w:pPr>
        <w:pStyle w:val="ListParagraph"/>
        <w:numPr>
          <w:ilvl w:val="1"/>
          <w:numId w:val="1"/>
        </w:numPr>
        <w:spacing w:before="120" w:after="120"/>
      </w:pPr>
      <w:r w:rsidRPr="0021510A">
        <w:t xml:space="preserve">The </w:t>
      </w:r>
      <w:r w:rsidR="00633E3E" w:rsidRPr="0021510A">
        <w:t xml:space="preserve">ESC noted that the </w:t>
      </w:r>
      <w:r w:rsidRPr="0021510A">
        <w:t xml:space="preserve">occurrence of bacterial and/or fungal infections was numerically slightly </w:t>
      </w:r>
      <w:r w:rsidR="002B4142" w:rsidRPr="0021510A">
        <w:t xml:space="preserve">higher </w:t>
      </w:r>
      <w:r w:rsidRPr="0021510A">
        <w:t>for letermovir-treated patients at both Weeks 24 and 48</w:t>
      </w:r>
      <w:r w:rsidR="002B4142" w:rsidRPr="0021510A">
        <w:t xml:space="preserve"> </w:t>
      </w:r>
      <w:r w:rsidR="007336F4">
        <w:t>which did</w:t>
      </w:r>
      <w:r w:rsidRPr="0021510A">
        <w:t xml:space="preserve"> not concur with </w:t>
      </w:r>
      <w:r w:rsidR="007336F4">
        <w:t>the</w:t>
      </w:r>
      <w:r w:rsidR="002B4142" w:rsidRPr="0021510A">
        <w:t xml:space="preserve"> </w:t>
      </w:r>
      <w:r w:rsidRPr="0021510A">
        <w:t>lower incidence of clinically significant CMV infection observed in letermovir-treated patients.</w:t>
      </w:r>
    </w:p>
    <w:p w:rsidR="00DF7B62" w:rsidRDefault="00C67236" w:rsidP="005936C8">
      <w:pPr>
        <w:pStyle w:val="ListParagraph"/>
        <w:numPr>
          <w:ilvl w:val="1"/>
          <w:numId w:val="1"/>
        </w:numPr>
        <w:spacing w:before="120" w:after="120"/>
      </w:pPr>
      <w:r w:rsidRPr="0021510A">
        <w:t>As for the July 2018 submission, the resubmission provided a summary of change from baseline in EQ-5D index scores, EQ-5D VAS scores and FACT-BMT scores.</w:t>
      </w:r>
      <w:r w:rsidR="005859EC">
        <w:t xml:space="preserve"> </w:t>
      </w:r>
      <w:r w:rsidR="001B441B" w:rsidRPr="0021510A">
        <w:t>The post-hoc comparisons of change from baseline QoL scores had been presented in the PSCR for the July 2018 submission.</w:t>
      </w:r>
      <w:r w:rsidR="005859EC">
        <w:t xml:space="preserve"> </w:t>
      </w:r>
      <w:r w:rsidR="001B441B" w:rsidRPr="0021510A">
        <w:t>The table below provides the results of the</w:t>
      </w:r>
      <w:r w:rsidR="001B441B" w:rsidRPr="003F7F24">
        <w:t xml:space="preserve"> analyses for the change from baseline QoL scores</w:t>
      </w:r>
      <w:r w:rsidR="006C42B9" w:rsidRPr="003F7F24">
        <w:t xml:space="preserve"> for the EQ-5D</w:t>
      </w:r>
      <w:r w:rsidR="00EA3C48" w:rsidRPr="003F7F24">
        <w:t xml:space="preserve"> </w:t>
      </w:r>
      <w:r w:rsidR="001B441B" w:rsidRPr="003F7F24">
        <w:t xml:space="preserve">for the </w:t>
      </w:r>
      <w:r w:rsidR="00B651F5" w:rsidRPr="003F7F24">
        <w:t xml:space="preserve">week 14, </w:t>
      </w:r>
      <w:r w:rsidR="001B441B" w:rsidRPr="003F7F24">
        <w:t xml:space="preserve">Week 24 and Week </w:t>
      </w:r>
      <w:r w:rsidR="001B441B" w:rsidRPr="003F7F24">
        <w:lastRenderedPageBreak/>
        <w:t xml:space="preserve">48 </w:t>
      </w:r>
      <w:r w:rsidR="009C74B2" w:rsidRPr="003F7F24">
        <w:t>time points</w:t>
      </w:r>
      <w:r w:rsidR="00EA3C48" w:rsidRPr="003F7F24">
        <w:t>, which were used in the economic model</w:t>
      </w:r>
      <w:r w:rsidR="001B441B" w:rsidRPr="003F7F24">
        <w:t>.</w:t>
      </w:r>
      <w:r w:rsidR="005859EC">
        <w:t xml:space="preserve"> </w:t>
      </w:r>
      <w:r w:rsidR="00B651F5" w:rsidRPr="003F7F24">
        <w:t>Results for</w:t>
      </w:r>
      <w:r w:rsidR="00203401" w:rsidRPr="003F7F24">
        <w:t xml:space="preserve"> CMV infection/discontinuation visits, which were included in the economic model, were</w:t>
      </w:r>
      <w:r w:rsidR="00203401">
        <w:t xml:space="preserve"> also provided, but no statistical comparisons were provided for th</w:t>
      </w:r>
      <w:r w:rsidR="00EA3C48">
        <w:t>ese</w:t>
      </w:r>
      <w:r w:rsidR="00203401">
        <w:t xml:space="preserve"> data.</w:t>
      </w:r>
      <w:r w:rsidR="005859EC">
        <w:t xml:space="preserve"> </w:t>
      </w:r>
    </w:p>
    <w:p w:rsidR="006C42B9" w:rsidRDefault="006C42B9" w:rsidP="00610C0E">
      <w:r w:rsidRPr="00401364">
        <w:rPr>
          <w:rFonts w:ascii="Arial Narrow" w:hAnsi="Arial Narrow"/>
          <w:b/>
          <w:sz w:val="20"/>
          <w:szCs w:val="20"/>
        </w:rPr>
        <w:t xml:space="preserve">Table </w:t>
      </w:r>
      <w:r w:rsidR="001D3B8C">
        <w:rPr>
          <w:rFonts w:ascii="Arial Narrow" w:hAnsi="Arial Narrow"/>
          <w:b/>
          <w:noProof/>
          <w:sz w:val="20"/>
          <w:szCs w:val="20"/>
        </w:rPr>
        <w:t>10</w:t>
      </w:r>
      <w:r w:rsidR="001D3B8C" w:rsidRPr="00DA01E0">
        <w:rPr>
          <w:rFonts w:ascii="Arial Narrow" w:hAnsi="Arial Narrow"/>
          <w:b/>
          <w:sz w:val="20"/>
          <w:szCs w:val="20"/>
        </w:rPr>
        <w:t>:</w:t>
      </w:r>
      <w:r w:rsidR="005859EC">
        <w:rPr>
          <w:rFonts w:ascii="Arial Narrow" w:hAnsi="Arial Narrow"/>
          <w:b/>
          <w:sz w:val="20"/>
          <w:szCs w:val="20"/>
        </w:rPr>
        <w:t xml:space="preserve"> </w:t>
      </w:r>
      <w:r>
        <w:rPr>
          <w:rFonts w:ascii="Arial Narrow" w:hAnsi="Arial Narrow"/>
          <w:b/>
          <w:sz w:val="20"/>
        </w:rPr>
        <w:t>Results for the analysis of change from baseline QoL scores in Trial P001</w:t>
      </w:r>
    </w:p>
    <w:tbl>
      <w:tblPr>
        <w:tblStyle w:val="TableGrid"/>
        <w:tblW w:w="5000" w:type="pct"/>
        <w:tblCellMar>
          <w:left w:w="28" w:type="dxa"/>
          <w:right w:w="28" w:type="dxa"/>
        </w:tblCellMar>
        <w:tblLook w:val="04A0" w:firstRow="1" w:lastRow="0" w:firstColumn="1" w:lastColumn="0" w:noHBand="0" w:noVBand="1"/>
        <w:tblCaption w:val="Table 10:  Results for the analysis of change from baseline QoL scores in Trial P001"/>
      </w:tblPr>
      <w:tblGrid>
        <w:gridCol w:w="1383"/>
        <w:gridCol w:w="683"/>
        <w:gridCol w:w="687"/>
        <w:gridCol w:w="689"/>
        <w:gridCol w:w="687"/>
        <w:gridCol w:w="866"/>
        <w:gridCol w:w="790"/>
        <w:gridCol w:w="734"/>
        <w:gridCol w:w="922"/>
        <w:gridCol w:w="743"/>
        <w:gridCol w:w="833"/>
      </w:tblGrid>
      <w:tr w:rsidR="006136B4" w:rsidRPr="00F60B2B" w:rsidTr="00AF5686">
        <w:trPr>
          <w:tblHeader/>
        </w:trPr>
        <w:tc>
          <w:tcPr>
            <w:tcW w:w="767" w:type="pct"/>
            <w:vMerge w:val="restart"/>
            <w:vAlign w:val="center"/>
          </w:tcPr>
          <w:p w:rsidR="006136B4" w:rsidRPr="00F60B2B" w:rsidRDefault="006136B4" w:rsidP="00610C0E">
            <w:pPr>
              <w:keepNext/>
              <w:jc w:val="left"/>
              <w:rPr>
                <w:rFonts w:ascii="Arial Narrow" w:hAnsi="Arial Narrow"/>
                <w:b/>
                <w:sz w:val="20"/>
                <w:szCs w:val="20"/>
              </w:rPr>
            </w:pPr>
          </w:p>
        </w:tc>
        <w:tc>
          <w:tcPr>
            <w:tcW w:w="760" w:type="pct"/>
            <w:gridSpan w:val="2"/>
            <w:vAlign w:val="center"/>
          </w:tcPr>
          <w:p w:rsidR="006136B4" w:rsidRPr="00F60B2B" w:rsidRDefault="006136B4" w:rsidP="00610C0E">
            <w:pPr>
              <w:keepNext/>
              <w:jc w:val="center"/>
              <w:rPr>
                <w:rFonts w:ascii="Arial Narrow" w:hAnsi="Arial Narrow"/>
                <w:b/>
                <w:sz w:val="20"/>
                <w:szCs w:val="20"/>
              </w:rPr>
            </w:pPr>
            <w:r>
              <w:rPr>
                <w:rFonts w:ascii="Arial Narrow" w:hAnsi="Arial Narrow"/>
                <w:b/>
                <w:sz w:val="20"/>
                <w:szCs w:val="20"/>
              </w:rPr>
              <w:t>Baseline</w:t>
            </w:r>
          </w:p>
        </w:tc>
        <w:tc>
          <w:tcPr>
            <w:tcW w:w="763" w:type="pct"/>
            <w:gridSpan w:val="2"/>
            <w:vAlign w:val="center"/>
          </w:tcPr>
          <w:p w:rsidR="006136B4" w:rsidRPr="00F60B2B" w:rsidRDefault="006136B4" w:rsidP="00610C0E">
            <w:pPr>
              <w:keepNext/>
              <w:jc w:val="center"/>
              <w:rPr>
                <w:rFonts w:ascii="Arial Narrow" w:hAnsi="Arial Narrow"/>
                <w:b/>
                <w:sz w:val="20"/>
                <w:szCs w:val="20"/>
              </w:rPr>
            </w:pPr>
            <w:r>
              <w:rPr>
                <w:rFonts w:ascii="Arial Narrow" w:hAnsi="Arial Narrow"/>
                <w:b/>
                <w:sz w:val="20"/>
                <w:szCs w:val="20"/>
              </w:rPr>
              <w:t xml:space="preserve">Week 14 post-transplant </w:t>
            </w:r>
          </w:p>
        </w:tc>
        <w:tc>
          <w:tcPr>
            <w:tcW w:w="918" w:type="pct"/>
            <w:gridSpan w:val="2"/>
            <w:vAlign w:val="center"/>
          </w:tcPr>
          <w:p w:rsidR="006136B4" w:rsidRPr="00F60B2B" w:rsidRDefault="006136B4" w:rsidP="00610C0E">
            <w:pPr>
              <w:keepNext/>
              <w:jc w:val="center"/>
              <w:rPr>
                <w:rFonts w:ascii="Arial Narrow" w:hAnsi="Arial Narrow"/>
                <w:b/>
                <w:sz w:val="20"/>
                <w:szCs w:val="20"/>
              </w:rPr>
            </w:pPr>
            <w:r>
              <w:rPr>
                <w:rFonts w:ascii="Arial Narrow" w:hAnsi="Arial Narrow"/>
                <w:b/>
                <w:sz w:val="20"/>
                <w:szCs w:val="20"/>
              </w:rPr>
              <w:t>Week 24 post-transplant</w:t>
            </w:r>
          </w:p>
        </w:tc>
        <w:tc>
          <w:tcPr>
            <w:tcW w:w="918" w:type="pct"/>
            <w:gridSpan w:val="2"/>
            <w:vAlign w:val="center"/>
          </w:tcPr>
          <w:p w:rsidR="006136B4" w:rsidRPr="00F60B2B" w:rsidRDefault="006136B4" w:rsidP="00610C0E">
            <w:pPr>
              <w:keepNext/>
              <w:jc w:val="center"/>
              <w:rPr>
                <w:rFonts w:ascii="Arial Narrow" w:hAnsi="Arial Narrow"/>
                <w:b/>
                <w:sz w:val="20"/>
                <w:szCs w:val="20"/>
              </w:rPr>
            </w:pPr>
            <w:r>
              <w:rPr>
                <w:rFonts w:ascii="Arial Narrow" w:hAnsi="Arial Narrow"/>
                <w:b/>
                <w:sz w:val="20"/>
                <w:szCs w:val="20"/>
              </w:rPr>
              <w:t>Week 48 post-transplant</w:t>
            </w:r>
          </w:p>
        </w:tc>
        <w:tc>
          <w:tcPr>
            <w:tcW w:w="874" w:type="pct"/>
            <w:gridSpan w:val="2"/>
            <w:vAlign w:val="center"/>
          </w:tcPr>
          <w:p w:rsidR="006136B4" w:rsidRPr="00F60B2B" w:rsidRDefault="006136B4" w:rsidP="00610C0E">
            <w:pPr>
              <w:keepNext/>
              <w:jc w:val="center"/>
              <w:rPr>
                <w:rFonts w:ascii="Arial Narrow" w:hAnsi="Arial Narrow"/>
                <w:b/>
                <w:sz w:val="20"/>
                <w:szCs w:val="20"/>
              </w:rPr>
            </w:pPr>
            <w:r>
              <w:rPr>
                <w:rFonts w:ascii="Arial Narrow" w:hAnsi="Arial Narrow"/>
                <w:b/>
                <w:sz w:val="20"/>
                <w:szCs w:val="20"/>
              </w:rPr>
              <w:t>All infection/ discontinuation visits</w:t>
            </w:r>
            <w:r w:rsidR="0080102E" w:rsidRPr="0080102E">
              <w:rPr>
                <w:rFonts w:ascii="Arial Narrow" w:hAnsi="Arial Narrow"/>
                <w:b/>
                <w:sz w:val="20"/>
                <w:szCs w:val="20"/>
                <w:vertAlign w:val="superscript"/>
              </w:rPr>
              <w:t>a</w:t>
            </w:r>
          </w:p>
        </w:tc>
      </w:tr>
      <w:tr w:rsidR="006136B4" w:rsidRPr="00F60B2B" w:rsidTr="00AF5686">
        <w:trPr>
          <w:tblHeader/>
        </w:trPr>
        <w:tc>
          <w:tcPr>
            <w:tcW w:w="767" w:type="pct"/>
            <w:vMerge/>
            <w:vAlign w:val="center"/>
          </w:tcPr>
          <w:p w:rsidR="006136B4" w:rsidRPr="00F60B2B" w:rsidRDefault="006136B4" w:rsidP="00610C0E">
            <w:pPr>
              <w:jc w:val="left"/>
              <w:rPr>
                <w:rFonts w:ascii="Arial Narrow" w:hAnsi="Arial Narrow"/>
                <w:b/>
                <w:sz w:val="20"/>
                <w:szCs w:val="20"/>
              </w:rPr>
            </w:pPr>
          </w:p>
        </w:tc>
        <w:tc>
          <w:tcPr>
            <w:tcW w:w="379"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Leter</w:t>
            </w:r>
          </w:p>
        </w:tc>
        <w:tc>
          <w:tcPr>
            <w:tcW w:w="381"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P</w:t>
            </w:r>
            <w:r>
              <w:rPr>
                <w:rFonts w:ascii="Arial Narrow" w:hAnsi="Arial Narrow"/>
                <w:b/>
                <w:sz w:val="20"/>
                <w:szCs w:val="20"/>
              </w:rPr>
              <w:t>BO</w:t>
            </w:r>
          </w:p>
        </w:tc>
        <w:tc>
          <w:tcPr>
            <w:tcW w:w="382"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Leter</w:t>
            </w:r>
          </w:p>
        </w:tc>
        <w:tc>
          <w:tcPr>
            <w:tcW w:w="381"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P</w:t>
            </w:r>
            <w:r>
              <w:rPr>
                <w:rFonts w:ascii="Arial Narrow" w:hAnsi="Arial Narrow"/>
                <w:b/>
                <w:sz w:val="20"/>
                <w:szCs w:val="20"/>
              </w:rPr>
              <w:t>BO</w:t>
            </w:r>
          </w:p>
        </w:tc>
        <w:tc>
          <w:tcPr>
            <w:tcW w:w="480"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Leter</w:t>
            </w:r>
          </w:p>
        </w:tc>
        <w:tc>
          <w:tcPr>
            <w:tcW w:w="438"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P</w:t>
            </w:r>
            <w:r>
              <w:rPr>
                <w:rFonts w:ascii="Arial Narrow" w:hAnsi="Arial Narrow"/>
                <w:b/>
                <w:sz w:val="20"/>
                <w:szCs w:val="20"/>
              </w:rPr>
              <w:t>BO</w:t>
            </w:r>
          </w:p>
        </w:tc>
        <w:tc>
          <w:tcPr>
            <w:tcW w:w="407"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Leter</w:t>
            </w:r>
          </w:p>
        </w:tc>
        <w:tc>
          <w:tcPr>
            <w:tcW w:w="511"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P</w:t>
            </w:r>
            <w:r>
              <w:rPr>
                <w:rFonts w:ascii="Arial Narrow" w:hAnsi="Arial Narrow"/>
                <w:b/>
                <w:sz w:val="20"/>
                <w:szCs w:val="20"/>
              </w:rPr>
              <w:t>BO</w:t>
            </w:r>
          </w:p>
        </w:tc>
        <w:tc>
          <w:tcPr>
            <w:tcW w:w="412"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Leter</w:t>
            </w:r>
          </w:p>
        </w:tc>
        <w:tc>
          <w:tcPr>
            <w:tcW w:w="462" w:type="pct"/>
            <w:vAlign w:val="center"/>
          </w:tcPr>
          <w:p w:rsidR="006136B4" w:rsidRPr="00F60B2B" w:rsidRDefault="006136B4" w:rsidP="00610C0E">
            <w:pPr>
              <w:jc w:val="center"/>
              <w:rPr>
                <w:rFonts w:ascii="Arial Narrow" w:hAnsi="Arial Narrow"/>
                <w:b/>
                <w:sz w:val="20"/>
                <w:szCs w:val="20"/>
              </w:rPr>
            </w:pPr>
            <w:r w:rsidRPr="00F60B2B">
              <w:rPr>
                <w:rFonts w:ascii="Arial Narrow" w:hAnsi="Arial Narrow"/>
                <w:b/>
                <w:sz w:val="20"/>
                <w:szCs w:val="20"/>
              </w:rPr>
              <w:t>P</w:t>
            </w:r>
            <w:r>
              <w:rPr>
                <w:rFonts w:ascii="Arial Narrow" w:hAnsi="Arial Narrow"/>
                <w:b/>
                <w:sz w:val="20"/>
                <w:szCs w:val="20"/>
              </w:rPr>
              <w:t>BO</w:t>
            </w:r>
          </w:p>
        </w:tc>
      </w:tr>
      <w:tr w:rsidR="006136B4" w:rsidTr="00AF5686">
        <w:tc>
          <w:tcPr>
            <w:tcW w:w="5000" w:type="pct"/>
            <w:gridSpan w:val="11"/>
            <w:vAlign w:val="center"/>
          </w:tcPr>
          <w:p w:rsidR="006136B4" w:rsidRPr="005926F6" w:rsidRDefault="006136B4" w:rsidP="00610C0E">
            <w:pPr>
              <w:jc w:val="left"/>
              <w:rPr>
                <w:rFonts w:ascii="Arial Narrow" w:hAnsi="Arial Narrow"/>
                <w:b/>
                <w:sz w:val="20"/>
                <w:szCs w:val="20"/>
              </w:rPr>
            </w:pPr>
            <w:r>
              <w:rPr>
                <w:rFonts w:ascii="Arial Narrow" w:hAnsi="Arial Narrow"/>
                <w:b/>
                <w:sz w:val="20"/>
                <w:szCs w:val="20"/>
              </w:rPr>
              <w:t>EQ-5D Index scores</w:t>
            </w:r>
          </w:p>
        </w:tc>
      </w:tr>
      <w:tr w:rsidR="006136B4" w:rsidRPr="0050205F" w:rsidTr="00AF5686">
        <w:tc>
          <w:tcPr>
            <w:tcW w:w="767" w:type="pct"/>
            <w:vAlign w:val="center"/>
          </w:tcPr>
          <w:p w:rsidR="006136B4" w:rsidRPr="0050205F" w:rsidRDefault="006136B4" w:rsidP="00610C0E">
            <w:pPr>
              <w:jc w:val="left"/>
              <w:rPr>
                <w:rFonts w:ascii="Arial Narrow" w:hAnsi="Arial Narrow"/>
                <w:sz w:val="20"/>
                <w:szCs w:val="20"/>
              </w:rPr>
            </w:pPr>
            <w:r w:rsidRPr="0050205F">
              <w:rPr>
                <w:rFonts w:ascii="Arial Narrow" w:hAnsi="Arial Narrow"/>
                <w:sz w:val="20"/>
                <w:szCs w:val="20"/>
              </w:rPr>
              <w:t>N</w:t>
            </w:r>
          </w:p>
        </w:tc>
        <w:tc>
          <w:tcPr>
            <w:tcW w:w="379"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243</w:t>
            </w:r>
          </w:p>
        </w:tc>
        <w:tc>
          <w:tcPr>
            <w:tcW w:w="38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135</w:t>
            </w:r>
          </w:p>
        </w:tc>
        <w:tc>
          <w:tcPr>
            <w:tcW w:w="382"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193</w:t>
            </w:r>
          </w:p>
        </w:tc>
        <w:tc>
          <w:tcPr>
            <w:tcW w:w="38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98</w:t>
            </w:r>
          </w:p>
        </w:tc>
        <w:tc>
          <w:tcPr>
            <w:tcW w:w="480"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149</w:t>
            </w:r>
          </w:p>
        </w:tc>
        <w:tc>
          <w:tcPr>
            <w:tcW w:w="438"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72</w:t>
            </w:r>
          </w:p>
        </w:tc>
        <w:tc>
          <w:tcPr>
            <w:tcW w:w="407"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142</w:t>
            </w:r>
          </w:p>
        </w:tc>
        <w:tc>
          <w:tcPr>
            <w:tcW w:w="51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74</w:t>
            </w:r>
          </w:p>
        </w:tc>
        <w:tc>
          <w:tcPr>
            <w:tcW w:w="412" w:type="pct"/>
            <w:vAlign w:val="center"/>
          </w:tcPr>
          <w:p w:rsidR="006136B4" w:rsidRPr="00AE66CA" w:rsidRDefault="00AE66CA" w:rsidP="00610C0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2" w:type="pct"/>
            <w:vAlign w:val="center"/>
          </w:tcPr>
          <w:p w:rsidR="006136B4" w:rsidRPr="00AE66CA" w:rsidRDefault="00AE66CA" w:rsidP="00610C0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136B4" w:rsidRPr="0050205F" w:rsidTr="00AF5686">
        <w:tc>
          <w:tcPr>
            <w:tcW w:w="767" w:type="pct"/>
            <w:vAlign w:val="center"/>
          </w:tcPr>
          <w:p w:rsidR="006136B4" w:rsidRPr="0050205F" w:rsidRDefault="006136B4" w:rsidP="00610C0E">
            <w:pPr>
              <w:jc w:val="left"/>
              <w:rPr>
                <w:rFonts w:ascii="Arial Narrow" w:hAnsi="Arial Narrow"/>
                <w:sz w:val="20"/>
                <w:szCs w:val="20"/>
              </w:rPr>
            </w:pPr>
            <w:r w:rsidRPr="0050205F">
              <w:rPr>
                <w:rFonts w:ascii="Arial Narrow" w:hAnsi="Arial Narrow"/>
                <w:sz w:val="20"/>
                <w:szCs w:val="20"/>
              </w:rPr>
              <w:t>Mean (SD)</w:t>
            </w:r>
          </w:p>
        </w:tc>
        <w:tc>
          <w:tcPr>
            <w:tcW w:w="379"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0.639 (0.3438)</w:t>
            </w:r>
          </w:p>
        </w:tc>
        <w:tc>
          <w:tcPr>
            <w:tcW w:w="38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0.669 (0.2854)</w:t>
            </w:r>
          </w:p>
        </w:tc>
        <w:tc>
          <w:tcPr>
            <w:tcW w:w="382"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0.753 (0.2867)</w:t>
            </w:r>
          </w:p>
        </w:tc>
        <w:tc>
          <w:tcPr>
            <w:tcW w:w="38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0.720 (0.2836)</w:t>
            </w:r>
          </w:p>
        </w:tc>
        <w:tc>
          <w:tcPr>
            <w:tcW w:w="480"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0.751 (0.2859)</w:t>
            </w:r>
          </w:p>
        </w:tc>
        <w:tc>
          <w:tcPr>
            <w:tcW w:w="438"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0.758 (0.2701)</w:t>
            </w:r>
          </w:p>
        </w:tc>
        <w:tc>
          <w:tcPr>
            <w:tcW w:w="407"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0.786 (0.2503)</w:t>
            </w:r>
          </w:p>
        </w:tc>
        <w:tc>
          <w:tcPr>
            <w:tcW w:w="51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0.768 (0.2856)</w:t>
            </w:r>
          </w:p>
        </w:tc>
        <w:tc>
          <w:tcPr>
            <w:tcW w:w="412" w:type="pct"/>
            <w:vAlign w:val="center"/>
          </w:tcPr>
          <w:p w:rsidR="006136B4" w:rsidRPr="0050205F" w:rsidRDefault="00AE66CA" w:rsidP="00610C0E">
            <w:pPr>
              <w:jc w:val="center"/>
              <w:rPr>
                <w:rFonts w:ascii="Arial Narrow" w:hAnsi="Arial Narrow"/>
                <w:sz w:val="20"/>
                <w:szCs w:val="20"/>
              </w:rPr>
            </w:pP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 xml:space="preserve"> (</w:t>
            </w: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w:t>
            </w:r>
          </w:p>
        </w:tc>
        <w:tc>
          <w:tcPr>
            <w:tcW w:w="462" w:type="pct"/>
            <w:vAlign w:val="center"/>
          </w:tcPr>
          <w:p w:rsidR="006136B4" w:rsidRPr="0050205F" w:rsidRDefault="00AE66CA" w:rsidP="00610C0E">
            <w:pPr>
              <w:jc w:val="center"/>
              <w:rPr>
                <w:rFonts w:ascii="Arial Narrow" w:hAnsi="Arial Narrow"/>
                <w:sz w:val="20"/>
                <w:szCs w:val="20"/>
              </w:rPr>
            </w:pP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 xml:space="preserve"> (</w:t>
            </w: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w:t>
            </w:r>
          </w:p>
        </w:tc>
      </w:tr>
      <w:tr w:rsidR="006136B4" w:rsidRPr="0050205F" w:rsidTr="00AF5686">
        <w:tc>
          <w:tcPr>
            <w:tcW w:w="767" w:type="pct"/>
            <w:vAlign w:val="center"/>
          </w:tcPr>
          <w:p w:rsidR="006136B4" w:rsidRPr="0050205F" w:rsidRDefault="006136B4" w:rsidP="00610C0E">
            <w:pPr>
              <w:jc w:val="left"/>
              <w:rPr>
                <w:rFonts w:ascii="Arial Narrow" w:hAnsi="Arial Narrow"/>
                <w:sz w:val="20"/>
                <w:szCs w:val="20"/>
              </w:rPr>
            </w:pPr>
            <w:r w:rsidRPr="0050205F">
              <w:rPr>
                <w:rFonts w:ascii="Arial Narrow" w:hAnsi="Arial Narrow"/>
                <w:sz w:val="20"/>
                <w:szCs w:val="20"/>
              </w:rPr>
              <w:t>Mean change from baseline (SE)</w:t>
            </w:r>
          </w:p>
        </w:tc>
        <w:tc>
          <w:tcPr>
            <w:tcW w:w="379"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w:t>
            </w:r>
          </w:p>
        </w:tc>
        <w:tc>
          <w:tcPr>
            <w:tcW w:w="38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w:t>
            </w:r>
          </w:p>
        </w:tc>
        <w:tc>
          <w:tcPr>
            <w:tcW w:w="382"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0.107 (0.3726)</w:t>
            </w:r>
          </w:p>
        </w:tc>
        <w:tc>
          <w:tcPr>
            <w:tcW w:w="38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0.025 (0.3540)</w:t>
            </w:r>
          </w:p>
        </w:tc>
        <w:tc>
          <w:tcPr>
            <w:tcW w:w="480"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0.108 (0.3822)</w:t>
            </w:r>
          </w:p>
        </w:tc>
        <w:tc>
          <w:tcPr>
            <w:tcW w:w="438"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0.040 (0.3738)</w:t>
            </w:r>
          </w:p>
        </w:tc>
        <w:tc>
          <w:tcPr>
            <w:tcW w:w="407"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0.164 (0.3534)</w:t>
            </w:r>
          </w:p>
        </w:tc>
        <w:tc>
          <w:tcPr>
            <w:tcW w:w="511" w:type="pct"/>
            <w:vAlign w:val="center"/>
          </w:tcPr>
          <w:p w:rsidR="006136B4" w:rsidRPr="0050205F" w:rsidRDefault="006136B4" w:rsidP="00610C0E">
            <w:pPr>
              <w:jc w:val="center"/>
              <w:rPr>
                <w:rFonts w:ascii="Arial Narrow" w:hAnsi="Arial Narrow"/>
                <w:sz w:val="20"/>
                <w:szCs w:val="20"/>
              </w:rPr>
            </w:pPr>
            <w:r w:rsidRPr="0050205F">
              <w:rPr>
                <w:rFonts w:ascii="Arial Narrow" w:hAnsi="Arial Narrow" w:cstheme="majorHAnsi"/>
                <w:sz w:val="20"/>
                <w:szCs w:val="20"/>
              </w:rPr>
              <w:t>0.084 (0.3840)</w:t>
            </w:r>
          </w:p>
        </w:tc>
        <w:tc>
          <w:tcPr>
            <w:tcW w:w="412" w:type="pct"/>
            <w:vAlign w:val="center"/>
          </w:tcPr>
          <w:p w:rsidR="006136B4" w:rsidRPr="0050205F" w:rsidRDefault="00AE66CA" w:rsidP="00610C0E">
            <w:pPr>
              <w:jc w:val="center"/>
              <w:rPr>
                <w:rFonts w:ascii="Arial Narrow" w:hAnsi="Arial Narrow"/>
                <w:sz w:val="20"/>
                <w:szCs w:val="20"/>
              </w:rPr>
            </w:pP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 xml:space="preserve"> (</w:t>
            </w: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w:t>
            </w:r>
          </w:p>
        </w:tc>
        <w:tc>
          <w:tcPr>
            <w:tcW w:w="462" w:type="pct"/>
            <w:vAlign w:val="center"/>
          </w:tcPr>
          <w:p w:rsidR="006136B4" w:rsidRPr="0050205F" w:rsidRDefault="00AE66CA" w:rsidP="00610C0E">
            <w:pPr>
              <w:jc w:val="center"/>
              <w:rPr>
                <w:rFonts w:ascii="Arial Narrow" w:hAnsi="Arial Narrow"/>
                <w:sz w:val="20"/>
                <w:szCs w:val="20"/>
              </w:rPr>
            </w:pP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 xml:space="preserve"> (</w:t>
            </w:r>
            <w:r>
              <w:rPr>
                <w:rFonts w:ascii="Arial Narrow" w:hAnsi="Arial Narrow" w:cstheme="majorHAnsi"/>
                <w:noProof/>
                <w:color w:val="000000"/>
                <w:sz w:val="20"/>
                <w:szCs w:val="20"/>
                <w:highlight w:val="black"/>
              </w:rPr>
              <w:t>'''''''''''''''''</w:t>
            </w:r>
            <w:r w:rsidR="006136B4" w:rsidRPr="0050205F">
              <w:rPr>
                <w:rFonts w:ascii="Arial Narrow" w:hAnsi="Arial Narrow" w:cstheme="majorHAnsi"/>
                <w:sz w:val="20"/>
                <w:szCs w:val="20"/>
              </w:rPr>
              <w:t>)</w:t>
            </w:r>
          </w:p>
        </w:tc>
      </w:tr>
      <w:tr w:rsidR="006136B4" w:rsidRPr="0050205F" w:rsidTr="00AF5686">
        <w:tc>
          <w:tcPr>
            <w:tcW w:w="767" w:type="pct"/>
            <w:vAlign w:val="center"/>
          </w:tcPr>
          <w:p w:rsidR="006136B4" w:rsidRPr="0050205F" w:rsidRDefault="006136B4" w:rsidP="00610C0E">
            <w:pPr>
              <w:jc w:val="left"/>
              <w:rPr>
                <w:rFonts w:ascii="Arial Narrow" w:hAnsi="Arial Narrow"/>
                <w:sz w:val="20"/>
                <w:szCs w:val="20"/>
              </w:rPr>
            </w:pPr>
            <w:r w:rsidRPr="0050205F">
              <w:rPr>
                <w:rFonts w:ascii="Arial Narrow" w:hAnsi="Arial Narrow"/>
                <w:sz w:val="20"/>
                <w:szCs w:val="20"/>
              </w:rPr>
              <w:t xml:space="preserve">Mean difference </w:t>
            </w:r>
          </w:p>
          <w:p w:rsidR="006136B4" w:rsidRPr="0050205F" w:rsidRDefault="006136B4" w:rsidP="00610C0E">
            <w:pPr>
              <w:jc w:val="left"/>
              <w:rPr>
                <w:rFonts w:ascii="Arial Narrow" w:hAnsi="Arial Narrow"/>
                <w:sz w:val="20"/>
                <w:szCs w:val="20"/>
              </w:rPr>
            </w:pPr>
            <w:r w:rsidRPr="0050205F">
              <w:rPr>
                <w:rFonts w:ascii="Arial Narrow" w:hAnsi="Arial Narrow"/>
                <w:sz w:val="20"/>
                <w:szCs w:val="20"/>
              </w:rPr>
              <w:t>(95% CI)</w:t>
            </w:r>
          </w:p>
        </w:tc>
        <w:tc>
          <w:tcPr>
            <w:tcW w:w="760" w:type="pct"/>
            <w:gridSpan w:val="2"/>
            <w:vAlign w:val="center"/>
          </w:tcPr>
          <w:p w:rsidR="006136B4" w:rsidRPr="0050205F" w:rsidRDefault="006136B4" w:rsidP="00610C0E">
            <w:pPr>
              <w:jc w:val="center"/>
              <w:rPr>
                <w:rFonts w:ascii="Arial Narrow" w:hAnsi="Arial Narrow"/>
                <w:sz w:val="20"/>
                <w:szCs w:val="20"/>
              </w:rPr>
            </w:pPr>
            <w:r w:rsidRPr="0050205F">
              <w:rPr>
                <w:rFonts w:ascii="Arial Narrow" w:hAnsi="Arial Narrow"/>
                <w:sz w:val="20"/>
                <w:szCs w:val="20"/>
              </w:rPr>
              <w:t>-</w:t>
            </w:r>
          </w:p>
        </w:tc>
        <w:tc>
          <w:tcPr>
            <w:tcW w:w="763" w:type="pct"/>
            <w:gridSpan w:val="2"/>
            <w:vAlign w:val="center"/>
          </w:tcPr>
          <w:p w:rsidR="006136B4" w:rsidRPr="00AE66CA" w:rsidRDefault="00AE66CA" w:rsidP="00610C0E">
            <w:pPr>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 xml:space="preserve">''''''''''''' </w:t>
            </w:r>
          </w:p>
          <w:p w:rsidR="006136B4" w:rsidRPr="0050205F" w:rsidRDefault="006136B4" w:rsidP="00610C0E">
            <w:pPr>
              <w:jc w:val="center"/>
              <w:rPr>
                <w:rFonts w:ascii="Arial Narrow" w:hAnsi="Arial Narrow" w:cstheme="majorHAnsi"/>
                <w:sz w:val="20"/>
                <w:szCs w:val="20"/>
              </w:rPr>
            </w:pPr>
            <w:r w:rsidRPr="00AB09E1">
              <w:rPr>
                <w:rFonts w:ascii="Arial Narrow" w:hAnsi="Arial Narrow" w:cstheme="majorHAnsi"/>
                <w:sz w:val="20"/>
                <w:szCs w:val="20"/>
              </w:rPr>
              <w:t>(</w:t>
            </w:r>
            <w:r w:rsidR="00AE66CA">
              <w:rPr>
                <w:rFonts w:ascii="Arial Narrow" w:hAnsi="Arial Narrow" w:cstheme="majorHAnsi"/>
                <w:noProof/>
                <w:color w:val="000000"/>
                <w:sz w:val="20"/>
                <w:szCs w:val="20"/>
                <w:highlight w:val="black"/>
              </w:rPr>
              <w:t>'''''''''''''''</w:t>
            </w:r>
            <w:r w:rsidRPr="0050205F">
              <w:rPr>
                <w:rFonts w:ascii="Arial Narrow" w:hAnsi="Arial Narrow" w:cstheme="majorHAnsi"/>
                <w:sz w:val="20"/>
                <w:szCs w:val="20"/>
              </w:rPr>
              <w:t xml:space="preserve">, </w:t>
            </w:r>
            <w:r w:rsidR="00AE66CA">
              <w:rPr>
                <w:rFonts w:ascii="Arial Narrow" w:hAnsi="Arial Narrow" w:cstheme="majorHAnsi"/>
                <w:noProof/>
                <w:color w:val="000000"/>
                <w:sz w:val="20"/>
                <w:szCs w:val="20"/>
                <w:highlight w:val="black"/>
              </w:rPr>
              <w:t>'''''''''''''</w:t>
            </w:r>
            <w:r w:rsidRPr="0050205F">
              <w:rPr>
                <w:rFonts w:ascii="Arial Narrow" w:hAnsi="Arial Narrow" w:cstheme="majorHAnsi"/>
                <w:sz w:val="20"/>
                <w:szCs w:val="20"/>
              </w:rPr>
              <w:t>)</w:t>
            </w:r>
          </w:p>
        </w:tc>
        <w:tc>
          <w:tcPr>
            <w:tcW w:w="918" w:type="pct"/>
            <w:gridSpan w:val="2"/>
            <w:vAlign w:val="center"/>
          </w:tcPr>
          <w:p w:rsidR="006136B4" w:rsidRPr="0050205F" w:rsidRDefault="00AE66CA" w:rsidP="00610C0E">
            <w:pPr>
              <w:jc w:val="center"/>
              <w:rPr>
                <w:rFonts w:ascii="Arial Narrow" w:hAnsi="Arial Narrow" w:cstheme="majorHAnsi"/>
                <w:sz w:val="20"/>
                <w:szCs w:val="20"/>
              </w:rPr>
            </w:pPr>
            <w:r>
              <w:rPr>
                <w:rFonts w:ascii="Arial Narrow" w:hAnsi="Arial Narrow" w:cs="Calibri Light"/>
                <w:noProof/>
                <w:color w:val="000000"/>
                <w:sz w:val="20"/>
                <w:szCs w:val="20"/>
                <w:highlight w:val="black"/>
              </w:rPr>
              <w:t>'''''''''''''</w:t>
            </w:r>
            <w:r w:rsidR="006136B4" w:rsidRPr="0050205F">
              <w:rPr>
                <w:rFonts w:ascii="Arial Narrow" w:hAnsi="Arial Narrow" w:cs="Calibri Light"/>
                <w:sz w:val="20"/>
                <w:szCs w:val="20"/>
              </w:rPr>
              <w:t xml:space="preserve"> (</w:t>
            </w:r>
            <w:r>
              <w:rPr>
                <w:rFonts w:ascii="Arial Narrow" w:hAnsi="Arial Narrow" w:cs="Calibri Light"/>
                <w:noProof/>
                <w:color w:val="000000"/>
                <w:sz w:val="20"/>
                <w:szCs w:val="20"/>
                <w:highlight w:val="black"/>
              </w:rPr>
              <w:t>''''''''''''''''</w:t>
            </w:r>
            <w:r w:rsidR="006136B4" w:rsidRPr="0050205F">
              <w:rPr>
                <w:rFonts w:ascii="Arial Narrow" w:hAnsi="Arial Narrow" w:cs="Calibri Light"/>
                <w:sz w:val="20"/>
                <w:szCs w:val="20"/>
              </w:rPr>
              <w:t xml:space="preserve">, </w:t>
            </w:r>
            <w:r>
              <w:rPr>
                <w:rFonts w:ascii="Arial Narrow" w:hAnsi="Arial Narrow" w:cs="Calibri Light"/>
                <w:noProof/>
                <w:color w:val="000000"/>
                <w:sz w:val="20"/>
                <w:szCs w:val="20"/>
                <w:highlight w:val="black"/>
              </w:rPr>
              <w:t>'''''''''''''</w:t>
            </w:r>
            <w:r w:rsidR="006136B4" w:rsidRPr="0050205F">
              <w:rPr>
                <w:rFonts w:ascii="Arial Narrow" w:hAnsi="Arial Narrow" w:cs="Calibri Light"/>
                <w:sz w:val="20"/>
                <w:szCs w:val="20"/>
              </w:rPr>
              <w:t>)</w:t>
            </w:r>
          </w:p>
        </w:tc>
        <w:tc>
          <w:tcPr>
            <w:tcW w:w="918" w:type="pct"/>
            <w:gridSpan w:val="2"/>
            <w:vAlign w:val="center"/>
          </w:tcPr>
          <w:p w:rsidR="006136B4" w:rsidRPr="0050205F" w:rsidRDefault="00AE66CA" w:rsidP="00610C0E">
            <w:pPr>
              <w:jc w:val="center"/>
              <w:rPr>
                <w:rFonts w:ascii="Arial Narrow" w:hAnsi="Arial Narrow" w:cstheme="majorHAnsi"/>
                <w:sz w:val="20"/>
                <w:szCs w:val="20"/>
              </w:rPr>
            </w:pPr>
            <w:r>
              <w:rPr>
                <w:rFonts w:ascii="Arial Narrow" w:hAnsi="Arial Narrow" w:cs="Calibri Light"/>
                <w:noProof/>
                <w:color w:val="000000"/>
                <w:sz w:val="20"/>
                <w:szCs w:val="20"/>
                <w:highlight w:val="black"/>
              </w:rPr>
              <w:t>'''''''''''''</w:t>
            </w:r>
            <w:r w:rsidR="006136B4" w:rsidRPr="0050205F">
              <w:rPr>
                <w:rFonts w:ascii="Arial Narrow" w:hAnsi="Arial Narrow" w:cs="Calibri Light"/>
                <w:sz w:val="20"/>
                <w:szCs w:val="20"/>
              </w:rPr>
              <w:t xml:space="preserve"> (</w:t>
            </w:r>
            <w:r>
              <w:rPr>
                <w:rFonts w:ascii="Arial Narrow" w:hAnsi="Arial Narrow" w:cs="Calibri Light"/>
                <w:noProof/>
                <w:color w:val="000000"/>
                <w:sz w:val="20"/>
                <w:szCs w:val="20"/>
                <w:highlight w:val="black"/>
              </w:rPr>
              <w:t>'''''''''''''''</w:t>
            </w:r>
            <w:r w:rsidR="006136B4" w:rsidRPr="0050205F">
              <w:rPr>
                <w:rFonts w:ascii="Arial Narrow" w:hAnsi="Arial Narrow" w:cs="Calibri Light"/>
                <w:sz w:val="20"/>
                <w:szCs w:val="20"/>
              </w:rPr>
              <w:t xml:space="preserve">, </w:t>
            </w:r>
            <w:r>
              <w:rPr>
                <w:rFonts w:ascii="Arial Narrow" w:hAnsi="Arial Narrow" w:cs="Calibri Light"/>
                <w:noProof/>
                <w:color w:val="000000"/>
                <w:sz w:val="20"/>
                <w:szCs w:val="20"/>
                <w:highlight w:val="black"/>
              </w:rPr>
              <w:t>''''''''''''''</w:t>
            </w:r>
            <w:r w:rsidR="006136B4" w:rsidRPr="0050205F">
              <w:rPr>
                <w:rFonts w:ascii="Arial Narrow" w:hAnsi="Arial Narrow" w:cs="Calibri Light"/>
                <w:sz w:val="20"/>
                <w:szCs w:val="20"/>
              </w:rPr>
              <w:t>)</w:t>
            </w:r>
          </w:p>
        </w:tc>
        <w:tc>
          <w:tcPr>
            <w:tcW w:w="874" w:type="pct"/>
            <w:gridSpan w:val="2"/>
            <w:vAlign w:val="center"/>
          </w:tcPr>
          <w:p w:rsidR="006136B4" w:rsidRPr="0050205F" w:rsidRDefault="006136B4" w:rsidP="00610C0E">
            <w:pPr>
              <w:jc w:val="center"/>
              <w:rPr>
                <w:rFonts w:ascii="Arial Narrow" w:hAnsi="Arial Narrow" w:cstheme="majorHAnsi"/>
                <w:sz w:val="20"/>
                <w:szCs w:val="20"/>
              </w:rPr>
            </w:pPr>
            <w:r w:rsidRPr="0050205F">
              <w:rPr>
                <w:rFonts w:ascii="Arial Narrow" w:hAnsi="Arial Narrow" w:cstheme="majorHAnsi"/>
                <w:sz w:val="20"/>
                <w:szCs w:val="20"/>
              </w:rPr>
              <w:t>NR</w:t>
            </w:r>
          </w:p>
        </w:tc>
      </w:tr>
    </w:tbl>
    <w:p w:rsidR="0080102E" w:rsidRDefault="0080102E" w:rsidP="00610C0E">
      <w:pPr>
        <w:pStyle w:val="TableFooter"/>
        <w:tabs>
          <w:tab w:val="left" w:pos="142"/>
        </w:tabs>
      </w:pPr>
      <w:r w:rsidRPr="00C57CCB">
        <w:rPr>
          <w:vertAlign w:val="superscript"/>
        </w:rPr>
        <w:t>a</w:t>
      </w:r>
      <w:r>
        <w:tab/>
        <w:t>Mean change from baseline scores for all infection/discontinuation visits are mean (SD).</w:t>
      </w:r>
    </w:p>
    <w:p w:rsidR="00881907" w:rsidRDefault="005B12DD" w:rsidP="00610C0E">
      <w:pPr>
        <w:pStyle w:val="TableFooter"/>
      </w:pPr>
      <w:r>
        <w:t>EQ-5D=EuroQoL 5 Dimensions; FACT-BMT=Functional Assessment of Cancer Therapy – Bone Marrow Transplant; Leter=letermovir; NR=not reported; PBO=placebo; SD=standard deviation; SE=standard error</w:t>
      </w:r>
      <w:r w:rsidR="00881907">
        <w:t xml:space="preserve"> </w:t>
      </w:r>
    </w:p>
    <w:p w:rsidR="006C42B9" w:rsidRDefault="00881907" w:rsidP="00610C0E">
      <w:pPr>
        <w:pStyle w:val="TableFooter"/>
      </w:pPr>
      <w:r>
        <w:t>Source: Table 2-16, p5</w:t>
      </w:r>
      <w:r w:rsidR="005B12DD">
        <w:t>6</w:t>
      </w:r>
      <w:r>
        <w:t xml:space="preserve"> of the resubmission.</w:t>
      </w:r>
    </w:p>
    <w:p w:rsidR="001B441B" w:rsidRPr="003F7F24" w:rsidRDefault="00FF6DEE" w:rsidP="00043A5A">
      <w:pPr>
        <w:pStyle w:val="ListParagraph"/>
        <w:numPr>
          <w:ilvl w:val="1"/>
          <w:numId w:val="1"/>
        </w:numPr>
        <w:spacing w:before="120" w:after="120"/>
      </w:pPr>
      <w:r w:rsidRPr="0021510A">
        <w:t>T</w:t>
      </w:r>
      <w:r w:rsidR="00633E3E" w:rsidRPr="0021510A">
        <w:t xml:space="preserve">he ESC noted that </w:t>
      </w:r>
      <w:r w:rsidR="00881907" w:rsidRPr="0021510A">
        <w:t>there were no observed differences between the letermovir and placebo groups in change from baseline in QoL measures</w:t>
      </w:r>
      <w:r w:rsidR="00881907" w:rsidRPr="003F7F24">
        <w:t>.</w:t>
      </w:r>
    </w:p>
    <w:p w:rsidR="00B60939" w:rsidRPr="00C9624D" w:rsidRDefault="00B60939" w:rsidP="00043A5A">
      <w:pPr>
        <w:pStyle w:val="Heading2"/>
        <w:keepNext/>
        <w:spacing w:before="120" w:after="120"/>
      </w:pPr>
      <w:bookmarkStart w:id="7" w:name="_Toc536019884"/>
      <w:r w:rsidRPr="00C9624D">
        <w:t>Comparative harms</w:t>
      </w:r>
      <w:bookmarkEnd w:id="7"/>
    </w:p>
    <w:p w:rsidR="00E60D4D" w:rsidRDefault="005B6E20" w:rsidP="00DD0D01">
      <w:pPr>
        <w:pStyle w:val="ListParagraph"/>
        <w:keepNext/>
        <w:numPr>
          <w:ilvl w:val="1"/>
          <w:numId w:val="1"/>
        </w:numPr>
        <w:spacing w:before="120" w:after="120"/>
      </w:pPr>
      <w:r>
        <w:t xml:space="preserve">In regard to the July 2018 submission the PBAC had considered that a claim of non-inferior safety compared to placebo was appropriate, agreeing with ESC that it was reasonable to conclude that AEs reported in the submission were comparable between the arms of the trial </w:t>
      </w:r>
      <w:r w:rsidR="00B530F4">
        <w:t xml:space="preserve">(paragraph 7.7 July 2018 PSD). </w:t>
      </w:r>
      <w:r>
        <w:t>The clinical claim with respect to safety remain</w:t>
      </w:r>
      <w:r w:rsidR="00B52F3F">
        <w:t>ed</w:t>
      </w:r>
      <w:r>
        <w:t xml:space="preserve"> the same</w:t>
      </w:r>
      <w:r w:rsidR="007336F4">
        <w:t xml:space="preserve"> as for the July 2018 submission</w:t>
      </w:r>
      <w:r>
        <w:t>.</w:t>
      </w:r>
    </w:p>
    <w:p w:rsidR="00E60D4D" w:rsidRDefault="00244D7D" w:rsidP="00DD0D01">
      <w:pPr>
        <w:pStyle w:val="ListParagraph"/>
        <w:numPr>
          <w:ilvl w:val="1"/>
          <w:numId w:val="1"/>
        </w:numPr>
        <w:spacing w:before="120" w:after="120"/>
      </w:pPr>
      <w:r>
        <w:t xml:space="preserve">The resubmission presented safety outcomes as had been presented in the July 2018 submission, along with statistical comparisons </w:t>
      </w:r>
      <w:r w:rsidR="007336F4">
        <w:t>for the</w:t>
      </w:r>
      <w:r>
        <w:t xml:space="preserve"> overall AE</w:t>
      </w:r>
      <w:r w:rsidR="007336F4">
        <w:t>s,</w:t>
      </w:r>
      <w:r>
        <w:t xml:space="preserve"> and </w:t>
      </w:r>
      <w:r w:rsidR="00BE1B7D">
        <w:t xml:space="preserve">a </w:t>
      </w:r>
      <w:r>
        <w:t>discuss</w:t>
      </w:r>
      <w:r w:rsidR="00B530F4">
        <w:t xml:space="preserve">ion of cardiac-related events. </w:t>
      </w:r>
      <w:r>
        <w:t>The</w:t>
      </w:r>
      <w:r w:rsidR="00A57EC6">
        <w:t xml:space="preserve"> latter two</w:t>
      </w:r>
      <w:r>
        <w:t xml:space="preserve"> are summarised below.</w:t>
      </w:r>
    </w:p>
    <w:p w:rsidR="00FB1918" w:rsidRDefault="00DB2DAA" w:rsidP="00610C0E">
      <w:pPr>
        <w:keepNext/>
      </w:pPr>
      <w:r w:rsidRPr="00401364">
        <w:rPr>
          <w:rFonts w:ascii="Arial Narrow" w:hAnsi="Arial Narrow"/>
          <w:b/>
          <w:sz w:val="20"/>
          <w:szCs w:val="20"/>
        </w:rPr>
        <w:t xml:space="preserve">Table </w:t>
      </w:r>
      <w:r w:rsidR="000D0E6D">
        <w:rPr>
          <w:rFonts w:ascii="Arial Narrow" w:hAnsi="Arial Narrow"/>
          <w:b/>
          <w:noProof/>
          <w:sz w:val="20"/>
          <w:szCs w:val="20"/>
        </w:rPr>
        <w:t>11</w:t>
      </w:r>
      <w:r w:rsidRPr="00DA01E0">
        <w:rPr>
          <w:rFonts w:ascii="Arial Narrow" w:hAnsi="Arial Narrow"/>
          <w:b/>
          <w:sz w:val="20"/>
          <w:szCs w:val="20"/>
        </w:rPr>
        <w:t>:</w:t>
      </w:r>
      <w:r w:rsidR="005859EC">
        <w:rPr>
          <w:rFonts w:ascii="Arial Narrow" w:hAnsi="Arial Narrow"/>
          <w:b/>
          <w:sz w:val="20"/>
          <w:szCs w:val="20"/>
        </w:rPr>
        <w:t xml:space="preserve"> </w:t>
      </w:r>
      <w:r>
        <w:rPr>
          <w:rFonts w:ascii="Arial Narrow" w:hAnsi="Arial Narrow"/>
          <w:b/>
          <w:sz w:val="20"/>
        </w:rPr>
        <w:t>Results of statistical comparisons of adverse event data</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statistical comparisons of adverse event data"/>
      </w:tblPr>
      <w:tblGrid>
        <w:gridCol w:w="3964"/>
        <w:gridCol w:w="1701"/>
        <w:gridCol w:w="1701"/>
        <w:gridCol w:w="1708"/>
      </w:tblGrid>
      <w:tr w:rsidR="00DB2DAA" w:rsidRPr="00E05062" w:rsidTr="00BA6250">
        <w:trPr>
          <w:tblHeader/>
        </w:trPr>
        <w:tc>
          <w:tcPr>
            <w:tcW w:w="3964" w:type="dxa"/>
            <w:shd w:val="clear" w:color="auto" w:fill="auto"/>
            <w:vAlign w:val="center"/>
          </w:tcPr>
          <w:p w:rsidR="00DB2DAA" w:rsidRPr="00E05062" w:rsidRDefault="00DB2DAA" w:rsidP="00610C0E">
            <w:pPr>
              <w:rPr>
                <w:rFonts w:ascii="Arial Narrow" w:hAnsi="Arial Narrow"/>
                <w:b/>
                <w:sz w:val="20"/>
              </w:rPr>
            </w:pPr>
            <w:r w:rsidRPr="00E05062">
              <w:rPr>
                <w:rFonts w:ascii="Arial Narrow" w:hAnsi="Arial Narrow"/>
                <w:b/>
                <w:sz w:val="20"/>
              </w:rPr>
              <w:t>Adverse event</w:t>
            </w:r>
          </w:p>
        </w:tc>
        <w:tc>
          <w:tcPr>
            <w:tcW w:w="1701" w:type="dxa"/>
            <w:shd w:val="clear" w:color="auto" w:fill="auto"/>
            <w:vAlign w:val="center"/>
          </w:tcPr>
          <w:p w:rsidR="00DB2DAA" w:rsidRPr="00E05062" w:rsidRDefault="00DB2DAA" w:rsidP="00610C0E">
            <w:pPr>
              <w:jc w:val="center"/>
              <w:rPr>
                <w:rFonts w:ascii="Arial Narrow" w:hAnsi="Arial Narrow"/>
                <w:b/>
                <w:sz w:val="20"/>
              </w:rPr>
            </w:pPr>
            <w:r w:rsidRPr="00E05062">
              <w:rPr>
                <w:rFonts w:ascii="Arial Narrow" w:hAnsi="Arial Narrow"/>
                <w:b/>
                <w:sz w:val="20"/>
              </w:rPr>
              <w:t>Letermovir N=373 n (%)</w:t>
            </w:r>
          </w:p>
        </w:tc>
        <w:tc>
          <w:tcPr>
            <w:tcW w:w="1701" w:type="dxa"/>
            <w:shd w:val="clear" w:color="auto" w:fill="auto"/>
            <w:vAlign w:val="center"/>
          </w:tcPr>
          <w:p w:rsidR="00DB2DAA" w:rsidRPr="00E05062" w:rsidRDefault="00DB2DAA" w:rsidP="00610C0E">
            <w:pPr>
              <w:jc w:val="center"/>
              <w:rPr>
                <w:rFonts w:ascii="Arial Narrow" w:hAnsi="Arial Narrow"/>
                <w:b/>
                <w:sz w:val="20"/>
              </w:rPr>
            </w:pPr>
            <w:r w:rsidRPr="00E05062">
              <w:rPr>
                <w:rFonts w:ascii="Arial Narrow" w:hAnsi="Arial Narrow"/>
                <w:b/>
                <w:sz w:val="20"/>
              </w:rPr>
              <w:t xml:space="preserve">Placebo N=192 </w:t>
            </w:r>
          </w:p>
          <w:p w:rsidR="00DB2DAA" w:rsidRPr="00E05062" w:rsidRDefault="00DB2DAA" w:rsidP="00610C0E">
            <w:pPr>
              <w:jc w:val="center"/>
              <w:rPr>
                <w:rFonts w:ascii="Arial Narrow" w:hAnsi="Arial Narrow"/>
                <w:b/>
                <w:sz w:val="20"/>
              </w:rPr>
            </w:pPr>
            <w:r w:rsidRPr="00E05062">
              <w:rPr>
                <w:rFonts w:ascii="Arial Narrow" w:hAnsi="Arial Narrow"/>
                <w:b/>
                <w:sz w:val="20"/>
              </w:rPr>
              <w:t>n (%)</w:t>
            </w:r>
          </w:p>
        </w:tc>
        <w:tc>
          <w:tcPr>
            <w:tcW w:w="1708" w:type="dxa"/>
            <w:shd w:val="clear" w:color="auto" w:fill="auto"/>
            <w:vAlign w:val="center"/>
          </w:tcPr>
          <w:p w:rsidR="00DB2DAA" w:rsidRPr="00E05062" w:rsidRDefault="00DB2DAA" w:rsidP="00610C0E">
            <w:pPr>
              <w:jc w:val="center"/>
              <w:rPr>
                <w:rFonts w:ascii="Arial Narrow" w:hAnsi="Arial Narrow"/>
                <w:b/>
                <w:sz w:val="20"/>
              </w:rPr>
            </w:pPr>
            <w:r w:rsidRPr="00E05062">
              <w:rPr>
                <w:rFonts w:ascii="Arial Narrow" w:hAnsi="Arial Narrow"/>
                <w:b/>
                <w:sz w:val="20"/>
              </w:rPr>
              <w:t xml:space="preserve">RR/OR </w:t>
            </w:r>
          </w:p>
          <w:p w:rsidR="00DB2DAA" w:rsidRPr="00E05062" w:rsidRDefault="00DB2DAA" w:rsidP="00610C0E">
            <w:pPr>
              <w:jc w:val="center"/>
              <w:rPr>
                <w:rFonts w:ascii="Arial Narrow" w:hAnsi="Arial Narrow"/>
                <w:b/>
                <w:sz w:val="20"/>
              </w:rPr>
            </w:pPr>
            <w:r w:rsidRPr="00E05062">
              <w:rPr>
                <w:rFonts w:ascii="Arial Narrow" w:hAnsi="Arial Narrow"/>
                <w:b/>
                <w:sz w:val="20"/>
              </w:rPr>
              <w:t>(95% CI)</w:t>
            </w:r>
          </w:p>
        </w:tc>
      </w:tr>
      <w:tr w:rsidR="00DB2DAA" w:rsidRPr="00A734A9" w:rsidTr="00BA6250">
        <w:tc>
          <w:tcPr>
            <w:tcW w:w="3964" w:type="dxa"/>
            <w:shd w:val="clear" w:color="auto" w:fill="auto"/>
            <w:vAlign w:val="center"/>
          </w:tcPr>
          <w:p w:rsidR="00DB2DAA" w:rsidRPr="00E05062" w:rsidRDefault="00DB2DAA" w:rsidP="00610C0E">
            <w:pPr>
              <w:rPr>
                <w:rFonts w:ascii="Arial Narrow" w:hAnsi="Arial Narrow"/>
                <w:sz w:val="20"/>
              </w:rPr>
            </w:pPr>
            <w:r w:rsidRPr="00E05062">
              <w:rPr>
                <w:rFonts w:ascii="Arial Narrow" w:hAnsi="Arial Narrow"/>
                <w:sz w:val="20"/>
              </w:rPr>
              <w:t>One or more AE</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365 (97.9%)</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192 (100%)</w:t>
            </w:r>
          </w:p>
        </w:tc>
        <w:tc>
          <w:tcPr>
            <w:tcW w:w="1708" w:type="dxa"/>
            <w:shd w:val="clear" w:color="auto" w:fill="auto"/>
            <w:vAlign w:val="center"/>
          </w:tcPr>
          <w:p w:rsidR="00DB2DAA" w:rsidRPr="00A734A9" w:rsidRDefault="00DB2DAA" w:rsidP="00610C0E">
            <w:pPr>
              <w:jc w:val="center"/>
              <w:rPr>
                <w:rFonts w:ascii="Arial Narrow" w:hAnsi="Arial Narrow"/>
                <w:b/>
                <w:sz w:val="20"/>
              </w:rPr>
            </w:pPr>
            <w:r w:rsidRPr="00A734A9">
              <w:rPr>
                <w:rFonts w:ascii="Arial Narrow" w:hAnsi="Arial Narrow"/>
                <w:b/>
                <w:sz w:val="20"/>
              </w:rPr>
              <w:t>0.22 (0.05, 0.94)</w:t>
            </w:r>
            <w:r w:rsidR="00897E0B" w:rsidRPr="00E05062">
              <w:rPr>
                <w:rFonts w:ascii="Arial Narrow" w:hAnsi="Arial Narrow"/>
                <w:b/>
                <w:sz w:val="20"/>
                <w:vertAlign w:val="superscript"/>
              </w:rPr>
              <w:t>a</w:t>
            </w:r>
          </w:p>
        </w:tc>
      </w:tr>
      <w:tr w:rsidR="00DB2DAA" w:rsidRPr="00E05062" w:rsidTr="00BA6250">
        <w:tc>
          <w:tcPr>
            <w:tcW w:w="3964" w:type="dxa"/>
            <w:shd w:val="clear" w:color="auto" w:fill="auto"/>
            <w:vAlign w:val="center"/>
          </w:tcPr>
          <w:p w:rsidR="00DB2DAA" w:rsidRPr="00E05062" w:rsidRDefault="00DB2DAA" w:rsidP="00610C0E">
            <w:pPr>
              <w:rPr>
                <w:rFonts w:ascii="Arial Narrow" w:hAnsi="Arial Narrow"/>
                <w:sz w:val="20"/>
              </w:rPr>
            </w:pPr>
            <w:r w:rsidRPr="00E05062">
              <w:rPr>
                <w:rFonts w:ascii="Arial Narrow" w:hAnsi="Arial Narrow"/>
                <w:sz w:val="20"/>
              </w:rPr>
              <w:t>Serious AE</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166 (44.5%)</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92 (47.9%)</w:t>
            </w:r>
          </w:p>
        </w:tc>
        <w:tc>
          <w:tcPr>
            <w:tcW w:w="1708"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0.93 (0.77, 1.12)</w:t>
            </w:r>
          </w:p>
        </w:tc>
      </w:tr>
      <w:tr w:rsidR="00DB2DAA" w:rsidRPr="00A734A9" w:rsidTr="00BA6250">
        <w:tc>
          <w:tcPr>
            <w:tcW w:w="3964" w:type="dxa"/>
            <w:shd w:val="clear" w:color="auto" w:fill="auto"/>
            <w:vAlign w:val="center"/>
          </w:tcPr>
          <w:p w:rsidR="00DB2DAA" w:rsidRPr="00E05062" w:rsidRDefault="00DB2DAA" w:rsidP="00610C0E">
            <w:pPr>
              <w:rPr>
                <w:rFonts w:ascii="Arial Narrow" w:hAnsi="Arial Narrow"/>
                <w:sz w:val="20"/>
              </w:rPr>
            </w:pPr>
            <w:r w:rsidRPr="00E05062">
              <w:rPr>
                <w:rFonts w:ascii="Arial Narrow" w:hAnsi="Arial Narrow"/>
                <w:sz w:val="20"/>
              </w:rPr>
              <w:t>Discontinuation due to AE</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73 (19.6%)</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99 (51.6%)</w:t>
            </w:r>
          </w:p>
        </w:tc>
        <w:tc>
          <w:tcPr>
            <w:tcW w:w="1708" w:type="dxa"/>
            <w:shd w:val="clear" w:color="auto" w:fill="auto"/>
            <w:vAlign w:val="center"/>
          </w:tcPr>
          <w:p w:rsidR="00DB2DAA" w:rsidRPr="00A734A9" w:rsidRDefault="00DB2DAA" w:rsidP="00610C0E">
            <w:pPr>
              <w:jc w:val="center"/>
              <w:rPr>
                <w:rFonts w:ascii="Arial Narrow" w:hAnsi="Arial Narrow"/>
                <w:b/>
                <w:sz w:val="20"/>
              </w:rPr>
            </w:pPr>
            <w:r w:rsidRPr="00A734A9">
              <w:rPr>
                <w:rFonts w:ascii="Arial Narrow" w:hAnsi="Arial Narrow"/>
                <w:b/>
                <w:sz w:val="20"/>
              </w:rPr>
              <w:t>0.38 (0.30, 0.49)</w:t>
            </w:r>
          </w:p>
        </w:tc>
      </w:tr>
      <w:tr w:rsidR="00DB2DAA" w:rsidRPr="00E05062" w:rsidTr="00BA6250">
        <w:tc>
          <w:tcPr>
            <w:tcW w:w="3964" w:type="dxa"/>
            <w:shd w:val="clear" w:color="auto" w:fill="auto"/>
            <w:vAlign w:val="center"/>
          </w:tcPr>
          <w:p w:rsidR="00DB2DAA" w:rsidRPr="00E05062" w:rsidRDefault="00DB2DAA" w:rsidP="00610C0E">
            <w:pPr>
              <w:rPr>
                <w:rFonts w:ascii="Arial Narrow" w:hAnsi="Arial Narrow"/>
                <w:sz w:val="20"/>
              </w:rPr>
            </w:pPr>
            <w:r w:rsidRPr="00E05062">
              <w:rPr>
                <w:rFonts w:ascii="Arial Narrow" w:hAnsi="Arial Narrow"/>
                <w:sz w:val="20"/>
              </w:rPr>
              <w:t>Drug-related AE</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63 (16.9%)</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25 (13.0%)</w:t>
            </w:r>
          </w:p>
        </w:tc>
        <w:tc>
          <w:tcPr>
            <w:tcW w:w="1708"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1.30 (0.84, 1.99)</w:t>
            </w:r>
          </w:p>
        </w:tc>
      </w:tr>
      <w:tr w:rsidR="00DB2DAA" w:rsidRPr="00E05062" w:rsidTr="00BA6250">
        <w:tc>
          <w:tcPr>
            <w:tcW w:w="3964" w:type="dxa"/>
            <w:shd w:val="clear" w:color="auto" w:fill="auto"/>
            <w:vAlign w:val="center"/>
          </w:tcPr>
          <w:p w:rsidR="00DB2DAA" w:rsidRPr="00E05062" w:rsidRDefault="00DB2DAA" w:rsidP="00610C0E">
            <w:pPr>
              <w:rPr>
                <w:rFonts w:ascii="Arial Narrow" w:hAnsi="Arial Narrow"/>
                <w:sz w:val="20"/>
              </w:rPr>
            </w:pPr>
            <w:r w:rsidRPr="00E05062">
              <w:rPr>
                <w:rFonts w:ascii="Arial Narrow" w:hAnsi="Arial Narrow"/>
                <w:sz w:val="20"/>
              </w:rPr>
              <w:t>Serious drug-related AE</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3 (0.8%)</w:t>
            </w:r>
          </w:p>
        </w:tc>
        <w:tc>
          <w:tcPr>
            <w:tcW w:w="1701"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3 (1.6%)</w:t>
            </w:r>
          </w:p>
        </w:tc>
        <w:tc>
          <w:tcPr>
            <w:tcW w:w="1708" w:type="dxa"/>
            <w:shd w:val="clear" w:color="auto" w:fill="auto"/>
            <w:vAlign w:val="center"/>
          </w:tcPr>
          <w:p w:rsidR="00DB2DAA" w:rsidRPr="00E05062" w:rsidRDefault="00DB2DAA" w:rsidP="00610C0E">
            <w:pPr>
              <w:jc w:val="center"/>
              <w:rPr>
                <w:rFonts w:ascii="Arial Narrow" w:hAnsi="Arial Narrow"/>
                <w:sz w:val="20"/>
              </w:rPr>
            </w:pPr>
            <w:r w:rsidRPr="00E05062">
              <w:rPr>
                <w:rFonts w:ascii="Arial Narrow" w:hAnsi="Arial Narrow"/>
                <w:sz w:val="20"/>
              </w:rPr>
              <w:t>0.49 (0.09, 2.66)</w:t>
            </w:r>
            <w:r w:rsidR="00897E0B" w:rsidRPr="00E05062">
              <w:rPr>
                <w:rFonts w:ascii="Arial Narrow" w:hAnsi="Arial Narrow"/>
                <w:b/>
                <w:sz w:val="20"/>
                <w:vertAlign w:val="superscript"/>
              </w:rPr>
              <w:t xml:space="preserve"> a</w:t>
            </w:r>
          </w:p>
        </w:tc>
      </w:tr>
    </w:tbl>
    <w:p w:rsidR="00DB2DAA" w:rsidRPr="008F0E25" w:rsidRDefault="00DB2DAA" w:rsidP="00610C0E">
      <w:pPr>
        <w:pStyle w:val="TableFooter"/>
        <w:tabs>
          <w:tab w:val="left" w:pos="142"/>
        </w:tabs>
      </w:pPr>
      <w:r w:rsidRPr="008F0E25">
        <w:rPr>
          <w:vertAlign w:val="superscript"/>
        </w:rPr>
        <w:t>a</w:t>
      </w:r>
      <w:r>
        <w:tab/>
      </w:r>
      <w:r w:rsidR="0057238E">
        <w:t>Peto o</w:t>
      </w:r>
      <w:r>
        <w:t>dds ratio was used instead of relative risk if incidence was ≤1% or ≥99% in at least one cell.</w:t>
      </w:r>
    </w:p>
    <w:p w:rsidR="00DB2DAA" w:rsidRDefault="00DB2DAA" w:rsidP="00610C0E">
      <w:pPr>
        <w:pStyle w:val="TableFooter"/>
      </w:pPr>
      <w:r>
        <w:t xml:space="preserve">AE=adverse event; CI=confidence interval; OR=odds ratio; RR=relative risk; </w:t>
      </w:r>
      <w:r w:rsidRPr="00A734A9">
        <w:rPr>
          <w:b/>
        </w:rPr>
        <w:t>bold</w:t>
      </w:r>
      <w:r>
        <w:t>=statistically significant</w:t>
      </w:r>
    </w:p>
    <w:p w:rsidR="00DB2DAA" w:rsidRDefault="00DB2DAA" w:rsidP="00610C0E">
      <w:pPr>
        <w:pStyle w:val="TableFooter"/>
      </w:pPr>
      <w:r>
        <w:t>Source:</w:t>
      </w:r>
      <w:r w:rsidR="005859EC">
        <w:t xml:space="preserve"> </w:t>
      </w:r>
      <w:r>
        <w:t>Table 2-18, p58 of the resubmission.</w:t>
      </w:r>
    </w:p>
    <w:p w:rsidR="00E60D4D" w:rsidRDefault="00485FDB" w:rsidP="00DD0D01">
      <w:pPr>
        <w:pStyle w:val="ListParagraph"/>
        <w:numPr>
          <w:ilvl w:val="1"/>
          <w:numId w:val="1"/>
        </w:numPr>
        <w:spacing w:before="120" w:after="120"/>
      </w:pPr>
      <w:r>
        <w:t>There were statistically significantly fewer letermovir-treated patients reporting one or more AEs and discontinued from the trial for AEs compared to placebo-treated patients, with no statistically significant differences between the groups for serious AEs, drug-related AEs or serious drug-related AEs.</w:t>
      </w:r>
    </w:p>
    <w:p w:rsidR="00485FDB" w:rsidRDefault="00C64D18" w:rsidP="00DD0D01">
      <w:pPr>
        <w:pStyle w:val="ListParagraph"/>
        <w:numPr>
          <w:ilvl w:val="1"/>
          <w:numId w:val="1"/>
        </w:numPr>
        <w:spacing w:before="120" w:after="120"/>
      </w:pPr>
      <w:r>
        <w:lastRenderedPageBreak/>
        <w:t>The resubmission provided a tabled summary of cardiac-related AEs including absolute difference in percentage between letermovir and placebo-treated patients.</w:t>
      </w:r>
      <w:r w:rsidR="005859EC">
        <w:t xml:space="preserve"> </w:t>
      </w:r>
      <w:r>
        <w:t>These AEs are provided in the table below.</w:t>
      </w:r>
    </w:p>
    <w:p w:rsidR="00C64D18" w:rsidRDefault="005C7290" w:rsidP="00610C0E">
      <w:r w:rsidRPr="00401364">
        <w:rPr>
          <w:rFonts w:ascii="Arial Narrow" w:hAnsi="Arial Narrow"/>
          <w:b/>
          <w:sz w:val="20"/>
          <w:szCs w:val="20"/>
        </w:rPr>
        <w:t xml:space="preserve">Table </w:t>
      </w:r>
      <w:r w:rsidR="000D0E6D">
        <w:rPr>
          <w:rFonts w:ascii="Arial Narrow" w:hAnsi="Arial Narrow"/>
          <w:b/>
          <w:noProof/>
          <w:sz w:val="20"/>
          <w:szCs w:val="20"/>
        </w:rPr>
        <w:t>12</w:t>
      </w:r>
      <w:r w:rsidRPr="00DA01E0">
        <w:rPr>
          <w:rFonts w:ascii="Arial Narrow" w:hAnsi="Arial Narrow"/>
          <w:b/>
          <w:sz w:val="20"/>
          <w:szCs w:val="20"/>
        </w:rPr>
        <w:t>:</w:t>
      </w:r>
      <w:r w:rsidR="005859EC">
        <w:rPr>
          <w:rFonts w:ascii="Arial Narrow" w:hAnsi="Arial Narrow"/>
          <w:b/>
          <w:sz w:val="20"/>
          <w:szCs w:val="20"/>
        </w:rPr>
        <w:t xml:space="preserve"> </w:t>
      </w:r>
      <w:r>
        <w:rPr>
          <w:rFonts w:ascii="Arial Narrow" w:hAnsi="Arial Narrow"/>
          <w:b/>
          <w:sz w:val="20"/>
        </w:rPr>
        <w:t>Cardiac-related AEs in Trial P001</w:t>
      </w:r>
    </w:p>
    <w:tbl>
      <w:tblPr>
        <w:tblW w:w="9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Cardiac-related AEs in Trial P001"/>
      </w:tblPr>
      <w:tblGrid>
        <w:gridCol w:w="3969"/>
        <w:gridCol w:w="1701"/>
        <w:gridCol w:w="1701"/>
        <w:gridCol w:w="1708"/>
      </w:tblGrid>
      <w:tr w:rsidR="005C7290" w:rsidRPr="00E05062" w:rsidTr="004F2BF9">
        <w:trPr>
          <w:tblHeader/>
        </w:trPr>
        <w:tc>
          <w:tcPr>
            <w:tcW w:w="3969" w:type="dxa"/>
            <w:shd w:val="clear" w:color="auto" w:fill="auto"/>
            <w:vAlign w:val="center"/>
          </w:tcPr>
          <w:p w:rsidR="005C7290" w:rsidRPr="00E05062" w:rsidRDefault="005C7290" w:rsidP="00610C0E">
            <w:pPr>
              <w:tabs>
                <w:tab w:val="left" w:pos="142"/>
              </w:tabs>
              <w:rPr>
                <w:rFonts w:ascii="Arial Narrow" w:hAnsi="Arial Narrow"/>
                <w:b/>
                <w:sz w:val="20"/>
              </w:rPr>
            </w:pPr>
            <w:r w:rsidRPr="00E05062">
              <w:rPr>
                <w:rFonts w:ascii="Arial Narrow" w:hAnsi="Arial Narrow"/>
                <w:b/>
                <w:sz w:val="20"/>
              </w:rPr>
              <w:t>Adverse event</w:t>
            </w:r>
          </w:p>
        </w:tc>
        <w:tc>
          <w:tcPr>
            <w:tcW w:w="1701" w:type="dxa"/>
            <w:shd w:val="clear" w:color="auto" w:fill="auto"/>
            <w:vAlign w:val="center"/>
          </w:tcPr>
          <w:p w:rsidR="005C7290" w:rsidRDefault="005C7290" w:rsidP="00610C0E">
            <w:pPr>
              <w:jc w:val="center"/>
              <w:rPr>
                <w:rFonts w:ascii="Arial Narrow" w:hAnsi="Arial Narrow"/>
                <w:b/>
                <w:sz w:val="20"/>
              </w:rPr>
            </w:pPr>
            <w:r w:rsidRPr="00E05062">
              <w:rPr>
                <w:rFonts w:ascii="Arial Narrow" w:hAnsi="Arial Narrow"/>
                <w:b/>
                <w:sz w:val="20"/>
              </w:rPr>
              <w:t xml:space="preserve">Letermovir </w:t>
            </w:r>
            <w:r>
              <w:rPr>
                <w:rFonts w:ascii="Arial Narrow" w:hAnsi="Arial Narrow"/>
                <w:b/>
                <w:sz w:val="20"/>
              </w:rPr>
              <w:t>N=373</w:t>
            </w:r>
          </w:p>
          <w:p w:rsidR="005C7290" w:rsidRPr="00E05062" w:rsidRDefault="005C7290" w:rsidP="00610C0E">
            <w:pPr>
              <w:jc w:val="center"/>
              <w:rPr>
                <w:rFonts w:ascii="Arial Narrow" w:hAnsi="Arial Narrow"/>
                <w:b/>
                <w:sz w:val="20"/>
              </w:rPr>
            </w:pPr>
            <w:r w:rsidRPr="00E05062">
              <w:rPr>
                <w:rFonts w:ascii="Arial Narrow" w:hAnsi="Arial Narrow"/>
                <w:b/>
                <w:sz w:val="20"/>
              </w:rPr>
              <w:t>n (%)</w:t>
            </w:r>
          </w:p>
        </w:tc>
        <w:tc>
          <w:tcPr>
            <w:tcW w:w="1701" w:type="dxa"/>
            <w:shd w:val="clear" w:color="auto" w:fill="auto"/>
            <w:vAlign w:val="center"/>
          </w:tcPr>
          <w:p w:rsidR="005C7290" w:rsidRPr="00E05062" w:rsidRDefault="005C7290" w:rsidP="00610C0E">
            <w:pPr>
              <w:jc w:val="center"/>
              <w:rPr>
                <w:rFonts w:ascii="Arial Narrow" w:hAnsi="Arial Narrow"/>
                <w:b/>
                <w:sz w:val="20"/>
              </w:rPr>
            </w:pPr>
            <w:r w:rsidRPr="00E05062">
              <w:rPr>
                <w:rFonts w:ascii="Arial Narrow" w:hAnsi="Arial Narrow"/>
                <w:b/>
                <w:sz w:val="20"/>
              </w:rPr>
              <w:t xml:space="preserve">Placebo </w:t>
            </w:r>
            <w:r>
              <w:rPr>
                <w:rFonts w:ascii="Arial Narrow" w:hAnsi="Arial Narrow"/>
                <w:b/>
                <w:sz w:val="20"/>
              </w:rPr>
              <w:t>N=192</w:t>
            </w:r>
          </w:p>
          <w:p w:rsidR="005C7290" w:rsidRPr="00E05062" w:rsidRDefault="005C7290" w:rsidP="00610C0E">
            <w:pPr>
              <w:jc w:val="center"/>
              <w:rPr>
                <w:rFonts w:ascii="Arial Narrow" w:hAnsi="Arial Narrow"/>
                <w:b/>
                <w:sz w:val="20"/>
              </w:rPr>
            </w:pPr>
            <w:r w:rsidRPr="00E05062">
              <w:rPr>
                <w:rFonts w:ascii="Arial Narrow" w:hAnsi="Arial Narrow"/>
                <w:b/>
                <w:sz w:val="20"/>
              </w:rPr>
              <w:t>n (%)</w:t>
            </w:r>
          </w:p>
        </w:tc>
        <w:tc>
          <w:tcPr>
            <w:tcW w:w="1708" w:type="dxa"/>
            <w:shd w:val="clear" w:color="auto" w:fill="auto"/>
            <w:vAlign w:val="center"/>
          </w:tcPr>
          <w:p w:rsidR="005C7290" w:rsidRPr="00E05062" w:rsidRDefault="005C7290" w:rsidP="00610C0E">
            <w:pPr>
              <w:jc w:val="center"/>
              <w:rPr>
                <w:rFonts w:ascii="Arial Narrow" w:hAnsi="Arial Narrow"/>
                <w:b/>
                <w:sz w:val="20"/>
              </w:rPr>
            </w:pPr>
            <w:r>
              <w:rPr>
                <w:rFonts w:ascii="Arial Narrow" w:hAnsi="Arial Narrow"/>
                <w:b/>
                <w:sz w:val="20"/>
              </w:rPr>
              <w:t>Difference in %</w:t>
            </w:r>
            <w:r w:rsidRPr="00E05062">
              <w:rPr>
                <w:rFonts w:ascii="Arial Narrow" w:hAnsi="Arial Narrow"/>
                <w:b/>
                <w:sz w:val="20"/>
              </w:rPr>
              <w:t xml:space="preserve"> </w:t>
            </w:r>
          </w:p>
          <w:p w:rsidR="005C7290" w:rsidRPr="00E05062" w:rsidRDefault="005C7290" w:rsidP="00610C0E">
            <w:pPr>
              <w:jc w:val="center"/>
              <w:rPr>
                <w:rFonts w:ascii="Arial Narrow" w:hAnsi="Arial Narrow"/>
                <w:b/>
                <w:sz w:val="20"/>
              </w:rPr>
            </w:pPr>
            <w:r w:rsidRPr="00E05062">
              <w:rPr>
                <w:rFonts w:ascii="Arial Narrow" w:hAnsi="Arial Narrow"/>
                <w:b/>
                <w:sz w:val="20"/>
              </w:rPr>
              <w:t>(95% CI)</w:t>
            </w:r>
          </w:p>
        </w:tc>
      </w:tr>
      <w:tr w:rsidR="005C7290" w:rsidRPr="008D53D9" w:rsidTr="004F2BF9">
        <w:tc>
          <w:tcPr>
            <w:tcW w:w="3969" w:type="dxa"/>
            <w:shd w:val="clear" w:color="auto" w:fill="auto"/>
            <w:vAlign w:val="center"/>
          </w:tcPr>
          <w:p w:rsidR="005C7290" w:rsidRPr="00E05062" w:rsidRDefault="005C7290" w:rsidP="00610C0E">
            <w:pPr>
              <w:tabs>
                <w:tab w:val="left" w:pos="142"/>
              </w:tabs>
              <w:rPr>
                <w:rFonts w:ascii="Arial Narrow" w:hAnsi="Arial Narrow"/>
                <w:sz w:val="20"/>
              </w:rPr>
            </w:pPr>
            <w:r>
              <w:rPr>
                <w:rFonts w:ascii="Arial Narrow" w:hAnsi="Arial Narrow"/>
                <w:sz w:val="20"/>
              </w:rPr>
              <w:t>Cardiac disorders</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47</w:t>
            </w:r>
            <w:r w:rsidRPr="00E05062">
              <w:rPr>
                <w:rFonts w:ascii="Arial Narrow" w:hAnsi="Arial Narrow"/>
                <w:sz w:val="20"/>
              </w:rPr>
              <w:t xml:space="preserve"> (</w:t>
            </w:r>
            <w:r>
              <w:rPr>
                <w:rFonts w:ascii="Arial Narrow" w:hAnsi="Arial Narrow"/>
                <w:sz w:val="20"/>
              </w:rPr>
              <w:t>12.6</w:t>
            </w:r>
            <w:r w:rsidRPr="00E05062">
              <w:rPr>
                <w:rFonts w:ascii="Arial Narrow" w:hAnsi="Arial Narrow"/>
                <w:sz w:val="20"/>
              </w:rPr>
              <w:t>%)</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12</w:t>
            </w:r>
            <w:r w:rsidRPr="00E05062">
              <w:rPr>
                <w:rFonts w:ascii="Arial Narrow" w:hAnsi="Arial Narrow"/>
                <w:sz w:val="20"/>
              </w:rPr>
              <w:t xml:space="preserve"> (</w:t>
            </w:r>
            <w:r>
              <w:rPr>
                <w:rFonts w:ascii="Arial Narrow" w:hAnsi="Arial Narrow"/>
                <w:sz w:val="20"/>
              </w:rPr>
              <w:t>6.3</w:t>
            </w:r>
            <w:r w:rsidRPr="00E05062">
              <w:rPr>
                <w:rFonts w:ascii="Arial Narrow" w:hAnsi="Arial Narrow"/>
                <w:sz w:val="20"/>
              </w:rPr>
              <w:t>)</w:t>
            </w:r>
          </w:p>
        </w:tc>
        <w:tc>
          <w:tcPr>
            <w:tcW w:w="1708" w:type="dxa"/>
            <w:shd w:val="clear" w:color="auto" w:fill="auto"/>
            <w:vAlign w:val="center"/>
          </w:tcPr>
          <w:p w:rsidR="005C7290" w:rsidRPr="008D53D9" w:rsidRDefault="005C7290" w:rsidP="00610C0E">
            <w:pPr>
              <w:jc w:val="center"/>
              <w:rPr>
                <w:rFonts w:ascii="Arial Narrow" w:hAnsi="Arial Narrow"/>
                <w:sz w:val="20"/>
              </w:rPr>
            </w:pPr>
            <w:r>
              <w:rPr>
                <w:rFonts w:ascii="Arial Narrow" w:hAnsi="Arial Narrow"/>
                <w:sz w:val="20"/>
              </w:rPr>
              <w:t>6.4%</w:t>
            </w:r>
            <w:r w:rsidRPr="008D53D9">
              <w:rPr>
                <w:rFonts w:ascii="Arial Narrow" w:hAnsi="Arial Narrow"/>
                <w:sz w:val="20"/>
              </w:rPr>
              <w:t xml:space="preserve"> (</w:t>
            </w:r>
            <w:r>
              <w:rPr>
                <w:rFonts w:ascii="Arial Narrow" w:hAnsi="Arial Narrow"/>
                <w:sz w:val="20"/>
              </w:rPr>
              <w:t>1.1%</w:t>
            </w:r>
            <w:r w:rsidRPr="008D53D9">
              <w:rPr>
                <w:rFonts w:ascii="Arial Narrow" w:hAnsi="Arial Narrow"/>
                <w:sz w:val="20"/>
              </w:rPr>
              <w:t xml:space="preserve">, </w:t>
            </w:r>
            <w:r>
              <w:rPr>
                <w:rFonts w:ascii="Arial Narrow" w:hAnsi="Arial Narrow"/>
                <w:sz w:val="20"/>
              </w:rPr>
              <w:t>11.0%</w:t>
            </w:r>
            <w:r w:rsidRPr="008D53D9">
              <w:rPr>
                <w:rFonts w:ascii="Arial Narrow" w:hAnsi="Arial Narrow"/>
                <w:sz w:val="20"/>
              </w:rPr>
              <w:t>)</w:t>
            </w:r>
          </w:p>
        </w:tc>
      </w:tr>
      <w:tr w:rsidR="005C7290" w:rsidRPr="008D53D9" w:rsidTr="004F2BF9">
        <w:tc>
          <w:tcPr>
            <w:tcW w:w="3969" w:type="dxa"/>
            <w:shd w:val="clear" w:color="auto" w:fill="auto"/>
            <w:vAlign w:val="center"/>
          </w:tcPr>
          <w:p w:rsidR="005C7290" w:rsidRPr="00E05062" w:rsidRDefault="005C7290" w:rsidP="00610C0E">
            <w:pPr>
              <w:tabs>
                <w:tab w:val="left" w:pos="142"/>
              </w:tabs>
              <w:rPr>
                <w:rFonts w:ascii="Arial Narrow" w:hAnsi="Arial Narrow"/>
                <w:sz w:val="20"/>
              </w:rPr>
            </w:pPr>
            <w:r>
              <w:rPr>
                <w:rFonts w:ascii="Arial Narrow" w:hAnsi="Arial Narrow"/>
                <w:sz w:val="20"/>
              </w:rPr>
              <w:tab/>
              <w:t>Atrial fibrillation</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13</w:t>
            </w:r>
            <w:r w:rsidRPr="00E05062">
              <w:rPr>
                <w:rFonts w:ascii="Arial Narrow" w:hAnsi="Arial Narrow"/>
                <w:sz w:val="20"/>
              </w:rPr>
              <w:t xml:space="preserve"> (</w:t>
            </w:r>
            <w:r>
              <w:rPr>
                <w:rFonts w:ascii="Arial Narrow" w:hAnsi="Arial Narrow"/>
                <w:sz w:val="20"/>
              </w:rPr>
              <w:t>3</w:t>
            </w:r>
            <w:r w:rsidRPr="00E05062">
              <w:rPr>
                <w:rFonts w:ascii="Arial Narrow" w:hAnsi="Arial Narrow"/>
                <w:sz w:val="20"/>
              </w:rPr>
              <w:t>.5%)</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2</w:t>
            </w:r>
            <w:r w:rsidRPr="00E05062">
              <w:rPr>
                <w:rFonts w:ascii="Arial Narrow" w:hAnsi="Arial Narrow"/>
                <w:sz w:val="20"/>
              </w:rPr>
              <w:t xml:space="preserve"> (</w:t>
            </w:r>
            <w:r>
              <w:rPr>
                <w:rFonts w:ascii="Arial Narrow" w:hAnsi="Arial Narrow"/>
                <w:sz w:val="20"/>
              </w:rPr>
              <w:t>1.0</w:t>
            </w:r>
            <w:r w:rsidRPr="00E05062">
              <w:rPr>
                <w:rFonts w:ascii="Arial Narrow" w:hAnsi="Arial Narrow"/>
                <w:sz w:val="20"/>
              </w:rPr>
              <w:t>%)</w:t>
            </w:r>
          </w:p>
        </w:tc>
        <w:tc>
          <w:tcPr>
            <w:tcW w:w="1708" w:type="dxa"/>
            <w:shd w:val="clear" w:color="auto" w:fill="auto"/>
            <w:vAlign w:val="center"/>
          </w:tcPr>
          <w:p w:rsidR="005C7290" w:rsidRPr="008D53D9" w:rsidRDefault="005C7290" w:rsidP="00610C0E">
            <w:pPr>
              <w:jc w:val="center"/>
              <w:rPr>
                <w:rFonts w:ascii="Arial Narrow" w:hAnsi="Arial Narrow"/>
                <w:sz w:val="20"/>
              </w:rPr>
            </w:pPr>
            <w:r>
              <w:rPr>
                <w:rFonts w:ascii="Arial Narrow" w:hAnsi="Arial Narrow"/>
                <w:sz w:val="20"/>
              </w:rPr>
              <w:t>2.4%</w:t>
            </w:r>
            <w:r w:rsidRPr="008D53D9">
              <w:rPr>
                <w:rFonts w:ascii="Arial Narrow" w:hAnsi="Arial Narrow"/>
                <w:sz w:val="20"/>
              </w:rPr>
              <w:t xml:space="preserve"> (</w:t>
            </w:r>
            <w:r>
              <w:rPr>
                <w:rFonts w:ascii="Arial Narrow" w:hAnsi="Arial Narrow"/>
                <w:sz w:val="20"/>
              </w:rPr>
              <w:t>-0.5%</w:t>
            </w:r>
            <w:r w:rsidRPr="008D53D9">
              <w:rPr>
                <w:rFonts w:ascii="Arial Narrow" w:hAnsi="Arial Narrow"/>
                <w:sz w:val="20"/>
              </w:rPr>
              <w:t xml:space="preserve">, </w:t>
            </w:r>
            <w:r>
              <w:rPr>
                <w:rFonts w:ascii="Arial Narrow" w:hAnsi="Arial Narrow"/>
                <w:sz w:val="20"/>
              </w:rPr>
              <w:t>5.0%</w:t>
            </w:r>
            <w:r w:rsidRPr="008D53D9">
              <w:rPr>
                <w:rFonts w:ascii="Arial Narrow" w:hAnsi="Arial Narrow"/>
                <w:sz w:val="20"/>
              </w:rPr>
              <w:t>)</w:t>
            </w:r>
          </w:p>
        </w:tc>
      </w:tr>
      <w:tr w:rsidR="005C7290" w:rsidRPr="008D53D9" w:rsidTr="004F2BF9">
        <w:tc>
          <w:tcPr>
            <w:tcW w:w="3969" w:type="dxa"/>
            <w:shd w:val="clear" w:color="auto" w:fill="auto"/>
            <w:vAlign w:val="center"/>
          </w:tcPr>
          <w:p w:rsidR="005C7290" w:rsidRPr="00E05062" w:rsidRDefault="005C7290" w:rsidP="00610C0E">
            <w:pPr>
              <w:tabs>
                <w:tab w:val="left" w:pos="142"/>
              </w:tabs>
              <w:rPr>
                <w:rFonts w:ascii="Arial Narrow" w:hAnsi="Arial Narrow"/>
                <w:sz w:val="20"/>
              </w:rPr>
            </w:pPr>
            <w:r>
              <w:rPr>
                <w:rFonts w:ascii="Arial Narrow" w:hAnsi="Arial Narrow"/>
                <w:sz w:val="20"/>
              </w:rPr>
              <w:tab/>
              <w:t>Atrial flutter</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4</w:t>
            </w:r>
            <w:r w:rsidRPr="00E05062">
              <w:rPr>
                <w:rFonts w:ascii="Arial Narrow" w:hAnsi="Arial Narrow"/>
                <w:sz w:val="20"/>
              </w:rPr>
              <w:t xml:space="preserve"> (1</w:t>
            </w:r>
            <w:r>
              <w:rPr>
                <w:rFonts w:ascii="Arial Narrow" w:hAnsi="Arial Narrow"/>
                <w:sz w:val="20"/>
              </w:rPr>
              <w:t>.1</w:t>
            </w:r>
            <w:r w:rsidRPr="00E05062">
              <w:rPr>
                <w:rFonts w:ascii="Arial Narrow" w:hAnsi="Arial Narrow"/>
                <w:sz w:val="20"/>
              </w:rPr>
              <w:t>%)</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0</w:t>
            </w:r>
            <w:r w:rsidRPr="00E05062">
              <w:rPr>
                <w:rFonts w:ascii="Arial Narrow" w:hAnsi="Arial Narrow"/>
                <w:sz w:val="20"/>
              </w:rPr>
              <w:t xml:space="preserve"> (</w:t>
            </w:r>
            <w:r>
              <w:rPr>
                <w:rFonts w:ascii="Arial Narrow" w:hAnsi="Arial Narrow"/>
                <w:sz w:val="20"/>
              </w:rPr>
              <w:t>0.0</w:t>
            </w:r>
            <w:r w:rsidRPr="00E05062">
              <w:rPr>
                <w:rFonts w:ascii="Arial Narrow" w:hAnsi="Arial Narrow"/>
                <w:sz w:val="20"/>
              </w:rPr>
              <w:t>%)</w:t>
            </w:r>
          </w:p>
        </w:tc>
        <w:tc>
          <w:tcPr>
            <w:tcW w:w="1708" w:type="dxa"/>
            <w:shd w:val="clear" w:color="auto" w:fill="auto"/>
            <w:vAlign w:val="center"/>
          </w:tcPr>
          <w:p w:rsidR="005C7290" w:rsidRPr="008D53D9" w:rsidRDefault="005C7290" w:rsidP="00610C0E">
            <w:pPr>
              <w:jc w:val="center"/>
              <w:rPr>
                <w:rFonts w:ascii="Arial Narrow" w:hAnsi="Arial Narrow"/>
                <w:sz w:val="20"/>
              </w:rPr>
            </w:pPr>
            <w:r>
              <w:rPr>
                <w:rFonts w:ascii="Arial Narrow" w:hAnsi="Arial Narrow"/>
                <w:sz w:val="20"/>
              </w:rPr>
              <w:t>1.1%</w:t>
            </w:r>
            <w:r w:rsidRPr="008D53D9">
              <w:rPr>
                <w:rFonts w:ascii="Arial Narrow" w:hAnsi="Arial Narrow"/>
                <w:sz w:val="20"/>
              </w:rPr>
              <w:t xml:space="preserve"> (</w:t>
            </w:r>
            <w:r>
              <w:rPr>
                <w:rFonts w:ascii="Arial Narrow" w:hAnsi="Arial Narrow"/>
                <w:sz w:val="20"/>
              </w:rPr>
              <w:t>0.9%</w:t>
            </w:r>
            <w:r w:rsidRPr="008D53D9">
              <w:rPr>
                <w:rFonts w:ascii="Arial Narrow" w:hAnsi="Arial Narrow"/>
                <w:sz w:val="20"/>
              </w:rPr>
              <w:t xml:space="preserve">, </w:t>
            </w:r>
            <w:r>
              <w:rPr>
                <w:rFonts w:ascii="Arial Narrow" w:hAnsi="Arial Narrow"/>
                <w:sz w:val="20"/>
              </w:rPr>
              <w:t>2.7%</w:t>
            </w:r>
            <w:r w:rsidRPr="008D53D9">
              <w:rPr>
                <w:rFonts w:ascii="Arial Narrow" w:hAnsi="Arial Narrow"/>
                <w:sz w:val="20"/>
              </w:rPr>
              <w:t>)</w:t>
            </w:r>
          </w:p>
        </w:tc>
      </w:tr>
      <w:tr w:rsidR="005C7290" w:rsidRPr="00E05062" w:rsidTr="004F2BF9">
        <w:tc>
          <w:tcPr>
            <w:tcW w:w="3969" w:type="dxa"/>
            <w:shd w:val="clear" w:color="auto" w:fill="auto"/>
            <w:vAlign w:val="center"/>
          </w:tcPr>
          <w:p w:rsidR="005C7290" w:rsidRPr="00E05062" w:rsidRDefault="005C7290" w:rsidP="00610C0E">
            <w:pPr>
              <w:tabs>
                <w:tab w:val="left" w:pos="142"/>
              </w:tabs>
              <w:rPr>
                <w:rFonts w:ascii="Arial Narrow" w:hAnsi="Arial Narrow"/>
                <w:sz w:val="20"/>
              </w:rPr>
            </w:pPr>
            <w:r>
              <w:rPr>
                <w:rFonts w:ascii="Arial Narrow" w:hAnsi="Arial Narrow"/>
                <w:sz w:val="20"/>
              </w:rPr>
              <w:tab/>
              <w:t>Cardiac failure</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5</w:t>
            </w:r>
            <w:r w:rsidRPr="00E05062">
              <w:rPr>
                <w:rFonts w:ascii="Arial Narrow" w:hAnsi="Arial Narrow"/>
                <w:sz w:val="20"/>
              </w:rPr>
              <w:t xml:space="preserve"> (1.</w:t>
            </w:r>
            <w:r>
              <w:rPr>
                <w:rFonts w:ascii="Arial Narrow" w:hAnsi="Arial Narrow"/>
                <w:sz w:val="20"/>
              </w:rPr>
              <w:t>3</w:t>
            </w:r>
            <w:r w:rsidRPr="00E05062">
              <w:rPr>
                <w:rFonts w:ascii="Arial Narrow" w:hAnsi="Arial Narrow"/>
                <w:sz w:val="20"/>
              </w:rPr>
              <w:t>%)</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0</w:t>
            </w:r>
            <w:r w:rsidRPr="00E05062">
              <w:rPr>
                <w:rFonts w:ascii="Arial Narrow" w:hAnsi="Arial Narrow"/>
                <w:sz w:val="20"/>
              </w:rPr>
              <w:t xml:space="preserve"> (</w:t>
            </w:r>
            <w:r>
              <w:rPr>
                <w:rFonts w:ascii="Arial Narrow" w:hAnsi="Arial Narrow"/>
                <w:sz w:val="20"/>
              </w:rPr>
              <w:t>0</w:t>
            </w:r>
            <w:r w:rsidRPr="00E05062">
              <w:rPr>
                <w:rFonts w:ascii="Arial Narrow" w:hAnsi="Arial Narrow"/>
                <w:sz w:val="20"/>
              </w:rPr>
              <w:t>.0%)</w:t>
            </w:r>
          </w:p>
        </w:tc>
        <w:tc>
          <w:tcPr>
            <w:tcW w:w="1708" w:type="dxa"/>
            <w:shd w:val="clear" w:color="auto" w:fill="auto"/>
            <w:vAlign w:val="center"/>
          </w:tcPr>
          <w:p w:rsidR="005C7290" w:rsidRPr="00E05062" w:rsidRDefault="005C7290" w:rsidP="00610C0E">
            <w:pPr>
              <w:jc w:val="center"/>
              <w:rPr>
                <w:rFonts w:ascii="Arial Narrow" w:hAnsi="Arial Narrow"/>
                <w:sz w:val="20"/>
              </w:rPr>
            </w:pPr>
            <w:r w:rsidRPr="00E05062">
              <w:rPr>
                <w:rFonts w:ascii="Arial Narrow" w:hAnsi="Arial Narrow"/>
                <w:sz w:val="20"/>
              </w:rPr>
              <w:t>1.3</w:t>
            </w:r>
            <w:r>
              <w:rPr>
                <w:rFonts w:ascii="Arial Narrow" w:hAnsi="Arial Narrow"/>
                <w:sz w:val="20"/>
              </w:rPr>
              <w:t>%</w:t>
            </w:r>
            <w:r w:rsidRPr="00E05062">
              <w:rPr>
                <w:rFonts w:ascii="Arial Narrow" w:hAnsi="Arial Narrow"/>
                <w:sz w:val="20"/>
              </w:rPr>
              <w:t xml:space="preserve"> (</w:t>
            </w:r>
            <w:r>
              <w:rPr>
                <w:rFonts w:ascii="Arial Narrow" w:hAnsi="Arial Narrow"/>
                <w:sz w:val="20"/>
              </w:rPr>
              <w:t>-0.6%</w:t>
            </w:r>
            <w:r w:rsidRPr="00E05062">
              <w:rPr>
                <w:rFonts w:ascii="Arial Narrow" w:hAnsi="Arial Narrow"/>
                <w:sz w:val="20"/>
              </w:rPr>
              <w:t xml:space="preserve">, </w:t>
            </w:r>
            <w:r>
              <w:rPr>
                <w:rFonts w:ascii="Arial Narrow" w:hAnsi="Arial Narrow"/>
                <w:sz w:val="20"/>
              </w:rPr>
              <w:t>3.1%</w:t>
            </w:r>
            <w:r w:rsidRPr="00E05062">
              <w:rPr>
                <w:rFonts w:ascii="Arial Narrow" w:hAnsi="Arial Narrow"/>
                <w:sz w:val="20"/>
              </w:rPr>
              <w:t>)</w:t>
            </w:r>
          </w:p>
        </w:tc>
      </w:tr>
      <w:tr w:rsidR="005C7290" w:rsidRPr="00E05062" w:rsidTr="004F2BF9">
        <w:tc>
          <w:tcPr>
            <w:tcW w:w="3969" w:type="dxa"/>
            <w:shd w:val="clear" w:color="auto" w:fill="auto"/>
            <w:vAlign w:val="center"/>
          </w:tcPr>
          <w:p w:rsidR="005C7290" w:rsidRPr="00E05062" w:rsidRDefault="005C7290" w:rsidP="00610C0E">
            <w:pPr>
              <w:tabs>
                <w:tab w:val="left" w:pos="142"/>
              </w:tabs>
              <w:rPr>
                <w:rFonts w:ascii="Arial Narrow" w:hAnsi="Arial Narrow"/>
                <w:sz w:val="20"/>
              </w:rPr>
            </w:pPr>
            <w:r>
              <w:rPr>
                <w:rFonts w:ascii="Arial Narrow" w:hAnsi="Arial Narrow"/>
                <w:sz w:val="20"/>
              </w:rPr>
              <w:tab/>
              <w:t>Sinus tachycardia</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4</w:t>
            </w:r>
            <w:r w:rsidRPr="00E05062">
              <w:rPr>
                <w:rFonts w:ascii="Arial Narrow" w:hAnsi="Arial Narrow"/>
                <w:sz w:val="20"/>
              </w:rPr>
              <w:t xml:space="preserve"> (</w:t>
            </w:r>
            <w:r>
              <w:rPr>
                <w:rFonts w:ascii="Arial Narrow" w:hAnsi="Arial Narrow"/>
                <w:sz w:val="20"/>
              </w:rPr>
              <w:t>1.1</w:t>
            </w:r>
            <w:r w:rsidRPr="00E05062">
              <w:rPr>
                <w:rFonts w:ascii="Arial Narrow" w:hAnsi="Arial Narrow"/>
                <w:sz w:val="20"/>
              </w:rPr>
              <w:t>%)</w:t>
            </w:r>
          </w:p>
        </w:tc>
        <w:tc>
          <w:tcPr>
            <w:tcW w:w="1701" w:type="dxa"/>
            <w:shd w:val="clear" w:color="auto" w:fill="auto"/>
            <w:vAlign w:val="center"/>
          </w:tcPr>
          <w:p w:rsidR="005C7290" w:rsidRPr="00E05062" w:rsidRDefault="005C7290" w:rsidP="00610C0E">
            <w:pPr>
              <w:jc w:val="center"/>
              <w:rPr>
                <w:rFonts w:ascii="Arial Narrow" w:hAnsi="Arial Narrow"/>
                <w:sz w:val="20"/>
              </w:rPr>
            </w:pPr>
            <w:r w:rsidRPr="00E05062">
              <w:rPr>
                <w:rFonts w:ascii="Arial Narrow" w:hAnsi="Arial Narrow"/>
                <w:sz w:val="20"/>
              </w:rPr>
              <w:t>3 (1.6%)</w:t>
            </w:r>
          </w:p>
        </w:tc>
        <w:tc>
          <w:tcPr>
            <w:tcW w:w="1708"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-0.5%</w:t>
            </w:r>
            <w:r w:rsidRPr="00E05062">
              <w:rPr>
                <w:rFonts w:ascii="Arial Narrow" w:hAnsi="Arial Narrow"/>
                <w:sz w:val="20"/>
              </w:rPr>
              <w:t xml:space="preserve"> (</w:t>
            </w:r>
            <w:r>
              <w:rPr>
                <w:rFonts w:ascii="Arial Narrow" w:hAnsi="Arial Narrow"/>
                <w:sz w:val="20"/>
              </w:rPr>
              <w:t>3.5%</w:t>
            </w:r>
            <w:r w:rsidRPr="00E05062">
              <w:rPr>
                <w:rFonts w:ascii="Arial Narrow" w:hAnsi="Arial Narrow"/>
                <w:sz w:val="20"/>
              </w:rPr>
              <w:t xml:space="preserve">, </w:t>
            </w:r>
            <w:r>
              <w:rPr>
                <w:rFonts w:ascii="Arial Narrow" w:hAnsi="Arial Narrow"/>
                <w:sz w:val="20"/>
              </w:rPr>
              <w:t>1.5%</w:t>
            </w:r>
            <w:r w:rsidRPr="00E05062">
              <w:rPr>
                <w:rFonts w:ascii="Arial Narrow" w:hAnsi="Arial Narrow"/>
                <w:sz w:val="20"/>
              </w:rPr>
              <w:t>)</w:t>
            </w:r>
          </w:p>
        </w:tc>
      </w:tr>
      <w:tr w:rsidR="005C7290" w:rsidRPr="00E05062" w:rsidTr="004F2BF9">
        <w:tc>
          <w:tcPr>
            <w:tcW w:w="3969" w:type="dxa"/>
            <w:shd w:val="clear" w:color="auto" w:fill="auto"/>
            <w:vAlign w:val="center"/>
          </w:tcPr>
          <w:p w:rsidR="005C7290" w:rsidRDefault="005C7290" w:rsidP="00610C0E">
            <w:pPr>
              <w:tabs>
                <w:tab w:val="left" w:pos="142"/>
              </w:tabs>
              <w:rPr>
                <w:rFonts w:ascii="Arial Narrow" w:hAnsi="Arial Narrow"/>
                <w:sz w:val="20"/>
              </w:rPr>
            </w:pPr>
            <w:r>
              <w:rPr>
                <w:rFonts w:ascii="Arial Narrow" w:hAnsi="Arial Narrow"/>
                <w:sz w:val="20"/>
              </w:rPr>
              <w:tab/>
              <w:t>Tachycardia</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15 (4.0%)</w:t>
            </w:r>
          </w:p>
        </w:tc>
        <w:tc>
          <w:tcPr>
            <w:tcW w:w="1701"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4 (2.1%)</w:t>
            </w:r>
          </w:p>
        </w:tc>
        <w:tc>
          <w:tcPr>
            <w:tcW w:w="1708" w:type="dxa"/>
            <w:shd w:val="clear" w:color="auto" w:fill="auto"/>
            <w:vAlign w:val="center"/>
          </w:tcPr>
          <w:p w:rsidR="005C7290" w:rsidRPr="00E05062" w:rsidRDefault="005C7290" w:rsidP="00610C0E">
            <w:pPr>
              <w:jc w:val="center"/>
              <w:rPr>
                <w:rFonts w:ascii="Arial Narrow" w:hAnsi="Arial Narrow"/>
                <w:sz w:val="20"/>
              </w:rPr>
            </w:pPr>
            <w:r>
              <w:rPr>
                <w:rFonts w:ascii="Arial Narrow" w:hAnsi="Arial Narrow"/>
                <w:sz w:val="20"/>
              </w:rPr>
              <w:t>1.9% (1.5%, 4.8%)</w:t>
            </w:r>
          </w:p>
        </w:tc>
      </w:tr>
    </w:tbl>
    <w:p w:rsidR="005C7290" w:rsidRDefault="005C7290" w:rsidP="00610C0E">
      <w:pPr>
        <w:pStyle w:val="TableFooter"/>
      </w:pPr>
      <w:r>
        <w:t>AE=adverse event; CI=confidence interval</w:t>
      </w:r>
    </w:p>
    <w:p w:rsidR="005C7290" w:rsidRDefault="005C7290" w:rsidP="00610C0E">
      <w:pPr>
        <w:pStyle w:val="TableFooter"/>
      </w:pPr>
      <w:r>
        <w:t>Source:</w:t>
      </w:r>
      <w:r w:rsidR="005859EC">
        <w:t xml:space="preserve"> </w:t>
      </w:r>
      <w:r>
        <w:t>unnumbered table, p61 of the resubmission.</w:t>
      </w:r>
    </w:p>
    <w:p w:rsidR="00993EC6" w:rsidRDefault="005C7290" w:rsidP="002453D4">
      <w:pPr>
        <w:pStyle w:val="ListParagraph"/>
        <w:numPr>
          <w:ilvl w:val="1"/>
          <w:numId w:val="1"/>
        </w:numPr>
        <w:spacing w:before="120" w:after="120"/>
      </w:pPr>
      <w:r>
        <w:t>As noted by the resubmission, the incidence of cardiac-related AEs was higher in the letermovir group compared to the placebo group.</w:t>
      </w:r>
      <w:r w:rsidR="005859EC">
        <w:t xml:space="preserve"> </w:t>
      </w:r>
      <w:r w:rsidR="008768A0">
        <w:t xml:space="preserve">The pre-PBAC response </w:t>
      </w:r>
      <w:r w:rsidR="007D7C29">
        <w:t xml:space="preserve">for </w:t>
      </w:r>
      <w:r w:rsidR="008768A0">
        <w:t>th</w:t>
      </w:r>
      <w:r w:rsidR="00993EC6">
        <w:t>e</w:t>
      </w:r>
      <w:r w:rsidR="008768A0">
        <w:t xml:space="preserve"> July 2018 submission noted that the TGA Delegate’s Overview</w:t>
      </w:r>
      <w:r w:rsidR="00993EC6">
        <w:t xml:space="preserve"> had concluded that the majority of events were non-serious, of mild to moderate severity and confounded by concomitant use of known cardiotoxic medications, cardiac history, acute infections and possible imbalance in baseline cardiac conditions between t</w:t>
      </w:r>
      <w:r w:rsidR="00532534">
        <w:t>he letermovir and placebo arms.</w:t>
      </w:r>
    </w:p>
    <w:p w:rsidR="00485FDB" w:rsidRDefault="00AD1C10" w:rsidP="002453D4">
      <w:pPr>
        <w:pStyle w:val="ListParagraph"/>
        <w:numPr>
          <w:ilvl w:val="1"/>
          <w:numId w:val="1"/>
        </w:numPr>
        <w:spacing w:before="120" w:after="120"/>
      </w:pPr>
      <w:r>
        <w:t>The resubmission stated that a post-hoc analysis was conducted to evaluate the imbalance in cardiac-related AEs across the treatment groups</w:t>
      </w:r>
      <w:r w:rsidR="007D7C29">
        <w:t xml:space="preserve">, and </w:t>
      </w:r>
      <w:r>
        <w:t>that this analysis examined potential confounding factors such as medical history, concurrent conditions and treatments, the association with study medication (temporal and route of administration) and information on de-challenge or re-challenge</w:t>
      </w:r>
      <w:r w:rsidRPr="003F7F24">
        <w:t>.</w:t>
      </w:r>
      <w:r w:rsidR="005859EC">
        <w:t xml:space="preserve"> </w:t>
      </w:r>
    </w:p>
    <w:p w:rsidR="0076221F" w:rsidRPr="003F7F24" w:rsidRDefault="008E4ED1" w:rsidP="002453D4">
      <w:pPr>
        <w:pStyle w:val="ListParagraph"/>
        <w:numPr>
          <w:ilvl w:val="1"/>
          <w:numId w:val="1"/>
        </w:numPr>
        <w:spacing w:before="120" w:after="120"/>
      </w:pPr>
      <w:r w:rsidRPr="003F7F24">
        <w:t xml:space="preserve">The background information </w:t>
      </w:r>
      <w:r w:rsidR="007D7C29">
        <w:t>included in</w:t>
      </w:r>
      <w:r w:rsidRPr="003F7F24">
        <w:t xml:space="preserve"> the resubmission on pre-existing or active medical conditions provided relevant information for observed cardiac-related AEs </w:t>
      </w:r>
      <w:r w:rsidR="0076221F">
        <w:t xml:space="preserve">categorised as serious and/or when a patient discontinued treatment. However, the background information </w:t>
      </w:r>
      <w:r w:rsidRPr="003F7F24">
        <w:t xml:space="preserve">did not address reasons for the greater incidence of cardiac-related AEs </w:t>
      </w:r>
      <w:r w:rsidR="0076221F">
        <w:t xml:space="preserve">in letermovir treated patients </w:t>
      </w:r>
      <w:r w:rsidRPr="003F7F24">
        <w:t>across all occurrences of these events</w:t>
      </w:r>
      <w:r w:rsidR="00CC295E" w:rsidRPr="003F7F24">
        <w:t>.</w:t>
      </w:r>
    </w:p>
    <w:p w:rsidR="007F1017" w:rsidRPr="00C9624D" w:rsidRDefault="007F1017" w:rsidP="002453D4">
      <w:pPr>
        <w:pStyle w:val="Heading2"/>
        <w:keepNext/>
        <w:spacing w:before="120" w:after="120"/>
      </w:pPr>
      <w:bookmarkStart w:id="8" w:name="_Toc536019885"/>
      <w:r w:rsidRPr="00C9624D">
        <w:t>Benefits/harms</w:t>
      </w:r>
      <w:bookmarkEnd w:id="8"/>
    </w:p>
    <w:p w:rsidR="00BA6250" w:rsidRPr="00B50DB8" w:rsidRDefault="00BA6250" w:rsidP="002453D4">
      <w:pPr>
        <w:pStyle w:val="ListParagraph"/>
        <w:keepNext/>
        <w:numPr>
          <w:ilvl w:val="1"/>
          <w:numId w:val="1"/>
        </w:numPr>
        <w:spacing w:before="120" w:after="120"/>
      </w:pPr>
      <w:r w:rsidRPr="00CF6EE4">
        <w:t xml:space="preserve">On the basis of </w:t>
      </w:r>
      <w:r>
        <w:t xml:space="preserve">the </w:t>
      </w:r>
      <w:r w:rsidRPr="00CF6EE4">
        <w:t>direct</w:t>
      </w:r>
      <w:r>
        <w:t xml:space="preserve"> </w:t>
      </w:r>
      <w:r w:rsidRPr="00CF6EE4">
        <w:t xml:space="preserve">evidence presented by the </w:t>
      </w:r>
      <w:r>
        <w:t>re</w:t>
      </w:r>
      <w:r w:rsidRPr="00CF6EE4">
        <w:t>submission</w:t>
      </w:r>
      <w:r>
        <w:t xml:space="preserve"> (see Table </w:t>
      </w:r>
      <w:r w:rsidR="009043A8" w:rsidRPr="009043A8">
        <w:t>5</w:t>
      </w:r>
      <w:r>
        <w:t xml:space="preserve"> above), </w:t>
      </w:r>
      <w:r w:rsidRPr="00CF6EE4">
        <w:t xml:space="preserve">for every 100 patients treated with </w:t>
      </w:r>
      <w:r>
        <w:t>letermovir</w:t>
      </w:r>
      <w:r w:rsidRPr="00CF6EE4">
        <w:t xml:space="preserve"> in comparison to </w:t>
      </w:r>
      <w:r>
        <w:t>placebo and over a duration of follow-up of 24 weeks:</w:t>
      </w:r>
    </w:p>
    <w:p w:rsidR="000F015B" w:rsidRDefault="00BA6250" w:rsidP="002453D4">
      <w:pPr>
        <w:pStyle w:val="Bulletpoints"/>
        <w:spacing w:before="120" w:after="120"/>
        <w:ind w:left="993" w:hanging="284"/>
      </w:pPr>
      <w:r w:rsidRPr="00CF6EE4">
        <w:t xml:space="preserve">Approximately </w:t>
      </w:r>
      <w:r>
        <w:t xml:space="preserve">23 </w:t>
      </w:r>
      <w:r w:rsidRPr="00CF6EE4">
        <w:t>fewer patients woul</w:t>
      </w:r>
      <w:r>
        <w:t>d have clinically significant CMV infection</w:t>
      </w:r>
      <w:r w:rsidR="00776AB4">
        <w:t xml:space="preserve"> </w:t>
      </w:r>
      <w:r w:rsidR="006A75A5">
        <w:t>(a composite outcome including (i) onset of CMV end-organ disease and (ii) initiation of pre-emptive therapy)</w:t>
      </w:r>
      <w:r>
        <w:t>.</w:t>
      </w:r>
    </w:p>
    <w:p w:rsidR="00B60939" w:rsidRPr="00882085" w:rsidRDefault="00B60939" w:rsidP="005859EC">
      <w:pPr>
        <w:pStyle w:val="Heading2"/>
        <w:keepNext/>
        <w:keepLines/>
        <w:spacing w:after="120"/>
      </w:pPr>
      <w:bookmarkStart w:id="9" w:name="_Toc536019886"/>
      <w:r w:rsidRPr="00C9624D">
        <w:lastRenderedPageBreak/>
        <w:t>Clinical claim</w:t>
      </w:r>
      <w:bookmarkEnd w:id="9"/>
    </w:p>
    <w:p w:rsidR="008C3817" w:rsidRPr="0021510A" w:rsidRDefault="008C3817" w:rsidP="005859EC">
      <w:pPr>
        <w:pStyle w:val="ListParagraph"/>
        <w:keepNext/>
        <w:keepLines/>
        <w:numPr>
          <w:ilvl w:val="1"/>
          <w:numId w:val="1"/>
        </w:numPr>
        <w:spacing w:after="120"/>
      </w:pPr>
      <w:r w:rsidRPr="0021510A">
        <w:t>The resubmission described letermovir as superior in terms of effectiveness compared with placebo and non-inferior in terms of safety compared to placebo.</w:t>
      </w:r>
      <w:r w:rsidR="005859EC">
        <w:t xml:space="preserve"> </w:t>
      </w:r>
      <w:r w:rsidRPr="0021510A">
        <w:t>This was the same as the clinical claim made by the July 2018 submission.</w:t>
      </w:r>
    </w:p>
    <w:p w:rsidR="00A52B93" w:rsidRPr="0021510A" w:rsidRDefault="00BE1B7D" w:rsidP="002453D4">
      <w:pPr>
        <w:pStyle w:val="ListParagraph"/>
        <w:numPr>
          <w:ilvl w:val="1"/>
          <w:numId w:val="1"/>
        </w:numPr>
        <w:spacing w:before="120" w:after="120"/>
      </w:pPr>
      <w:r w:rsidRPr="0021510A">
        <w:t>T</w:t>
      </w:r>
      <w:r w:rsidR="004E5148" w:rsidRPr="0021510A">
        <w:t>he clinical evidence demonstrated a statistically significant reduction in CMV infection for letermovir-treated patients</w:t>
      </w:r>
      <w:r w:rsidRPr="0021510A">
        <w:t>.</w:t>
      </w:r>
      <w:r w:rsidR="004E5148" w:rsidRPr="0021510A">
        <w:t xml:space="preserve"> </w:t>
      </w:r>
      <w:r w:rsidR="00A52B93" w:rsidRPr="0021510A">
        <w:t xml:space="preserve">The ESC reaffirmed the PBAC’s July 2018 observation that the reduction </w:t>
      </w:r>
      <w:r w:rsidR="007D7C29">
        <w:t>was due to</w:t>
      </w:r>
      <w:r w:rsidR="00A52B93" w:rsidRPr="0021510A">
        <w:t xml:space="preserve"> the difference in the use of PET for CMV viraemia</w:t>
      </w:r>
      <w:r w:rsidR="00137F91" w:rsidRPr="0021510A">
        <w:t xml:space="preserve"> (paragraph 7.5 July 2018 PSD)</w:t>
      </w:r>
      <w:r w:rsidR="00A52B93" w:rsidRPr="0021510A">
        <w:t xml:space="preserve">. </w:t>
      </w:r>
    </w:p>
    <w:p w:rsidR="00A52B93" w:rsidRPr="0021510A" w:rsidRDefault="00A52B93" w:rsidP="002453D4">
      <w:pPr>
        <w:pStyle w:val="ListParagraph"/>
        <w:numPr>
          <w:ilvl w:val="1"/>
          <w:numId w:val="1"/>
        </w:numPr>
        <w:spacing w:before="120" w:after="120"/>
      </w:pPr>
      <w:r w:rsidRPr="0021510A">
        <w:t xml:space="preserve">The ESC noted that the clinical evidence for CMV-related mortality indicated a statistically significant difference between letermovir and placebo at week 48. </w:t>
      </w:r>
      <w:r w:rsidR="00BE1B7D" w:rsidRPr="0021510A">
        <w:t xml:space="preserve">However, </w:t>
      </w:r>
      <w:r w:rsidRPr="0021510A">
        <w:t xml:space="preserve">as </w:t>
      </w:r>
      <w:r w:rsidR="00B83D35" w:rsidRPr="0021510A">
        <w:t>CMV-related mortality</w:t>
      </w:r>
      <w:r w:rsidRPr="0021510A">
        <w:t xml:space="preserve"> in Trial P001</w:t>
      </w:r>
      <w:r w:rsidR="00B83D35" w:rsidRPr="0021510A">
        <w:t xml:space="preserve"> referred to all-cause mortality in patients </w:t>
      </w:r>
      <w:r w:rsidR="00BE1B7D" w:rsidRPr="0021510A">
        <w:t>who met the primary outcome of clinically significant</w:t>
      </w:r>
      <w:r w:rsidR="00B83D35" w:rsidRPr="0021510A">
        <w:t xml:space="preserve"> CMV infection, </w:t>
      </w:r>
      <w:r w:rsidRPr="0021510A">
        <w:t xml:space="preserve">the ESC considered </w:t>
      </w:r>
      <w:r w:rsidR="00B83D35" w:rsidRPr="0021510A">
        <w:t>CMV infection may not be related to mortality.</w:t>
      </w:r>
      <w:r w:rsidR="005859EC">
        <w:t xml:space="preserve"> </w:t>
      </w:r>
      <w:r w:rsidR="00D9082C" w:rsidRPr="0021510A">
        <w:t xml:space="preserve">As such, </w:t>
      </w:r>
      <w:r w:rsidR="00BB48CD" w:rsidRPr="0021510A">
        <w:t xml:space="preserve">the statistically significant advantage for letermovir for CMV-related mortality was difficult to interpret and </w:t>
      </w:r>
      <w:r w:rsidR="00116B97" w:rsidRPr="0021510A">
        <w:t>may not</w:t>
      </w:r>
      <w:r w:rsidR="00BB48CD" w:rsidRPr="0021510A">
        <w:t xml:space="preserve"> reflect a difference in mortality attributable to </w:t>
      </w:r>
      <w:r w:rsidR="00945871" w:rsidRPr="0021510A">
        <w:t>letermovir treatment</w:t>
      </w:r>
      <w:r w:rsidR="00BB48CD" w:rsidRPr="0021510A">
        <w:t>.</w:t>
      </w:r>
    </w:p>
    <w:p w:rsidR="00BB48CD" w:rsidRPr="0021510A" w:rsidRDefault="00682763" w:rsidP="002453D4">
      <w:pPr>
        <w:pStyle w:val="ListParagraph"/>
        <w:numPr>
          <w:ilvl w:val="1"/>
          <w:numId w:val="1"/>
        </w:numPr>
        <w:spacing w:before="120" w:after="120"/>
      </w:pPr>
      <w:r w:rsidRPr="0021510A">
        <w:t>In addition, the ESC considered that the post-hoc analysis of all-cause mortality in patients with and without clinically significant CMV infection did not demonstrate</w:t>
      </w:r>
      <w:r w:rsidR="008A662F" w:rsidRPr="0021510A">
        <w:t xml:space="preserve"> that letermovir is an effect modifier for the effect of CMV infection on mortality, as claimed by the resubmission</w:t>
      </w:r>
      <w:r w:rsidR="004305DC" w:rsidRPr="0021510A">
        <w:t xml:space="preserve"> and PSCR </w:t>
      </w:r>
      <w:r w:rsidR="008A662F" w:rsidRPr="0021510A">
        <w:t xml:space="preserve">. </w:t>
      </w:r>
    </w:p>
    <w:p w:rsidR="008C3817" w:rsidRPr="0021510A" w:rsidRDefault="00BB48CD" w:rsidP="002453D4">
      <w:pPr>
        <w:pStyle w:val="ListParagraph"/>
        <w:numPr>
          <w:ilvl w:val="1"/>
          <w:numId w:val="1"/>
        </w:numPr>
        <w:spacing w:before="120" w:after="120"/>
      </w:pPr>
      <w:r w:rsidRPr="0021510A">
        <w:t>The resubmission cited an advantage in re-hospitalisations for patients with CMV infection.</w:t>
      </w:r>
      <w:r w:rsidR="005859EC">
        <w:t xml:space="preserve"> </w:t>
      </w:r>
      <w:r w:rsidR="007908E7" w:rsidRPr="0021510A">
        <w:t>The ESC noted that w</w:t>
      </w:r>
      <w:r w:rsidRPr="0021510A">
        <w:t>hen discontinued and missing patients were excluded from the compariso</w:t>
      </w:r>
      <w:r w:rsidR="007908E7" w:rsidRPr="0021510A">
        <w:t>n</w:t>
      </w:r>
      <w:r w:rsidRPr="0021510A">
        <w:t>, the proportion re-hospitalised was similar between the letermovir and placebo groups.</w:t>
      </w:r>
    </w:p>
    <w:p w:rsidR="00BB48CD" w:rsidRPr="0021510A" w:rsidRDefault="00BB48CD" w:rsidP="002453D4">
      <w:pPr>
        <w:pStyle w:val="ListParagraph"/>
        <w:numPr>
          <w:ilvl w:val="1"/>
          <w:numId w:val="1"/>
        </w:numPr>
        <w:spacing w:before="120" w:after="120"/>
      </w:pPr>
      <w:r w:rsidRPr="0021510A">
        <w:t xml:space="preserve">While the resubmission did not provide any results for the occurrence of bacterial and fungal infections, which is considered </w:t>
      </w:r>
      <w:r w:rsidR="00116B97" w:rsidRPr="0021510A">
        <w:t>to be associated with</w:t>
      </w:r>
      <w:r w:rsidRPr="0021510A">
        <w:t xml:space="preserve"> CMV infection, </w:t>
      </w:r>
      <w:r w:rsidR="007908E7" w:rsidRPr="0021510A">
        <w:t xml:space="preserve">the ESC noted that the </w:t>
      </w:r>
      <w:r w:rsidRPr="0021510A">
        <w:t xml:space="preserve">results in the Trial P001 CSRs showed </w:t>
      </w:r>
      <w:r w:rsidR="00116B97" w:rsidRPr="0021510A">
        <w:t xml:space="preserve">no difference in </w:t>
      </w:r>
      <w:r w:rsidRPr="0021510A">
        <w:t xml:space="preserve">the occurrence of bacterial and/or fungal infections for letermovir-treated </w:t>
      </w:r>
      <w:r w:rsidR="00641AD2" w:rsidRPr="0021510A">
        <w:t xml:space="preserve">versus placebo-treated </w:t>
      </w:r>
      <w:r w:rsidRPr="0021510A">
        <w:t>patients.</w:t>
      </w:r>
    </w:p>
    <w:p w:rsidR="0090234C" w:rsidRDefault="007908E7" w:rsidP="002453D4">
      <w:pPr>
        <w:pStyle w:val="ListParagraph"/>
        <w:numPr>
          <w:ilvl w:val="1"/>
          <w:numId w:val="1"/>
        </w:numPr>
        <w:spacing w:before="120" w:after="120"/>
      </w:pPr>
      <w:r w:rsidRPr="0021510A">
        <w:t>The ESC noted that t</w:t>
      </w:r>
      <w:r w:rsidR="008A5760" w:rsidRPr="0021510A">
        <w:t>he claim of non-inferior safety compared to placebo had been previously accepted by the PBAC (paragraph 7.7 July 2018 PSD)</w:t>
      </w:r>
      <w:r w:rsidR="00BE1B7D" w:rsidRPr="0021510A">
        <w:t>.</w:t>
      </w:r>
      <w:r w:rsidR="005859EC">
        <w:t xml:space="preserve"> </w:t>
      </w:r>
      <w:r w:rsidR="002F4B9B" w:rsidRPr="0021510A">
        <w:t>While the resubmission provided further discussion around the occurrence of cardiac-related events in Trial P001 the resubmission provided no information around planned further evaluation in future studies, as recommended by the PBAC (paragraph 7.7 July 2018 PSD).</w:t>
      </w:r>
      <w:r w:rsidR="008A5760" w:rsidRPr="0021510A">
        <w:t xml:space="preserve"> </w:t>
      </w:r>
    </w:p>
    <w:p w:rsidR="0090234C" w:rsidRPr="006B2F41" w:rsidRDefault="0090234C" w:rsidP="002453D4">
      <w:pPr>
        <w:pStyle w:val="ListParagraph"/>
        <w:numPr>
          <w:ilvl w:val="1"/>
          <w:numId w:val="1"/>
        </w:numPr>
        <w:spacing w:before="120" w:after="120"/>
      </w:pPr>
      <w:r w:rsidRPr="006B2F41">
        <w:rPr>
          <w:rFonts w:asciiTheme="minorHAnsi" w:hAnsiTheme="minorHAnsi" w:cs="Arial"/>
          <w:snapToGrid w:val="0"/>
          <w:szCs w:val="20"/>
        </w:rPr>
        <w:t xml:space="preserve">The PBAC considered that </w:t>
      </w:r>
      <w:r w:rsidR="006B2F41">
        <w:rPr>
          <w:rFonts w:asciiTheme="minorHAnsi" w:hAnsiTheme="minorHAnsi" w:cs="Arial"/>
          <w:snapToGrid w:val="0"/>
          <w:szCs w:val="20"/>
        </w:rPr>
        <w:t xml:space="preserve">the </w:t>
      </w:r>
      <w:r w:rsidR="00E31652">
        <w:rPr>
          <w:rFonts w:asciiTheme="minorHAnsi" w:hAnsiTheme="minorHAnsi" w:cs="Arial"/>
          <w:snapToGrid w:val="0"/>
          <w:szCs w:val="20"/>
        </w:rPr>
        <w:t xml:space="preserve">claim of superior comparative </w:t>
      </w:r>
      <w:r w:rsidR="006B2F41">
        <w:rPr>
          <w:rFonts w:asciiTheme="minorHAnsi" w:hAnsiTheme="minorHAnsi" w:cs="Arial"/>
          <w:snapToGrid w:val="0"/>
          <w:szCs w:val="20"/>
        </w:rPr>
        <w:t xml:space="preserve">effectiveness </w:t>
      </w:r>
      <w:r w:rsidR="00E31652">
        <w:rPr>
          <w:rFonts w:asciiTheme="minorHAnsi" w:hAnsiTheme="minorHAnsi" w:cs="Arial"/>
          <w:snapToGrid w:val="0"/>
          <w:szCs w:val="20"/>
        </w:rPr>
        <w:t xml:space="preserve">was </w:t>
      </w:r>
      <w:r w:rsidR="007936DF">
        <w:rPr>
          <w:rFonts w:asciiTheme="minorHAnsi" w:hAnsiTheme="minorHAnsi" w:cs="Arial"/>
          <w:snapToGrid w:val="0"/>
          <w:szCs w:val="20"/>
        </w:rPr>
        <w:t xml:space="preserve">not adequately supported by the data. The PBAC considered the </w:t>
      </w:r>
      <w:r w:rsidR="007936DF" w:rsidRPr="0021510A">
        <w:t>reduction</w:t>
      </w:r>
      <w:r w:rsidR="007936DF">
        <w:t xml:space="preserve"> in </w:t>
      </w:r>
      <w:r w:rsidR="007936DF" w:rsidRPr="0021510A">
        <w:t>CMV infection for letermovir-treated patients appeared to be based on the difference in the use of PET for CMV viraemia</w:t>
      </w:r>
      <w:r w:rsidR="007936DF">
        <w:t xml:space="preserve"> only, with </w:t>
      </w:r>
      <w:r w:rsidR="007936DF">
        <w:rPr>
          <w:rFonts w:asciiTheme="minorHAnsi" w:hAnsiTheme="minorHAnsi" w:cs="Arial"/>
          <w:snapToGrid w:val="0"/>
          <w:szCs w:val="20"/>
        </w:rPr>
        <w:t>no</w:t>
      </w:r>
      <w:r w:rsidR="00E31652">
        <w:rPr>
          <w:rFonts w:asciiTheme="minorHAnsi" w:hAnsiTheme="minorHAnsi" w:cs="Arial"/>
          <w:snapToGrid w:val="0"/>
          <w:szCs w:val="20"/>
        </w:rPr>
        <w:t xml:space="preserve"> </w:t>
      </w:r>
      <w:r w:rsidR="00C01F9C">
        <w:rPr>
          <w:rFonts w:asciiTheme="minorHAnsi" w:hAnsiTheme="minorHAnsi" w:cs="Arial"/>
          <w:snapToGrid w:val="0"/>
          <w:szCs w:val="20"/>
        </w:rPr>
        <w:t xml:space="preserve">clear </w:t>
      </w:r>
      <w:r w:rsidR="007936DF">
        <w:t>differences attributable to letermovir in mortality, CMV disease, re-hospitalisations or occurrence of bacterial or fungal infections.</w:t>
      </w:r>
    </w:p>
    <w:p w:rsidR="0090234C" w:rsidRPr="004009E6" w:rsidRDefault="0090234C" w:rsidP="002453D4">
      <w:pPr>
        <w:pStyle w:val="ListParagraph"/>
        <w:numPr>
          <w:ilvl w:val="1"/>
          <w:numId w:val="1"/>
        </w:numPr>
        <w:spacing w:before="120" w:after="120"/>
      </w:pPr>
      <w:r w:rsidRPr="004009E6">
        <w:lastRenderedPageBreak/>
        <w:t>The PBAC consid</w:t>
      </w:r>
      <w:r w:rsidR="007A4706" w:rsidRPr="004009E6">
        <w:t xml:space="preserve">ered that the claim of </w:t>
      </w:r>
      <w:r w:rsidRPr="004009E6">
        <w:t>non-inferior co</w:t>
      </w:r>
      <w:r w:rsidR="007A4706" w:rsidRPr="004009E6">
        <w:t>mparative safety was reasonably</w:t>
      </w:r>
      <w:r w:rsidRPr="004009E6">
        <w:t xml:space="preserve"> supported by the data.</w:t>
      </w:r>
    </w:p>
    <w:p w:rsidR="00B60939" w:rsidRPr="00C9624D" w:rsidRDefault="00B60939" w:rsidP="002453D4">
      <w:pPr>
        <w:pStyle w:val="Heading2"/>
        <w:spacing w:before="120" w:after="120"/>
      </w:pPr>
      <w:bookmarkStart w:id="10" w:name="_Toc536019887"/>
      <w:r w:rsidRPr="00C9624D">
        <w:t>Economic analysis</w:t>
      </w:r>
      <w:bookmarkEnd w:id="10"/>
      <w:r w:rsidR="00491B3A" w:rsidRPr="00C9624D">
        <w:t xml:space="preserve"> </w:t>
      </w:r>
    </w:p>
    <w:p w:rsidR="006A44E7" w:rsidRPr="006A44E7" w:rsidRDefault="006A44E7" w:rsidP="002453D4">
      <w:pPr>
        <w:pStyle w:val="ListParagraph"/>
        <w:numPr>
          <w:ilvl w:val="1"/>
          <w:numId w:val="1"/>
        </w:numPr>
        <w:spacing w:before="120" w:after="120"/>
      </w:pPr>
      <w:r>
        <w:t xml:space="preserve">The economic model presented in the resubmission </w:t>
      </w:r>
      <w:r w:rsidR="001B1048">
        <w:t>was</w:t>
      </w:r>
      <w:r>
        <w:t xml:space="preserve"> </w:t>
      </w:r>
      <w:r w:rsidR="00DD0649">
        <w:t xml:space="preserve">revised </w:t>
      </w:r>
      <w:r>
        <w:t>from that presented in the July 2018 submission</w:t>
      </w:r>
      <w:r w:rsidR="001B1048">
        <w:t xml:space="preserve"> as outlined in t</w:t>
      </w:r>
      <w:r>
        <w:t>he table below</w:t>
      </w:r>
      <w:r w:rsidR="001B1048">
        <w:t xml:space="preserve">. This table also includes the </w:t>
      </w:r>
      <w:r>
        <w:t xml:space="preserve">PBAC and ESC comments on the </w:t>
      </w:r>
      <w:r w:rsidR="001B1048">
        <w:t xml:space="preserve">July 2018 </w:t>
      </w:r>
      <w:r>
        <w:t>model.</w:t>
      </w:r>
    </w:p>
    <w:p w:rsidR="00275C5A" w:rsidRDefault="00661DFA" w:rsidP="00610C0E">
      <w:pPr>
        <w:keepNext/>
        <w:rPr>
          <w:rStyle w:val="CommentReference"/>
        </w:rPr>
      </w:pPr>
      <w:r w:rsidRPr="00401364">
        <w:rPr>
          <w:rFonts w:ascii="Arial Narrow" w:hAnsi="Arial Narrow"/>
          <w:b/>
          <w:sz w:val="20"/>
          <w:szCs w:val="20"/>
        </w:rPr>
        <w:t xml:space="preserve">Table </w:t>
      </w:r>
      <w:r w:rsidR="000D0E6D">
        <w:rPr>
          <w:rFonts w:ascii="Arial Narrow" w:hAnsi="Arial Narrow"/>
          <w:b/>
          <w:noProof/>
          <w:sz w:val="20"/>
          <w:szCs w:val="20"/>
        </w:rPr>
        <w:t>13</w:t>
      </w:r>
      <w:r w:rsidR="00275C5A" w:rsidRPr="00A56B6A">
        <w:rPr>
          <w:rStyle w:val="CommentReference"/>
        </w:rPr>
        <w:t xml:space="preserve">: </w:t>
      </w:r>
      <w:r w:rsidR="006A44E7">
        <w:rPr>
          <w:rStyle w:val="CommentReference"/>
        </w:rPr>
        <w:t>July 2018 economic evaluation, PBAC and ESC comments and changes to the current model</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3: July 2018 economic evaluation, PBAC and ESC comments and changes to the current model"/>
      </w:tblPr>
      <w:tblGrid>
        <w:gridCol w:w="1941"/>
        <w:gridCol w:w="4139"/>
        <w:gridCol w:w="2962"/>
      </w:tblGrid>
      <w:tr w:rsidR="006A44E7" w:rsidRPr="00E05630" w:rsidTr="00AF5686">
        <w:trPr>
          <w:tblHeader/>
        </w:trPr>
        <w:tc>
          <w:tcPr>
            <w:tcW w:w="1073" w:type="pct"/>
          </w:tcPr>
          <w:p w:rsidR="006A44E7" w:rsidRPr="00E05630" w:rsidRDefault="006A44E7" w:rsidP="00610C0E">
            <w:pPr>
              <w:pStyle w:val="Tabletext"/>
              <w:keepNext/>
              <w:rPr>
                <w:b/>
              </w:rPr>
            </w:pPr>
            <w:r>
              <w:rPr>
                <w:b/>
              </w:rPr>
              <w:t>July 2018 model</w:t>
            </w:r>
          </w:p>
        </w:tc>
        <w:tc>
          <w:tcPr>
            <w:tcW w:w="2289" w:type="pct"/>
          </w:tcPr>
          <w:p w:rsidR="006A44E7" w:rsidRPr="00E05630" w:rsidRDefault="006A44E7" w:rsidP="00610C0E">
            <w:pPr>
              <w:pStyle w:val="Tabletext"/>
              <w:keepNext/>
              <w:jc w:val="center"/>
              <w:rPr>
                <w:b/>
              </w:rPr>
            </w:pPr>
            <w:r>
              <w:rPr>
                <w:b/>
              </w:rPr>
              <w:t>PBAC/ESC comments (July 2018 PSD)</w:t>
            </w:r>
          </w:p>
        </w:tc>
        <w:tc>
          <w:tcPr>
            <w:tcW w:w="1638" w:type="pct"/>
          </w:tcPr>
          <w:p w:rsidR="006A44E7" w:rsidRPr="00E05630" w:rsidRDefault="006A44E7" w:rsidP="00610C0E">
            <w:pPr>
              <w:pStyle w:val="Tabletext"/>
              <w:keepNext/>
              <w:jc w:val="center"/>
              <w:rPr>
                <w:b/>
              </w:rPr>
            </w:pPr>
            <w:r>
              <w:rPr>
                <w:b/>
              </w:rPr>
              <w:t>Resubmission model</w:t>
            </w:r>
          </w:p>
        </w:tc>
      </w:tr>
      <w:tr w:rsidR="006A44E7" w:rsidRPr="004E2ADC" w:rsidTr="00AF5686">
        <w:tc>
          <w:tcPr>
            <w:tcW w:w="1073" w:type="pct"/>
            <w:vAlign w:val="center"/>
          </w:tcPr>
          <w:p w:rsidR="006A44E7" w:rsidRPr="004E2ADC" w:rsidRDefault="006A44E7" w:rsidP="00610C0E">
            <w:pPr>
              <w:pStyle w:val="Tabletext"/>
              <w:keepNext/>
            </w:pPr>
            <w:r>
              <w:t>Overall</w:t>
            </w:r>
          </w:p>
        </w:tc>
        <w:tc>
          <w:tcPr>
            <w:tcW w:w="2289" w:type="pct"/>
          </w:tcPr>
          <w:p w:rsidR="006A44E7" w:rsidRPr="004E2ADC" w:rsidRDefault="006A44E7" w:rsidP="00610C0E">
            <w:pPr>
              <w:pStyle w:val="Tabletext"/>
              <w:keepNext/>
            </w:pPr>
            <w:r>
              <w:rPr>
                <w:u w:val="single"/>
              </w:rPr>
              <w:t>P</w:t>
            </w:r>
            <w:r w:rsidRPr="00F16035">
              <w:rPr>
                <w:u w:val="single"/>
              </w:rPr>
              <w:t>aragraph 7.8</w:t>
            </w:r>
            <w:r>
              <w:t xml:space="preserve">: </w:t>
            </w:r>
            <w:r w:rsidRPr="00B45E7F">
              <w:t xml:space="preserve">The </w:t>
            </w:r>
            <w:r>
              <w:t xml:space="preserve">PBAC noted the issues raised by the ESC, including that the </w:t>
            </w:r>
            <w:r w:rsidRPr="00B45E7F">
              <w:t xml:space="preserve">outcomes </w:t>
            </w:r>
            <w:r>
              <w:t>driving</w:t>
            </w:r>
            <w:r w:rsidRPr="00B45E7F">
              <w:t xml:space="preserve"> the economic model </w:t>
            </w:r>
            <w:r>
              <w:t>(the</w:t>
            </w:r>
            <w:r w:rsidRPr="00B45E7F">
              <w:t xml:space="preserve"> occurrence of GVHD and all-cause mortality</w:t>
            </w:r>
            <w:r>
              <w:t>)</w:t>
            </w:r>
            <w:r w:rsidRPr="00B45E7F">
              <w:t xml:space="preserve"> were</w:t>
            </w:r>
            <w:r>
              <w:t xml:space="preserve"> not significantly different in the trial</w:t>
            </w:r>
            <w:r w:rsidRPr="00B45E7F">
              <w:t>.</w:t>
            </w:r>
            <w:r w:rsidR="005859EC">
              <w:t xml:space="preserve"> </w:t>
            </w:r>
            <w:r>
              <w:t xml:space="preserve">The PBAC considered that the model should be based on the health benefits demonstrated in the trial, </w:t>
            </w:r>
            <w:r w:rsidR="00B4535F">
              <w:t>i.e.</w:t>
            </w:r>
            <w:r>
              <w:t xml:space="preserve"> a reduction in the use of PET.</w:t>
            </w:r>
          </w:p>
        </w:tc>
        <w:tc>
          <w:tcPr>
            <w:tcW w:w="1638" w:type="pct"/>
            <w:vAlign w:val="center"/>
          </w:tcPr>
          <w:p w:rsidR="006A44E7" w:rsidRPr="003F7F24" w:rsidRDefault="006A44E7" w:rsidP="00610C0E">
            <w:pPr>
              <w:pStyle w:val="Tabletext"/>
              <w:keepNext/>
            </w:pPr>
            <w:r w:rsidRPr="003F7F24">
              <w:t>The revised model removed GVHD health states but reduction in use of PET was not directly considered as part of the model (although cost of PET for treatment of CMV infection was included in the model).</w:t>
            </w:r>
          </w:p>
        </w:tc>
      </w:tr>
      <w:tr w:rsidR="006A44E7" w:rsidRPr="004E2ADC" w:rsidTr="00AF5686">
        <w:tc>
          <w:tcPr>
            <w:tcW w:w="1073" w:type="pct"/>
            <w:vAlign w:val="center"/>
          </w:tcPr>
          <w:p w:rsidR="006A44E7" w:rsidRPr="004E2ADC" w:rsidRDefault="006A44E7" w:rsidP="00610C0E">
            <w:pPr>
              <w:pStyle w:val="Tabletext"/>
              <w:keepNext/>
            </w:pPr>
            <w:r>
              <w:t>Markov model with a 10 year duration</w:t>
            </w:r>
          </w:p>
        </w:tc>
        <w:tc>
          <w:tcPr>
            <w:tcW w:w="2289" w:type="pct"/>
          </w:tcPr>
          <w:p w:rsidR="006A44E7" w:rsidRPr="004E2ADC" w:rsidRDefault="006A44E7" w:rsidP="00610C0E">
            <w:pPr>
              <w:pStyle w:val="Tabletext"/>
              <w:keepNext/>
            </w:pPr>
            <w:r w:rsidRPr="000E0C71">
              <w:rPr>
                <w:u w:val="single"/>
              </w:rPr>
              <w:t>Paragraph 6.46</w:t>
            </w:r>
            <w:r>
              <w:t>:</w:t>
            </w:r>
            <w:r w:rsidR="005859EC">
              <w:t xml:space="preserve"> </w:t>
            </w:r>
            <w:r w:rsidRPr="00C34415">
              <w:t>The ESC noted that a 10 year time horizon may be reasonable to capture the life years gained (LYG) from deaths avoided due to CMV infections but that the results using this time horizon were not reliable because the extrapolations applied in the submission were implausible.</w:t>
            </w:r>
          </w:p>
        </w:tc>
        <w:tc>
          <w:tcPr>
            <w:tcW w:w="1638" w:type="pct"/>
            <w:vAlign w:val="center"/>
          </w:tcPr>
          <w:p w:rsidR="006A44E7" w:rsidRPr="004E2ADC" w:rsidRDefault="00BE2052" w:rsidP="00610C0E">
            <w:pPr>
              <w:pStyle w:val="Tabletext"/>
              <w:keepNext/>
            </w:pPr>
            <w:r>
              <w:t>In t</w:t>
            </w:r>
            <w:r w:rsidR="006A44E7">
              <w:t xml:space="preserve">he revised model </w:t>
            </w:r>
            <w:r w:rsidR="009C1D26">
              <w:t>t</w:t>
            </w:r>
            <w:r w:rsidR="006A44E7">
              <w:t>he 10 year time horizon has been maintained</w:t>
            </w:r>
            <w:r w:rsidR="00B03E77">
              <w:t xml:space="preserve"> and extrapolation of mortality data has been modified</w:t>
            </w:r>
            <w:r w:rsidR="006A44E7">
              <w:t>.</w:t>
            </w:r>
            <w:r w:rsidR="005859EC">
              <w:t xml:space="preserve"> </w:t>
            </w:r>
          </w:p>
        </w:tc>
      </w:tr>
      <w:tr w:rsidR="006A44E7" w:rsidRPr="004E2ADC" w:rsidTr="00AF5686">
        <w:tc>
          <w:tcPr>
            <w:tcW w:w="1073" w:type="pct"/>
            <w:vAlign w:val="center"/>
          </w:tcPr>
          <w:p w:rsidR="006A44E7" w:rsidRPr="004E2ADC" w:rsidRDefault="006A44E7" w:rsidP="00610C0E">
            <w:pPr>
              <w:pStyle w:val="Tabletext"/>
              <w:keepNext/>
            </w:pPr>
            <w:r>
              <w:t>7 health states: post-transplant; CMV infection; CMV disease; acute GVHD Grade II, acute GVHD Grade III-IV, chronic GVHD, death</w:t>
            </w:r>
          </w:p>
        </w:tc>
        <w:tc>
          <w:tcPr>
            <w:tcW w:w="2289" w:type="pct"/>
          </w:tcPr>
          <w:p w:rsidR="006A44E7" w:rsidRPr="004E2ADC" w:rsidRDefault="006A44E7" w:rsidP="00610C0E">
            <w:pPr>
              <w:pStyle w:val="Tabletext"/>
              <w:keepNext/>
            </w:pPr>
            <w:r w:rsidRPr="00615F82">
              <w:rPr>
                <w:u w:val="single"/>
              </w:rPr>
              <w:t>Paragraph 6.43</w:t>
            </w:r>
            <w:r>
              <w:t>:</w:t>
            </w:r>
            <w:r w:rsidR="005859EC">
              <w:t xml:space="preserve"> </w:t>
            </w:r>
            <w:r w:rsidRPr="00FE7CCD">
              <w:t xml:space="preserve">Inclusion of three health states for </w:t>
            </w:r>
            <w:r>
              <w:t>GVHD</w:t>
            </w:r>
            <w:r w:rsidRPr="00FE7CCD">
              <w:t xml:space="preserve"> (acute </w:t>
            </w:r>
            <w:r>
              <w:t>GVHD</w:t>
            </w:r>
            <w:r w:rsidRPr="00941995">
              <w:t xml:space="preserve"> Grade II, acute </w:t>
            </w:r>
            <w:r>
              <w:t>GVHD</w:t>
            </w:r>
            <w:r w:rsidRPr="00941995">
              <w:t xml:space="preserve"> Grade III-IV and chronic </w:t>
            </w:r>
            <w:r>
              <w:t>GVHD</w:t>
            </w:r>
            <w:r w:rsidRPr="00941995">
              <w:t xml:space="preserve">) seemed unnecessary given </w:t>
            </w:r>
            <w:r>
              <w:t>t</w:t>
            </w:r>
            <w:r w:rsidRPr="00B45E7F">
              <w:t>here was no statistically significant difference in the occurrence of GVHD in Trial P001.</w:t>
            </w:r>
            <w:r w:rsidR="005859EC">
              <w:t xml:space="preserve"> </w:t>
            </w:r>
          </w:p>
        </w:tc>
        <w:tc>
          <w:tcPr>
            <w:tcW w:w="1638" w:type="pct"/>
            <w:vAlign w:val="center"/>
          </w:tcPr>
          <w:p w:rsidR="006A44E7" w:rsidRPr="004E2ADC" w:rsidRDefault="006A44E7" w:rsidP="00610C0E">
            <w:pPr>
              <w:pStyle w:val="Tabletext"/>
              <w:keepNext/>
            </w:pPr>
            <w:r>
              <w:t>Revised model included 4 health states: post-transplant; CMV infection; post CMV infection; death.</w:t>
            </w:r>
          </w:p>
        </w:tc>
      </w:tr>
      <w:tr w:rsidR="006A44E7" w:rsidRPr="004E2ADC" w:rsidTr="00AF5686">
        <w:tc>
          <w:tcPr>
            <w:tcW w:w="1073" w:type="pct"/>
            <w:vAlign w:val="center"/>
          </w:tcPr>
          <w:p w:rsidR="006A44E7" w:rsidRDefault="006A44E7" w:rsidP="00610C0E">
            <w:pPr>
              <w:pStyle w:val="Tabletext"/>
              <w:keepNext/>
            </w:pPr>
            <w:r>
              <w:t>Mortality data was extrapolated from Week 1 to 10 years.</w:t>
            </w:r>
          </w:p>
        </w:tc>
        <w:tc>
          <w:tcPr>
            <w:tcW w:w="2289" w:type="pct"/>
          </w:tcPr>
          <w:p w:rsidR="006A44E7" w:rsidRPr="004E2ADC" w:rsidRDefault="006A44E7" w:rsidP="00610C0E">
            <w:pPr>
              <w:pStyle w:val="Tabletext"/>
              <w:keepNext/>
            </w:pPr>
            <w:r w:rsidRPr="00917434">
              <w:rPr>
                <w:u w:val="single"/>
              </w:rPr>
              <w:t>Paragraph 6.41</w:t>
            </w:r>
            <w:r>
              <w:t>:</w:t>
            </w:r>
            <w:r w:rsidR="005859EC">
              <w:t xml:space="preserve"> </w:t>
            </w:r>
            <w:r>
              <w:t>M</w:t>
            </w:r>
            <w:r w:rsidRPr="00B45E7F">
              <w:t xml:space="preserve">ortality extrapolation applied in the model does not reflect the survival expected for the proposed PBS population, where the literature indicates that for patients who survive to two </w:t>
            </w:r>
            <w:r w:rsidR="00287F9F" w:rsidRPr="00B45E7F">
              <w:t>years;</w:t>
            </w:r>
            <w:r w:rsidRPr="00B45E7F">
              <w:t xml:space="preserve"> approximately 85% are alive at 10 years (Wingard 2011).</w:t>
            </w:r>
            <w:r w:rsidR="005859EC">
              <w:t xml:space="preserve"> </w:t>
            </w:r>
            <w:r w:rsidRPr="00C34415">
              <w:t xml:space="preserve">The ESC noted that the 10 year survival data in the ABMTRR annual report 2016 broadly supported the conclusions of Wingard 2011. </w:t>
            </w:r>
          </w:p>
        </w:tc>
        <w:tc>
          <w:tcPr>
            <w:tcW w:w="1638" w:type="pct"/>
            <w:vAlign w:val="center"/>
          </w:tcPr>
          <w:p w:rsidR="006A44E7" w:rsidRPr="004E2ADC" w:rsidRDefault="006A44E7" w:rsidP="00610C0E">
            <w:pPr>
              <w:pStyle w:val="Tabletext"/>
              <w:keepNext/>
            </w:pPr>
            <w:r>
              <w:t xml:space="preserve">In the revised model for patients who develop CMV infection, CMV-related mortality data from Trial P001 at Week 24 and Week 48 </w:t>
            </w:r>
            <w:r w:rsidR="00936521">
              <w:t xml:space="preserve">was </w:t>
            </w:r>
            <w:r>
              <w:t>applied, followed by updated ABMTRR data and then natural mortality sourced from lifetables.</w:t>
            </w:r>
            <w:r w:rsidR="005859EC">
              <w:t xml:space="preserve"> </w:t>
            </w:r>
            <w:r w:rsidR="00A569FC">
              <w:t>For patients who do not develop CMV infection</w:t>
            </w:r>
            <w:r w:rsidR="002B17D8">
              <w:t>,</w:t>
            </w:r>
            <w:r w:rsidR="00A569FC">
              <w:t xml:space="preserve"> ABMTRR data for 3 years was applied followed by </w:t>
            </w:r>
            <w:r w:rsidR="002B17D8">
              <w:t>natural mortality sourced from lifetables.</w:t>
            </w:r>
            <w:r w:rsidR="005859EC">
              <w:t xml:space="preserve"> </w:t>
            </w:r>
          </w:p>
        </w:tc>
      </w:tr>
      <w:tr w:rsidR="006A44E7" w:rsidRPr="004E2ADC" w:rsidTr="00AF5686">
        <w:tc>
          <w:tcPr>
            <w:tcW w:w="1073" w:type="pct"/>
            <w:vAlign w:val="center"/>
          </w:tcPr>
          <w:p w:rsidR="006A44E7" w:rsidRPr="004E2ADC" w:rsidRDefault="006A44E7" w:rsidP="00610C0E">
            <w:pPr>
              <w:pStyle w:val="Tabletext"/>
              <w:keepNext/>
            </w:pPr>
            <w:r>
              <w:t>Utility values were literature-based</w:t>
            </w:r>
          </w:p>
        </w:tc>
        <w:tc>
          <w:tcPr>
            <w:tcW w:w="2289" w:type="pct"/>
          </w:tcPr>
          <w:p w:rsidR="006A44E7" w:rsidRPr="004E2ADC" w:rsidRDefault="006A44E7" w:rsidP="00610C0E">
            <w:pPr>
              <w:pStyle w:val="Tabletext"/>
              <w:keepNext/>
            </w:pPr>
            <w:r w:rsidRPr="00936B3E">
              <w:rPr>
                <w:u w:val="single"/>
              </w:rPr>
              <w:t>Paragraph 6.42</w:t>
            </w:r>
            <w:r>
              <w:t>:</w:t>
            </w:r>
            <w:r w:rsidR="005859EC">
              <w:t xml:space="preserve"> </w:t>
            </w:r>
            <w:r w:rsidRPr="00C34415">
              <w:t xml:space="preserve">The ESC reiterated its concern about the seemingly implausibly high values for some health </w:t>
            </w:r>
            <w:r w:rsidR="009603C4" w:rsidRPr="00C34415">
              <w:t>states that</w:t>
            </w:r>
            <w:r w:rsidRPr="00C34415">
              <w:t xml:space="preserve"> modelled unwell patients. It was further noted that neither the submission nor PSCR provide</w:t>
            </w:r>
            <w:r>
              <w:t>d</w:t>
            </w:r>
            <w:r w:rsidRPr="00C34415">
              <w:t xml:space="preserve"> an explanation </w:t>
            </w:r>
            <w:r w:rsidR="00E2104C">
              <w:t xml:space="preserve">as </w:t>
            </w:r>
            <w:r w:rsidRPr="00C34415">
              <w:t>to why trial-based values were not considered for use in the economic model.</w:t>
            </w:r>
            <w:r>
              <w:t xml:space="preserve"> </w:t>
            </w:r>
          </w:p>
        </w:tc>
        <w:tc>
          <w:tcPr>
            <w:tcW w:w="1638" w:type="pct"/>
            <w:vAlign w:val="center"/>
          </w:tcPr>
          <w:p w:rsidR="006A44E7" w:rsidRPr="004E2ADC" w:rsidRDefault="006A44E7" w:rsidP="00610C0E">
            <w:pPr>
              <w:pStyle w:val="Tabletext"/>
              <w:keepNext/>
            </w:pPr>
            <w:r>
              <w:t>Trial-based utility values were applied in the revised model.</w:t>
            </w:r>
          </w:p>
        </w:tc>
      </w:tr>
      <w:tr w:rsidR="006A44E7" w:rsidRPr="004E2ADC" w:rsidTr="00AF5686">
        <w:tc>
          <w:tcPr>
            <w:tcW w:w="1073" w:type="pct"/>
            <w:vAlign w:val="center"/>
          </w:tcPr>
          <w:p w:rsidR="006A44E7" w:rsidRPr="004E2ADC" w:rsidRDefault="006A44E7" w:rsidP="00610C0E">
            <w:pPr>
              <w:pStyle w:val="Tabletext"/>
              <w:keepNext/>
            </w:pPr>
            <w:r>
              <w:t>Model assumed 78 days of letermovir treatment</w:t>
            </w:r>
          </w:p>
        </w:tc>
        <w:tc>
          <w:tcPr>
            <w:tcW w:w="2289" w:type="pct"/>
          </w:tcPr>
          <w:p w:rsidR="006A44E7" w:rsidRPr="004E2ADC" w:rsidRDefault="006A44E7" w:rsidP="00610C0E">
            <w:pPr>
              <w:pStyle w:val="Tabletext"/>
              <w:keepNext/>
            </w:pPr>
            <w:r w:rsidRPr="00AA6664">
              <w:rPr>
                <w:u w:val="single"/>
              </w:rPr>
              <w:t>Paragraph 6.45</w:t>
            </w:r>
            <w:r>
              <w:t>:</w:t>
            </w:r>
            <w:r w:rsidR="005859EC">
              <w:t xml:space="preserve"> </w:t>
            </w:r>
            <w:r>
              <w:t>The ESC considered that in practice nearly all patients will be treated for a period longer than 78 days.</w:t>
            </w:r>
          </w:p>
        </w:tc>
        <w:tc>
          <w:tcPr>
            <w:tcW w:w="1638" w:type="pct"/>
            <w:vAlign w:val="center"/>
          </w:tcPr>
          <w:p w:rsidR="006A44E7" w:rsidRPr="004E2ADC" w:rsidRDefault="006A44E7" w:rsidP="00610C0E">
            <w:pPr>
              <w:pStyle w:val="Tabletext"/>
              <w:keepNext/>
            </w:pPr>
            <w:r>
              <w:t>Treatment duration of 78 days has been maintained in the revised model.</w:t>
            </w:r>
          </w:p>
        </w:tc>
      </w:tr>
    </w:tbl>
    <w:p w:rsidR="006A44E7" w:rsidRDefault="006A44E7" w:rsidP="00610C0E">
      <w:pPr>
        <w:pStyle w:val="TableFooter"/>
        <w:keepNext/>
      </w:pPr>
      <w:r>
        <w:t>ABMTRR=Australasian Bone Marrow Transplant Recipient Registry; CMV=cytomegalovirus; GVHD=graft versus host disease; PSD=public summary document</w:t>
      </w:r>
    </w:p>
    <w:p w:rsidR="006A44E7" w:rsidRDefault="006A44E7" w:rsidP="00610C0E">
      <w:pPr>
        <w:pStyle w:val="TableFooter"/>
        <w:keepNext/>
      </w:pPr>
      <w:r>
        <w:t>Source: Section 3.1 of the resubmission.</w:t>
      </w:r>
    </w:p>
    <w:p w:rsidR="00275C5A" w:rsidRPr="00275C5A" w:rsidRDefault="00275C5A" w:rsidP="00610C0E"/>
    <w:p w:rsidR="00481C76" w:rsidRPr="0021510A" w:rsidRDefault="00481C76" w:rsidP="009C4F3A">
      <w:pPr>
        <w:pStyle w:val="ListParagraph"/>
        <w:numPr>
          <w:ilvl w:val="1"/>
          <w:numId w:val="1"/>
        </w:numPr>
        <w:spacing w:after="120"/>
      </w:pPr>
      <w:r w:rsidRPr="0021510A">
        <w:lastRenderedPageBreak/>
        <w:t>The</w:t>
      </w:r>
      <w:r w:rsidR="009D27AE" w:rsidRPr="0021510A">
        <w:t xml:space="preserve"> ESC noted that the</w:t>
      </w:r>
      <w:r w:rsidRPr="0021510A">
        <w:t xml:space="preserve"> key changes </w:t>
      </w:r>
      <w:r w:rsidR="008B0A0E" w:rsidRPr="0021510A">
        <w:t xml:space="preserve">to the economic model </w:t>
      </w:r>
      <w:r w:rsidRPr="0021510A">
        <w:t xml:space="preserve">were removal of the GVHD health states, </w:t>
      </w:r>
      <w:r w:rsidR="005577FA" w:rsidRPr="0021510A">
        <w:t xml:space="preserve">alteration </w:t>
      </w:r>
      <w:r w:rsidRPr="0021510A">
        <w:t>of extrapolation for mortality data (</w:t>
      </w:r>
      <w:r w:rsidR="005577FA" w:rsidRPr="0021510A">
        <w:t>parametric distributions of trial-based data</w:t>
      </w:r>
      <w:r w:rsidR="0081022F" w:rsidRPr="0021510A">
        <w:t xml:space="preserve"> used in th</w:t>
      </w:r>
      <w:r w:rsidR="001569E5" w:rsidRPr="0021510A">
        <w:t>e</w:t>
      </w:r>
      <w:r w:rsidR="0081022F" w:rsidRPr="0021510A">
        <w:t xml:space="preserve"> July 2018 model were</w:t>
      </w:r>
      <w:r w:rsidR="005577FA" w:rsidRPr="0021510A">
        <w:t xml:space="preserve"> </w:t>
      </w:r>
      <w:r w:rsidRPr="0021510A">
        <w:t>replaced by trial data to 2 years, ABMTRR data for 3 years and natural mortality sourced from lifetables for the remainder of the model duration) and use of Trial P001 data for utility values.</w:t>
      </w:r>
      <w:r w:rsidR="005859EC">
        <w:t xml:space="preserve"> </w:t>
      </w:r>
      <w:r w:rsidR="001B1048" w:rsidRPr="0021510A">
        <w:t>T</w:t>
      </w:r>
      <w:r w:rsidR="00810825" w:rsidRPr="0021510A">
        <w:t>he resubmission stated (p</w:t>
      </w:r>
      <w:r w:rsidR="0016621B" w:rsidRPr="0021510A">
        <w:t xml:space="preserve">81) that no extrapolation was applied for </w:t>
      </w:r>
      <w:r w:rsidR="00287F9F" w:rsidRPr="0021510A">
        <w:t>mortality;</w:t>
      </w:r>
      <w:r w:rsidR="0016621B" w:rsidRPr="0021510A">
        <w:t xml:space="preserve"> </w:t>
      </w:r>
      <w:r w:rsidR="001B1048" w:rsidRPr="0021510A">
        <w:t>however,</w:t>
      </w:r>
      <w:r w:rsidR="00A27676" w:rsidRPr="0021510A">
        <w:t xml:space="preserve"> survival was extrapolated using external data sources, i</w:t>
      </w:r>
      <w:r w:rsidR="005B6641" w:rsidRPr="0021510A">
        <w:t>.</w:t>
      </w:r>
      <w:r w:rsidR="00A27676" w:rsidRPr="0021510A">
        <w:t>e</w:t>
      </w:r>
      <w:r w:rsidR="005B6641" w:rsidRPr="0021510A">
        <w:t>.</w:t>
      </w:r>
      <w:r w:rsidR="00A27676" w:rsidRPr="0021510A">
        <w:t xml:space="preserve"> ABMTRR data and ABS lifetables.</w:t>
      </w:r>
    </w:p>
    <w:p w:rsidR="009D27AE" w:rsidRPr="0021510A" w:rsidRDefault="009D27AE" w:rsidP="009C4F3A">
      <w:pPr>
        <w:pStyle w:val="ListParagraph"/>
        <w:numPr>
          <w:ilvl w:val="1"/>
          <w:numId w:val="1"/>
        </w:numPr>
        <w:spacing w:after="120"/>
      </w:pPr>
      <w:r w:rsidRPr="0021510A">
        <w:t xml:space="preserve">The ESC </w:t>
      </w:r>
      <w:r w:rsidR="001A6448" w:rsidRPr="0021510A">
        <w:t xml:space="preserve">noted the model was designed to assess the impact of letermovir on CMV infections and associated mortality. However, the ESC considered the clinical data do not adequately support a mortality benefit with letermovir. </w:t>
      </w:r>
      <w:r w:rsidR="000B5804" w:rsidRPr="001400FD">
        <w:t xml:space="preserve">The pre-PBAC response stated that the economic model presented in this resubmission aims to replicate the health benefits that would be observed in the healthcare system with the introduction of letermovir. </w:t>
      </w:r>
      <w:r w:rsidR="001400FD">
        <w:t>The pre-PBAC response argued that t</w:t>
      </w:r>
      <w:r w:rsidR="000B5804" w:rsidRPr="001400FD">
        <w:t>herefore, the health benefits of letermovir treatment demonstrated in the clinical trial are not limited to the reduction in the use of PET, but also to reduce</w:t>
      </w:r>
      <w:r w:rsidR="001400FD">
        <w:t>d</w:t>
      </w:r>
      <w:r w:rsidR="000B5804" w:rsidRPr="001400FD">
        <w:t xml:space="preserve"> mortality risk.</w:t>
      </w:r>
      <w:r w:rsidR="001400FD">
        <w:t xml:space="preserve"> The PBAC agreed with the ESC that a mortality benefit could not </w:t>
      </w:r>
      <w:r w:rsidR="001D0CA3">
        <w:t xml:space="preserve">clearly </w:t>
      </w:r>
      <w:r w:rsidR="001400FD">
        <w:t xml:space="preserve">be attributed to letermovir based on the evidence provided in the resubmission. </w:t>
      </w:r>
    </w:p>
    <w:p w:rsidR="00275C5A" w:rsidRDefault="004D56C3" w:rsidP="009C4F3A">
      <w:pPr>
        <w:pStyle w:val="ListParagraph"/>
        <w:numPr>
          <w:ilvl w:val="1"/>
          <w:numId w:val="1"/>
        </w:numPr>
        <w:spacing w:after="120"/>
      </w:pPr>
      <w:r w:rsidRPr="002001A2">
        <w:t>A summary of the key drivers of the economic model is provided in the table below</w:t>
      </w:r>
      <w:r>
        <w:t>.</w:t>
      </w:r>
      <w:r w:rsidR="005859EC">
        <w:t xml:space="preserve"> </w:t>
      </w:r>
    </w:p>
    <w:p w:rsidR="00D110BD" w:rsidRDefault="00661DFA" w:rsidP="00610C0E">
      <w:pPr>
        <w:keepNext/>
        <w:rPr>
          <w:rStyle w:val="CommentReference"/>
        </w:rPr>
      </w:pPr>
      <w:r w:rsidRPr="00401364">
        <w:rPr>
          <w:rFonts w:ascii="Arial Narrow" w:hAnsi="Arial Narrow"/>
          <w:b/>
          <w:sz w:val="20"/>
          <w:szCs w:val="20"/>
        </w:rPr>
        <w:t xml:space="preserve">Table </w:t>
      </w:r>
      <w:r w:rsidR="000D0E6D">
        <w:rPr>
          <w:rFonts w:ascii="Arial Narrow" w:hAnsi="Arial Narrow"/>
          <w:b/>
          <w:noProof/>
          <w:sz w:val="20"/>
          <w:szCs w:val="20"/>
        </w:rPr>
        <w:t>14</w:t>
      </w:r>
      <w:r>
        <w:rPr>
          <w:rFonts w:ascii="Arial Narrow" w:hAnsi="Arial Narrow"/>
          <w:b/>
          <w:noProof/>
          <w:sz w:val="20"/>
          <w:szCs w:val="20"/>
        </w:rPr>
        <w:t>:</w:t>
      </w:r>
      <w:r w:rsidR="00D110BD" w:rsidRPr="00A56B6A">
        <w:rPr>
          <w:rStyle w:val="CommentReference"/>
        </w:rPr>
        <w:t xml:space="preserve"> Key drivers of the model</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709"/>
        <w:gridCol w:w="5356"/>
        <w:gridCol w:w="1844"/>
      </w:tblGrid>
      <w:tr w:rsidR="00E55E68" w:rsidRPr="003D1DE4" w:rsidTr="00E55E68">
        <w:trPr>
          <w:tblHeader/>
        </w:trPr>
        <w:tc>
          <w:tcPr>
            <w:tcW w:w="959" w:type="pct"/>
            <w:shd w:val="clear" w:color="auto" w:fill="auto"/>
            <w:vAlign w:val="center"/>
          </w:tcPr>
          <w:p w:rsidR="00D110BD" w:rsidRPr="003D1DE4" w:rsidRDefault="00D110BD" w:rsidP="00610C0E">
            <w:pPr>
              <w:pStyle w:val="Tabletext"/>
              <w:keepNext/>
              <w:rPr>
                <w:b/>
                <w:lang w:val="en-US"/>
              </w:rPr>
            </w:pPr>
            <w:r w:rsidRPr="003D1DE4">
              <w:rPr>
                <w:b/>
                <w:lang w:val="en-US"/>
              </w:rPr>
              <w:t>Description</w:t>
            </w:r>
          </w:p>
        </w:tc>
        <w:tc>
          <w:tcPr>
            <w:tcW w:w="3006" w:type="pct"/>
            <w:shd w:val="clear" w:color="auto" w:fill="auto"/>
            <w:vAlign w:val="center"/>
          </w:tcPr>
          <w:p w:rsidR="00D110BD" w:rsidRPr="003D1DE4" w:rsidRDefault="00D110BD" w:rsidP="00610C0E">
            <w:pPr>
              <w:pStyle w:val="Tabletext"/>
              <w:keepNext/>
              <w:jc w:val="center"/>
              <w:rPr>
                <w:b/>
                <w:lang w:val="en-US"/>
              </w:rPr>
            </w:pPr>
            <w:r w:rsidRPr="003D1DE4">
              <w:rPr>
                <w:b/>
                <w:lang w:val="en-US"/>
              </w:rPr>
              <w:t>Method/Value</w:t>
            </w:r>
          </w:p>
        </w:tc>
        <w:tc>
          <w:tcPr>
            <w:tcW w:w="1035" w:type="pct"/>
            <w:shd w:val="clear" w:color="auto" w:fill="auto"/>
            <w:vAlign w:val="center"/>
          </w:tcPr>
          <w:p w:rsidR="00D110BD" w:rsidRPr="003D1DE4" w:rsidRDefault="00D110BD" w:rsidP="00610C0E">
            <w:pPr>
              <w:pStyle w:val="Tabletext"/>
              <w:keepNext/>
              <w:jc w:val="center"/>
              <w:rPr>
                <w:b/>
                <w:lang w:val="en-US"/>
              </w:rPr>
            </w:pPr>
            <w:r w:rsidRPr="003D1DE4">
              <w:rPr>
                <w:b/>
                <w:lang w:val="en-US"/>
              </w:rPr>
              <w:t>Impact</w:t>
            </w:r>
          </w:p>
        </w:tc>
      </w:tr>
      <w:tr w:rsidR="00E55E68" w:rsidRPr="00E2771E" w:rsidTr="00E55E68">
        <w:tc>
          <w:tcPr>
            <w:tcW w:w="959" w:type="pct"/>
            <w:shd w:val="clear" w:color="auto" w:fill="auto"/>
            <w:vAlign w:val="center"/>
          </w:tcPr>
          <w:p w:rsidR="00E55E68" w:rsidRDefault="00E55E68" w:rsidP="00610C0E">
            <w:pPr>
              <w:pStyle w:val="Tabletext"/>
              <w:rPr>
                <w:lang w:val="en-US"/>
              </w:rPr>
            </w:pPr>
            <w:r>
              <w:rPr>
                <w:lang w:val="en-US"/>
              </w:rPr>
              <w:t xml:space="preserve">Probability of </w:t>
            </w:r>
            <w:r w:rsidR="00E2104C">
              <w:rPr>
                <w:lang w:val="en-US"/>
              </w:rPr>
              <w:t xml:space="preserve">clinically significant </w:t>
            </w:r>
            <w:r>
              <w:rPr>
                <w:lang w:val="en-US"/>
              </w:rPr>
              <w:t>CMV infection</w:t>
            </w:r>
          </w:p>
        </w:tc>
        <w:tc>
          <w:tcPr>
            <w:tcW w:w="3006" w:type="pct"/>
            <w:shd w:val="clear" w:color="auto" w:fill="auto"/>
            <w:vAlign w:val="center"/>
          </w:tcPr>
          <w:p w:rsidR="00E55E68" w:rsidRPr="003F7F24" w:rsidRDefault="00EB008F" w:rsidP="00610C0E">
            <w:pPr>
              <w:pStyle w:val="Tabletext"/>
              <w:rPr>
                <w:lang w:val="en-US"/>
              </w:rPr>
            </w:pPr>
            <w:r w:rsidRPr="003F7F24">
              <w:rPr>
                <w:lang w:val="en-US"/>
              </w:rPr>
              <w:t xml:space="preserve">While Trial P001 demonstrated a statistically significant advantage of letermovir compared to placebo for the occurrence of clinically significant CMV infection the application of </w:t>
            </w:r>
            <w:r w:rsidR="006816FD" w:rsidRPr="003F7F24">
              <w:rPr>
                <w:lang w:val="en-US"/>
              </w:rPr>
              <w:t xml:space="preserve">these </w:t>
            </w:r>
            <w:r w:rsidRPr="003F7F24">
              <w:rPr>
                <w:lang w:val="en-US"/>
              </w:rPr>
              <w:t xml:space="preserve">data in the revised model has been altered from that used in the July 2018 model and </w:t>
            </w:r>
            <w:r w:rsidR="000C6E9C" w:rsidRPr="003F7F24">
              <w:rPr>
                <w:lang w:val="en-US"/>
              </w:rPr>
              <w:t>could not be tested in sensitivity analyses given lack of detail provided on the derivation of probabilities by the resubmission.</w:t>
            </w:r>
            <w:r w:rsidR="005859EC">
              <w:rPr>
                <w:lang w:val="en-US"/>
              </w:rPr>
              <w:t xml:space="preserve"> </w:t>
            </w:r>
            <w:r w:rsidR="000C6E9C" w:rsidRPr="003F7F24">
              <w:rPr>
                <w:lang w:val="en-US"/>
              </w:rPr>
              <w:t>As the occurrence of CMV is a key difference between letermovir and placebo these probabilities will impact model results.</w:t>
            </w:r>
            <w:r w:rsidR="005859EC">
              <w:rPr>
                <w:lang w:val="en-US"/>
              </w:rPr>
              <w:t xml:space="preserve"> </w:t>
            </w:r>
          </w:p>
        </w:tc>
        <w:tc>
          <w:tcPr>
            <w:tcW w:w="1035" w:type="pct"/>
            <w:shd w:val="clear" w:color="auto" w:fill="auto"/>
            <w:vAlign w:val="center"/>
          </w:tcPr>
          <w:p w:rsidR="00E55E68" w:rsidRPr="003F7F24" w:rsidRDefault="00E55E68" w:rsidP="00610C0E">
            <w:pPr>
              <w:pStyle w:val="Tabletext"/>
              <w:rPr>
                <w:lang w:val="en-US"/>
              </w:rPr>
            </w:pPr>
            <w:r w:rsidRPr="003F7F24">
              <w:rPr>
                <w:lang w:val="en-US"/>
              </w:rPr>
              <w:t>High, favours letermovir</w:t>
            </w:r>
          </w:p>
        </w:tc>
      </w:tr>
      <w:tr w:rsidR="00E55E68" w:rsidRPr="00E2771E" w:rsidTr="00E55E68">
        <w:tc>
          <w:tcPr>
            <w:tcW w:w="959" w:type="pct"/>
            <w:shd w:val="clear" w:color="auto" w:fill="auto"/>
            <w:vAlign w:val="center"/>
          </w:tcPr>
          <w:p w:rsidR="00356722" w:rsidRPr="00E2771E" w:rsidRDefault="005A1163" w:rsidP="00610C0E">
            <w:pPr>
              <w:pStyle w:val="Tabletext"/>
              <w:rPr>
                <w:lang w:val="en-US"/>
              </w:rPr>
            </w:pPr>
            <w:r>
              <w:rPr>
                <w:lang w:val="en-US"/>
              </w:rPr>
              <w:t>Assumed link between CMV infection and mortality</w:t>
            </w:r>
          </w:p>
        </w:tc>
        <w:tc>
          <w:tcPr>
            <w:tcW w:w="3006" w:type="pct"/>
            <w:shd w:val="clear" w:color="auto" w:fill="auto"/>
            <w:vAlign w:val="center"/>
          </w:tcPr>
          <w:p w:rsidR="00356722" w:rsidRPr="003F7F24" w:rsidRDefault="005A1163" w:rsidP="00610C0E">
            <w:pPr>
              <w:pStyle w:val="Tabletext"/>
              <w:rPr>
                <w:lang w:val="en-US"/>
              </w:rPr>
            </w:pPr>
            <w:r w:rsidRPr="003F7F24">
              <w:rPr>
                <w:lang w:val="en-US"/>
              </w:rPr>
              <w:t xml:space="preserve">The resubmission maintained that </w:t>
            </w:r>
            <w:r w:rsidR="0067714A" w:rsidRPr="003F7F24">
              <w:t xml:space="preserve">letermovir was an effect modifier for the effect of CMV infection on mortality and on this basis included mortality risks in the model </w:t>
            </w:r>
            <w:r w:rsidR="00AF044F" w:rsidRPr="003F7F24">
              <w:t>linked to</w:t>
            </w:r>
            <w:r w:rsidR="0067714A" w:rsidRPr="003F7F24">
              <w:t xml:space="preserve"> CMV-related</w:t>
            </w:r>
            <w:r w:rsidR="00AF044F" w:rsidRPr="003F7F24">
              <w:t xml:space="preserve"> mortality.</w:t>
            </w:r>
            <w:r w:rsidR="005859EC">
              <w:t xml:space="preserve"> </w:t>
            </w:r>
            <w:r w:rsidR="00AE5A74" w:rsidRPr="003F7F24">
              <w:t>The evidence presented by the resubmission did not support a link between letermovir treatment and mortality.</w:t>
            </w:r>
            <w:r w:rsidR="0067714A" w:rsidRPr="003F7F24">
              <w:t xml:space="preserve"> </w:t>
            </w:r>
          </w:p>
        </w:tc>
        <w:tc>
          <w:tcPr>
            <w:tcW w:w="1035" w:type="pct"/>
            <w:shd w:val="clear" w:color="auto" w:fill="auto"/>
            <w:vAlign w:val="center"/>
          </w:tcPr>
          <w:p w:rsidR="00356722" w:rsidRPr="003F7F24" w:rsidRDefault="00356722" w:rsidP="00610C0E">
            <w:pPr>
              <w:pStyle w:val="Tabletext"/>
              <w:rPr>
                <w:lang w:val="en-US"/>
              </w:rPr>
            </w:pPr>
            <w:r w:rsidRPr="003F7F24">
              <w:rPr>
                <w:lang w:val="en-US"/>
              </w:rPr>
              <w:t>High, favours letermovir</w:t>
            </w:r>
          </w:p>
        </w:tc>
      </w:tr>
    </w:tbl>
    <w:p w:rsidR="00D110BD" w:rsidRDefault="00356722" w:rsidP="00610C0E">
      <w:pPr>
        <w:pStyle w:val="TableFooter"/>
      </w:pPr>
      <w:r>
        <w:t xml:space="preserve">Compiled from Section </w:t>
      </w:r>
      <w:r w:rsidR="00E55E68">
        <w:t xml:space="preserve">2.5.1 and Section </w:t>
      </w:r>
      <w:r>
        <w:t>3 of the resubmission during the evaluation.</w:t>
      </w:r>
    </w:p>
    <w:p w:rsidR="00275C5A" w:rsidRPr="0021510A" w:rsidRDefault="000D563D" w:rsidP="009C4F3A">
      <w:pPr>
        <w:pStyle w:val="ListParagraph"/>
        <w:numPr>
          <w:ilvl w:val="1"/>
          <w:numId w:val="1"/>
        </w:numPr>
        <w:spacing w:before="120" w:after="120"/>
      </w:pPr>
      <w:r w:rsidRPr="0021510A">
        <w:t>The results of the economic evaluation are provided in the table below.</w:t>
      </w:r>
      <w:r w:rsidR="005859EC">
        <w:t xml:space="preserve"> </w:t>
      </w:r>
      <w:r w:rsidRPr="0021510A">
        <w:t>Base case results of the July 2018 economic evaluation are provided for reference.</w:t>
      </w:r>
      <w:r w:rsidR="00E32B24" w:rsidRPr="0021510A">
        <w:t xml:space="preserve"> The ESC considered that the resulting ICER was very uncertain due to concerns around the mortality and QoL inputs in the model. </w:t>
      </w:r>
    </w:p>
    <w:p w:rsidR="00D110BD" w:rsidRDefault="00661DFA" w:rsidP="00610C0E">
      <w:pPr>
        <w:keepNext/>
      </w:pPr>
      <w:r w:rsidRPr="00401364">
        <w:rPr>
          <w:rFonts w:ascii="Arial Narrow" w:hAnsi="Arial Narrow"/>
          <w:b/>
          <w:sz w:val="20"/>
          <w:szCs w:val="20"/>
        </w:rPr>
        <w:lastRenderedPageBreak/>
        <w:t xml:space="preserve">Table </w:t>
      </w:r>
      <w:r w:rsidR="000D0E6D">
        <w:rPr>
          <w:rFonts w:ascii="Arial Narrow" w:hAnsi="Arial Narrow"/>
          <w:b/>
          <w:noProof/>
          <w:sz w:val="20"/>
          <w:szCs w:val="20"/>
        </w:rPr>
        <w:t>15</w:t>
      </w:r>
      <w:r>
        <w:rPr>
          <w:rFonts w:ascii="Arial Narrow" w:hAnsi="Arial Narrow"/>
          <w:b/>
          <w:noProof/>
          <w:sz w:val="20"/>
          <w:szCs w:val="20"/>
        </w:rPr>
        <w:t>:</w:t>
      </w:r>
      <w:r w:rsidR="005A373D" w:rsidRPr="001222FC">
        <w:rPr>
          <w:rStyle w:val="CommentReference"/>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w:tblPr>
      <w:tblGrid>
        <w:gridCol w:w="2757"/>
        <w:gridCol w:w="2451"/>
        <w:gridCol w:w="2298"/>
        <w:gridCol w:w="1511"/>
      </w:tblGrid>
      <w:tr w:rsidR="00921127" w:rsidRPr="005E6CBC" w:rsidTr="00DE235D">
        <w:trPr>
          <w:tblHeader/>
        </w:trPr>
        <w:tc>
          <w:tcPr>
            <w:tcW w:w="1529" w:type="pct"/>
            <w:vAlign w:val="center"/>
          </w:tcPr>
          <w:p w:rsidR="00921127" w:rsidRPr="007024C3" w:rsidRDefault="00921127" w:rsidP="00610C0E">
            <w:pPr>
              <w:pStyle w:val="Tabletext"/>
              <w:keepNext/>
              <w:keepLines/>
              <w:rPr>
                <w:b/>
              </w:rPr>
            </w:pPr>
            <w:r w:rsidRPr="007024C3">
              <w:rPr>
                <w:b/>
              </w:rPr>
              <w:t>Step and component</w:t>
            </w:r>
          </w:p>
        </w:tc>
        <w:tc>
          <w:tcPr>
            <w:tcW w:w="1359" w:type="pct"/>
            <w:vAlign w:val="center"/>
          </w:tcPr>
          <w:p w:rsidR="00921127" w:rsidRPr="007024C3" w:rsidRDefault="00921127" w:rsidP="00610C0E">
            <w:pPr>
              <w:pStyle w:val="Tabletext"/>
              <w:keepNext/>
              <w:keepLines/>
              <w:jc w:val="center"/>
              <w:rPr>
                <w:b/>
              </w:rPr>
            </w:pPr>
            <w:r w:rsidRPr="007024C3">
              <w:rPr>
                <w:b/>
              </w:rPr>
              <w:t>Letermovir</w:t>
            </w:r>
          </w:p>
        </w:tc>
        <w:tc>
          <w:tcPr>
            <w:tcW w:w="1274" w:type="pct"/>
            <w:vAlign w:val="center"/>
          </w:tcPr>
          <w:p w:rsidR="00921127" w:rsidRPr="007024C3" w:rsidRDefault="00921127" w:rsidP="00610C0E">
            <w:pPr>
              <w:pStyle w:val="Tabletext"/>
              <w:keepNext/>
              <w:keepLines/>
              <w:jc w:val="center"/>
              <w:rPr>
                <w:b/>
              </w:rPr>
            </w:pPr>
            <w:r w:rsidRPr="007024C3">
              <w:rPr>
                <w:b/>
              </w:rPr>
              <w:t>Placebo</w:t>
            </w:r>
          </w:p>
        </w:tc>
        <w:tc>
          <w:tcPr>
            <w:tcW w:w="838" w:type="pct"/>
            <w:vAlign w:val="center"/>
          </w:tcPr>
          <w:p w:rsidR="00921127" w:rsidRPr="007024C3" w:rsidRDefault="00921127" w:rsidP="00610C0E">
            <w:pPr>
              <w:pStyle w:val="Tabletext"/>
              <w:keepNext/>
              <w:keepLines/>
              <w:jc w:val="center"/>
              <w:rPr>
                <w:b/>
              </w:rPr>
            </w:pPr>
            <w:r w:rsidRPr="007024C3">
              <w:rPr>
                <w:b/>
              </w:rPr>
              <w:t>Increment</w:t>
            </w:r>
          </w:p>
        </w:tc>
      </w:tr>
      <w:tr w:rsidR="00921127" w:rsidRPr="005E6CBC" w:rsidTr="00DE235D">
        <w:tc>
          <w:tcPr>
            <w:tcW w:w="5000" w:type="pct"/>
            <w:gridSpan w:val="4"/>
            <w:vAlign w:val="center"/>
          </w:tcPr>
          <w:p w:rsidR="00921127" w:rsidRPr="007024C3" w:rsidRDefault="00921127" w:rsidP="00610C0E">
            <w:pPr>
              <w:pStyle w:val="Tabletext"/>
              <w:keepNext/>
              <w:keepLines/>
              <w:rPr>
                <w:b/>
              </w:rPr>
            </w:pPr>
            <w:r w:rsidRPr="007024C3">
              <w:rPr>
                <w:b/>
              </w:rPr>
              <w:t>Step 1: Trial-based costs and outcomes</w:t>
            </w:r>
          </w:p>
        </w:tc>
      </w:tr>
      <w:tr w:rsidR="00921127" w:rsidRPr="005E6CBC" w:rsidTr="00DE235D">
        <w:tc>
          <w:tcPr>
            <w:tcW w:w="1529" w:type="pct"/>
            <w:vAlign w:val="center"/>
          </w:tcPr>
          <w:p w:rsidR="00921127" w:rsidRPr="007024C3" w:rsidRDefault="00921127" w:rsidP="00610C0E">
            <w:pPr>
              <w:pStyle w:val="Tabletext"/>
              <w:keepNext/>
              <w:keepLines/>
              <w:rPr>
                <w:rFonts w:ascii="Times" w:hAnsi="Times"/>
              </w:rPr>
            </w:pPr>
            <w:r w:rsidRPr="007024C3">
              <w:t>Costs</w:t>
            </w:r>
          </w:p>
        </w:tc>
        <w:tc>
          <w:tcPr>
            <w:tcW w:w="1359"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c>
          <w:tcPr>
            <w:tcW w:w="1274" w:type="pct"/>
            <w:vAlign w:val="center"/>
          </w:tcPr>
          <w:p w:rsidR="00921127" w:rsidRPr="007024C3" w:rsidRDefault="00921127" w:rsidP="00610C0E">
            <w:pPr>
              <w:pStyle w:val="Tabletext"/>
              <w:keepNext/>
              <w:keepLines/>
              <w:jc w:val="center"/>
              <w:rPr>
                <w:rFonts w:ascii="Times" w:hAnsi="Times"/>
              </w:rPr>
            </w:pPr>
            <w:r w:rsidRPr="007024C3">
              <w:t>$0</w:t>
            </w:r>
          </w:p>
        </w:tc>
        <w:tc>
          <w:tcPr>
            <w:tcW w:w="838"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r>
      <w:tr w:rsidR="00921127" w:rsidRPr="005E6CBC" w:rsidTr="00DE235D">
        <w:tc>
          <w:tcPr>
            <w:tcW w:w="1529" w:type="pct"/>
            <w:vAlign w:val="center"/>
          </w:tcPr>
          <w:p w:rsidR="00921127" w:rsidRPr="007024C3" w:rsidRDefault="00921127" w:rsidP="00610C0E">
            <w:pPr>
              <w:pStyle w:val="Tabletext"/>
              <w:keepNext/>
              <w:keepLines/>
              <w:rPr>
                <w:rFonts w:ascii="Times" w:hAnsi="Times"/>
              </w:rPr>
            </w:pPr>
            <w:r w:rsidRPr="007024C3">
              <w:t>Proportion with clinically significant CMV infection</w:t>
            </w:r>
          </w:p>
        </w:tc>
        <w:tc>
          <w:tcPr>
            <w:tcW w:w="1359" w:type="pct"/>
            <w:vAlign w:val="center"/>
          </w:tcPr>
          <w:p w:rsidR="00921127" w:rsidRPr="007024C3" w:rsidRDefault="00921127" w:rsidP="00610C0E">
            <w:pPr>
              <w:pStyle w:val="Tabletext"/>
              <w:keepNext/>
              <w:keepLines/>
              <w:jc w:val="center"/>
              <w:rPr>
                <w:rFonts w:ascii="Times" w:hAnsi="Times"/>
              </w:rPr>
            </w:pPr>
            <w:r w:rsidRPr="007024C3">
              <w:t>37.5%</w:t>
            </w:r>
          </w:p>
        </w:tc>
        <w:tc>
          <w:tcPr>
            <w:tcW w:w="1274" w:type="pct"/>
            <w:vAlign w:val="center"/>
          </w:tcPr>
          <w:p w:rsidR="00921127" w:rsidRPr="007024C3" w:rsidRDefault="00921127" w:rsidP="00610C0E">
            <w:pPr>
              <w:pStyle w:val="Tabletext"/>
              <w:keepNext/>
              <w:keepLines/>
              <w:jc w:val="center"/>
              <w:rPr>
                <w:rFonts w:ascii="Times" w:hAnsi="Times"/>
              </w:rPr>
            </w:pPr>
            <w:r w:rsidRPr="007024C3">
              <w:t>60.6%</w:t>
            </w:r>
          </w:p>
        </w:tc>
        <w:tc>
          <w:tcPr>
            <w:tcW w:w="838" w:type="pct"/>
            <w:vAlign w:val="center"/>
          </w:tcPr>
          <w:p w:rsidR="00921127" w:rsidRPr="007024C3" w:rsidRDefault="00921127" w:rsidP="00610C0E">
            <w:pPr>
              <w:pStyle w:val="Tabletext"/>
              <w:keepNext/>
              <w:keepLines/>
              <w:jc w:val="center"/>
            </w:pPr>
            <w:r w:rsidRPr="007024C3">
              <w:t>23.1%</w:t>
            </w:r>
          </w:p>
        </w:tc>
      </w:tr>
      <w:tr w:rsidR="00921127" w:rsidRPr="005E6CBC" w:rsidTr="00DE235D">
        <w:tc>
          <w:tcPr>
            <w:tcW w:w="4162" w:type="pct"/>
            <w:gridSpan w:val="3"/>
            <w:vAlign w:val="center"/>
          </w:tcPr>
          <w:p w:rsidR="00921127" w:rsidRPr="007024C3" w:rsidRDefault="00921127" w:rsidP="00610C0E">
            <w:pPr>
              <w:pStyle w:val="Tabletext"/>
              <w:keepNext/>
              <w:keepLines/>
              <w:rPr>
                <w:rFonts w:ascii="Times" w:hAnsi="Times"/>
              </w:rPr>
            </w:pPr>
            <w:r w:rsidRPr="007024C3">
              <w:t>Incremental cost/clinically significant CMV infection avoided</w:t>
            </w:r>
          </w:p>
        </w:tc>
        <w:tc>
          <w:tcPr>
            <w:tcW w:w="838"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r>
      <w:tr w:rsidR="00921127" w:rsidRPr="005E6CBC" w:rsidTr="00DE235D">
        <w:tc>
          <w:tcPr>
            <w:tcW w:w="5000" w:type="pct"/>
            <w:gridSpan w:val="4"/>
            <w:vAlign w:val="center"/>
          </w:tcPr>
          <w:p w:rsidR="00921127" w:rsidRPr="007024C3" w:rsidRDefault="00921127" w:rsidP="00610C0E">
            <w:pPr>
              <w:pStyle w:val="Tabletext"/>
              <w:keepNext/>
              <w:keepLines/>
              <w:rPr>
                <w:b/>
              </w:rPr>
            </w:pPr>
            <w:r w:rsidRPr="007024C3">
              <w:rPr>
                <w:b/>
              </w:rPr>
              <w:t>Step 2: Trial-based cost</w:t>
            </w:r>
            <w:r w:rsidR="00E2104C" w:rsidRPr="007024C3">
              <w:rPr>
                <w:b/>
              </w:rPr>
              <w:t>s</w:t>
            </w:r>
            <w:r w:rsidRPr="007024C3">
              <w:rPr>
                <w:b/>
              </w:rPr>
              <w:t xml:space="preserve"> and outcomes including PET</w:t>
            </w:r>
          </w:p>
        </w:tc>
      </w:tr>
      <w:tr w:rsidR="00921127" w:rsidRPr="005E6CBC" w:rsidTr="00DE235D">
        <w:tc>
          <w:tcPr>
            <w:tcW w:w="1529" w:type="pct"/>
            <w:vAlign w:val="center"/>
          </w:tcPr>
          <w:p w:rsidR="00921127" w:rsidRPr="007024C3" w:rsidRDefault="00921127" w:rsidP="00610C0E">
            <w:pPr>
              <w:pStyle w:val="Tabletext"/>
              <w:keepNext/>
              <w:keepLines/>
              <w:rPr>
                <w:rFonts w:ascii="Times" w:hAnsi="Times"/>
              </w:rPr>
            </w:pPr>
            <w:r w:rsidRPr="007024C3">
              <w:t>Costs</w:t>
            </w:r>
          </w:p>
        </w:tc>
        <w:tc>
          <w:tcPr>
            <w:tcW w:w="1359"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c>
          <w:tcPr>
            <w:tcW w:w="1274"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c>
          <w:tcPr>
            <w:tcW w:w="838"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r>
      <w:tr w:rsidR="00921127" w:rsidRPr="005E6CBC" w:rsidTr="00DE235D">
        <w:tc>
          <w:tcPr>
            <w:tcW w:w="1529" w:type="pct"/>
            <w:vAlign w:val="center"/>
          </w:tcPr>
          <w:p w:rsidR="00921127" w:rsidRPr="007024C3" w:rsidRDefault="00921127" w:rsidP="00610C0E">
            <w:pPr>
              <w:pStyle w:val="Tabletext"/>
              <w:keepNext/>
              <w:keepLines/>
              <w:rPr>
                <w:rFonts w:ascii="Times" w:hAnsi="Times"/>
              </w:rPr>
            </w:pPr>
            <w:r w:rsidRPr="007024C3">
              <w:t>Proportion with clinically significant CMV infection</w:t>
            </w:r>
          </w:p>
        </w:tc>
        <w:tc>
          <w:tcPr>
            <w:tcW w:w="1359" w:type="pct"/>
            <w:vAlign w:val="center"/>
          </w:tcPr>
          <w:p w:rsidR="00921127" w:rsidRPr="007024C3" w:rsidRDefault="00921127" w:rsidP="00610C0E">
            <w:pPr>
              <w:pStyle w:val="Tabletext"/>
              <w:keepNext/>
              <w:keepLines/>
              <w:jc w:val="center"/>
              <w:rPr>
                <w:rFonts w:ascii="Times" w:hAnsi="Times"/>
              </w:rPr>
            </w:pPr>
            <w:r w:rsidRPr="007024C3">
              <w:t>37.5%</w:t>
            </w:r>
          </w:p>
        </w:tc>
        <w:tc>
          <w:tcPr>
            <w:tcW w:w="1274" w:type="pct"/>
            <w:vAlign w:val="center"/>
          </w:tcPr>
          <w:p w:rsidR="00921127" w:rsidRPr="007024C3" w:rsidRDefault="00921127" w:rsidP="00610C0E">
            <w:pPr>
              <w:pStyle w:val="Tabletext"/>
              <w:keepNext/>
              <w:keepLines/>
              <w:jc w:val="center"/>
              <w:rPr>
                <w:rFonts w:ascii="Times" w:hAnsi="Times"/>
              </w:rPr>
            </w:pPr>
            <w:r w:rsidRPr="007024C3">
              <w:t>60.6%</w:t>
            </w:r>
          </w:p>
        </w:tc>
        <w:tc>
          <w:tcPr>
            <w:tcW w:w="838" w:type="pct"/>
            <w:vAlign w:val="center"/>
          </w:tcPr>
          <w:p w:rsidR="00921127" w:rsidRPr="007024C3" w:rsidRDefault="00921127" w:rsidP="00610C0E">
            <w:pPr>
              <w:pStyle w:val="Tabletext"/>
              <w:keepNext/>
              <w:keepLines/>
              <w:jc w:val="center"/>
            </w:pPr>
            <w:r w:rsidRPr="007024C3">
              <w:t>23.1%</w:t>
            </w:r>
          </w:p>
        </w:tc>
      </w:tr>
      <w:tr w:rsidR="00921127" w:rsidRPr="005E6CBC" w:rsidTr="00DE235D">
        <w:tc>
          <w:tcPr>
            <w:tcW w:w="4162" w:type="pct"/>
            <w:gridSpan w:val="3"/>
            <w:vAlign w:val="center"/>
          </w:tcPr>
          <w:p w:rsidR="00921127" w:rsidRPr="007024C3" w:rsidRDefault="00921127" w:rsidP="00610C0E">
            <w:pPr>
              <w:pStyle w:val="Tabletext"/>
              <w:keepNext/>
              <w:keepLines/>
              <w:rPr>
                <w:rFonts w:ascii="Times" w:hAnsi="Times"/>
              </w:rPr>
            </w:pPr>
            <w:r w:rsidRPr="007024C3">
              <w:t>Incremental cost/clinically significant CMV infection avoided</w:t>
            </w:r>
          </w:p>
        </w:tc>
        <w:tc>
          <w:tcPr>
            <w:tcW w:w="838"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r>
      <w:tr w:rsidR="00921127" w:rsidRPr="005E6CBC" w:rsidTr="00DE235D">
        <w:tc>
          <w:tcPr>
            <w:tcW w:w="5000" w:type="pct"/>
            <w:gridSpan w:val="4"/>
            <w:vAlign w:val="center"/>
          </w:tcPr>
          <w:p w:rsidR="00921127" w:rsidRPr="007024C3" w:rsidRDefault="00921127" w:rsidP="00610C0E">
            <w:pPr>
              <w:pStyle w:val="Tabletext"/>
              <w:keepNext/>
              <w:keepLines/>
              <w:rPr>
                <w:b/>
              </w:rPr>
            </w:pPr>
            <w:r w:rsidRPr="007024C3">
              <w:rPr>
                <w:b/>
              </w:rPr>
              <w:t>Step 3: Model duration to 10 years and life years applied</w:t>
            </w:r>
          </w:p>
        </w:tc>
      </w:tr>
      <w:tr w:rsidR="00921127" w:rsidRPr="005E6CBC" w:rsidTr="00DE235D">
        <w:tc>
          <w:tcPr>
            <w:tcW w:w="1529" w:type="pct"/>
            <w:vAlign w:val="center"/>
          </w:tcPr>
          <w:p w:rsidR="00921127" w:rsidRPr="007024C3" w:rsidRDefault="00921127" w:rsidP="00610C0E">
            <w:pPr>
              <w:pStyle w:val="Tabletext"/>
              <w:keepNext/>
              <w:keepLines/>
              <w:rPr>
                <w:rFonts w:ascii="Times" w:hAnsi="Times"/>
              </w:rPr>
            </w:pPr>
            <w:r w:rsidRPr="007024C3">
              <w:t>Costs</w:t>
            </w:r>
          </w:p>
        </w:tc>
        <w:tc>
          <w:tcPr>
            <w:tcW w:w="1359"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c>
          <w:tcPr>
            <w:tcW w:w="1274"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c>
          <w:tcPr>
            <w:tcW w:w="838" w:type="pct"/>
            <w:vAlign w:val="center"/>
          </w:tcPr>
          <w:p w:rsidR="00921127" w:rsidRPr="007024C3" w:rsidRDefault="00921127" w:rsidP="00610C0E">
            <w:pPr>
              <w:pStyle w:val="Tabletext"/>
              <w:keepNext/>
              <w:keepLines/>
              <w:jc w:val="center"/>
              <w:rPr>
                <w:rFonts w:ascii="Times" w:hAnsi="Times"/>
              </w:rPr>
            </w:pPr>
            <w:r w:rsidRPr="007024C3">
              <w:t>$</w:t>
            </w:r>
            <w:r w:rsidR="00AE66CA">
              <w:rPr>
                <w:noProof/>
                <w:color w:val="000000"/>
                <w:highlight w:val="black"/>
              </w:rPr>
              <w:t>'''''''''''''''</w:t>
            </w:r>
          </w:p>
        </w:tc>
      </w:tr>
      <w:tr w:rsidR="00921127" w:rsidRPr="005E6CBC" w:rsidTr="00DE235D">
        <w:tc>
          <w:tcPr>
            <w:tcW w:w="1529" w:type="pct"/>
            <w:vAlign w:val="center"/>
          </w:tcPr>
          <w:p w:rsidR="00921127" w:rsidRPr="007024C3" w:rsidRDefault="00921127" w:rsidP="00610C0E">
            <w:pPr>
              <w:pStyle w:val="Tabletext"/>
              <w:keepNext/>
              <w:keepLines/>
              <w:rPr>
                <w:rFonts w:ascii="Times" w:hAnsi="Times"/>
              </w:rPr>
            </w:pPr>
            <w:r w:rsidRPr="007024C3">
              <w:t>LYG</w:t>
            </w:r>
          </w:p>
        </w:tc>
        <w:tc>
          <w:tcPr>
            <w:tcW w:w="1359" w:type="pct"/>
            <w:vAlign w:val="center"/>
          </w:tcPr>
          <w:p w:rsidR="00921127" w:rsidRPr="007024C3" w:rsidRDefault="00921127" w:rsidP="00610C0E">
            <w:pPr>
              <w:pStyle w:val="Tabletext"/>
              <w:keepNext/>
              <w:keepLines/>
              <w:jc w:val="center"/>
              <w:rPr>
                <w:rFonts w:ascii="Times" w:hAnsi="Times"/>
              </w:rPr>
            </w:pPr>
            <w:r w:rsidRPr="007024C3">
              <w:t>4.86</w:t>
            </w:r>
          </w:p>
        </w:tc>
        <w:tc>
          <w:tcPr>
            <w:tcW w:w="1274" w:type="pct"/>
            <w:vAlign w:val="center"/>
          </w:tcPr>
          <w:p w:rsidR="00921127" w:rsidRPr="007024C3" w:rsidRDefault="00921127" w:rsidP="00610C0E">
            <w:pPr>
              <w:pStyle w:val="Tabletext"/>
              <w:keepNext/>
              <w:keepLines/>
              <w:jc w:val="center"/>
              <w:rPr>
                <w:rFonts w:ascii="Times" w:hAnsi="Times"/>
              </w:rPr>
            </w:pPr>
            <w:r w:rsidRPr="007024C3">
              <w:t>4.56</w:t>
            </w:r>
          </w:p>
        </w:tc>
        <w:tc>
          <w:tcPr>
            <w:tcW w:w="838" w:type="pct"/>
            <w:vAlign w:val="center"/>
          </w:tcPr>
          <w:p w:rsidR="00921127" w:rsidRPr="007024C3" w:rsidRDefault="00921127" w:rsidP="00610C0E">
            <w:pPr>
              <w:pStyle w:val="Tabletext"/>
              <w:keepNext/>
              <w:keepLines/>
              <w:jc w:val="center"/>
            </w:pPr>
            <w:r w:rsidRPr="007024C3">
              <w:t>0.30</w:t>
            </w:r>
          </w:p>
        </w:tc>
      </w:tr>
      <w:tr w:rsidR="00921127" w:rsidTr="00DE235D">
        <w:tc>
          <w:tcPr>
            <w:tcW w:w="4162" w:type="pct"/>
            <w:gridSpan w:val="3"/>
            <w:vAlign w:val="center"/>
          </w:tcPr>
          <w:p w:rsidR="00921127" w:rsidRPr="007024C3" w:rsidRDefault="00921127" w:rsidP="00610C0E">
            <w:pPr>
              <w:pStyle w:val="Tabletext"/>
              <w:keepNext/>
              <w:keepLines/>
            </w:pPr>
            <w:r w:rsidRPr="007024C3">
              <w:t xml:space="preserve">Incremental cost/extra LY gained </w:t>
            </w:r>
          </w:p>
        </w:tc>
        <w:tc>
          <w:tcPr>
            <w:tcW w:w="838" w:type="pct"/>
            <w:vAlign w:val="center"/>
          </w:tcPr>
          <w:p w:rsidR="00921127" w:rsidRPr="007024C3" w:rsidRDefault="00921127" w:rsidP="00610C0E">
            <w:pPr>
              <w:pStyle w:val="Tabletext"/>
              <w:keepNext/>
              <w:keepLines/>
              <w:jc w:val="center"/>
            </w:pPr>
            <w:r w:rsidRPr="007024C3">
              <w:t>$</w:t>
            </w:r>
            <w:r w:rsidR="00AE66CA">
              <w:rPr>
                <w:noProof/>
                <w:color w:val="000000"/>
                <w:highlight w:val="black"/>
              </w:rPr>
              <w:t>''''''''''''''''</w:t>
            </w:r>
          </w:p>
        </w:tc>
      </w:tr>
      <w:tr w:rsidR="00921127" w:rsidRPr="00F11046" w:rsidTr="00DE235D">
        <w:tc>
          <w:tcPr>
            <w:tcW w:w="4162" w:type="pct"/>
            <w:gridSpan w:val="3"/>
            <w:vAlign w:val="center"/>
          </w:tcPr>
          <w:p w:rsidR="00921127" w:rsidRPr="007024C3" w:rsidRDefault="00921127" w:rsidP="00610C0E">
            <w:pPr>
              <w:pStyle w:val="Tabletext"/>
              <w:keepNext/>
              <w:keepLines/>
            </w:pPr>
            <w:r w:rsidRPr="007024C3">
              <w:t>Incremental cost/extra LY gained (July 2018)</w:t>
            </w:r>
          </w:p>
        </w:tc>
        <w:tc>
          <w:tcPr>
            <w:tcW w:w="838" w:type="pct"/>
            <w:vAlign w:val="center"/>
          </w:tcPr>
          <w:p w:rsidR="00921127" w:rsidRPr="007024C3" w:rsidRDefault="00921127" w:rsidP="00610C0E">
            <w:pPr>
              <w:pStyle w:val="Tabletext"/>
              <w:keepNext/>
              <w:keepLines/>
              <w:jc w:val="center"/>
            </w:pPr>
            <w:r w:rsidRPr="007024C3">
              <w:t>$</w:t>
            </w:r>
            <w:r w:rsidR="00AE66CA">
              <w:rPr>
                <w:noProof/>
                <w:color w:val="000000"/>
                <w:highlight w:val="black"/>
              </w:rPr>
              <w:t>'''''''''''''''</w:t>
            </w:r>
          </w:p>
        </w:tc>
      </w:tr>
      <w:tr w:rsidR="00921127" w:rsidRPr="003675BC" w:rsidTr="00DE235D">
        <w:tc>
          <w:tcPr>
            <w:tcW w:w="5000" w:type="pct"/>
            <w:gridSpan w:val="4"/>
            <w:vAlign w:val="center"/>
          </w:tcPr>
          <w:p w:rsidR="00921127" w:rsidRPr="007024C3" w:rsidRDefault="00921127" w:rsidP="00610C0E">
            <w:pPr>
              <w:pStyle w:val="Tabletext"/>
              <w:keepNext/>
              <w:keepLines/>
              <w:rPr>
                <w:b/>
              </w:rPr>
            </w:pPr>
            <w:r w:rsidRPr="007024C3">
              <w:rPr>
                <w:b/>
              </w:rPr>
              <w:t>Step 4: Cost-utility analysis at 10 years</w:t>
            </w:r>
          </w:p>
        </w:tc>
      </w:tr>
      <w:tr w:rsidR="00921127" w:rsidTr="00DE235D">
        <w:tc>
          <w:tcPr>
            <w:tcW w:w="1529" w:type="pct"/>
            <w:vAlign w:val="center"/>
          </w:tcPr>
          <w:p w:rsidR="00921127" w:rsidRPr="007024C3" w:rsidRDefault="00921127" w:rsidP="00610C0E">
            <w:pPr>
              <w:pStyle w:val="Tabletext"/>
              <w:keepNext/>
              <w:keepLines/>
            </w:pPr>
            <w:r w:rsidRPr="007024C3">
              <w:t>Costs</w:t>
            </w:r>
          </w:p>
        </w:tc>
        <w:tc>
          <w:tcPr>
            <w:tcW w:w="1359" w:type="pct"/>
            <w:vAlign w:val="center"/>
          </w:tcPr>
          <w:p w:rsidR="00921127" w:rsidRPr="007024C3" w:rsidRDefault="00921127" w:rsidP="00610C0E">
            <w:pPr>
              <w:pStyle w:val="Tabletext"/>
              <w:keepNext/>
              <w:keepLines/>
              <w:jc w:val="center"/>
            </w:pPr>
            <w:r w:rsidRPr="007024C3">
              <w:t>$</w:t>
            </w:r>
            <w:r w:rsidR="00AE66CA">
              <w:rPr>
                <w:noProof/>
                <w:color w:val="000000"/>
                <w:highlight w:val="black"/>
              </w:rPr>
              <w:t>'''''''''''''''</w:t>
            </w:r>
          </w:p>
        </w:tc>
        <w:tc>
          <w:tcPr>
            <w:tcW w:w="1274" w:type="pct"/>
            <w:vAlign w:val="center"/>
          </w:tcPr>
          <w:p w:rsidR="00921127" w:rsidRPr="007024C3" w:rsidRDefault="00921127" w:rsidP="00610C0E">
            <w:pPr>
              <w:pStyle w:val="Tabletext"/>
              <w:keepNext/>
              <w:keepLines/>
              <w:jc w:val="center"/>
            </w:pPr>
            <w:r w:rsidRPr="007024C3">
              <w:t>$</w:t>
            </w:r>
            <w:r w:rsidR="00AE66CA">
              <w:rPr>
                <w:noProof/>
                <w:color w:val="000000"/>
                <w:highlight w:val="black"/>
              </w:rPr>
              <w:t>'''''''''''''''</w:t>
            </w:r>
          </w:p>
        </w:tc>
        <w:tc>
          <w:tcPr>
            <w:tcW w:w="838" w:type="pct"/>
            <w:vAlign w:val="center"/>
          </w:tcPr>
          <w:p w:rsidR="00921127" w:rsidRPr="007024C3" w:rsidRDefault="00921127" w:rsidP="00610C0E">
            <w:pPr>
              <w:pStyle w:val="Tabletext"/>
              <w:keepNext/>
              <w:keepLines/>
              <w:jc w:val="center"/>
            </w:pPr>
            <w:r w:rsidRPr="007024C3">
              <w:t>$</w:t>
            </w:r>
            <w:r w:rsidR="00AE66CA">
              <w:rPr>
                <w:noProof/>
                <w:color w:val="000000"/>
                <w:highlight w:val="black"/>
              </w:rPr>
              <w:t>''''''''''''</w:t>
            </w:r>
          </w:p>
        </w:tc>
      </w:tr>
      <w:tr w:rsidR="00921127" w:rsidTr="00DE235D">
        <w:tc>
          <w:tcPr>
            <w:tcW w:w="1529" w:type="pct"/>
            <w:vAlign w:val="center"/>
          </w:tcPr>
          <w:p w:rsidR="00921127" w:rsidRPr="007024C3" w:rsidRDefault="00921127" w:rsidP="00610C0E">
            <w:pPr>
              <w:pStyle w:val="Tabletext"/>
              <w:keepNext/>
              <w:keepLines/>
            </w:pPr>
            <w:r w:rsidRPr="007024C3">
              <w:t>QALY</w:t>
            </w:r>
          </w:p>
        </w:tc>
        <w:tc>
          <w:tcPr>
            <w:tcW w:w="1359" w:type="pct"/>
            <w:vAlign w:val="center"/>
          </w:tcPr>
          <w:p w:rsidR="00921127" w:rsidRPr="007024C3" w:rsidRDefault="00921127" w:rsidP="00610C0E">
            <w:pPr>
              <w:pStyle w:val="Tabletext"/>
              <w:keepNext/>
              <w:keepLines/>
              <w:jc w:val="center"/>
            </w:pPr>
            <w:r w:rsidRPr="007024C3">
              <w:t>3.78</w:t>
            </w:r>
          </w:p>
        </w:tc>
        <w:tc>
          <w:tcPr>
            <w:tcW w:w="1274" w:type="pct"/>
            <w:vAlign w:val="center"/>
          </w:tcPr>
          <w:p w:rsidR="00921127" w:rsidRPr="007024C3" w:rsidRDefault="00921127" w:rsidP="00610C0E">
            <w:pPr>
              <w:pStyle w:val="Tabletext"/>
              <w:keepNext/>
              <w:keepLines/>
              <w:jc w:val="center"/>
            </w:pPr>
            <w:r w:rsidRPr="007024C3">
              <w:t>3.47</w:t>
            </w:r>
          </w:p>
        </w:tc>
        <w:tc>
          <w:tcPr>
            <w:tcW w:w="838" w:type="pct"/>
            <w:vAlign w:val="center"/>
          </w:tcPr>
          <w:p w:rsidR="00921127" w:rsidRPr="007024C3" w:rsidRDefault="00921127" w:rsidP="00610C0E">
            <w:pPr>
              <w:pStyle w:val="Tabletext"/>
              <w:keepNext/>
              <w:keepLines/>
              <w:jc w:val="center"/>
            </w:pPr>
            <w:r w:rsidRPr="007024C3">
              <w:t>0.31</w:t>
            </w:r>
          </w:p>
        </w:tc>
      </w:tr>
      <w:tr w:rsidR="00921127" w:rsidRPr="007F373B" w:rsidTr="00DE235D">
        <w:tc>
          <w:tcPr>
            <w:tcW w:w="4162" w:type="pct"/>
            <w:gridSpan w:val="3"/>
            <w:vAlign w:val="center"/>
          </w:tcPr>
          <w:p w:rsidR="00921127" w:rsidRPr="007024C3" w:rsidRDefault="00921127" w:rsidP="00610C0E">
            <w:pPr>
              <w:pStyle w:val="Tabletext"/>
              <w:keepNext/>
              <w:keepLines/>
              <w:rPr>
                <w:b/>
              </w:rPr>
            </w:pPr>
            <w:r w:rsidRPr="007024C3">
              <w:rPr>
                <w:b/>
              </w:rPr>
              <w:t>Incremental cost/extra QALY gained (base case)</w:t>
            </w:r>
          </w:p>
        </w:tc>
        <w:tc>
          <w:tcPr>
            <w:tcW w:w="838" w:type="pct"/>
            <w:vAlign w:val="center"/>
          </w:tcPr>
          <w:p w:rsidR="00921127" w:rsidRPr="007024C3" w:rsidRDefault="00921127" w:rsidP="00610C0E">
            <w:pPr>
              <w:pStyle w:val="Tabletext"/>
              <w:keepNext/>
              <w:keepLines/>
              <w:jc w:val="center"/>
              <w:rPr>
                <w:b/>
              </w:rPr>
            </w:pPr>
            <w:r w:rsidRPr="007024C3">
              <w:rPr>
                <w:b/>
              </w:rPr>
              <w:t>$</w:t>
            </w:r>
            <w:r w:rsidR="00AE66CA">
              <w:rPr>
                <w:b/>
                <w:noProof/>
                <w:color w:val="000000"/>
                <w:highlight w:val="black"/>
              </w:rPr>
              <w:t>''''''''''''</w:t>
            </w:r>
          </w:p>
        </w:tc>
      </w:tr>
      <w:tr w:rsidR="00921127" w:rsidTr="00DE235D">
        <w:tc>
          <w:tcPr>
            <w:tcW w:w="4162" w:type="pct"/>
            <w:gridSpan w:val="3"/>
            <w:vAlign w:val="center"/>
          </w:tcPr>
          <w:p w:rsidR="00921127" w:rsidRPr="007024C3" w:rsidRDefault="00921127" w:rsidP="00610C0E">
            <w:pPr>
              <w:pStyle w:val="Tabletext"/>
              <w:keepNext/>
              <w:keepLines/>
            </w:pPr>
            <w:r w:rsidRPr="007024C3">
              <w:t>Incremental cost/extra QALY gained (July 2018 base case)</w:t>
            </w:r>
          </w:p>
        </w:tc>
        <w:tc>
          <w:tcPr>
            <w:tcW w:w="838" w:type="pct"/>
            <w:vAlign w:val="center"/>
          </w:tcPr>
          <w:p w:rsidR="00921127" w:rsidRPr="007024C3" w:rsidRDefault="00921127" w:rsidP="00610C0E">
            <w:pPr>
              <w:pStyle w:val="Tabletext"/>
              <w:keepNext/>
              <w:keepLines/>
              <w:jc w:val="center"/>
            </w:pPr>
            <w:r w:rsidRPr="007024C3">
              <w:t>$</w:t>
            </w:r>
            <w:r w:rsidR="00AE66CA">
              <w:rPr>
                <w:noProof/>
                <w:color w:val="000000"/>
                <w:highlight w:val="black"/>
              </w:rPr>
              <w:t>'''''''''''''''''</w:t>
            </w:r>
          </w:p>
        </w:tc>
      </w:tr>
    </w:tbl>
    <w:p w:rsidR="000D563D" w:rsidRDefault="00921127" w:rsidP="00610C0E">
      <w:pPr>
        <w:pStyle w:val="TableFooter"/>
        <w:spacing w:after="240"/>
      </w:pPr>
      <w:r>
        <w:t>Source: Table 3-12, p91-92 of the resubmission.</w:t>
      </w:r>
    </w:p>
    <w:p w:rsidR="005E3C6E" w:rsidRPr="0021510A" w:rsidRDefault="00354B22" w:rsidP="00A943FA">
      <w:pPr>
        <w:pStyle w:val="ListParagraph"/>
        <w:keepNext/>
        <w:numPr>
          <w:ilvl w:val="1"/>
          <w:numId w:val="1"/>
        </w:numPr>
        <w:spacing w:before="120" w:after="120"/>
      </w:pPr>
      <w:r w:rsidRPr="0021510A">
        <w:t xml:space="preserve">There are a number of issues </w:t>
      </w:r>
      <w:r w:rsidR="00BF2261" w:rsidRPr="0021510A">
        <w:t xml:space="preserve">with </w:t>
      </w:r>
      <w:r w:rsidRPr="0021510A">
        <w:t>the revised economic model</w:t>
      </w:r>
      <w:r w:rsidR="005E3C6E" w:rsidRPr="0021510A">
        <w:t>:</w:t>
      </w:r>
    </w:p>
    <w:p w:rsidR="00E32B24" w:rsidRPr="0021510A" w:rsidRDefault="00BF0BE8" w:rsidP="00A943FA">
      <w:pPr>
        <w:pStyle w:val="Bulletpoints"/>
        <w:keepNext/>
        <w:spacing w:before="120" w:after="120"/>
        <w:ind w:left="1134"/>
      </w:pPr>
      <w:r w:rsidRPr="0021510A">
        <w:t xml:space="preserve">The probability of </w:t>
      </w:r>
      <w:r w:rsidR="00E2104C" w:rsidRPr="0021510A">
        <w:t xml:space="preserve">clinically significant </w:t>
      </w:r>
      <w:r w:rsidRPr="0021510A">
        <w:t>CMV infection (the key clinical outcome in Trial P001) applied in the economic model could not be tested</w:t>
      </w:r>
      <w:r w:rsidR="008F284A" w:rsidRPr="0021510A">
        <w:t xml:space="preserve"> in a meaningful way</w:t>
      </w:r>
      <w:r w:rsidRPr="0021510A">
        <w:t>.</w:t>
      </w:r>
      <w:r w:rsidR="005859EC">
        <w:t xml:space="preserve"> </w:t>
      </w:r>
      <w:r w:rsidR="00640302" w:rsidRPr="0021510A">
        <w:t>The ESC noted that w</w:t>
      </w:r>
      <w:r w:rsidRPr="0021510A">
        <w:t>hile the same source data as used in the July 2018 model was used</w:t>
      </w:r>
      <w:r w:rsidR="006816FD" w:rsidRPr="0021510A">
        <w:t>,</w:t>
      </w:r>
      <w:r w:rsidRPr="0021510A">
        <w:t xml:space="preserve"> the resubmission applied rates (37.5% for letermovir versus 60.6% for placebo) that were different </w:t>
      </w:r>
      <w:r w:rsidR="006816FD" w:rsidRPr="0021510A">
        <w:t xml:space="preserve">to </w:t>
      </w:r>
      <w:r w:rsidRPr="0021510A">
        <w:t>those applied in the July 2018 model (17.2% versus 42.4%) and</w:t>
      </w:r>
      <w:r w:rsidR="00EB4C3B" w:rsidRPr="0021510A">
        <w:t xml:space="preserve"> included those that discontinued treatment and had missing outcome data</w:t>
      </w:r>
      <w:r w:rsidRPr="0021510A">
        <w:t>.</w:t>
      </w:r>
      <w:r w:rsidR="005E6CEF" w:rsidRPr="0021510A">
        <w:t xml:space="preserve"> </w:t>
      </w:r>
      <w:r w:rsidR="00AD1B40" w:rsidRPr="0021510A">
        <w:t xml:space="preserve">The PSCR </w:t>
      </w:r>
      <w:r w:rsidR="00C46BD1" w:rsidRPr="0021510A">
        <w:t xml:space="preserve">stated the </w:t>
      </w:r>
      <w:r w:rsidR="001A6448" w:rsidRPr="0021510A">
        <w:t>original approach was</w:t>
      </w:r>
      <w:r w:rsidR="00C46BD1" w:rsidRPr="0021510A">
        <w:t xml:space="preserve"> inappropriate to model the actual infection rate in clinical practice, as patients who developed a CMV infection and discontinued from the study before week 24 were not captured. The PSCR also stated that published evidence (Nakamae et al 2009 and Green et al 2016) supported rates of CMV infection in seropositive patients undergoing a HSCT that are similar to the revised rates used in the resubmission. </w:t>
      </w:r>
      <w:r w:rsidR="00AD1B40" w:rsidRPr="0021510A">
        <w:t xml:space="preserve">The ESC questioned the appropriateness of applying this revised methodology </w:t>
      </w:r>
      <w:r w:rsidR="007024C3" w:rsidRPr="0021510A">
        <w:t>in the model.</w:t>
      </w:r>
    </w:p>
    <w:p w:rsidR="00D12B51" w:rsidRPr="0021510A" w:rsidRDefault="005E6CEF" w:rsidP="00A943FA">
      <w:pPr>
        <w:pStyle w:val="Bulletpoints"/>
        <w:spacing w:before="120" w:after="120"/>
        <w:ind w:left="1134"/>
      </w:pPr>
      <w:r w:rsidRPr="0021510A">
        <w:t>While the resubmission indicated that the rates of 37.5% for letermovir and 60.6% were used to determine the probability of CMV infection applied in the model, the model results showed that at Week 24 12.4% of letermovir-treated patients had CMV infection</w:t>
      </w:r>
      <w:r w:rsidR="00E3536F" w:rsidRPr="0021510A">
        <w:t xml:space="preserve"> (range of 1.9% to 17.2% across the 24 weeks)</w:t>
      </w:r>
      <w:r w:rsidRPr="0021510A">
        <w:t xml:space="preserve">, which was less than the </w:t>
      </w:r>
      <w:r w:rsidR="00065FFA" w:rsidRPr="0021510A">
        <w:t>17.5% observed in Trial P001</w:t>
      </w:r>
      <w:r w:rsidR="00856BD8" w:rsidRPr="0021510A">
        <w:t xml:space="preserve"> at Week 24</w:t>
      </w:r>
      <w:r w:rsidR="00065FFA" w:rsidRPr="0021510A">
        <w:t>.</w:t>
      </w:r>
      <w:r w:rsidR="005859EC">
        <w:t xml:space="preserve"> </w:t>
      </w:r>
      <w:r w:rsidR="00065FFA" w:rsidRPr="0021510A">
        <w:t>For placebo-treated patients the model showed that 16.6% of patients had CMV infection at Week 24</w:t>
      </w:r>
      <w:r w:rsidR="00E3536F" w:rsidRPr="0021510A">
        <w:t xml:space="preserve"> (range of 3.8</w:t>
      </w:r>
      <w:r w:rsidR="00E33DEE" w:rsidRPr="0021510A">
        <w:t>%</w:t>
      </w:r>
      <w:r w:rsidR="00E3536F" w:rsidRPr="0021510A">
        <w:t xml:space="preserve"> to 30.2%)</w:t>
      </w:r>
      <w:r w:rsidR="00065FFA" w:rsidRPr="0021510A">
        <w:t>, which was less than the 41.8% observed in the trial</w:t>
      </w:r>
      <w:r w:rsidR="007024C3" w:rsidRPr="0021510A">
        <w:t>.</w:t>
      </w:r>
      <w:r w:rsidR="007B5C4D" w:rsidRPr="0021510A">
        <w:t xml:space="preserve"> </w:t>
      </w:r>
      <w:r w:rsidR="007024C3" w:rsidRPr="0021510A">
        <w:t xml:space="preserve">The PSCR stated that the apparent discrepancy between trial-based clinically significant CMV infections and mortality figures in the model arises from the structural </w:t>
      </w:r>
      <w:r w:rsidR="007024C3" w:rsidRPr="0021510A">
        <w:lastRenderedPageBreak/>
        <w:t>difference between Markov models and trial endpoint reporting.</w:t>
      </w:r>
      <w:r w:rsidR="00185525" w:rsidRPr="0021510A">
        <w:t xml:space="preserve"> </w:t>
      </w:r>
      <w:r w:rsidR="00B01056" w:rsidRPr="0021510A">
        <w:t xml:space="preserve">The ESC disagreed, and </w:t>
      </w:r>
      <w:r w:rsidR="00185525" w:rsidRPr="0021510A">
        <w:t>remained concerned that the application of the probability of CMV infection in the model may not accurately reflect trial-based values.</w:t>
      </w:r>
    </w:p>
    <w:p w:rsidR="00BF0BE8" w:rsidRPr="0021510A" w:rsidRDefault="00674B05" w:rsidP="00A943FA">
      <w:pPr>
        <w:pStyle w:val="Bulletpoints"/>
        <w:spacing w:before="120" w:after="120"/>
        <w:ind w:left="1134"/>
      </w:pPr>
      <w:r w:rsidRPr="0021510A">
        <w:t>S</w:t>
      </w:r>
      <w:r w:rsidR="00BF0BE8" w:rsidRPr="0021510A">
        <w:t xml:space="preserve">ensitivity analyses </w:t>
      </w:r>
      <w:r w:rsidR="006816FD" w:rsidRPr="0021510A">
        <w:t xml:space="preserve">could not be </w:t>
      </w:r>
      <w:r w:rsidR="00BF0BE8" w:rsidRPr="0021510A">
        <w:t>conducted to address the resubmission’s assumption of</w:t>
      </w:r>
      <w:r w:rsidR="006816FD" w:rsidRPr="0021510A">
        <w:t xml:space="preserve"> the same duration of</w:t>
      </w:r>
      <w:r w:rsidR="00BF0BE8" w:rsidRPr="0021510A">
        <w:t xml:space="preserve"> PET (59.3 days) in both arms, when Trial P001 indicated a longer duration for letermovir-treated patients</w:t>
      </w:r>
      <w:r w:rsidR="00765093" w:rsidRPr="0021510A">
        <w:t xml:space="preserve"> (60.4 days compared to 58.5 for placebo)</w:t>
      </w:r>
      <w:r w:rsidR="00BF0BE8" w:rsidRPr="0021510A">
        <w:t>.</w:t>
      </w:r>
      <w:r w:rsidR="005859EC">
        <w:t xml:space="preserve"> </w:t>
      </w:r>
      <w:r w:rsidRPr="0021510A">
        <w:t>In general, t</w:t>
      </w:r>
      <w:r w:rsidR="00300FC6" w:rsidRPr="0021510A">
        <w:t xml:space="preserve">he lack of variables </w:t>
      </w:r>
      <w:r w:rsidR="006816FD" w:rsidRPr="0021510A">
        <w:t>able to be tested in</w:t>
      </w:r>
      <w:r w:rsidR="00300FC6" w:rsidRPr="0021510A">
        <w:t xml:space="preserve"> sensitivity analyses limited the informativeness of the model.</w:t>
      </w:r>
      <w:r w:rsidR="00E32B24" w:rsidRPr="0021510A">
        <w:t xml:space="preserve"> </w:t>
      </w:r>
    </w:p>
    <w:p w:rsidR="00BF0BE8" w:rsidRPr="0021510A" w:rsidRDefault="00D8197D" w:rsidP="00A943FA">
      <w:pPr>
        <w:pStyle w:val="Bulletpoints"/>
        <w:spacing w:before="120" w:after="120"/>
        <w:ind w:left="1134"/>
      </w:pPr>
      <w:r w:rsidRPr="0021510A">
        <w:t>T</w:t>
      </w:r>
      <w:r w:rsidR="00BF0BE8" w:rsidRPr="0021510A">
        <w:t>he resubmission’s model appl</w:t>
      </w:r>
      <w:r w:rsidRPr="0021510A">
        <w:t>ied</w:t>
      </w:r>
      <w:r w:rsidR="00BF0BE8" w:rsidRPr="0021510A">
        <w:t xml:space="preserve"> mortality probabilities at Week 24 and Week 48 for patients with CMV infection, as the resubmission had claimed that the CMV-related mortality results indicated letermovir was an effect modifier for the effect of CMV infection on mortality. </w:t>
      </w:r>
      <w:r w:rsidR="00850176" w:rsidRPr="0021510A">
        <w:t>The ESC considered t</w:t>
      </w:r>
      <w:r w:rsidR="00BF0BE8" w:rsidRPr="0021510A">
        <w:t xml:space="preserve">here was little support for the resubmission’s claim around CMV infection and mortality </w:t>
      </w:r>
      <w:r w:rsidR="00891846" w:rsidRPr="0021510A">
        <w:t>(see ’Comparative effectiveness</w:t>
      </w:r>
      <w:r w:rsidR="0067714A" w:rsidRPr="0021510A">
        <w:t>’</w:t>
      </w:r>
      <w:r w:rsidR="00891846" w:rsidRPr="0021510A">
        <w:t>)</w:t>
      </w:r>
      <w:r w:rsidR="00BF0BE8" w:rsidRPr="0021510A">
        <w:t>.</w:t>
      </w:r>
      <w:r w:rsidR="00105FE9" w:rsidRPr="0021510A">
        <w:t xml:space="preserve"> </w:t>
      </w:r>
      <w:r w:rsidR="00EE71D5" w:rsidRPr="0021510A">
        <w:t>In addition, the ESC did not accept the resubmission and PSCR claim that letermovir is an effect modifier for the effect of CMV infection on mortality.</w:t>
      </w:r>
    </w:p>
    <w:p w:rsidR="00BF0BE8" w:rsidRPr="0021510A" w:rsidRDefault="00EE71D5" w:rsidP="00A943FA">
      <w:pPr>
        <w:pStyle w:val="Bulletpoints"/>
        <w:spacing w:before="120" w:after="120"/>
        <w:ind w:left="1134"/>
      </w:pPr>
      <w:r w:rsidRPr="0021510A">
        <w:t>The ESC considered that t</w:t>
      </w:r>
      <w:r w:rsidR="00BF0BE8" w:rsidRPr="0021510A">
        <w:t>here was also little support for the re-submission’s claim that the differences between groups in re-hospitalisation may have been due to the lower incidence of clinically significant CMV infection in the letermovir group.</w:t>
      </w:r>
    </w:p>
    <w:p w:rsidR="008314A4" w:rsidRPr="0021510A" w:rsidRDefault="008314A4" w:rsidP="00A943FA">
      <w:pPr>
        <w:pStyle w:val="Bulletpoints"/>
        <w:spacing w:before="120" w:after="120"/>
        <w:ind w:left="1134" w:hanging="425"/>
      </w:pPr>
      <w:r w:rsidRPr="0021510A">
        <w:t>The ESC noted that the utility values applied in the revised model were lower than the values applied in the July 2018 model. However, the ESC considered they still appear</w:t>
      </w:r>
      <w:r w:rsidR="00EE71D5" w:rsidRPr="0021510A">
        <w:t>ed</w:t>
      </w:r>
      <w:r w:rsidRPr="0021510A">
        <w:t xml:space="preserve"> somewhat high for unwell patients.</w:t>
      </w:r>
      <w:r w:rsidR="005859EC">
        <w:t xml:space="preserve"> </w:t>
      </w:r>
      <w:r w:rsidRPr="0021510A">
        <w:t>In addition, the ESC noted that the utility value for patients with CMV infection was similar to that for patients without CMV infection, particularly in the letermovir arm. The ESC considered that it may not be reasonable to assume a QoL gain with letermovir given there were no statistically significant differences reported for this outcome between letermovir and placebo-treated patients in Trial P001.</w:t>
      </w:r>
      <w:r w:rsidR="005859EC">
        <w:t xml:space="preserve"> </w:t>
      </w:r>
    </w:p>
    <w:p w:rsidR="0012364A" w:rsidRPr="0021510A" w:rsidRDefault="00BF0BE8" w:rsidP="00A943FA">
      <w:pPr>
        <w:pStyle w:val="Bulletpoints"/>
        <w:spacing w:before="120" w:after="120"/>
        <w:ind w:left="1134"/>
      </w:pPr>
      <w:r w:rsidRPr="0021510A">
        <w:t xml:space="preserve">The resubmission has maintained the assumption of 78 days of letermovir treatment and decreased the proportion of patients using cyclosporin </w:t>
      </w:r>
      <w:r w:rsidR="001D3B8C" w:rsidRPr="0021510A">
        <w:t>to</w:t>
      </w:r>
      <w:r w:rsidRPr="0021510A">
        <w:t xml:space="preserve"> </w:t>
      </w:r>
      <w:r w:rsidR="00AE66CA">
        <w:rPr>
          <w:noProof/>
          <w:color w:val="000000"/>
          <w:highlight w:val="black"/>
        </w:rPr>
        <w:t>'''''</w:t>
      </w:r>
      <w:r w:rsidRPr="0021510A">
        <w:t>%.</w:t>
      </w:r>
      <w:r w:rsidR="005859EC">
        <w:t xml:space="preserve"> </w:t>
      </w:r>
      <w:r w:rsidRPr="0021510A">
        <w:t xml:space="preserve">The resubmission has not provided a comprehensive consideration of historical trends in the use of </w:t>
      </w:r>
      <w:r w:rsidR="007A3C2C" w:rsidRPr="0021510A">
        <w:t>cyclosporin</w:t>
      </w:r>
      <w:r w:rsidRPr="0021510A">
        <w:t xml:space="preserve"> (see ‘Estimated PBS usage &amp; financial implications’ below for further detail)</w:t>
      </w:r>
      <w:r w:rsidR="00CD1FE9" w:rsidRPr="0021510A">
        <w:t xml:space="preserve"> and treatment duration is </w:t>
      </w:r>
      <w:r w:rsidR="007F5A1B" w:rsidRPr="0021510A">
        <w:t>likely to be longer than 78 days (paragraph 6.45 July 2018 PSD).</w:t>
      </w:r>
      <w:r w:rsidR="005859EC">
        <w:t xml:space="preserve"> </w:t>
      </w:r>
      <w:r w:rsidR="008314A4" w:rsidRPr="0021510A">
        <w:t xml:space="preserve">The ESC considered that it may be more appropriate to increase the duration of therapy to 100 days (the recommended duration) or 112 days (as available under the requested restriction) which </w:t>
      </w:r>
      <w:r w:rsidR="00850176" w:rsidRPr="0021510A">
        <w:t>increased the ICER to $</w:t>
      </w:r>
      <w:r w:rsidR="000E31A6">
        <w:t>15,000</w:t>
      </w:r>
      <w:r w:rsidR="00850176" w:rsidRPr="0021510A">
        <w:t>/QALY</w:t>
      </w:r>
      <w:r w:rsidR="000E31A6">
        <w:t xml:space="preserve"> to $45,000/QALY</w:t>
      </w:r>
      <w:r w:rsidR="00850176" w:rsidRPr="0021510A">
        <w:t xml:space="preserve"> and $</w:t>
      </w:r>
      <w:r w:rsidR="000E31A6">
        <w:t>15,000</w:t>
      </w:r>
      <w:r w:rsidR="00850176" w:rsidRPr="0021510A">
        <w:t>/QALY</w:t>
      </w:r>
      <w:r w:rsidR="000E31A6">
        <w:t xml:space="preserve"> to $45,000/QALY</w:t>
      </w:r>
      <w:r w:rsidR="00850176" w:rsidRPr="0021510A">
        <w:t xml:space="preserve"> respectively from a base case of $</w:t>
      </w:r>
      <w:r w:rsidR="003A0C26">
        <w:t>15,000</w:t>
      </w:r>
      <w:r w:rsidR="00EE71D5" w:rsidRPr="0021510A">
        <w:t>/QALY</w:t>
      </w:r>
      <w:r w:rsidR="003A0C26">
        <w:t xml:space="preserve"> to $45,000/QALY</w:t>
      </w:r>
      <w:r w:rsidR="00850176" w:rsidRPr="0021510A">
        <w:t xml:space="preserve">. </w:t>
      </w:r>
      <w:r w:rsidR="00C71F87" w:rsidRPr="0021510A">
        <w:t xml:space="preserve">The ESC also considered that concerns remained around the proportion of patients using cyclosporin and </w:t>
      </w:r>
      <w:r w:rsidR="00EE71D5" w:rsidRPr="0021510A">
        <w:t>the impact that</w:t>
      </w:r>
      <w:r w:rsidR="00C71F87" w:rsidRPr="0021510A">
        <w:t xml:space="preserve"> variation in use from that predicted </w:t>
      </w:r>
      <w:r w:rsidR="00EE71D5" w:rsidRPr="0021510A">
        <w:t xml:space="preserve">would have </w:t>
      </w:r>
      <w:r w:rsidR="00C71F87" w:rsidRPr="0021510A">
        <w:t>on the ICER.</w:t>
      </w:r>
      <w:r w:rsidR="008314A4" w:rsidRPr="0021510A">
        <w:t xml:space="preserve"> </w:t>
      </w:r>
      <w:r w:rsidR="00E2104C" w:rsidRPr="0021510A">
        <w:t xml:space="preserve">Hence, the </w:t>
      </w:r>
      <w:r w:rsidR="00850176" w:rsidRPr="0021510A">
        <w:t xml:space="preserve">ESC considered the </w:t>
      </w:r>
      <w:r w:rsidR="00E2104C" w:rsidRPr="0021510A">
        <w:t xml:space="preserve">cost of letermovir in the economic model may not reflect </w:t>
      </w:r>
      <w:r w:rsidR="00850176" w:rsidRPr="0021510A">
        <w:t xml:space="preserve">the </w:t>
      </w:r>
      <w:r w:rsidR="00DA45C8" w:rsidRPr="0021510A">
        <w:t>cost</w:t>
      </w:r>
      <w:r w:rsidR="00E2104C" w:rsidRPr="0021510A">
        <w:t xml:space="preserve"> associated with potential use in clinical practice.</w:t>
      </w:r>
      <w:r w:rsidR="005859EC">
        <w:t xml:space="preserve"> </w:t>
      </w:r>
    </w:p>
    <w:p w:rsidR="00F311ED" w:rsidRPr="0021510A" w:rsidRDefault="005F7ADD" w:rsidP="00610C0E">
      <w:pPr>
        <w:pStyle w:val="ListParagraph"/>
        <w:numPr>
          <w:ilvl w:val="1"/>
          <w:numId w:val="1"/>
        </w:numPr>
        <w:spacing w:after="120"/>
      </w:pPr>
      <w:r w:rsidRPr="0021510A">
        <w:lastRenderedPageBreak/>
        <w:t>A summary of key sensitivity analyses are provided in the table below.</w:t>
      </w:r>
      <w:r w:rsidR="005859EC">
        <w:t xml:space="preserve"> </w:t>
      </w:r>
    </w:p>
    <w:p w:rsidR="005F7ADD" w:rsidRDefault="005F7ADD" w:rsidP="00610C0E">
      <w:pPr>
        <w:keepNext/>
      </w:pPr>
      <w:r w:rsidRPr="00401364">
        <w:rPr>
          <w:rFonts w:ascii="Arial Narrow" w:hAnsi="Arial Narrow"/>
          <w:b/>
          <w:sz w:val="20"/>
          <w:szCs w:val="20"/>
        </w:rPr>
        <w:t xml:space="preserve">Table </w:t>
      </w:r>
      <w:r w:rsidR="000D0E6D">
        <w:rPr>
          <w:rFonts w:ascii="Arial Narrow" w:hAnsi="Arial Narrow"/>
          <w:b/>
          <w:noProof/>
          <w:sz w:val="20"/>
          <w:szCs w:val="20"/>
        </w:rPr>
        <w:t>16</w:t>
      </w:r>
      <w:r>
        <w:rPr>
          <w:rFonts w:ascii="Arial Narrow" w:hAnsi="Arial Narrow"/>
          <w:b/>
          <w:noProof/>
          <w:sz w:val="20"/>
          <w:szCs w:val="20"/>
        </w:rPr>
        <w:t>:</w:t>
      </w:r>
      <w:r w:rsidRPr="001222FC">
        <w:rPr>
          <w:rStyle w:val="CommentReference"/>
        </w:rPr>
        <w:t xml:space="preserve"> </w:t>
      </w:r>
      <w:r>
        <w:rPr>
          <w:rStyle w:val="CommentReference"/>
        </w:rPr>
        <w:t xml:space="preserve">Sensitivity analyses </w:t>
      </w:r>
      <w:r w:rsidR="00F6639C">
        <w:rPr>
          <w:rStyle w:val="CommentReference"/>
        </w:rPr>
        <w:t>of the economic evaluation</w:t>
      </w:r>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ensitivity analyses of the economic evaluation"/>
      </w:tblPr>
      <w:tblGrid>
        <w:gridCol w:w="4536"/>
        <w:gridCol w:w="1559"/>
        <w:gridCol w:w="1701"/>
        <w:gridCol w:w="1258"/>
      </w:tblGrid>
      <w:tr w:rsidR="00F6639C" w:rsidRPr="00264D26" w:rsidTr="004F2BF9">
        <w:trPr>
          <w:tblHeader/>
        </w:trPr>
        <w:tc>
          <w:tcPr>
            <w:tcW w:w="4536" w:type="dxa"/>
          </w:tcPr>
          <w:p w:rsidR="00F6639C" w:rsidRPr="00264D26" w:rsidRDefault="00F6639C" w:rsidP="00610C0E">
            <w:pPr>
              <w:pStyle w:val="Tabletext"/>
              <w:keepNext/>
              <w:keepLines/>
              <w:tabs>
                <w:tab w:val="left" w:pos="142"/>
              </w:tabs>
              <w:rPr>
                <w:b/>
              </w:rPr>
            </w:pPr>
            <w:r>
              <w:rPr>
                <w:b/>
              </w:rPr>
              <w:t>Analyses</w:t>
            </w:r>
          </w:p>
        </w:tc>
        <w:tc>
          <w:tcPr>
            <w:tcW w:w="1559" w:type="dxa"/>
          </w:tcPr>
          <w:p w:rsidR="00F6639C" w:rsidRPr="00264D26" w:rsidRDefault="00F6639C" w:rsidP="00610C0E">
            <w:pPr>
              <w:pStyle w:val="Tabletext"/>
              <w:keepNext/>
              <w:keepLines/>
              <w:jc w:val="center"/>
              <w:rPr>
                <w:b/>
              </w:rPr>
            </w:pPr>
            <w:r w:rsidRPr="00264D26">
              <w:rPr>
                <w:b/>
              </w:rPr>
              <w:t>Incremental cost</w:t>
            </w:r>
          </w:p>
        </w:tc>
        <w:tc>
          <w:tcPr>
            <w:tcW w:w="1701" w:type="dxa"/>
          </w:tcPr>
          <w:p w:rsidR="00F6639C" w:rsidRPr="00264D26" w:rsidRDefault="00F6639C" w:rsidP="00610C0E">
            <w:pPr>
              <w:pStyle w:val="Tabletext"/>
              <w:keepNext/>
              <w:keepLines/>
              <w:jc w:val="center"/>
              <w:rPr>
                <w:b/>
              </w:rPr>
            </w:pPr>
            <w:r w:rsidRPr="00264D26">
              <w:rPr>
                <w:b/>
              </w:rPr>
              <w:t>Incremental QALY</w:t>
            </w:r>
          </w:p>
        </w:tc>
        <w:tc>
          <w:tcPr>
            <w:tcW w:w="1258" w:type="dxa"/>
          </w:tcPr>
          <w:p w:rsidR="00F6639C" w:rsidRPr="00264D26" w:rsidRDefault="00F6639C" w:rsidP="00610C0E">
            <w:pPr>
              <w:pStyle w:val="Tabletext"/>
              <w:keepNext/>
              <w:keepLines/>
              <w:jc w:val="center"/>
              <w:rPr>
                <w:b/>
              </w:rPr>
            </w:pPr>
            <w:r w:rsidRPr="00264D26">
              <w:rPr>
                <w:b/>
              </w:rPr>
              <w:t>ICER</w:t>
            </w:r>
          </w:p>
        </w:tc>
      </w:tr>
      <w:tr w:rsidR="00F6639C" w:rsidRPr="00264D26" w:rsidTr="004F2BF9">
        <w:tc>
          <w:tcPr>
            <w:tcW w:w="4536" w:type="dxa"/>
          </w:tcPr>
          <w:p w:rsidR="00F6639C" w:rsidRPr="00264D26" w:rsidRDefault="00F6639C" w:rsidP="00610C0E">
            <w:pPr>
              <w:pStyle w:val="Tabletext"/>
              <w:keepNext/>
              <w:keepLines/>
              <w:tabs>
                <w:tab w:val="left" w:pos="142"/>
              </w:tabs>
              <w:rPr>
                <w:b/>
              </w:rPr>
            </w:pPr>
            <w:r w:rsidRPr="00264D26">
              <w:rPr>
                <w:b/>
              </w:rPr>
              <w:t>Base case</w:t>
            </w:r>
          </w:p>
        </w:tc>
        <w:tc>
          <w:tcPr>
            <w:tcW w:w="1559" w:type="dxa"/>
          </w:tcPr>
          <w:p w:rsidR="00F6639C" w:rsidRPr="00264D26" w:rsidRDefault="00F6639C" w:rsidP="00610C0E">
            <w:pPr>
              <w:pStyle w:val="Tabletext"/>
              <w:keepNext/>
              <w:keepLines/>
              <w:jc w:val="center"/>
              <w:rPr>
                <w:b/>
              </w:rPr>
            </w:pPr>
            <w:r>
              <w:rPr>
                <w:b/>
              </w:rPr>
              <w:t>$</w:t>
            </w:r>
            <w:r w:rsidR="00AE66CA">
              <w:rPr>
                <w:b/>
                <w:noProof/>
                <w:color w:val="000000"/>
                <w:highlight w:val="black"/>
              </w:rPr>
              <w:t>''''''''''</w:t>
            </w:r>
          </w:p>
        </w:tc>
        <w:tc>
          <w:tcPr>
            <w:tcW w:w="1701" w:type="dxa"/>
          </w:tcPr>
          <w:p w:rsidR="00F6639C" w:rsidRPr="00264D26" w:rsidRDefault="00F6639C" w:rsidP="00610C0E">
            <w:pPr>
              <w:pStyle w:val="Tabletext"/>
              <w:keepNext/>
              <w:keepLines/>
              <w:jc w:val="center"/>
              <w:rPr>
                <w:b/>
              </w:rPr>
            </w:pPr>
            <w:r>
              <w:rPr>
                <w:b/>
              </w:rPr>
              <w:t>0.31</w:t>
            </w:r>
          </w:p>
        </w:tc>
        <w:tc>
          <w:tcPr>
            <w:tcW w:w="1258" w:type="dxa"/>
          </w:tcPr>
          <w:p w:rsidR="00F6639C" w:rsidRPr="00264D26" w:rsidRDefault="00F6639C" w:rsidP="00610C0E">
            <w:pPr>
              <w:pStyle w:val="Tabletext"/>
              <w:keepNext/>
              <w:keepLines/>
              <w:jc w:val="center"/>
              <w:rPr>
                <w:b/>
              </w:rPr>
            </w:pPr>
            <w:r>
              <w:rPr>
                <w:b/>
              </w:rPr>
              <w:t>$</w:t>
            </w:r>
            <w:r w:rsidR="00AE66CA">
              <w:rPr>
                <w:b/>
                <w:noProof/>
                <w:color w:val="000000"/>
                <w:highlight w:val="black"/>
              </w:rPr>
              <w:t>'''''''''''''''</w:t>
            </w:r>
          </w:p>
        </w:tc>
      </w:tr>
      <w:tr w:rsidR="00F6639C" w:rsidTr="004F2BF9">
        <w:trPr>
          <w:trHeight w:val="129"/>
        </w:trPr>
        <w:tc>
          <w:tcPr>
            <w:tcW w:w="9054" w:type="dxa"/>
            <w:gridSpan w:val="4"/>
          </w:tcPr>
          <w:p w:rsidR="00F6639C" w:rsidRPr="00C71F87" w:rsidRDefault="00F6639C" w:rsidP="00610C0E">
            <w:pPr>
              <w:pStyle w:val="Tabletext"/>
              <w:keepNext/>
              <w:keepLines/>
            </w:pPr>
            <w:r w:rsidRPr="00C71F87">
              <w:t>Time horizon (base case: 10 years)</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5 years</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0.20</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RPr="006C7B85" w:rsidTr="004F2BF9">
        <w:trPr>
          <w:trHeight w:val="129"/>
        </w:trPr>
        <w:tc>
          <w:tcPr>
            <w:tcW w:w="4536" w:type="dxa"/>
          </w:tcPr>
          <w:p w:rsidR="00F6639C" w:rsidRPr="00C71F87" w:rsidRDefault="00F6639C" w:rsidP="00610C0E">
            <w:pPr>
              <w:pStyle w:val="Tabletext"/>
              <w:keepNext/>
              <w:keepLines/>
              <w:tabs>
                <w:tab w:val="left" w:pos="142"/>
              </w:tabs>
            </w:pPr>
            <w:r w:rsidRPr="00C71F87">
              <w:tab/>
              <w:t>2 years</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0.10</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1 year</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0.04</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9054" w:type="dxa"/>
            <w:gridSpan w:val="4"/>
          </w:tcPr>
          <w:p w:rsidR="00F6639C" w:rsidRPr="00C71F87" w:rsidRDefault="00F6639C" w:rsidP="00610C0E">
            <w:pPr>
              <w:pStyle w:val="Tabletext"/>
              <w:keepNext/>
              <w:keepLines/>
            </w:pPr>
            <w:r w:rsidRPr="00C71F87">
              <w:t>Treatment duration (base case: 78 days)</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 xml:space="preserve">100 days </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112 days</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Utility value – (base case: Trial P001)</w:t>
            </w:r>
          </w:p>
        </w:tc>
        <w:tc>
          <w:tcPr>
            <w:tcW w:w="1559" w:type="dxa"/>
          </w:tcPr>
          <w:p w:rsidR="00F6639C" w:rsidRPr="00C71F87" w:rsidRDefault="00F6639C" w:rsidP="00610C0E">
            <w:pPr>
              <w:pStyle w:val="Tabletext"/>
              <w:keepNext/>
              <w:keepLines/>
              <w:jc w:val="center"/>
            </w:pPr>
          </w:p>
        </w:tc>
        <w:tc>
          <w:tcPr>
            <w:tcW w:w="1701" w:type="dxa"/>
          </w:tcPr>
          <w:p w:rsidR="00F6639C" w:rsidRPr="00C71F87" w:rsidRDefault="00F6639C" w:rsidP="00610C0E">
            <w:pPr>
              <w:pStyle w:val="Tabletext"/>
              <w:keepNext/>
              <w:keepLines/>
              <w:jc w:val="center"/>
            </w:pPr>
          </w:p>
        </w:tc>
        <w:tc>
          <w:tcPr>
            <w:tcW w:w="1258" w:type="dxa"/>
          </w:tcPr>
          <w:p w:rsidR="00F6639C" w:rsidRPr="00C71F87" w:rsidRDefault="00F6639C" w:rsidP="00610C0E">
            <w:pPr>
              <w:pStyle w:val="Tabletext"/>
              <w:keepNext/>
              <w:keepLines/>
              <w:jc w:val="center"/>
            </w:pP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Weighted average Trial P001 values</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0.24</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CMV utility 0.705 for letermovir and placebo</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9054" w:type="dxa"/>
            <w:gridSpan w:val="4"/>
          </w:tcPr>
          <w:p w:rsidR="00F6639C" w:rsidRPr="00C71F87" w:rsidRDefault="00F6639C" w:rsidP="00610C0E">
            <w:pPr>
              <w:pStyle w:val="Tabletext"/>
              <w:keepNext/>
              <w:keepLines/>
            </w:pPr>
            <w:r w:rsidRPr="00C71F87">
              <w:t>Hospitalisation cost (base case: $13,848)</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$6,942 (-50%)</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$20,772 (+50%)</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9054" w:type="dxa"/>
            <w:gridSpan w:val="4"/>
          </w:tcPr>
          <w:p w:rsidR="00F6639C" w:rsidRPr="00C71F87" w:rsidRDefault="00F6639C" w:rsidP="00610C0E">
            <w:pPr>
              <w:pStyle w:val="Tabletext"/>
              <w:keepNext/>
              <w:keepLines/>
            </w:pPr>
            <w:r w:rsidRPr="00C71F87">
              <w:t>Proportion hospitalised (base case 8.2% letermovir and 12.6% placebo)</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5% both arms</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10% both arms</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0.31</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F6639C" w:rsidTr="004F2BF9">
        <w:trPr>
          <w:trHeight w:val="129"/>
        </w:trPr>
        <w:tc>
          <w:tcPr>
            <w:tcW w:w="9054" w:type="dxa"/>
            <w:gridSpan w:val="4"/>
          </w:tcPr>
          <w:p w:rsidR="00F6639C" w:rsidRPr="00C71F87" w:rsidRDefault="00F6639C" w:rsidP="00610C0E">
            <w:pPr>
              <w:pStyle w:val="Tabletext"/>
              <w:keepNext/>
              <w:keepLines/>
            </w:pPr>
            <w:r w:rsidRPr="00C71F87">
              <w:t>Mortality (base case: trial-based</w:t>
            </w:r>
            <w:r w:rsidR="005756F6" w:rsidRPr="00C71F87">
              <w:rPr>
                <w:vertAlign w:val="superscript"/>
              </w:rPr>
              <w:t>a</w:t>
            </w:r>
            <w:r w:rsidRPr="00C71F87">
              <w:t xml:space="preserve"> Weeks 24 and 48; ABMTRR for 3 years; lifetables remainder)</w:t>
            </w:r>
          </w:p>
        </w:tc>
      </w:tr>
      <w:tr w:rsidR="00F6639C" w:rsidTr="004F2BF9">
        <w:trPr>
          <w:trHeight w:val="129"/>
        </w:trPr>
        <w:tc>
          <w:tcPr>
            <w:tcW w:w="4536" w:type="dxa"/>
          </w:tcPr>
          <w:p w:rsidR="00F6639C" w:rsidRPr="00C71F87" w:rsidRDefault="00F6639C" w:rsidP="00610C0E">
            <w:pPr>
              <w:pStyle w:val="Tabletext"/>
              <w:keepNext/>
              <w:keepLines/>
              <w:tabs>
                <w:tab w:val="left" w:pos="142"/>
              </w:tabs>
            </w:pPr>
            <w:r w:rsidRPr="00C71F87">
              <w:tab/>
              <w:t>Placebo arm using ABMTRR data</w:t>
            </w:r>
          </w:p>
        </w:tc>
        <w:tc>
          <w:tcPr>
            <w:tcW w:w="1559" w:type="dxa"/>
          </w:tcPr>
          <w:p w:rsidR="00F6639C" w:rsidRPr="00C71F87" w:rsidRDefault="00F6639C" w:rsidP="00610C0E">
            <w:pPr>
              <w:pStyle w:val="Tabletext"/>
              <w:keepNext/>
              <w:keepLines/>
              <w:jc w:val="center"/>
            </w:pPr>
            <w:r w:rsidRPr="00C71F87">
              <w:t>$</w:t>
            </w:r>
            <w:r w:rsidR="00AE66CA">
              <w:rPr>
                <w:noProof/>
                <w:color w:val="000000"/>
                <w:highlight w:val="black"/>
              </w:rPr>
              <w:t>''''''''''''</w:t>
            </w:r>
          </w:p>
        </w:tc>
        <w:tc>
          <w:tcPr>
            <w:tcW w:w="1701" w:type="dxa"/>
          </w:tcPr>
          <w:p w:rsidR="00F6639C" w:rsidRPr="00C71F87" w:rsidRDefault="00F6639C" w:rsidP="00610C0E">
            <w:pPr>
              <w:pStyle w:val="Tabletext"/>
              <w:keepNext/>
              <w:keepLines/>
              <w:jc w:val="center"/>
            </w:pPr>
            <w:r w:rsidRPr="00C71F87">
              <w:t>0.34</w:t>
            </w:r>
          </w:p>
        </w:tc>
        <w:tc>
          <w:tcPr>
            <w:tcW w:w="1258" w:type="dxa"/>
          </w:tcPr>
          <w:p w:rsidR="00F6639C" w:rsidRPr="00C71F87" w:rsidRDefault="00F6639C" w:rsidP="00610C0E">
            <w:pPr>
              <w:pStyle w:val="Tabletext"/>
              <w:keepNext/>
              <w:keepLines/>
              <w:jc w:val="center"/>
            </w:pPr>
            <w:r w:rsidRPr="00C71F87">
              <w:t>$</w:t>
            </w:r>
            <w:r w:rsidR="00AE66CA">
              <w:rPr>
                <w:noProof/>
                <w:color w:val="000000"/>
                <w:highlight w:val="black"/>
              </w:rPr>
              <w:t>'''''''''''''''</w:t>
            </w:r>
          </w:p>
        </w:tc>
      </w:tr>
      <w:tr w:rsidR="0042317A" w:rsidTr="004F2BF9">
        <w:trPr>
          <w:trHeight w:val="129"/>
        </w:trPr>
        <w:tc>
          <w:tcPr>
            <w:tcW w:w="4536" w:type="dxa"/>
          </w:tcPr>
          <w:p w:rsidR="0042317A" w:rsidRPr="00C71F87" w:rsidRDefault="007B1E7D" w:rsidP="00610C0E">
            <w:pPr>
              <w:pStyle w:val="Tabletext"/>
              <w:keepNext/>
              <w:keepLines/>
              <w:tabs>
                <w:tab w:val="left" w:pos="142"/>
              </w:tabs>
            </w:pPr>
            <w:r w:rsidRPr="00C71F87">
              <w:tab/>
              <w:t xml:space="preserve">Trial-based </w:t>
            </w:r>
            <w:r w:rsidR="00776764" w:rsidRPr="00C71F87">
              <w:t>probability</w:t>
            </w:r>
            <w:r w:rsidRPr="00C71F87">
              <w:t xml:space="preserve"> increased by 50%</w:t>
            </w:r>
          </w:p>
        </w:tc>
        <w:tc>
          <w:tcPr>
            <w:tcW w:w="1559" w:type="dxa"/>
          </w:tcPr>
          <w:p w:rsidR="0042317A" w:rsidRPr="00C71F87" w:rsidRDefault="00FE38CC" w:rsidP="00610C0E">
            <w:pPr>
              <w:pStyle w:val="Tabletext"/>
              <w:keepNext/>
              <w:keepLines/>
              <w:jc w:val="center"/>
            </w:pPr>
            <w:r w:rsidRPr="00C71F87">
              <w:t>$</w:t>
            </w:r>
            <w:r w:rsidR="00AE66CA">
              <w:rPr>
                <w:noProof/>
                <w:color w:val="000000"/>
                <w:highlight w:val="black"/>
              </w:rPr>
              <w:t>''''''''''''''</w:t>
            </w:r>
          </w:p>
        </w:tc>
        <w:tc>
          <w:tcPr>
            <w:tcW w:w="1701" w:type="dxa"/>
          </w:tcPr>
          <w:p w:rsidR="0042317A" w:rsidRPr="00C71F87" w:rsidRDefault="00075B50" w:rsidP="00610C0E">
            <w:pPr>
              <w:pStyle w:val="Tabletext"/>
              <w:keepNext/>
              <w:keepLines/>
              <w:jc w:val="center"/>
            </w:pPr>
            <w:r w:rsidRPr="00C71F87">
              <w:t>0.50</w:t>
            </w:r>
          </w:p>
        </w:tc>
        <w:tc>
          <w:tcPr>
            <w:tcW w:w="1258" w:type="dxa"/>
          </w:tcPr>
          <w:p w:rsidR="0042317A" w:rsidRPr="00C71F87" w:rsidRDefault="00075B50" w:rsidP="00610C0E">
            <w:pPr>
              <w:pStyle w:val="Tabletext"/>
              <w:keepNext/>
              <w:keepLines/>
              <w:jc w:val="center"/>
            </w:pPr>
            <w:r w:rsidRPr="00C71F87">
              <w:t>$</w:t>
            </w:r>
            <w:r w:rsidR="00AE66CA">
              <w:rPr>
                <w:noProof/>
                <w:color w:val="000000"/>
                <w:highlight w:val="black"/>
              </w:rPr>
              <w:t>'''''''''''''''</w:t>
            </w:r>
          </w:p>
        </w:tc>
      </w:tr>
      <w:tr w:rsidR="0042317A" w:rsidTr="004F2BF9">
        <w:trPr>
          <w:trHeight w:val="129"/>
        </w:trPr>
        <w:tc>
          <w:tcPr>
            <w:tcW w:w="4536" w:type="dxa"/>
          </w:tcPr>
          <w:p w:rsidR="0042317A" w:rsidRPr="00C71F87" w:rsidRDefault="007B1E7D" w:rsidP="00610C0E">
            <w:pPr>
              <w:pStyle w:val="Tabletext"/>
              <w:keepNext/>
              <w:keepLines/>
              <w:tabs>
                <w:tab w:val="left" w:pos="142"/>
              </w:tabs>
            </w:pPr>
            <w:r w:rsidRPr="00C71F87">
              <w:tab/>
            </w:r>
            <w:r w:rsidR="00B77BAA" w:rsidRPr="00C71F87">
              <w:t>T</w:t>
            </w:r>
            <w:r w:rsidRPr="00C71F87">
              <w:t xml:space="preserve">rial-based </w:t>
            </w:r>
            <w:r w:rsidR="00776764" w:rsidRPr="00C71F87">
              <w:t>probability</w:t>
            </w:r>
            <w:r w:rsidRPr="00C71F87">
              <w:t xml:space="preserve"> decreased by 50%</w:t>
            </w:r>
          </w:p>
        </w:tc>
        <w:tc>
          <w:tcPr>
            <w:tcW w:w="1559" w:type="dxa"/>
          </w:tcPr>
          <w:p w:rsidR="0042317A" w:rsidRPr="00C71F87" w:rsidRDefault="00FE38CC" w:rsidP="00610C0E">
            <w:pPr>
              <w:pStyle w:val="Tabletext"/>
              <w:keepNext/>
              <w:keepLines/>
              <w:jc w:val="center"/>
            </w:pPr>
            <w:r w:rsidRPr="00C71F87">
              <w:t>$</w:t>
            </w:r>
            <w:r w:rsidR="00AE66CA">
              <w:rPr>
                <w:noProof/>
                <w:color w:val="000000"/>
                <w:highlight w:val="black"/>
              </w:rPr>
              <w:t>''''''''''''''</w:t>
            </w:r>
          </w:p>
        </w:tc>
        <w:tc>
          <w:tcPr>
            <w:tcW w:w="1701" w:type="dxa"/>
          </w:tcPr>
          <w:p w:rsidR="0042317A" w:rsidRPr="00C71F87" w:rsidRDefault="00075B50" w:rsidP="00610C0E">
            <w:pPr>
              <w:pStyle w:val="Tabletext"/>
              <w:keepNext/>
              <w:keepLines/>
              <w:jc w:val="center"/>
            </w:pPr>
            <w:r w:rsidRPr="00C71F87">
              <w:t>0.08</w:t>
            </w:r>
          </w:p>
        </w:tc>
        <w:tc>
          <w:tcPr>
            <w:tcW w:w="1258" w:type="dxa"/>
          </w:tcPr>
          <w:p w:rsidR="0042317A" w:rsidRPr="00C71F87" w:rsidRDefault="00075B50" w:rsidP="00610C0E">
            <w:pPr>
              <w:pStyle w:val="Tabletext"/>
              <w:keepNext/>
              <w:keepLines/>
              <w:jc w:val="center"/>
            </w:pPr>
            <w:r w:rsidRPr="00C71F87">
              <w:t>$</w:t>
            </w:r>
            <w:r w:rsidR="00AE66CA">
              <w:rPr>
                <w:noProof/>
                <w:color w:val="000000"/>
                <w:highlight w:val="black"/>
              </w:rPr>
              <w:t>'''''''''''''''''</w:t>
            </w:r>
          </w:p>
        </w:tc>
      </w:tr>
      <w:tr w:rsidR="00075B50" w:rsidTr="004F2BF9">
        <w:trPr>
          <w:trHeight w:val="129"/>
        </w:trPr>
        <w:tc>
          <w:tcPr>
            <w:tcW w:w="9054" w:type="dxa"/>
            <w:gridSpan w:val="4"/>
          </w:tcPr>
          <w:p w:rsidR="00075B50" w:rsidRPr="00C71F87" w:rsidRDefault="008208B9" w:rsidP="00610C0E">
            <w:pPr>
              <w:pStyle w:val="Tabletext"/>
              <w:keepNext/>
              <w:keepLines/>
            </w:pPr>
            <w:r w:rsidRPr="00C71F87">
              <w:t>Probability of CMV infection (base case: letermovir 0.0194; placebo 0.0381)</w:t>
            </w:r>
          </w:p>
        </w:tc>
      </w:tr>
      <w:tr w:rsidR="008208B9" w:rsidTr="004F2BF9">
        <w:trPr>
          <w:trHeight w:val="129"/>
        </w:trPr>
        <w:tc>
          <w:tcPr>
            <w:tcW w:w="4536" w:type="dxa"/>
          </w:tcPr>
          <w:p w:rsidR="008208B9" w:rsidRPr="00C71F87" w:rsidRDefault="008208B9" w:rsidP="00610C0E">
            <w:pPr>
              <w:pStyle w:val="Tabletext"/>
              <w:keepNext/>
              <w:keepLines/>
              <w:tabs>
                <w:tab w:val="left" w:pos="142"/>
              </w:tabs>
            </w:pPr>
            <w:r w:rsidRPr="00C71F87">
              <w:tab/>
              <w:t>Trial-based probability increased by 50%</w:t>
            </w:r>
          </w:p>
        </w:tc>
        <w:tc>
          <w:tcPr>
            <w:tcW w:w="1559" w:type="dxa"/>
          </w:tcPr>
          <w:p w:rsidR="008208B9" w:rsidRPr="00C71F87" w:rsidRDefault="00043F84" w:rsidP="00610C0E">
            <w:pPr>
              <w:pStyle w:val="Tabletext"/>
              <w:keepNext/>
              <w:keepLines/>
              <w:jc w:val="center"/>
            </w:pPr>
            <w:r w:rsidRPr="00C71F87">
              <w:t>$</w:t>
            </w:r>
            <w:r w:rsidR="00AE66CA">
              <w:rPr>
                <w:noProof/>
                <w:color w:val="000000"/>
                <w:highlight w:val="black"/>
              </w:rPr>
              <w:t>'''''''''''''</w:t>
            </w:r>
          </w:p>
        </w:tc>
        <w:tc>
          <w:tcPr>
            <w:tcW w:w="1701" w:type="dxa"/>
          </w:tcPr>
          <w:p w:rsidR="008208B9" w:rsidRPr="00C71F87" w:rsidRDefault="00043F84" w:rsidP="00610C0E">
            <w:pPr>
              <w:pStyle w:val="Tabletext"/>
              <w:keepNext/>
              <w:keepLines/>
              <w:jc w:val="center"/>
            </w:pPr>
            <w:r w:rsidRPr="00C71F87">
              <w:t>0.41</w:t>
            </w:r>
          </w:p>
        </w:tc>
        <w:tc>
          <w:tcPr>
            <w:tcW w:w="1258" w:type="dxa"/>
          </w:tcPr>
          <w:p w:rsidR="008208B9" w:rsidRPr="00C71F87" w:rsidRDefault="00043F84" w:rsidP="00610C0E">
            <w:pPr>
              <w:pStyle w:val="Tabletext"/>
              <w:keepNext/>
              <w:keepLines/>
              <w:jc w:val="center"/>
            </w:pPr>
            <w:r w:rsidRPr="00C71F87">
              <w:t>$</w:t>
            </w:r>
            <w:r w:rsidR="00AE66CA">
              <w:rPr>
                <w:noProof/>
                <w:color w:val="000000"/>
                <w:highlight w:val="black"/>
              </w:rPr>
              <w:t>''''''''''''''''</w:t>
            </w:r>
          </w:p>
        </w:tc>
      </w:tr>
      <w:tr w:rsidR="008208B9" w:rsidTr="004F2BF9">
        <w:trPr>
          <w:trHeight w:val="129"/>
        </w:trPr>
        <w:tc>
          <w:tcPr>
            <w:tcW w:w="4536" w:type="dxa"/>
          </w:tcPr>
          <w:p w:rsidR="008208B9" w:rsidRPr="00C71F87" w:rsidRDefault="008208B9" w:rsidP="00610C0E">
            <w:pPr>
              <w:pStyle w:val="Tabletext"/>
              <w:keepNext/>
              <w:keepLines/>
              <w:tabs>
                <w:tab w:val="left" w:pos="142"/>
              </w:tabs>
            </w:pPr>
            <w:r w:rsidRPr="00C71F87">
              <w:tab/>
              <w:t>Trial-based probability decreased by 50%</w:t>
            </w:r>
          </w:p>
        </w:tc>
        <w:tc>
          <w:tcPr>
            <w:tcW w:w="1559" w:type="dxa"/>
          </w:tcPr>
          <w:p w:rsidR="008208B9" w:rsidRPr="00C71F87" w:rsidRDefault="000A09D4" w:rsidP="00610C0E">
            <w:pPr>
              <w:pStyle w:val="Tabletext"/>
              <w:keepNext/>
              <w:keepLines/>
              <w:jc w:val="center"/>
            </w:pPr>
            <w:r w:rsidRPr="00C71F87">
              <w:t>$</w:t>
            </w:r>
            <w:r w:rsidR="00AE66CA">
              <w:rPr>
                <w:noProof/>
                <w:color w:val="000000"/>
                <w:highlight w:val="black"/>
              </w:rPr>
              <w:t>''''''''''''''''''</w:t>
            </w:r>
          </w:p>
        </w:tc>
        <w:tc>
          <w:tcPr>
            <w:tcW w:w="1701" w:type="dxa"/>
          </w:tcPr>
          <w:p w:rsidR="008208B9" w:rsidRPr="00C71F87" w:rsidRDefault="00043F84" w:rsidP="00610C0E">
            <w:pPr>
              <w:pStyle w:val="Tabletext"/>
              <w:keepNext/>
              <w:keepLines/>
              <w:jc w:val="center"/>
            </w:pPr>
            <w:r w:rsidRPr="00C71F87">
              <w:t>0.20</w:t>
            </w:r>
          </w:p>
        </w:tc>
        <w:tc>
          <w:tcPr>
            <w:tcW w:w="1258" w:type="dxa"/>
          </w:tcPr>
          <w:p w:rsidR="008208B9" w:rsidRPr="00C71F87" w:rsidRDefault="00043F84" w:rsidP="00610C0E">
            <w:pPr>
              <w:pStyle w:val="Tabletext"/>
              <w:keepNext/>
              <w:keepLines/>
              <w:jc w:val="center"/>
            </w:pPr>
            <w:r w:rsidRPr="00C71F87">
              <w:t>$</w:t>
            </w:r>
            <w:r w:rsidR="00AE66CA">
              <w:rPr>
                <w:noProof/>
                <w:color w:val="000000"/>
                <w:highlight w:val="black"/>
              </w:rPr>
              <w:t>'''''''''''''''</w:t>
            </w:r>
          </w:p>
        </w:tc>
      </w:tr>
      <w:tr w:rsidR="008208B9" w:rsidRPr="00A95EB6" w:rsidTr="004F2BF9">
        <w:trPr>
          <w:trHeight w:val="129"/>
        </w:trPr>
        <w:tc>
          <w:tcPr>
            <w:tcW w:w="9054" w:type="dxa"/>
            <w:gridSpan w:val="4"/>
          </w:tcPr>
          <w:p w:rsidR="008208B9" w:rsidRPr="00C71F87" w:rsidRDefault="008208B9" w:rsidP="00610C0E">
            <w:pPr>
              <w:pStyle w:val="Tabletext"/>
              <w:keepNext/>
              <w:keepLines/>
            </w:pPr>
            <w:r w:rsidRPr="00C71F87">
              <w:t>Time horizon (base case: 10 years) and treatment duration (base case: 78 days)</w:t>
            </w:r>
          </w:p>
        </w:tc>
      </w:tr>
      <w:tr w:rsidR="008208B9" w:rsidRPr="00A95EB6" w:rsidTr="004F2BF9">
        <w:trPr>
          <w:trHeight w:val="129"/>
        </w:trPr>
        <w:tc>
          <w:tcPr>
            <w:tcW w:w="4536" w:type="dxa"/>
          </w:tcPr>
          <w:p w:rsidR="008208B9" w:rsidRPr="00C71F87" w:rsidRDefault="008208B9" w:rsidP="00610C0E">
            <w:pPr>
              <w:pStyle w:val="Tabletext"/>
              <w:keepNext/>
              <w:keepLines/>
              <w:tabs>
                <w:tab w:val="left" w:pos="142"/>
              </w:tabs>
            </w:pPr>
            <w:r w:rsidRPr="00C71F87">
              <w:tab/>
              <w:t>5 years and 100 days</w:t>
            </w:r>
          </w:p>
        </w:tc>
        <w:tc>
          <w:tcPr>
            <w:tcW w:w="1559" w:type="dxa"/>
          </w:tcPr>
          <w:p w:rsidR="008208B9" w:rsidRPr="00C71F87" w:rsidRDefault="008208B9" w:rsidP="00610C0E">
            <w:pPr>
              <w:pStyle w:val="Tabletext"/>
              <w:keepNext/>
              <w:keepLines/>
              <w:jc w:val="center"/>
            </w:pPr>
            <w:r w:rsidRPr="00C71F87">
              <w:t>$</w:t>
            </w:r>
            <w:r w:rsidR="00AE66CA">
              <w:rPr>
                <w:noProof/>
                <w:color w:val="000000"/>
                <w:highlight w:val="black"/>
              </w:rPr>
              <w:t>''''''''''''''''</w:t>
            </w:r>
          </w:p>
        </w:tc>
        <w:tc>
          <w:tcPr>
            <w:tcW w:w="1701" w:type="dxa"/>
          </w:tcPr>
          <w:p w:rsidR="008208B9" w:rsidRPr="00C71F87" w:rsidRDefault="008208B9" w:rsidP="00610C0E">
            <w:pPr>
              <w:pStyle w:val="Tabletext"/>
              <w:keepNext/>
              <w:keepLines/>
              <w:jc w:val="center"/>
            </w:pPr>
            <w:r w:rsidRPr="00C71F87">
              <w:t>0.20</w:t>
            </w:r>
          </w:p>
        </w:tc>
        <w:tc>
          <w:tcPr>
            <w:tcW w:w="1258" w:type="dxa"/>
          </w:tcPr>
          <w:p w:rsidR="008208B9" w:rsidRPr="00C71F87" w:rsidRDefault="008208B9" w:rsidP="00610C0E">
            <w:pPr>
              <w:pStyle w:val="Tabletext"/>
              <w:keepNext/>
              <w:keepLines/>
              <w:jc w:val="center"/>
            </w:pPr>
            <w:r w:rsidRPr="00C71F87">
              <w:t>$</w:t>
            </w:r>
            <w:r w:rsidR="00AE66CA">
              <w:rPr>
                <w:noProof/>
                <w:color w:val="000000"/>
                <w:highlight w:val="black"/>
              </w:rPr>
              <w:t>''''''''''''''''</w:t>
            </w:r>
          </w:p>
        </w:tc>
      </w:tr>
    </w:tbl>
    <w:p w:rsidR="005756F6" w:rsidRPr="005756F6" w:rsidRDefault="005756F6" w:rsidP="00610C0E">
      <w:pPr>
        <w:pStyle w:val="TableFooter"/>
        <w:tabs>
          <w:tab w:val="left" w:pos="142"/>
        </w:tabs>
        <w:ind w:left="142" w:hanging="142"/>
      </w:pPr>
      <w:r w:rsidRPr="005756F6">
        <w:rPr>
          <w:vertAlign w:val="superscript"/>
        </w:rPr>
        <w:t>a</w:t>
      </w:r>
      <w:r>
        <w:tab/>
      </w:r>
      <w:r w:rsidR="00EF7182">
        <w:t>The trial-based probability for mortality at Week 24 was 0.</w:t>
      </w:r>
      <w:r w:rsidR="00776764">
        <w:t>0023</w:t>
      </w:r>
      <w:r w:rsidR="00EF7182">
        <w:t xml:space="preserve"> for letermovir and 0.0</w:t>
      </w:r>
      <w:r w:rsidR="00776764">
        <w:t>091</w:t>
      </w:r>
      <w:r w:rsidR="00EF7182">
        <w:t xml:space="preserve"> for placebo.</w:t>
      </w:r>
      <w:r w:rsidR="005859EC">
        <w:t xml:space="preserve"> </w:t>
      </w:r>
      <w:r w:rsidR="00EF7182">
        <w:t xml:space="preserve">At Week 48 the values applied were </w:t>
      </w:r>
      <w:r w:rsidR="00776764">
        <w:t>0.0036 for letermovir and 0.0077 for placebo.</w:t>
      </w:r>
    </w:p>
    <w:p w:rsidR="00F6639C" w:rsidRDefault="00F6639C" w:rsidP="00610C0E">
      <w:pPr>
        <w:pStyle w:val="TableFooter"/>
      </w:pPr>
      <w:r>
        <w:t>CMV=cytomegalovirus; PET=pre-emptive therapy</w:t>
      </w:r>
    </w:p>
    <w:p w:rsidR="005F7ADD" w:rsidRDefault="00F6639C" w:rsidP="00610C0E">
      <w:pPr>
        <w:pStyle w:val="TableFooter"/>
      </w:pPr>
      <w:r>
        <w:t>Source: Table 3-16, p95-97 of the resubmission.</w:t>
      </w:r>
    </w:p>
    <w:p w:rsidR="00CB1663" w:rsidRPr="003E7699" w:rsidRDefault="00CB1663" w:rsidP="00B64796">
      <w:pPr>
        <w:spacing w:before="120" w:after="120"/>
      </w:pPr>
      <w:r w:rsidRPr="003E7699">
        <w:t>The redacted table shows ICERs in the range of less than 15,000/QALY to $200,000/QALY</w:t>
      </w:r>
    </w:p>
    <w:p w:rsidR="00184F31" w:rsidRPr="0021510A" w:rsidRDefault="00C46BD1" w:rsidP="00B64796">
      <w:pPr>
        <w:pStyle w:val="ListParagraph"/>
        <w:numPr>
          <w:ilvl w:val="1"/>
          <w:numId w:val="1"/>
        </w:numPr>
        <w:spacing w:before="120" w:after="120"/>
      </w:pPr>
      <w:r w:rsidRPr="0021510A">
        <w:t>The ESC noted that t</w:t>
      </w:r>
      <w:r w:rsidR="00184F31" w:rsidRPr="0021510A">
        <w:t>he economic model demonstrate</w:t>
      </w:r>
      <w:r w:rsidR="002C5F68" w:rsidRPr="0021510A">
        <w:t>d</w:t>
      </w:r>
      <w:r w:rsidR="00184F31" w:rsidRPr="0021510A">
        <w:t xml:space="preserve"> sensitivity to the model time horizon and letermovir treatment duration.</w:t>
      </w:r>
      <w:r w:rsidR="005859EC">
        <w:t xml:space="preserve"> </w:t>
      </w:r>
      <w:r w:rsidR="00184F31" w:rsidRPr="0021510A">
        <w:t>Decreasing model duration to 5 years increased the ICER to $</w:t>
      </w:r>
      <w:r w:rsidR="000E31A6">
        <w:t>15,000</w:t>
      </w:r>
      <w:r w:rsidR="00184F31" w:rsidRPr="0021510A">
        <w:t>/QALY</w:t>
      </w:r>
      <w:r w:rsidR="000E31A6">
        <w:t xml:space="preserve"> to $45,000/QALY</w:t>
      </w:r>
      <w:r w:rsidR="00184F31" w:rsidRPr="0021510A">
        <w:t xml:space="preserve"> from the base case $</w:t>
      </w:r>
      <w:r w:rsidR="000E31A6">
        <w:t>15,000</w:t>
      </w:r>
      <w:r w:rsidR="00184F31" w:rsidRPr="0021510A">
        <w:t>/QALY</w:t>
      </w:r>
      <w:r w:rsidR="000E31A6">
        <w:t xml:space="preserve"> to $45,000/QALY</w:t>
      </w:r>
      <w:r w:rsidR="00184F31" w:rsidRPr="0021510A">
        <w:t>.</w:t>
      </w:r>
      <w:r w:rsidR="005859EC">
        <w:t xml:space="preserve"> </w:t>
      </w:r>
      <w:r w:rsidR="00184F31" w:rsidRPr="0021510A">
        <w:t>Increasing letermovir treatment duration to 100 days increased the ICER to $</w:t>
      </w:r>
      <w:r w:rsidR="000E31A6">
        <w:t>15,000</w:t>
      </w:r>
      <w:r w:rsidR="00184F31" w:rsidRPr="0021510A">
        <w:t>/QALY</w:t>
      </w:r>
      <w:r w:rsidR="000E31A6">
        <w:t xml:space="preserve"> to $45,000/QALY</w:t>
      </w:r>
      <w:r w:rsidR="00184F31" w:rsidRPr="0021510A">
        <w:t>.</w:t>
      </w:r>
      <w:r w:rsidR="005859EC">
        <w:t xml:space="preserve"> </w:t>
      </w:r>
      <w:r w:rsidR="00184F31" w:rsidRPr="0021510A">
        <w:t>Applying both changes concurrently increased the ICER to $</w:t>
      </w:r>
      <w:r w:rsidR="00CB1663">
        <w:t>4</w:t>
      </w:r>
      <w:r w:rsidR="000E31A6">
        <w:t>5,000</w:t>
      </w:r>
      <w:r w:rsidR="00184F31" w:rsidRPr="0021510A">
        <w:t>/QALY</w:t>
      </w:r>
      <w:r w:rsidR="000E31A6">
        <w:t xml:space="preserve"> to </w:t>
      </w:r>
      <w:r w:rsidR="00CB1663">
        <w:t>75,000/QALY</w:t>
      </w:r>
      <w:r w:rsidR="00184F31" w:rsidRPr="0021510A">
        <w:t>.</w:t>
      </w:r>
    </w:p>
    <w:p w:rsidR="005C4915" w:rsidRPr="0021510A" w:rsidRDefault="00C46BD1" w:rsidP="00B64796">
      <w:pPr>
        <w:pStyle w:val="ListParagraph"/>
        <w:numPr>
          <w:ilvl w:val="1"/>
          <w:numId w:val="1"/>
        </w:numPr>
        <w:spacing w:after="120"/>
      </w:pPr>
      <w:r w:rsidRPr="0021510A">
        <w:t>The ESC noted that t</w:t>
      </w:r>
      <w:r w:rsidR="005C4915" w:rsidRPr="0021510A">
        <w:t xml:space="preserve">he model also demonstrated sensitivity to hospitalisation costs, with the ICER varying when </w:t>
      </w:r>
      <w:r w:rsidR="002C5F68" w:rsidRPr="0021510A">
        <w:t xml:space="preserve">this </w:t>
      </w:r>
      <w:r w:rsidR="005C4915" w:rsidRPr="0021510A">
        <w:t>cost was increased or decreased and also when the proportion hospitalised was altered.</w:t>
      </w:r>
      <w:r w:rsidR="005859EC">
        <w:t xml:space="preserve"> </w:t>
      </w:r>
      <w:r w:rsidR="00186E09" w:rsidRPr="0021510A">
        <w:t xml:space="preserve">Utility values were trial based and the </w:t>
      </w:r>
      <w:r w:rsidR="001A6448" w:rsidRPr="0021510A">
        <w:t>sensitivity analyses</w:t>
      </w:r>
      <w:r w:rsidR="002C5F68" w:rsidRPr="0021510A">
        <w:t xml:space="preserve">, which </w:t>
      </w:r>
      <w:r w:rsidR="00186E09" w:rsidRPr="0021510A">
        <w:t xml:space="preserve">also </w:t>
      </w:r>
      <w:r w:rsidR="002C5F68" w:rsidRPr="0021510A">
        <w:t xml:space="preserve">were </w:t>
      </w:r>
      <w:r w:rsidR="00186E09" w:rsidRPr="0021510A">
        <w:t>trial-based</w:t>
      </w:r>
      <w:r w:rsidR="002C5F68" w:rsidRPr="0021510A">
        <w:t>,</w:t>
      </w:r>
      <w:r w:rsidR="00186E09" w:rsidRPr="0021510A">
        <w:t xml:space="preserve"> showed little impact on the ICER.</w:t>
      </w:r>
    </w:p>
    <w:p w:rsidR="00B04AB9" w:rsidRPr="0021510A" w:rsidRDefault="00186E09" w:rsidP="00B64796">
      <w:pPr>
        <w:pStyle w:val="ListParagraph"/>
        <w:numPr>
          <w:ilvl w:val="1"/>
          <w:numId w:val="1"/>
        </w:numPr>
        <w:spacing w:after="120"/>
      </w:pPr>
      <w:r w:rsidRPr="0021510A">
        <w:t>The resubmission provided no sensitivity analyses of the pro</w:t>
      </w:r>
      <w:r w:rsidR="007D3D9F" w:rsidRPr="0021510A">
        <w:t>bability of CMV infection, the key clinical outcome in Trial P001.</w:t>
      </w:r>
      <w:r w:rsidR="005859EC">
        <w:t xml:space="preserve"> </w:t>
      </w:r>
      <w:r w:rsidR="002F3F39" w:rsidRPr="0021510A">
        <w:t>If a 50% decrease in the probability of CMV infection was assumed the ICER increased to $</w:t>
      </w:r>
      <w:r w:rsidR="00CB1663">
        <w:t>45,000</w:t>
      </w:r>
      <w:r w:rsidR="002F3F39" w:rsidRPr="0021510A">
        <w:t xml:space="preserve">/QALY </w:t>
      </w:r>
      <w:r w:rsidR="00CB1663">
        <w:t xml:space="preserve">to 75,000/QALY </w:t>
      </w:r>
      <w:r w:rsidR="002F3F39" w:rsidRPr="0021510A">
        <w:t xml:space="preserve">and </w:t>
      </w:r>
      <w:r w:rsidR="006C0BA7" w:rsidRPr="0021510A">
        <w:t xml:space="preserve">if </w:t>
      </w:r>
      <w:r w:rsidR="002F3F39" w:rsidRPr="0021510A">
        <w:t xml:space="preserve">a 50% increase was assumed the ICER decreased to </w:t>
      </w:r>
      <w:r w:rsidR="00CB1663">
        <w:t xml:space="preserve">less than </w:t>
      </w:r>
      <w:r w:rsidR="002F3F39" w:rsidRPr="0021510A">
        <w:t>$</w:t>
      </w:r>
      <w:r w:rsidR="00CB1663">
        <w:t>15,000</w:t>
      </w:r>
      <w:r w:rsidR="00B04AB9" w:rsidRPr="0021510A">
        <w:t>/QALY.</w:t>
      </w:r>
      <w:r w:rsidR="005859EC">
        <w:t xml:space="preserve"> </w:t>
      </w:r>
    </w:p>
    <w:p w:rsidR="00C25D9C" w:rsidRPr="0012364A" w:rsidRDefault="00B04AB9" w:rsidP="001D0CA3">
      <w:pPr>
        <w:pStyle w:val="ListParagraph"/>
        <w:numPr>
          <w:ilvl w:val="1"/>
          <w:numId w:val="1"/>
        </w:numPr>
        <w:spacing w:after="120"/>
      </w:pPr>
      <w:r w:rsidRPr="0021510A">
        <w:lastRenderedPageBreak/>
        <w:t>For mortality the resubmission</w:t>
      </w:r>
      <w:r w:rsidR="002C5F68" w:rsidRPr="0021510A">
        <w:t xml:space="preserve"> presented a sensitivity analysis using</w:t>
      </w:r>
      <w:r w:rsidRPr="0021510A">
        <w:t xml:space="preserve"> ABMTRR data in the placebo arm</w:t>
      </w:r>
      <w:r w:rsidR="002C5F68" w:rsidRPr="0021510A">
        <w:t>; this</w:t>
      </w:r>
      <w:r w:rsidRPr="0021510A">
        <w:t xml:space="preserve"> increas</w:t>
      </w:r>
      <w:r w:rsidR="002C5F68" w:rsidRPr="0021510A">
        <w:t>ed</w:t>
      </w:r>
      <w:r w:rsidRPr="0021510A">
        <w:t xml:space="preserve"> the ICER to $</w:t>
      </w:r>
      <w:r w:rsidR="00CB1663">
        <w:t>15,000</w:t>
      </w:r>
      <w:r w:rsidRPr="0021510A">
        <w:t>/QALY</w:t>
      </w:r>
      <w:r w:rsidR="00CB1663">
        <w:t xml:space="preserve"> to $45,000/QALY</w:t>
      </w:r>
      <w:r w:rsidRPr="0021510A">
        <w:t>.</w:t>
      </w:r>
      <w:r w:rsidR="005859EC">
        <w:t xml:space="preserve"> </w:t>
      </w:r>
      <w:r w:rsidR="002C5F68" w:rsidRPr="0021510A">
        <w:t>Applying</w:t>
      </w:r>
      <w:r w:rsidR="004923BA" w:rsidRPr="0021510A">
        <w:t xml:space="preserve"> a 50% increase </w:t>
      </w:r>
      <w:r w:rsidR="002C5F68" w:rsidRPr="0021510A">
        <w:t xml:space="preserve">to </w:t>
      </w:r>
      <w:r w:rsidR="004923BA" w:rsidRPr="0021510A">
        <w:t xml:space="preserve">the </w:t>
      </w:r>
      <w:r w:rsidR="002C5F68" w:rsidRPr="0021510A">
        <w:t xml:space="preserve">mortality </w:t>
      </w:r>
      <w:r w:rsidR="004923BA" w:rsidRPr="0021510A">
        <w:t>rates de</w:t>
      </w:r>
      <w:r w:rsidR="00C03196" w:rsidRPr="0021510A">
        <w:t>creased</w:t>
      </w:r>
      <w:r w:rsidR="002C5F68" w:rsidRPr="0021510A">
        <w:t xml:space="preserve"> the ICER</w:t>
      </w:r>
      <w:r w:rsidR="00C03196" w:rsidRPr="0021510A">
        <w:t xml:space="preserve"> to</w:t>
      </w:r>
      <w:r w:rsidR="00CB1663">
        <w:t xml:space="preserve"> less than</w:t>
      </w:r>
      <w:r w:rsidR="005859EC">
        <w:t xml:space="preserve"> </w:t>
      </w:r>
      <w:r w:rsidR="00C03196" w:rsidRPr="0021510A">
        <w:t>$</w:t>
      </w:r>
      <w:r w:rsidR="00CB1663">
        <w:t>15,000</w:t>
      </w:r>
      <w:r w:rsidR="00C03196" w:rsidRPr="0021510A">
        <w:t>/QALY</w:t>
      </w:r>
      <w:r w:rsidR="002C5F68" w:rsidRPr="0021510A">
        <w:t>. Applying a 50% decrease to the mortality rate</w:t>
      </w:r>
      <w:r w:rsidR="00C03196" w:rsidRPr="0021510A">
        <w:t xml:space="preserve"> increased</w:t>
      </w:r>
      <w:r w:rsidR="002C5F68" w:rsidRPr="0021510A">
        <w:t xml:space="preserve"> the ICER</w:t>
      </w:r>
      <w:r w:rsidR="00C03196" w:rsidRPr="0021510A">
        <w:t xml:space="preserve"> to $</w:t>
      </w:r>
      <w:r w:rsidR="00CB1663">
        <w:t>75,000</w:t>
      </w:r>
      <w:r w:rsidR="00C03196" w:rsidRPr="0021510A">
        <w:t>/QALY</w:t>
      </w:r>
      <w:r w:rsidR="00CB1663">
        <w:t xml:space="preserve"> to $105,000/QALY</w:t>
      </w:r>
      <w:r w:rsidR="002C5F68" w:rsidRPr="0021510A">
        <w:t xml:space="preserve">. This </w:t>
      </w:r>
      <w:r w:rsidR="00F83984" w:rsidRPr="0021510A">
        <w:t>demonstrat</w:t>
      </w:r>
      <w:r w:rsidR="002C5F68" w:rsidRPr="0021510A">
        <w:t>es</w:t>
      </w:r>
      <w:r w:rsidR="00FE5F50" w:rsidRPr="0021510A">
        <w:t xml:space="preserve"> the model result is</w:t>
      </w:r>
      <w:r w:rsidR="00F83984" w:rsidRPr="0021510A">
        <w:t xml:space="preserve"> sensitivity</w:t>
      </w:r>
      <w:r w:rsidR="00A8302F" w:rsidRPr="0021510A">
        <w:t xml:space="preserve"> to the assumed probability of </w:t>
      </w:r>
      <w:r w:rsidR="0042317A" w:rsidRPr="0021510A">
        <w:t>CMV-related mortality</w:t>
      </w:r>
      <w:r w:rsidR="00A8302F" w:rsidRPr="0021510A">
        <w:t>.</w:t>
      </w:r>
      <w:r w:rsidR="005859EC">
        <w:t xml:space="preserve"> </w:t>
      </w:r>
      <w:r w:rsidR="00D30E36" w:rsidRPr="0021510A">
        <w:t>The clinical evidence presented by the resubmission did not</w:t>
      </w:r>
      <w:r w:rsidR="001E6007" w:rsidRPr="0021510A">
        <w:t xml:space="preserve"> conclusively demonstrate a difference in mortality attributable to letermovir treatment and CMV infection.</w:t>
      </w:r>
    </w:p>
    <w:p w:rsidR="00C25D9C" w:rsidRPr="00C25D9C" w:rsidRDefault="00C25D9C" w:rsidP="005859EC">
      <w:pPr>
        <w:pStyle w:val="Heading2"/>
        <w:spacing w:after="120"/>
      </w:pPr>
      <w:bookmarkStart w:id="11" w:name="_Toc536019888"/>
      <w:r w:rsidRPr="002C2775">
        <w:t>Drug cost/patient/course</w:t>
      </w:r>
      <w:bookmarkEnd w:id="11"/>
    </w:p>
    <w:p w:rsidR="008223DC" w:rsidRPr="003F7F24" w:rsidRDefault="008223DC" w:rsidP="00610C0E">
      <w:pPr>
        <w:pStyle w:val="ListParagraph"/>
        <w:keepNext/>
        <w:numPr>
          <w:ilvl w:val="1"/>
          <w:numId w:val="1"/>
        </w:numPr>
        <w:spacing w:after="120"/>
      </w:pPr>
      <w:r w:rsidRPr="003F7F24">
        <w:t xml:space="preserve">The resubmission provided the cost of letermovir </w:t>
      </w:r>
      <w:r w:rsidR="00B6675A" w:rsidRPr="003F7F24">
        <w:t>assuming a</w:t>
      </w:r>
      <w:r w:rsidRPr="003F7F24">
        <w:t xml:space="preserve"> treatment duration of 78 days.</w:t>
      </w:r>
      <w:r w:rsidR="005859EC">
        <w:t xml:space="preserve"> </w:t>
      </w:r>
      <w:r w:rsidRPr="003F7F24">
        <w:t xml:space="preserve">The cost provided was based on the assumption that </w:t>
      </w:r>
      <w:r w:rsidR="00AE66CA">
        <w:rPr>
          <w:noProof/>
          <w:color w:val="000000"/>
          <w:highlight w:val="black"/>
        </w:rPr>
        <w:t>''''''</w:t>
      </w:r>
      <w:r w:rsidRPr="003F7F24">
        <w:t xml:space="preserve">% </w:t>
      </w:r>
      <w:r w:rsidR="003A0C26" w:rsidRPr="003F7F24">
        <w:t>of</w:t>
      </w:r>
      <w:r w:rsidRPr="003F7F24">
        <w:t xml:space="preserve"> patients would use cyclosporin and also included a portion of patients discontinuing drug due to death.</w:t>
      </w:r>
      <w:r w:rsidR="005859EC">
        <w:t xml:space="preserve"> </w:t>
      </w:r>
      <w:r w:rsidRPr="003F7F24">
        <w:t>The July 2018 submission had not included drug discontinuation</w:t>
      </w:r>
      <w:r w:rsidR="002A64C1" w:rsidRPr="003F7F24">
        <w:t xml:space="preserve"> due to death</w:t>
      </w:r>
      <w:r w:rsidRPr="003F7F24">
        <w:t xml:space="preserve"> in its estimate.</w:t>
      </w:r>
      <w:r w:rsidR="005859EC">
        <w:t xml:space="preserve"> </w:t>
      </w:r>
      <w:r w:rsidRPr="003F7F24">
        <w:t>The cost of treatment with letermovir as presented by the resubmission is provided in the table below, along with the July 2018 cost for reference.</w:t>
      </w:r>
      <w:r w:rsidR="005859EC">
        <w:t xml:space="preserve"> </w:t>
      </w:r>
      <w:r w:rsidR="00033BF1" w:rsidRPr="003F7F24">
        <w:t>Costs for additional treatment durations (100 days as recommended in the PI and 112 days as available under the requested restriction) are also provided.</w:t>
      </w:r>
    </w:p>
    <w:p w:rsidR="008223DC" w:rsidRDefault="008F4355" w:rsidP="00610C0E">
      <w:r w:rsidRPr="00401364">
        <w:rPr>
          <w:rFonts w:ascii="Arial Narrow" w:hAnsi="Arial Narrow"/>
          <w:b/>
          <w:sz w:val="20"/>
          <w:szCs w:val="20"/>
        </w:rPr>
        <w:t xml:space="preserve">Table </w:t>
      </w:r>
      <w:r w:rsidR="000D0E6D">
        <w:rPr>
          <w:rFonts w:ascii="Arial Narrow" w:hAnsi="Arial Narrow"/>
          <w:b/>
          <w:noProof/>
          <w:sz w:val="20"/>
          <w:szCs w:val="20"/>
        </w:rPr>
        <w:t>17</w:t>
      </w:r>
      <w:r>
        <w:rPr>
          <w:rFonts w:ascii="Arial Narrow" w:hAnsi="Arial Narrow"/>
          <w:b/>
          <w:noProof/>
          <w:sz w:val="20"/>
          <w:szCs w:val="20"/>
        </w:rPr>
        <w:t>:</w:t>
      </w:r>
      <w:r w:rsidRPr="001222FC">
        <w:rPr>
          <w:rStyle w:val="CommentReference"/>
        </w:rPr>
        <w:t xml:space="preserve"> </w:t>
      </w:r>
      <w:r w:rsidRPr="009E31ED">
        <w:rPr>
          <w:rFonts w:ascii="Arial Narrow" w:hAnsi="Arial Narrow"/>
          <w:b/>
          <w:sz w:val="20"/>
          <w:szCs w:val="20"/>
        </w:rPr>
        <w:t>Letermovir treatment cost</w:t>
      </w:r>
    </w:p>
    <w:tbl>
      <w:tblPr>
        <w:tblStyle w:val="TableGrid"/>
        <w:tblW w:w="9100" w:type="dxa"/>
        <w:tblCellMar>
          <w:left w:w="28" w:type="dxa"/>
          <w:right w:w="28" w:type="dxa"/>
        </w:tblCellMar>
        <w:tblLook w:val="04A0" w:firstRow="1" w:lastRow="0" w:firstColumn="1" w:lastColumn="0" w:noHBand="0" w:noVBand="1"/>
        <w:tblCaption w:val="Table 17: Letermovir treatment cost"/>
      </w:tblPr>
      <w:tblGrid>
        <w:gridCol w:w="2262"/>
        <w:gridCol w:w="1475"/>
        <w:gridCol w:w="3662"/>
        <w:gridCol w:w="1701"/>
      </w:tblGrid>
      <w:tr w:rsidR="008F4355" w:rsidRPr="009E31ED" w:rsidTr="00B554A0">
        <w:trPr>
          <w:tblHeader/>
        </w:trPr>
        <w:tc>
          <w:tcPr>
            <w:tcW w:w="2262" w:type="dxa"/>
            <w:vAlign w:val="center"/>
          </w:tcPr>
          <w:p w:rsidR="008F4355" w:rsidRPr="009E31ED" w:rsidRDefault="008F4355" w:rsidP="00610C0E">
            <w:pPr>
              <w:jc w:val="left"/>
              <w:rPr>
                <w:rFonts w:ascii="Arial Narrow" w:hAnsi="Arial Narrow"/>
                <w:b/>
                <w:sz w:val="20"/>
                <w:szCs w:val="20"/>
              </w:rPr>
            </w:pPr>
            <w:r>
              <w:rPr>
                <w:rFonts w:ascii="Arial Narrow" w:hAnsi="Arial Narrow"/>
                <w:b/>
                <w:sz w:val="20"/>
                <w:szCs w:val="20"/>
              </w:rPr>
              <w:t>Dose</w:t>
            </w:r>
          </w:p>
        </w:tc>
        <w:tc>
          <w:tcPr>
            <w:tcW w:w="1475" w:type="dxa"/>
            <w:vAlign w:val="center"/>
          </w:tcPr>
          <w:p w:rsidR="008F4355" w:rsidRPr="009E31ED" w:rsidRDefault="008F4355" w:rsidP="00610C0E">
            <w:pPr>
              <w:jc w:val="center"/>
              <w:rPr>
                <w:rFonts w:ascii="Arial Narrow" w:hAnsi="Arial Narrow"/>
                <w:b/>
                <w:sz w:val="20"/>
                <w:szCs w:val="20"/>
              </w:rPr>
            </w:pPr>
            <w:r>
              <w:rPr>
                <w:rFonts w:ascii="Arial Narrow" w:hAnsi="Arial Narrow"/>
                <w:b/>
                <w:sz w:val="20"/>
                <w:szCs w:val="20"/>
              </w:rPr>
              <w:t>Cost/day ($</w:t>
            </w:r>
            <w:r w:rsidR="00AE66CA">
              <w:rPr>
                <w:rFonts w:ascii="Arial Narrow" w:hAnsi="Arial Narrow"/>
                <w:b/>
                <w:noProof/>
                <w:color w:val="000000"/>
                <w:sz w:val="20"/>
                <w:szCs w:val="20"/>
                <w:highlight w:val="black"/>
              </w:rPr>
              <w:t>'''''''''''''''</w:t>
            </w:r>
            <w:r>
              <w:rPr>
                <w:rFonts w:ascii="Arial Narrow" w:hAnsi="Arial Narrow"/>
                <w:b/>
                <w:sz w:val="20"/>
                <w:szCs w:val="20"/>
              </w:rPr>
              <w:t>/pack)</w:t>
            </w:r>
          </w:p>
        </w:tc>
        <w:tc>
          <w:tcPr>
            <w:tcW w:w="3662" w:type="dxa"/>
            <w:vAlign w:val="center"/>
          </w:tcPr>
          <w:p w:rsidR="008F4355" w:rsidRPr="009E31ED" w:rsidRDefault="008F4355" w:rsidP="00610C0E">
            <w:pPr>
              <w:jc w:val="center"/>
              <w:rPr>
                <w:rFonts w:ascii="Arial Narrow" w:hAnsi="Arial Narrow"/>
                <w:b/>
                <w:sz w:val="20"/>
                <w:szCs w:val="20"/>
              </w:rPr>
            </w:pPr>
            <w:r>
              <w:rPr>
                <w:rFonts w:ascii="Arial Narrow" w:hAnsi="Arial Narrow"/>
                <w:b/>
                <w:sz w:val="20"/>
                <w:szCs w:val="20"/>
              </w:rPr>
              <w:t>Treatment duration</w:t>
            </w:r>
          </w:p>
        </w:tc>
        <w:tc>
          <w:tcPr>
            <w:tcW w:w="1701" w:type="dxa"/>
            <w:vAlign w:val="center"/>
          </w:tcPr>
          <w:p w:rsidR="008F4355" w:rsidRPr="009E31ED" w:rsidRDefault="008F4355" w:rsidP="00610C0E">
            <w:pPr>
              <w:jc w:val="center"/>
              <w:rPr>
                <w:rFonts w:ascii="Arial Narrow" w:hAnsi="Arial Narrow"/>
                <w:b/>
                <w:sz w:val="20"/>
                <w:szCs w:val="20"/>
              </w:rPr>
            </w:pPr>
            <w:r>
              <w:rPr>
                <w:rFonts w:ascii="Arial Narrow" w:hAnsi="Arial Narrow"/>
                <w:b/>
                <w:sz w:val="20"/>
                <w:szCs w:val="20"/>
              </w:rPr>
              <w:t>Treatment cost</w:t>
            </w:r>
          </w:p>
        </w:tc>
      </w:tr>
      <w:tr w:rsidR="008F4355" w:rsidRPr="00A76EE2" w:rsidTr="00B554A0">
        <w:tc>
          <w:tcPr>
            <w:tcW w:w="9100" w:type="dxa"/>
            <w:gridSpan w:val="4"/>
            <w:tcBorders>
              <w:top w:val="single" w:sz="4" w:space="0" w:color="auto"/>
            </w:tcBorders>
            <w:vAlign w:val="center"/>
          </w:tcPr>
          <w:p w:rsidR="008F4355" w:rsidRPr="00A76EE2" w:rsidRDefault="008F4355" w:rsidP="00610C0E">
            <w:pPr>
              <w:jc w:val="left"/>
              <w:rPr>
                <w:rFonts w:ascii="Arial Narrow" w:hAnsi="Arial Narrow"/>
                <w:b/>
                <w:sz w:val="20"/>
                <w:szCs w:val="20"/>
              </w:rPr>
            </w:pPr>
            <w:r>
              <w:rPr>
                <w:rFonts w:ascii="Arial Narrow" w:hAnsi="Arial Narrow"/>
                <w:b/>
                <w:sz w:val="20"/>
                <w:szCs w:val="20"/>
              </w:rPr>
              <w:t>Resubmission</w:t>
            </w:r>
          </w:p>
        </w:tc>
      </w:tr>
      <w:tr w:rsidR="008F4355" w:rsidTr="00B554A0">
        <w:tc>
          <w:tcPr>
            <w:tcW w:w="2262" w:type="dxa"/>
            <w:vMerge w:val="restart"/>
            <w:tcBorders>
              <w:top w:val="single" w:sz="4" w:space="0" w:color="auto"/>
            </w:tcBorders>
            <w:vAlign w:val="center"/>
          </w:tcPr>
          <w:p w:rsidR="008F4355" w:rsidRDefault="00AE66CA" w:rsidP="00610C0E">
            <w:pPr>
              <w:jc w:val="left"/>
              <w:rPr>
                <w:rFonts w:ascii="Arial Narrow" w:hAnsi="Arial Narrow"/>
                <w:sz w:val="20"/>
                <w:szCs w:val="20"/>
              </w:rPr>
            </w:pPr>
            <w:r>
              <w:rPr>
                <w:rFonts w:ascii="Arial Narrow" w:hAnsi="Arial Narrow"/>
                <w:noProof/>
                <w:color w:val="000000"/>
                <w:sz w:val="20"/>
                <w:szCs w:val="20"/>
                <w:highlight w:val="black"/>
              </w:rPr>
              <w:t>'''''''</w:t>
            </w:r>
            <w:r w:rsidR="008F4355">
              <w:rPr>
                <w:rFonts w:ascii="Arial Narrow" w:hAnsi="Arial Narrow"/>
                <w:sz w:val="20"/>
                <w:szCs w:val="20"/>
              </w:rPr>
              <w:t xml:space="preserve">% </w:t>
            </w:r>
            <w:r w:rsidR="003A0C26">
              <w:rPr>
                <w:rFonts w:ascii="Arial Narrow" w:hAnsi="Arial Narrow"/>
                <w:sz w:val="20"/>
                <w:szCs w:val="20"/>
              </w:rPr>
              <w:t xml:space="preserve">using </w:t>
            </w:r>
            <w:r w:rsidR="008F4355">
              <w:rPr>
                <w:rFonts w:ascii="Arial Narrow" w:hAnsi="Arial Narrow"/>
                <w:sz w:val="20"/>
                <w:szCs w:val="20"/>
              </w:rPr>
              <w:t xml:space="preserve">240mg/day and </w:t>
            </w:r>
            <w:r>
              <w:rPr>
                <w:rFonts w:ascii="Arial Narrow" w:hAnsi="Arial Narrow"/>
                <w:noProof/>
                <w:color w:val="000000"/>
                <w:sz w:val="20"/>
                <w:szCs w:val="20"/>
                <w:highlight w:val="black"/>
              </w:rPr>
              <w:t>'''</w:t>
            </w:r>
            <w:r w:rsidR="008F4355">
              <w:rPr>
                <w:rFonts w:ascii="Arial Narrow" w:hAnsi="Arial Narrow"/>
                <w:sz w:val="20"/>
                <w:szCs w:val="20"/>
              </w:rPr>
              <w:t>% using 480mg/day</w:t>
            </w:r>
          </w:p>
        </w:tc>
        <w:tc>
          <w:tcPr>
            <w:tcW w:w="1475" w:type="dxa"/>
            <w:vMerge w:val="restart"/>
            <w:tcBorders>
              <w:top w:val="single" w:sz="4" w:space="0" w:color="auto"/>
            </w:tcBorders>
            <w:vAlign w:val="center"/>
          </w:tcPr>
          <w:p w:rsidR="008F4355" w:rsidRDefault="008F4355" w:rsidP="00610C0E">
            <w:pPr>
              <w:jc w:val="center"/>
              <w:rPr>
                <w:rFonts w:ascii="Arial Narrow" w:hAnsi="Arial Narrow"/>
                <w:sz w:val="20"/>
                <w:szCs w:val="20"/>
              </w:rPr>
            </w:pPr>
            <w:r>
              <w:rPr>
                <w:rFonts w:ascii="Arial Narrow" w:hAnsi="Arial Narrow"/>
                <w:sz w:val="20"/>
                <w:szCs w:val="20"/>
              </w:rPr>
              <w:t>$</w:t>
            </w:r>
            <w:r w:rsidR="00AE66CA">
              <w:rPr>
                <w:rFonts w:ascii="Arial Narrow" w:hAnsi="Arial Narrow"/>
                <w:noProof/>
                <w:color w:val="000000"/>
                <w:sz w:val="20"/>
                <w:szCs w:val="20"/>
                <w:highlight w:val="black"/>
              </w:rPr>
              <w:t>'''''''''''''''</w:t>
            </w:r>
          </w:p>
        </w:tc>
        <w:tc>
          <w:tcPr>
            <w:tcW w:w="3662" w:type="dxa"/>
            <w:tcBorders>
              <w:top w:val="single" w:sz="4" w:space="0" w:color="auto"/>
              <w:bottom w:val="single" w:sz="4" w:space="0" w:color="auto"/>
            </w:tcBorders>
            <w:vAlign w:val="center"/>
          </w:tcPr>
          <w:p w:rsidR="008F4355" w:rsidRDefault="008F4355" w:rsidP="00610C0E">
            <w:pPr>
              <w:jc w:val="left"/>
              <w:rPr>
                <w:rFonts w:ascii="Arial Narrow" w:hAnsi="Arial Narrow"/>
                <w:sz w:val="20"/>
                <w:szCs w:val="20"/>
              </w:rPr>
            </w:pPr>
            <w:r>
              <w:rPr>
                <w:rFonts w:ascii="Arial Narrow" w:hAnsi="Arial Narrow"/>
                <w:sz w:val="20"/>
                <w:szCs w:val="20"/>
              </w:rPr>
              <w:t>78 days – Trial P001 and as used in the model</w:t>
            </w:r>
          </w:p>
        </w:tc>
        <w:tc>
          <w:tcPr>
            <w:tcW w:w="1701" w:type="dxa"/>
            <w:tcBorders>
              <w:top w:val="single" w:sz="4" w:space="0" w:color="auto"/>
              <w:bottom w:val="single" w:sz="4" w:space="0" w:color="auto"/>
            </w:tcBorders>
            <w:vAlign w:val="center"/>
          </w:tcPr>
          <w:p w:rsidR="008F4355" w:rsidRDefault="008F4355" w:rsidP="00610C0E">
            <w:pPr>
              <w:jc w:val="center"/>
              <w:rPr>
                <w:rFonts w:ascii="Arial Narrow" w:hAnsi="Arial Narrow"/>
                <w:sz w:val="20"/>
                <w:szCs w:val="20"/>
              </w:rPr>
            </w:pPr>
            <w:r>
              <w:rPr>
                <w:rFonts w:ascii="Arial Narrow" w:hAnsi="Arial Narrow"/>
                <w:sz w:val="20"/>
                <w:szCs w:val="20"/>
              </w:rPr>
              <w:t>$</w:t>
            </w:r>
            <w:r w:rsidR="00AE66CA">
              <w:rPr>
                <w:rFonts w:ascii="Arial Narrow" w:hAnsi="Arial Narrow"/>
                <w:noProof/>
                <w:color w:val="000000"/>
                <w:sz w:val="20"/>
                <w:szCs w:val="20"/>
                <w:highlight w:val="black"/>
              </w:rPr>
              <w:t>'''''''''''''''</w:t>
            </w:r>
            <w:r w:rsidRPr="001B2DB3">
              <w:rPr>
                <w:rFonts w:ascii="Arial Narrow" w:hAnsi="Arial Narrow"/>
                <w:sz w:val="20"/>
                <w:szCs w:val="20"/>
                <w:vertAlign w:val="superscript"/>
              </w:rPr>
              <w:t>a</w:t>
            </w:r>
          </w:p>
        </w:tc>
      </w:tr>
      <w:tr w:rsidR="008F4355" w:rsidRPr="001B2DB3" w:rsidTr="00B554A0">
        <w:tc>
          <w:tcPr>
            <w:tcW w:w="2262" w:type="dxa"/>
            <w:vMerge/>
            <w:vAlign w:val="center"/>
          </w:tcPr>
          <w:p w:rsidR="008F4355" w:rsidRDefault="008F4355" w:rsidP="00610C0E">
            <w:pPr>
              <w:jc w:val="left"/>
              <w:rPr>
                <w:rFonts w:ascii="Arial Narrow" w:hAnsi="Arial Narrow"/>
                <w:sz w:val="20"/>
                <w:szCs w:val="20"/>
              </w:rPr>
            </w:pPr>
          </w:p>
        </w:tc>
        <w:tc>
          <w:tcPr>
            <w:tcW w:w="1475" w:type="dxa"/>
            <w:vMerge/>
            <w:vAlign w:val="center"/>
          </w:tcPr>
          <w:p w:rsidR="008F4355" w:rsidRDefault="008F4355" w:rsidP="00610C0E">
            <w:pPr>
              <w:jc w:val="center"/>
              <w:rPr>
                <w:rFonts w:ascii="Arial Narrow" w:hAnsi="Arial Narrow"/>
                <w:sz w:val="20"/>
                <w:szCs w:val="20"/>
              </w:rPr>
            </w:pPr>
          </w:p>
        </w:tc>
        <w:tc>
          <w:tcPr>
            <w:tcW w:w="3662" w:type="dxa"/>
            <w:tcBorders>
              <w:top w:val="single" w:sz="4" w:space="0" w:color="auto"/>
              <w:bottom w:val="single" w:sz="4" w:space="0" w:color="auto"/>
            </w:tcBorders>
            <w:vAlign w:val="center"/>
          </w:tcPr>
          <w:p w:rsidR="008F4355" w:rsidRDefault="008F4355" w:rsidP="00610C0E">
            <w:pPr>
              <w:jc w:val="left"/>
              <w:rPr>
                <w:rFonts w:ascii="Arial Narrow" w:hAnsi="Arial Narrow"/>
                <w:sz w:val="20"/>
                <w:szCs w:val="20"/>
              </w:rPr>
            </w:pPr>
            <w:r>
              <w:rPr>
                <w:rFonts w:ascii="Arial Narrow" w:hAnsi="Arial Narrow"/>
                <w:sz w:val="20"/>
                <w:szCs w:val="20"/>
              </w:rPr>
              <w:t>100 days as recommended in PI</w:t>
            </w:r>
          </w:p>
        </w:tc>
        <w:tc>
          <w:tcPr>
            <w:tcW w:w="1701" w:type="dxa"/>
            <w:tcBorders>
              <w:top w:val="single" w:sz="4" w:space="0" w:color="auto"/>
              <w:bottom w:val="single" w:sz="4" w:space="0" w:color="auto"/>
            </w:tcBorders>
            <w:vAlign w:val="center"/>
          </w:tcPr>
          <w:p w:rsidR="008F4355" w:rsidRPr="001B2DB3" w:rsidRDefault="008F4355" w:rsidP="00610C0E">
            <w:pPr>
              <w:jc w:val="center"/>
              <w:rPr>
                <w:rFonts w:ascii="Arial Narrow" w:hAnsi="Arial Narrow"/>
                <w:sz w:val="20"/>
                <w:szCs w:val="20"/>
                <w:vertAlign w:val="superscript"/>
              </w:rPr>
            </w:pPr>
            <w:r>
              <w:rPr>
                <w:rFonts w:ascii="Arial Narrow" w:hAnsi="Arial Narrow"/>
                <w:sz w:val="20"/>
                <w:szCs w:val="20"/>
              </w:rPr>
              <w:t>$</w:t>
            </w:r>
            <w:r w:rsidR="00AE66CA">
              <w:rPr>
                <w:rFonts w:ascii="Arial Narrow" w:hAnsi="Arial Narrow"/>
                <w:noProof/>
                <w:color w:val="000000"/>
                <w:sz w:val="20"/>
                <w:szCs w:val="20"/>
                <w:highlight w:val="black"/>
              </w:rPr>
              <w:t>'''''''''''''''</w:t>
            </w:r>
            <w:r>
              <w:rPr>
                <w:rFonts w:ascii="Arial Narrow" w:hAnsi="Arial Narrow"/>
                <w:sz w:val="20"/>
                <w:szCs w:val="20"/>
                <w:vertAlign w:val="superscript"/>
              </w:rPr>
              <w:t>a</w:t>
            </w:r>
          </w:p>
        </w:tc>
      </w:tr>
      <w:tr w:rsidR="008F4355" w:rsidRPr="001B2DB3" w:rsidTr="00B554A0">
        <w:tc>
          <w:tcPr>
            <w:tcW w:w="2262" w:type="dxa"/>
            <w:vMerge/>
            <w:vAlign w:val="center"/>
          </w:tcPr>
          <w:p w:rsidR="008F4355" w:rsidRDefault="008F4355" w:rsidP="00610C0E">
            <w:pPr>
              <w:jc w:val="left"/>
              <w:rPr>
                <w:rFonts w:ascii="Arial Narrow" w:hAnsi="Arial Narrow"/>
                <w:sz w:val="20"/>
                <w:szCs w:val="20"/>
              </w:rPr>
            </w:pPr>
          </w:p>
        </w:tc>
        <w:tc>
          <w:tcPr>
            <w:tcW w:w="1475" w:type="dxa"/>
            <w:vMerge/>
            <w:tcBorders>
              <w:bottom w:val="single" w:sz="4" w:space="0" w:color="auto"/>
            </w:tcBorders>
            <w:vAlign w:val="center"/>
          </w:tcPr>
          <w:p w:rsidR="008F4355" w:rsidRDefault="008F4355" w:rsidP="00610C0E">
            <w:pPr>
              <w:jc w:val="center"/>
              <w:rPr>
                <w:rFonts w:ascii="Arial Narrow" w:hAnsi="Arial Narrow"/>
                <w:sz w:val="20"/>
                <w:szCs w:val="20"/>
              </w:rPr>
            </w:pPr>
          </w:p>
        </w:tc>
        <w:tc>
          <w:tcPr>
            <w:tcW w:w="3662" w:type="dxa"/>
            <w:tcBorders>
              <w:top w:val="single" w:sz="4" w:space="0" w:color="auto"/>
              <w:bottom w:val="single" w:sz="4" w:space="0" w:color="auto"/>
            </w:tcBorders>
            <w:vAlign w:val="center"/>
          </w:tcPr>
          <w:p w:rsidR="008F4355" w:rsidRDefault="008F4355" w:rsidP="00610C0E">
            <w:pPr>
              <w:jc w:val="left"/>
              <w:rPr>
                <w:rFonts w:ascii="Arial Narrow" w:hAnsi="Arial Narrow"/>
                <w:sz w:val="20"/>
                <w:szCs w:val="20"/>
              </w:rPr>
            </w:pPr>
            <w:r>
              <w:rPr>
                <w:rFonts w:ascii="Arial Narrow" w:hAnsi="Arial Narrow"/>
                <w:sz w:val="20"/>
                <w:szCs w:val="20"/>
              </w:rPr>
              <w:t>112 days as under requested restriction</w:t>
            </w:r>
          </w:p>
        </w:tc>
        <w:tc>
          <w:tcPr>
            <w:tcW w:w="1701" w:type="dxa"/>
            <w:tcBorders>
              <w:top w:val="single" w:sz="4" w:space="0" w:color="auto"/>
              <w:bottom w:val="single" w:sz="4" w:space="0" w:color="auto"/>
            </w:tcBorders>
            <w:vAlign w:val="center"/>
          </w:tcPr>
          <w:p w:rsidR="008F4355" w:rsidRPr="001B2DB3" w:rsidRDefault="008F4355" w:rsidP="00610C0E">
            <w:pPr>
              <w:jc w:val="center"/>
              <w:rPr>
                <w:rFonts w:ascii="Arial Narrow" w:hAnsi="Arial Narrow"/>
                <w:sz w:val="20"/>
                <w:szCs w:val="20"/>
                <w:vertAlign w:val="superscript"/>
              </w:rPr>
            </w:pPr>
            <w:r>
              <w:rPr>
                <w:rFonts w:ascii="Arial Narrow" w:hAnsi="Arial Narrow"/>
                <w:sz w:val="20"/>
                <w:szCs w:val="20"/>
              </w:rPr>
              <w:t>$</w:t>
            </w:r>
            <w:r w:rsidR="00AE66CA">
              <w:rPr>
                <w:rFonts w:ascii="Arial Narrow" w:hAnsi="Arial Narrow"/>
                <w:noProof/>
                <w:color w:val="000000"/>
                <w:sz w:val="20"/>
                <w:szCs w:val="20"/>
                <w:highlight w:val="black"/>
              </w:rPr>
              <w:t>''''''''''''''''</w:t>
            </w:r>
            <w:r>
              <w:rPr>
                <w:rFonts w:ascii="Arial Narrow" w:hAnsi="Arial Narrow"/>
                <w:sz w:val="20"/>
                <w:szCs w:val="20"/>
                <w:vertAlign w:val="superscript"/>
              </w:rPr>
              <w:t>a</w:t>
            </w:r>
          </w:p>
        </w:tc>
      </w:tr>
      <w:tr w:rsidR="008F4355" w:rsidRPr="00DC3F26" w:rsidTr="00B554A0">
        <w:tc>
          <w:tcPr>
            <w:tcW w:w="9100" w:type="dxa"/>
            <w:gridSpan w:val="4"/>
            <w:tcBorders>
              <w:top w:val="single" w:sz="4" w:space="0" w:color="auto"/>
            </w:tcBorders>
            <w:vAlign w:val="center"/>
          </w:tcPr>
          <w:p w:rsidR="008F4355" w:rsidRPr="00DC3F26" w:rsidRDefault="008F4355" w:rsidP="00610C0E">
            <w:pPr>
              <w:jc w:val="left"/>
              <w:rPr>
                <w:rFonts w:ascii="Arial Narrow" w:hAnsi="Arial Narrow"/>
                <w:b/>
                <w:sz w:val="20"/>
                <w:szCs w:val="20"/>
              </w:rPr>
            </w:pPr>
            <w:r w:rsidRPr="00DC3F26">
              <w:rPr>
                <w:rFonts w:ascii="Arial Narrow" w:hAnsi="Arial Narrow"/>
                <w:b/>
                <w:sz w:val="20"/>
                <w:szCs w:val="20"/>
              </w:rPr>
              <w:t>July 2018 submission</w:t>
            </w:r>
          </w:p>
        </w:tc>
      </w:tr>
      <w:tr w:rsidR="008F4355" w:rsidRPr="007A5D17" w:rsidTr="00B554A0">
        <w:tc>
          <w:tcPr>
            <w:tcW w:w="2262" w:type="dxa"/>
            <w:vMerge w:val="restart"/>
            <w:tcBorders>
              <w:top w:val="single" w:sz="4" w:space="0" w:color="auto"/>
            </w:tcBorders>
            <w:vAlign w:val="center"/>
          </w:tcPr>
          <w:p w:rsidR="008F4355" w:rsidRDefault="00AE66CA" w:rsidP="00610C0E">
            <w:pPr>
              <w:jc w:val="left"/>
              <w:rPr>
                <w:rFonts w:ascii="Arial Narrow" w:hAnsi="Arial Narrow"/>
                <w:sz w:val="20"/>
                <w:szCs w:val="20"/>
              </w:rPr>
            </w:pPr>
            <w:r>
              <w:rPr>
                <w:rFonts w:ascii="Arial Narrow" w:hAnsi="Arial Narrow"/>
                <w:noProof/>
                <w:color w:val="000000"/>
                <w:sz w:val="20"/>
                <w:szCs w:val="20"/>
                <w:highlight w:val="black"/>
              </w:rPr>
              <w:t>''''''</w:t>
            </w:r>
            <w:r w:rsidR="008F4355">
              <w:rPr>
                <w:rFonts w:ascii="Arial Narrow" w:hAnsi="Arial Narrow"/>
                <w:sz w:val="20"/>
                <w:szCs w:val="20"/>
              </w:rPr>
              <w:t xml:space="preserve">% using 240mg/day and </w:t>
            </w:r>
            <w:r>
              <w:rPr>
                <w:rFonts w:ascii="Arial Narrow" w:hAnsi="Arial Narrow"/>
                <w:noProof/>
                <w:color w:val="000000"/>
                <w:sz w:val="20"/>
                <w:szCs w:val="20"/>
                <w:highlight w:val="black"/>
              </w:rPr>
              <w:t>''''</w:t>
            </w:r>
            <w:r w:rsidR="008F4355">
              <w:rPr>
                <w:rFonts w:ascii="Arial Narrow" w:hAnsi="Arial Narrow"/>
                <w:sz w:val="20"/>
                <w:szCs w:val="20"/>
              </w:rPr>
              <w:t>% using 480mg/day</w:t>
            </w:r>
          </w:p>
        </w:tc>
        <w:tc>
          <w:tcPr>
            <w:tcW w:w="1475" w:type="dxa"/>
            <w:vMerge w:val="restart"/>
            <w:tcBorders>
              <w:top w:val="single" w:sz="4" w:space="0" w:color="auto"/>
            </w:tcBorders>
            <w:vAlign w:val="center"/>
          </w:tcPr>
          <w:p w:rsidR="008F4355" w:rsidRDefault="008F4355" w:rsidP="00610C0E">
            <w:pPr>
              <w:jc w:val="center"/>
              <w:rPr>
                <w:rFonts w:ascii="Arial Narrow" w:hAnsi="Arial Narrow"/>
                <w:sz w:val="20"/>
                <w:szCs w:val="20"/>
              </w:rPr>
            </w:pPr>
            <w:r>
              <w:rPr>
                <w:rFonts w:ascii="Arial Narrow" w:hAnsi="Arial Narrow"/>
                <w:sz w:val="20"/>
                <w:szCs w:val="20"/>
              </w:rPr>
              <w:t>$</w:t>
            </w:r>
            <w:r w:rsidR="00AE66CA">
              <w:rPr>
                <w:rFonts w:ascii="Arial Narrow" w:hAnsi="Arial Narrow"/>
                <w:noProof/>
                <w:color w:val="000000"/>
                <w:sz w:val="20"/>
                <w:szCs w:val="20"/>
                <w:highlight w:val="black"/>
              </w:rPr>
              <w:t>''''''''''''''''</w:t>
            </w:r>
          </w:p>
        </w:tc>
        <w:tc>
          <w:tcPr>
            <w:tcW w:w="3662" w:type="dxa"/>
            <w:tcBorders>
              <w:top w:val="single" w:sz="4" w:space="0" w:color="auto"/>
              <w:bottom w:val="single" w:sz="4" w:space="0" w:color="auto"/>
            </w:tcBorders>
            <w:vAlign w:val="center"/>
          </w:tcPr>
          <w:p w:rsidR="008F4355" w:rsidRDefault="008F4355" w:rsidP="00610C0E">
            <w:pPr>
              <w:jc w:val="left"/>
              <w:rPr>
                <w:rFonts w:ascii="Arial Narrow" w:hAnsi="Arial Narrow"/>
                <w:sz w:val="20"/>
                <w:szCs w:val="20"/>
              </w:rPr>
            </w:pPr>
            <w:r>
              <w:rPr>
                <w:rFonts w:ascii="Arial Narrow" w:hAnsi="Arial Narrow"/>
                <w:sz w:val="20"/>
                <w:szCs w:val="20"/>
              </w:rPr>
              <w:t>78 days – Trial P001 and as used in the model</w:t>
            </w:r>
          </w:p>
        </w:tc>
        <w:tc>
          <w:tcPr>
            <w:tcW w:w="1701" w:type="dxa"/>
            <w:tcBorders>
              <w:top w:val="single" w:sz="4" w:space="0" w:color="auto"/>
              <w:bottom w:val="single" w:sz="4" w:space="0" w:color="auto"/>
            </w:tcBorders>
            <w:vAlign w:val="center"/>
          </w:tcPr>
          <w:p w:rsidR="008F4355" w:rsidRPr="007A5D17" w:rsidRDefault="008F4355" w:rsidP="00610C0E">
            <w:pPr>
              <w:jc w:val="center"/>
              <w:rPr>
                <w:rFonts w:ascii="Arial Narrow" w:hAnsi="Arial Narrow"/>
                <w:i/>
                <w:sz w:val="20"/>
                <w:szCs w:val="20"/>
              </w:rPr>
            </w:pPr>
            <w:r w:rsidRPr="007A5D17">
              <w:rPr>
                <w:rFonts w:ascii="Arial Narrow" w:hAnsi="Arial Narrow"/>
                <w:i/>
                <w:sz w:val="20"/>
                <w:szCs w:val="20"/>
              </w:rPr>
              <w:t>$</w:t>
            </w:r>
            <w:r w:rsidR="00AE66CA">
              <w:rPr>
                <w:rFonts w:ascii="Arial Narrow" w:hAnsi="Arial Narrow"/>
                <w:i/>
                <w:noProof/>
                <w:color w:val="000000"/>
                <w:sz w:val="20"/>
                <w:szCs w:val="20"/>
                <w:highlight w:val="black"/>
              </w:rPr>
              <w:t>'''''''''''''''''</w:t>
            </w:r>
          </w:p>
        </w:tc>
      </w:tr>
      <w:tr w:rsidR="008F4355" w:rsidTr="00B554A0">
        <w:tc>
          <w:tcPr>
            <w:tcW w:w="2262" w:type="dxa"/>
            <w:vMerge/>
            <w:vAlign w:val="center"/>
          </w:tcPr>
          <w:p w:rsidR="008F4355" w:rsidRDefault="008F4355" w:rsidP="00610C0E">
            <w:pPr>
              <w:jc w:val="left"/>
              <w:rPr>
                <w:rFonts w:ascii="Arial Narrow" w:hAnsi="Arial Narrow"/>
                <w:sz w:val="20"/>
                <w:szCs w:val="20"/>
              </w:rPr>
            </w:pPr>
          </w:p>
        </w:tc>
        <w:tc>
          <w:tcPr>
            <w:tcW w:w="1475" w:type="dxa"/>
            <w:vMerge/>
            <w:vAlign w:val="center"/>
          </w:tcPr>
          <w:p w:rsidR="008F4355" w:rsidRDefault="008F4355" w:rsidP="00610C0E">
            <w:pPr>
              <w:jc w:val="center"/>
              <w:rPr>
                <w:rFonts w:ascii="Arial Narrow" w:hAnsi="Arial Narrow"/>
                <w:sz w:val="20"/>
                <w:szCs w:val="20"/>
              </w:rPr>
            </w:pPr>
          </w:p>
        </w:tc>
        <w:tc>
          <w:tcPr>
            <w:tcW w:w="3662" w:type="dxa"/>
            <w:tcBorders>
              <w:top w:val="single" w:sz="4" w:space="0" w:color="auto"/>
              <w:bottom w:val="single" w:sz="4" w:space="0" w:color="auto"/>
            </w:tcBorders>
            <w:vAlign w:val="center"/>
          </w:tcPr>
          <w:p w:rsidR="008F4355" w:rsidRDefault="008F4355" w:rsidP="00610C0E">
            <w:pPr>
              <w:jc w:val="left"/>
              <w:rPr>
                <w:rFonts w:ascii="Arial Narrow" w:hAnsi="Arial Narrow"/>
                <w:sz w:val="20"/>
                <w:szCs w:val="20"/>
              </w:rPr>
            </w:pPr>
            <w:r>
              <w:rPr>
                <w:rFonts w:ascii="Arial Narrow" w:hAnsi="Arial Narrow"/>
                <w:sz w:val="20"/>
                <w:szCs w:val="20"/>
              </w:rPr>
              <w:t>100 days as recommended in PI</w:t>
            </w:r>
          </w:p>
        </w:tc>
        <w:tc>
          <w:tcPr>
            <w:tcW w:w="1701" w:type="dxa"/>
            <w:tcBorders>
              <w:top w:val="single" w:sz="4" w:space="0" w:color="auto"/>
              <w:bottom w:val="single" w:sz="4" w:space="0" w:color="auto"/>
            </w:tcBorders>
            <w:vAlign w:val="center"/>
          </w:tcPr>
          <w:p w:rsidR="008F4355" w:rsidRDefault="008F4355" w:rsidP="00610C0E">
            <w:pPr>
              <w:jc w:val="center"/>
              <w:rPr>
                <w:rFonts w:ascii="Arial Narrow" w:hAnsi="Arial Narrow"/>
                <w:sz w:val="20"/>
                <w:szCs w:val="20"/>
              </w:rPr>
            </w:pPr>
            <w:r w:rsidRPr="00DC3F26">
              <w:rPr>
                <w:rFonts w:ascii="Arial Narrow" w:hAnsi="Arial Narrow"/>
                <w:i/>
                <w:sz w:val="20"/>
                <w:szCs w:val="20"/>
              </w:rPr>
              <w:t>$</w:t>
            </w:r>
            <w:r w:rsidR="00AE66CA">
              <w:rPr>
                <w:rFonts w:ascii="Arial Narrow" w:hAnsi="Arial Narrow"/>
                <w:i/>
                <w:noProof/>
                <w:color w:val="000000"/>
                <w:sz w:val="20"/>
                <w:szCs w:val="20"/>
                <w:highlight w:val="black"/>
              </w:rPr>
              <w:t>'''''''''''''''</w:t>
            </w:r>
          </w:p>
        </w:tc>
      </w:tr>
      <w:tr w:rsidR="008F4355" w:rsidTr="00B554A0">
        <w:tc>
          <w:tcPr>
            <w:tcW w:w="2262" w:type="dxa"/>
            <w:vMerge/>
            <w:vAlign w:val="center"/>
          </w:tcPr>
          <w:p w:rsidR="008F4355" w:rsidRDefault="008F4355" w:rsidP="00610C0E">
            <w:pPr>
              <w:jc w:val="left"/>
              <w:rPr>
                <w:rFonts w:ascii="Arial Narrow" w:hAnsi="Arial Narrow"/>
                <w:sz w:val="20"/>
                <w:szCs w:val="20"/>
              </w:rPr>
            </w:pPr>
          </w:p>
        </w:tc>
        <w:tc>
          <w:tcPr>
            <w:tcW w:w="1475" w:type="dxa"/>
            <w:vMerge/>
            <w:tcBorders>
              <w:bottom w:val="single" w:sz="4" w:space="0" w:color="auto"/>
            </w:tcBorders>
            <w:vAlign w:val="center"/>
          </w:tcPr>
          <w:p w:rsidR="008F4355" w:rsidRDefault="008F4355" w:rsidP="00610C0E">
            <w:pPr>
              <w:jc w:val="center"/>
              <w:rPr>
                <w:rFonts w:ascii="Arial Narrow" w:hAnsi="Arial Narrow"/>
                <w:sz w:val="20"/>
                <w:szCs w:val="20"/>
              </w:rPr>
            </w:pPr>
          </w:p>
        </w:tc>
        <w:tc>
          <w:tcPr>
            <w:tcW w:w="3662" w:type="dxa"/>
            <w:tcBorders>
              <w:top w:val="single" w:sz="4" w:space="0" w:color="auto"/>
              <w:bottom w:val="single" w:sz="4" w:space="0" w:color="auto"/>
            </w:tcBorders>
            <w:vAlign w:val="center"/>
          </w:tcPr>
          <w:p w:rsidR="008F4355" w:rsidRDefault="008F4355" w:rsidP="00610C0E">
            <w:pPr>
              <w:jc w:val="left"/>
              <w:rPr>
                <w:rFonts w:ascii="Arial Narrow" w:hAnsi="Arial Narrow"/>
                <w:sz w:val="20"/>
                <w:szCs w:val="20"/>
              </w:rPr>
            </w:pPr>
            <w:r>
              <w:rPr>
                <w:rFonts w:ascii="Arial Narrow" w:hAnsi="Arial Narrow"/>
                <w:sz w:val="20"/>
                <w:szCs w:val="20"/>
              </w:rPr>
              <w:t>112 days as under requested restriction</w:t>
            </w:r>
          </w:p>
        </w:tc>
        <w:tc>
          <w:tcPr>
            <w:tcW w:w="1701" w:type="dxa"/>
            <w:tcBorders>
              <w:top w:val="single" w:sz="4" w:space="0" w:color="auto"/>
              <w:bottom w:val="single" w:sz="4" w:space="0" w:color="auto"/>
            </w:tcBorders>
            <w:vAlign w:val="center"/>
          </w:tcPr>
          <w:p w:rsidR="008F4355" w:rsidRDefault="008F4355" w:rsidP="00610C0E">
            <w:pPr>
              <w:jc w:val="center"/>
              <w:rPr>
                <w:rFonts w:ascii="Arial Narrow" w:hAnsi="Arial Narrow"/>
                <w:sz w:val="20"/>
                <w:szCs w:val="20"/>
              </w:rPr>
            </w:pPr>
            <w:r w:rsidRPr="00DC3F26">
              <w:rPr>
                <w:rFonts w:ascii="Arial Narrow" w:hAnsi="Arial Narrow"/>
                <w:i/>
                <w:sz w:val="20"/>
                <w:szCs w:val="20"/>
              </w:rPr>
              <w:t>$</w:t>
            </w:r>
            <w:r w:rsidR="00AE66CA">
              <w:rPr>
                <w:rFonts w:ascii="Arial Narrow" w:hAnsi="Arial Narrow"/>
                <w:i/>
                <w:noProof/>
                <w:color w:val="000000"/>
                <w:sz w:val="20"/>
                <w:szCs w:val="20"/>
                <w:highlight w:val="black"/>
              </w:rPr>
              <w:t>''''''''''''''''</w:t>
            </w:r>
          </w:p>
        </w:tc>
      </w:tr>
    </w:tbl>
    <w:p w:rsidR="008F4355" w:rsidRPr="001B2DB3" w:rsidRDefault="008F4355" w:rsidP="00610C0E">
      <w:pPr>
        <w:pStyle w:val="TableFooter"/>
        <w:tabs>
          <w:tab w:val="left" w:pos="142"/>
        </w:tabs>
      </w:pPr>
      <w:r w:rsidRPr="001B2DB3">
        <w:rPr>
          <w:vertAlign w:val="superscript"/>
        </w:rPr>
        <w:t>a</w:t>
      </w:r>
      <w:r>
        <w:tab/>
        <w:t>All treatment costs produced by the resubmission model included patients who had discontinued due to death.</w:t>
      </w:r>
    </w:p>
    <w:p w:rsidR="008F4355" w:rsidRDefault="008F4355" w:rsidP="00610C0E">
      <w:pPr>
        <w:pStyle w:val="TableFooter"/>
      </w:pPr>
      <w:r>
        <w:t>Source:</w:t>
      </w:r>
      <w:r w:rsidR="005859EC">
        <w:t xml:space="preserve"> </w:t>
      </w:r>
      <w:r>
        <w:t>Section 3.8.2 of the resubmission and 5.07.COM.93.</w:t>
      </w:r>
    </w:p>
    <w:p w:rsidR="00556BD0" w:rsidRPr="003F7F24" w:rsidRDefault="00B11994" w:rsidP="00B64796">
      <w:pPr>
        <w:pStyle w:val="ListParagraph"/>
        <w:keepNext/>
        <w:numPr>
          <w:ilvl w:val="1"/>
          <w:numId w:val="1"/>
        </w:numPr>
        <w:spacing w:before="120" w:after="120"/>
      </w:pPr>
      <w:r w:rsidRPr="003F7F24">
        <w:t xml:space="preserve">The decrease in letermovir treatment cost compared to the July 2018 submission is largely due to the consideration of discontinued patients as presented by the resubmission, as the July 2018 </w:t>
      </w:r>
      <w:r w:rsidR="00736718" w:rsidRPr="003F7F24">
        <w:t xml:space="preserve">treatment cost </w:t>
      </w:r>
      <w:r w:rsidRPr="003F7F24">
        <w:t xml:space="preserve">estimates </w:t>
      </w:r>
      <w:r w:rsidR="00736718" w:rsidRPr="003F7F24">
        <w:t>did not include deaths as predicted by the model</w:t>
      </w:r>
      <w:r w:rsidRPr="003F7F24">
        <w:t>.</w:t>
      </w:r>
      <w:r w:rsidR="005859EC">
        <w:t xml:space="preserve"> </w:t>
      </w:r>
      <w:r w:rsidRPr="003F7F24">
        <w:t xml:space="preserve">Using the </w:t>
      </w:r>
      <w:r w:rsidR="00AE66CA">
        <w:rPr>
          <w:noProof/>
          <w:color w:val="000000"/>
          <w:highlight w:val="black"/>
        </w:rPr>
        <w:t>'''''</w:t>
      </w:r>
      <w:r w:rsidRPr="003F7F24">
        <w:t xml:space="preserve">% </w:t>
      </w:r>
      <w:r w:rsidR="003A0C26" w:rsidRPr="003F7F24">
        <w:t>cyclosporin</w:t>
      </w:r>
      <w:r w:rsidRPr="003F7F24">
        <w:t xml:space="preserve"> proportion and assuming no discontinuation</w:t>
      </w:r>
      <w:r w:rsidR="002A64C1" w:rsidRPr="003F7F24">
        <w:t xml:space="preserve"> due to death</w:t>
      </w:r>
      <w:r w:rsidRPr="003F7F24">
        <w:t xml:space="preserve"> resulted in a treatment cost of $</w:t>
      </w:r>
      <w:r w:rsidR="00AE66CA">
        <w:rPr>
          <w:noProof/>
          <w:color w:val="000000"/>
          <w:highlight w:val="black"/>
        </w:rPr>
        <w:t>'''''''''''''</w:t>
      </w:r>
      <w:r w:rsidRPr="003F7F24">
        <w:t xml:space="preserve"> for letermovir.</w:t>
      </w:r>
      <w:r w:rsidR="005859EC">
        <w:t xml:space="preserve"> </w:t>
      </w:r>
    </w:p>
    <w:p w:rsidR="008F4355" w:rsidRPr="003F7F24" w:rsidRDefault="00556BD0" w:rsidP="00B64796">
      <w:pPr>
        <w:pStyle w:val="ListParagraph"/>
        <w:keepNext/>
        <w:numPr>
          <w:ilvl w:val="1"/>
          <w:numId w:val="1"/>
        </w:numPr>
        <w:spacing w:before="120" w:after="120"/>
      </w:pPr>
      <w:r w:rsidRPr="003F7F24">
        <w:t xml:space="preserve">The accuracy of the letermovir treatment cost depends on the assumed treatment duration, the proportion of </w:t>
      </w:r>
      <w:r w:rsidR="00B6675A" w:rsidRPr="003F7F24">
        <w:t xml:space="preserve">patients concomitantly treated with </w:t>
      </w:r>
      <w:r w:rsidRPr="003F7F24">
        <w:t>cyclosporin and proportion of patients discontinuing</w:t>
      </w:r>
      <w:r w:rsidR="00B6675A" w:rsidRPr="003F7F24">
        <w:t xml:space="preserve"> treatment</w:t>
      </w:r>
      <w:r w:rsidRPr="003F7F24">
        <w:t>.</w:t>
      </w:r>
      <w:r w:rsidR="005859EC">
        <w:t xml:space="preserve"> </w:t>
      </w:r>
      <w:r w:rsidR="00EB4E29" w:rsidRPr="003F7F24">
        <w:t>T</w:t>
      </w:r>
      <w:r w:rsidRPr="003F7F24">
        <w:t>reatment duration may have been underestimated by the resubmission.</w:t>
      </w:r>
    </w:p>
    <w:p w:rsidR="00B60939" w:rsidRPr="005859EC" w:rsidRDefault="00B60939" w:rsidP="005859EC">
      <w:pPr>
        <w:pStyle w:val="Heading2"/>
        <w:spacing w:after="120"/>
      </w:pPr>
      <w:bookmarkStart w:id="12" w:name="_Toc536019889"/>
      <w:r w:rsidRPr="00C9624D">
        <w:t>Estimated PBS usage &amp; financial implications</w:t>
      </w:r>
      <w:bookmarkEnd w:id="12"/>
    </w:p>
    <w:p w:rsidR="008F71E5" w:rsidRPr="0021510A" w:rsidRDefault="00C25D9C" w:rsidP="00B64796">
      <w:pPr>
        <w:pStyle w:val="ListParagraph"/>
        <w:numPr>
          <w:ilvl w:val="1"/>
          <w:numId w:val="1"/>
        </w:numPr>
        <w:spacing w:before="120" w:after="120"/>
      </w:pPr>
      <w:r w:rsidRPr="0021510A">
        <w:t xml:space="preserve">This </w:t>
      </w:r>
      <w:r w:rsidR="00ED7F20" w:rsidRPr="0021510A">
        <w:t>re</w:t>
      </w:r>
      <w:r w:rsidRPr="0021510A">
        <w:t xml:space="preserve">submission </w:t>
      </w:r>
      <w:r w:rsidR="00E84B01" w:rsidRPr="0021510A">
        <w:t xml:space="preserve">was </w:t>
      </w:r>
      <w:r w:rsidRPr="0021510A">
        <w:t>not considered by DUSC</w:t>
      </w:r>
      <w:r w:rsidRPr="0021510A">
        <w:rPr>
          <w:color w:val="0070C0"/>
        </w:rPr>
        <w:t>.</w:t>
      </w:r>
      <w:r w:rsidR="005859EC">
        <w:rPr>
          <w:color w:val="0070C0"/>
        </w:rPr>
        <w:t xml:space="preserve"> </w:t>
      </w:r>
      <w:r w:rsidR="00E55505" w:rsidRPr="0021510A">
        <w:t>As for the July 2018 submission the resubmission applied an epidemiological approach to estimate the number of patients treated with letermovir.</w:t>
      </w:r>
      <w:r w:rsidR="005859EC">
        <w:t xml:space="preserve"> </w:t>
      </w:r>
      <w:r w:rsidR="00626DEA" w:rsidRPr="0021510A">
        <w:t xml:space="preserve">The resubmission altered its determination of </w:t>
      </w:r>
      <w:r w:rsidR="00B975EC" w:rsidRPr="0021510A">
        <w:t xml:space="preserve">eligible patients (based on AIHW </w:t>
      </w:r>
      <w:r w:rsidR="003C03E5" w:rsidRPr="0021510A">
        <w:t xml:space="preserve">procedure codes for allogeneic bone marrow or stem cell </w:t>
      </w:r>
      <w:r w:rsidR="003C03E5" w:rsidRPr="0021510A">
        <w:lastRenderedPageBreak/>
        <w:t>transplants in Australia) by expanding the number of years of AIHW</w:t>
      </w:r>
      <w:r w:rsidR="00E2104C" w:rsidRPr="0021510A">
        <w:t xml:space="preserve"> procedure codes</w:t>
      </w:r>
      <w:r w:rsidR="003C03E5" w:rsidRPr="0021510A">
        <w:t xml:space="preserve"> used (2011 to 2017) and also altering the assumed growth rate in transplant procedures (decreased to 3.68% from 4.58% used in July 2018).</w:t>
      </w:r>
      <w:r w:rsidR="005859EC">
        <w:t xml:space="preserve"> </w:t>
      </w:r>
      <w:r w:rsidR="00515157" w:rsidRPr="0021510A">
        <w:t xml:space="preserve">The use of this lower growth rate </w:t>
      </w:r>
      <w:r w:rsidR="00EB4E29" w:rsidRPr="0021510A">
        <w:t>resulted in</w:t>
      </w:r>
      <w:r w:rsidR="00515157" w:rsidRPr="0021510A">
        <w:t xml:space="preserve"> the estimated eligible patient numbers </w:t>
      </w:r>
      <w:r w:rsidR="00EB4E29" w:rsidRPr="0021510A">
        <w:t xml:space="preserve">being </w:t>
      </w:r>
      <w:r w:rsidR="00515157" w:rsidRPr="0021510A">
        <w:t>less than that estimated in the July 2018 submission</w:t>
      </w:r>
      <w:r w:rsidR="00D625FA" w:rsidRPr="0021510A">
        <w:t xml:space="preserve"> (</w:t>
      </w:r>
      <w:r w:rsidR="00D67716" w:rsidRPr="0021510A">
        <w:t xml:space="preserve">while the July 2018 submission did not provide an estimate of eligible patient numbers for Year 6, </w:t>
      </w:r>
      <w:r w:rsidR="0067354D" w:rsidRPr="0021510A">
        <w:t>was assumed that numbers were similar to those estimated for Year 5)</w:t>
      </w:r>
      <w:r w:rsidR="00515157" w:rsidRPr="0021510A">
        <w:t>.</w:t>
      </w:r>
      <w:r w:rsidR="005859EC">
        <w:t xml:space="preserve"> </w:t>
      </w:r>
      <w:r w:rsidR="004D5802" w:rsidRPr="0021510A">
        <w:t>The same proportion of adult patients</w:t>
      </w:r>
      <w:r w:rsidR="00082DB7" w:rsidRPr="0021510A">
        <w:t xml:space="preserve"> </w:t>
      </w:r>
      <w:r w:rsidR="004D5802" w:rsidRPr="0021510A">
        <w:t>(8</w:t>
      </w:r>
      <w:r w:rsidR="00082DB7" w:rsidRPr="0021510A">
        <w:t>2</w:t>
      </w:r>
      <w:r w:rsidR="004D5802" w:rsidRPr="0021510A">
        <w:t>%)</w:t>
      </w:r>
      <w:r w:rsidR="00082DB7" w:rsidRPr="0021510A">
        <w:t xml:space="preserve"> and seropositive patients (65%) sourced from ABMTRR data were used, as was the same uptake rate of 90% across all years of listing.</w:t>
      </w:r>
    </w:p>
    <w:p w:rsidR="00082DB7" w:rsidRPr="0021510A" w:rsidRDefault="001A68F1" w:rsidP="00B64796">
      <w:pPr>
        <w:pStyle w:val="ListParagraph"/>
        <w:numPr>
          <w:ilvl w:val="1"/>
          <w:numId w:val="1"/>
        </w:numPr>
        <w:spacing w:before="120" w:after="120"/>
      </w:pPr>
      <w:r w:rsidRPr="0021510A">
        <w:t>In regard to determination of the proportion</w:t>
      </w:r>
      <w:r w:rsidR="00EB4E29" w:rsidRPr="0021510A">
        <w:t xml:space="preserve"> o</w:t>
      </w:r>
      <w:r w:rsidRPr="0021510A">
        <w:t xml:space="preserve">f patients using cyclosporin, the PBAC considered further evidence to show historical long-terms trends in cyclosporin use in HSCT </w:t>
      </w:r>
      <w:r w:rsidR="00E2104C" w:rsidRPr="0021510A">
        <w:t xml:space="preserve">would assist in addressing the </w:t>
      </w:r>
      <w:r w:rsidRPr="0021510A">
        <w:t xml:space="preserve">uncertainty of the assumption of </w:t>
      </w:r>
      <w:r w:rsidR="00E2104C" w:rsidRPr="0021510A">
        <w:t xml:space="preserve">cyclosporin </w:t>
      </w:r>
      <w:r w:rsidRPr="0021510A">
        <w:t xml:space="preserve">usage in </w:t>
      </w:r>
      <w:r w:rsidR="00AE66CA">
        <w:rPr>
          <w:noProof/>
          <w:color w:val="000000"/>
          <w:highlight w:val="black"/>
        </w:rPr>
        <w:t>'''''</w:t>
      </w:r>
      <w:r w:rsidRPr="0021510A">
        <w:t xml:space="preserve">% </w:t>
      </w:r>
      <w:r w:rsidR="003A0C26" w:rsidRPr="0021510A">
        <w:t>of</w:t>
      </w:r>
      <w:r w:rsidR="005859EC">
        <w:t xml:space="preserve"> </w:t>
      </w:r>
      <w:r w:rsidRPr="0021510A">
        <w:t>Australian patients (paragraph 7.9 July 2018 PSD).</w:t>
      </w:r>
      <w:r w:rsidR="003A0C26">
        <w:t xml:space="preserve"> </w:t>
      </w:r>
    </w:p>
    <w:p w:rsidR="00FC6078" w:rsidRPr="0021510A" w:rsidRDefault="00FC6078" w:rsidP="00B64796">
      <w:pPr>
        <w:pStyle w:val="ListParagraph"/>
        <w:numPr>
          <w:ilvl w:val="1"/>
          <w:numId w:val="1"/>
        </w:numPr>
        <w:spacing w:before="120" w:after="120"/>
      </w:pPr>
      <w:r w:rsidRPr="0021510A">
        <w:t>The resubmission stated (p97) that historical trends in cyclosporin use in HSCT were presented</w:t>
      </w:r>
      <w:r w:rsidR="00E2104C" w:rsidRPr="0021510A">
        <w:t>.</w:t>
      </w:r>
      <w:r w:rsidR="005859EC">
        <w:t xml:space="preserve"> </w:t>
      </w:r>
      <w:r w:rsidR="00E2104C" w:rsidRPr="0021510A">
        <w:t>H</w:t>
      </w:r>
      <w:r w:rsidRPr="0021510A">
        <w:t>owever</w:t>
      </w:r>
      <w:r w:rsidR="00E2104C" w:rsidRPr="0021510A">
        <w:t>,</w:t>
      </w:r>
      <w:r w:rsidRPr="0021510A">
        <w:t xml:space="preserve"> the resubmission has not presented data outside of the years included in the ABMTRR report presented with the July 2018 submission, which included cyclosporin usage in patients between 2014 and 2016.</w:t>
      </w:r>
      <w:r w:rsidR="005859EC">
        <w:t xml:space="preserve"> </w:t>
      </w:r>
      <w:r w:rsidR="00E378FC" w:rsidRPr="0021510A">
        <w:t>The resubmission has presented the ABMTRR data by year (2014, 2015, 2016) while in the July 2018 submission all years were grouped together.</w:t>
      </w:r>
      <w:r w:rsidR="005859EC">
        <w:t xml:space="preserve"> </w:t>
      </w:r>
      <w:r w:rsidR="00E378FC" w:rsidRPr="0021510A">
        <w:t>The resubmission has also changed the source of the estimate of cyclosporin use to be based on all transplant recipients (seropositive and seronegative) in 2016 only (</w:t>
      </w:r>
      <w:r w:rsidR="00AE66CA">
        <w:rPr>
          <w:noProof/>
          <w:color w:val="000000"/>
          <w:highlight w:val="black"/>
        </w:rPr>
        <w:t>'''''</w:t>
      </w:r>
      <w:r w:rsidR="00E378FC" w:rsidRPr="0021510A">
        <w:t>%).</w:t>
      </w:r>
      <w:r w:rsidR="005859EC">
        <w:t xml:space="preserve"> </w:t>
      </w:r>
      <w:r w:rsidR="00E378FC" w:rsidRPr="0021510A">
        <w:t xml:space="preserve">This differed from the July 2018 submission where seropositive patients across 2014 to 2016 provided the estimate of cyclosporin </w:t>
      </w:r>
      <w:r w:rsidR="003A0C26" w:rsidRPr="0021510A">
        <w:t>use</w:t>
      </w:r>
      <w:r w:rsidR="00E378FC" w:rsidRPr="0021510A">
        <w:t xml:space="preserve"> (</w:t>
      </w:r>
      <w:r w:rsidR="00AE66CA">
        <w:rPr>
          <w:noProof/>
          <w:color w:val="000000"/>
          <w:highlight w:val="black"/>
        </w:rPr>
        <w:t>'''''</w:t>
      </w:r>
      <w:r w:rsidR="00E378FC" w:rsidRPr="0021510A">
        <w:t>%).</w:t>
      </w:r>
      <w:r w:rsidR="005859EC">
        <w:t xml:space="preserve"> </w:t>
      </w:r>
      <w:r w:rsidR="00E378FC" w:rsidRPr="0021510A">
        <w:t>The resubmission has identified the revised estimate of cyclosporin use as the ‘most up to date’.</w:t>
      </w:r>
      <w:r w:rsidR="005859EC">
        <w:t xml:space="preserve"> </w:t>
      </w:r>
      <w:r w:rsidR="00E378FC" w:rsidRPr="0021510A">
        <w:t>There does not appear to have been a consideration of cyclosporin use prior to 2014 or following 2016.</w:t>
      </w:r>
    </w:p>
    <w:p w:rsidR="00E42745" w:rsidRPr="0021510A" w:rsidRDefault="00E42745" w:rsidP="00B64796">
      <w:pPr>
        <w:pStyle w:val="ListParagraph"/>
        <w:numPr>
          <w:ilvl w:val="1"/>
          <w:numId w:val="1"/>
        </w:numPr>
        <w:spacing w:before="120" w:after="120"/>
      </w:pPr>
      <w:r w:rsidRPr="0021510A">
        <w:t>In addition, the resubmission has not provided any discussion around why the estimate of cyclosporin use has been sourced from all transplant patients in the ABMTRR instead of seropositive patients.</w:t>
      </w:r>
      <w:r w:rsidR="005859EC">
        <w:t xml:space="preserve"> </w:t>
      </w:r>
      <w:r w:rsidRPr="0021510A">
        <w:t xml:space="preserve">The difference in proportion is </w:t>
      </w:r>
      <w:r w:rsidR="003A0C26" w:rsidRPr="0021510A">
        <w:t>small</w:t>
      </w:r>
      <w:r w:rsidRPr="0021510A">
        <w:t xml:space="preserve"> (</w:t>
      </w:r>
      <w:r w:rsidR="00AE66CA">
        <w:rPr>
          <w:noProof/>
          <w:color w:val="000000"/>
          <w:highlight w:val="black"/>
        </w:rPr>
        <w:t>'''''</w:t>
      </w:r>
      <w:r w:rsidRPr="0021510A">
        <w:t xml:space="preserve">% compared to </w:t>
      </w:r>
      <w:r w:rsidR="00AE66CA">
        <w:rPr>
          <w:noProof/>
          <w:color w:val="000000"/>
          <w:highlight w:val="black"/>
        </w:rPr>
        <w:t>'''''</w:t>
      </w:r>
      <w:r w:rsidRPr="0021510A">
        <w:t>%) however the value used by the resubmission is based on a patient group that does not correspond to the proposed PBS population.</w:t>
      </w:r>
    </w:p>
    <w:p w:rsidR="00526B51" w:rsidRPr="0021510A" w:rsidRDefault="00526B51" w:rsidP="00B64796">
      <w:pPr>
        <w:pStyle w:val="ListParagraph"/>
        <w:numPr>
          <w:ilvl w:val="1"/>
          <w:numId w:val="1"/>
        </w:numPr>
        <w:spacing w:before="120" w:after="120"/>
      </w:pPr>
      <w:r w:rsidRPr="0021510A">
        <w:t xml:space="preserve">Overall, the </w:t>
      </w:r>
      <w:r w:rsidR="00210AEF" w:rsidRPr="0021510A">
        <w:t xml:space="preserve">ESC considered that the </w:t>
      </w:r>
      <w:r w:rsidRPr="0021510A">
        <w:t xml:space="preserve">resubmission has not provided a broad consideration of cyclosporin usage in the Australian population nor has the resubmission provided detailed consideration of the data presented, </w:t>
      </w:r>
      <w:r w:rsidR="009C74B2" w:rsidRPr="0021510A">
        <w:t>i.e.</w:t>
      </w:r>
      <w:r w:rsidRPr="0021510A">
        <w:t xml:space="preserve"> ABMTRR data from 2014 to 2016.</w:t>
      </w:r>
    </w:p>
    <w:p w:rsidR="00E42745" w:rsidRPr="0021510A" w:rsidRDefault="00E42745" w:rsidP="00B64796">
      <w:pPr>
        <w:pStyle w:val="ListParagraph"/>
        <w:numPr>
          <w:ilvl w:val="1"/>
          <w:numId w:val="1"/>
        </w:numPr>
        <w:spacing w:before="120" w:after="120"/>
      </w:pPr>
      <w:r w:rsidRPr="0021510A">
        <w:t>The resubmission has also maintained that the 78 day duration of treatment sourced from Trial P001 is reasonable to estimate real-world use of letermovir and that any uncertainty will be addressed in a risk share arrangement between the sponsor and Government (see ‘Financial Management – Risk Sharing Arrangements’ below).</w:t>
      </w:r>
      <w:r w:rsidR="005859EC">
        <w:t xml:space="preserve"> </w:t>
      </w:r>
      <w:r w:rsidR="0075767B" w:rsidRPr="0021510A">
        <w:t>The ESC considered that treatment duration in practice would evolve quickly as evidence becomes available (paragraph 6.16 July 2018 PSD)</w:t>
      </w:r>
      <w:r w:rsidR="00162651" w:rsidRPr="0021510A">
        <w:t xml:space="preserve"> and also considered that in practice nearly all patients will be treated for a period longer than 78 days (paragraph 6.45 July 2018 PSD).</w:t>
      </w:r>
      <w:r w:rsidR="005859EC">
        <w:t xml:space="preserve"> </w:t>
      </w:r>
      <w:r w:rsidR="00162651" w:rsidRPr="0021510A">
        <w:t xml:space="preserve">The DUSC noted that there is potential that the duration of treatment for </w:t>
      </w:r>
      <w:r w:rsidR="00162651" w:rsidRPr="0021510A">
        <w:lastRenderedPageBreak/>
        <w:t xml:space="preserve">letermovir may be longer in some patients due to the potential for rebound viraemia (paragraph 2.4 July 2018 PSD). </w:t>
      </w:r>
      <w:r w:rsidR="00210AEF" w:rsidRPr="0021510A">
        <w:t>The ESC reaffirmed the above concerns regarding treatment duration raised during the July 2018 consideration of letermovir.</w:t>
      </w:r>
    </w:p>
    <w:p w:rsidR="003112B3" w:rsidRPr="0021510A" w:rsidRDefault="003112B3" w:rsidP="00B64796">
      <w:pPr>
        <w:pStyle w:val="ListParagraph"/>
        <w:numPr>
          <w:ilvl w:val="1"/>
          <w:numId w:val="1"/>
        </w:numPr>
        <w:spacing w:before="120" w:after="120"/>
      </w:pPr>
      <w:r w:rsidRPr="0021510A">
        <w:t>The estimated number of patients, scripts and estimated net cost to the PBS/RPBS are provided in the table below.</w:t>
      </w:r>
    </w:p>
    <w:p w:rsidR="00C25D9C" w:rsidRPr="00C25D9C" w:rsidRDefault="00661DFA" w:rsidP="00610C0E">
      <w:pPr>
        <w:keepNext/>
      </w:pPr>
      <w:r w:rsidRPr="00401364">
        <w:rPr>
          <w:rFonts w:ascii="Arial Narrow" w:hAnsi="Arial Narrow"/>
          <w:b/>
          <w:sz w:val="20"/>
          <w:szCs w:val="20"/>
        </w:rPr>
        <w:t xml:space="preserve">Table </w:t>
      </w:r>
      <w:r w:rsidR="000D0E6D">
        <w:rPr>
          <w:rFonts w:ascii="Arial Narrow" w:hAnsi="Arial Narrow"/>
          <w:b/>
          <w:noProof/>
          <w:sz w:val="20"/>
          <w:szCs w:val="20"/>
        </w:rPr>
        <w:t>18</w:t>
      </w:r>
      <w:r w:rsidR="002A2F50" w:rsidRPr="001222FC">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use and financial implications"/>
      </w:tblPr>
      <w:tblGrid>
        <w:gridCol w:w="2000"/>
        <w:gridCol w:w="1156"/>
        <w:gridCol w:w="1157"/>
        <w:gridCol w:w="1157"/>
        <w:gridCol w:w="1157"/>
        <w:gridCol w:w="1157"/>
        <w:gridCol w:w="1155"/>
      </w:tblGrid>
      <w:tr w:rsidR="00025949" w:rsidRPr="00D1078F" w:rsidTr="00C261FF">
        <w:trPr>
          <w:tblHeader/>
        </w:trPr>
        <w:tc>
          <w:tcPr>
            <w:tcW w:w="1119" w:type="pct"/>
            <w:shd w:val="clear" w:color="auto" w:fill="auto"/>
            <w:vAlign w:val="center"/>
          </w:tcPr>
          <w:p w:rsidR="00025949" w:rsidRPr="003639A6" w:rsidRDefault="00025949" w:rsidP="00610C0E">
            <w:pPr>
              <w:pStyle w:val="Tabletext"/>
              <w:keepNext/>
              <w:keepLines/>
            </w:pPr>
          </w:p>
        </w:tc>
        <w:tc>
          <w:tcPr>
            <w:tcW w:w="647" w:type="pct"/>
            <w:shd w:val="clear" w:color="auto" w:fill="auto"/>
            <w:vAlign w:val="center"/>
          </w:tcPr>
          <w:p w:rsidR="00025949" w:rsidRPr="00D1078F" w:rsidRDefault="00025949" w:rsidP="00610C0E">
            <w:pPr>
              <w:pStyle w:val="Tabletext"/>
              <w:keepNext/>
              <w:keepLines/>
              <w:jc w:val="center"/>
              <w:rPr>
                <w:b/>
              </w:rPr>
            </w:pPr>
            <w:r w:rsidRPr="00D1078F">
              <w:rPr>
                <w:b/>
              </w:rPr>
              <w:t>Year 1</w:t>
            </w:r>
          </w:p>
        </w:tc>
        <w:tc>
          <w:tcPr>
            <w:tcW w:w="647" w:type="pct"/>
            <w:shd w:val="clear" w:color="auto" w:fill="auto"/>
            <w:vAlign w:val="center"/>
          </w:tcPr>
          <w:p w:rsidR="00025949" w:rsidRPr="00D1078F" w:rsidRDefault="00025949" w:rsidP="00610C0E">
            <w:pPr>
              <w:pStyle w:val="Tabletext"/>
              <w:keepNext/>
              <w:keepLines/>
              <w:jc w:val="center"/>
              <w:rPr>
                <w:b/>
              </w:rPr>
            </w:pPr>
            <w:r w:rsidRPr="00D1078F">
              <w:rPr>
                <w:b/>
              </w:rPr>
              <w:t>Year 2</w:t>
            </w:r>
          </w:p>
        </w:tc>
        <w:tc>
          <w:tcPr>
            <w:tcW w:w="647" w:type="pct"/>
            <w:shd w:val="clear" w:color="auto" w:fill="auto"/>
            <w:vAlign w:val="center"/>
          </w:tcPr>
          <w:p w:rsidR="00025949" w:rsidRPr="00D1078F" w:rsidRDefault="00025949" w:rsidP="00610C0E">
            <w:pPr>
              <w:pStyle w:val="Tabletext"/>
              <w:keepNext/>
              <w:keepLines/>
              <w:jc w:val="center"/>
              <w:rPr>
                <w:b/>
              </w:rPr>
            </w:pPr>
            <w:r w:rsidRPr="00D1078F">
              <w:rPr>
                <w:b/>
              </w:rPr>
              <w:t>Year 3</w:t>
            </w:r>
          </w:p>
        </w:tc>
        <w:tc>
          <w:tcPr>
            <w:tcW w:w="647" w:type="pct"/>
            <w:shd w:val="clear" w:color="auto" w:fill="auto"/>
            <w:vAlign w:val="center"/>
          </w:tcPr>
          <w:p w:rsidR="00025949" w:rsidRPr="00D1078F" w:rsidRDefault="00025949" w:rsidP="00610C0E">
            <w:pPr>
              <w:pStyle w:val="Tabletext"/>
              <w:keepNext/>
              <w:keepLines/>
              <w:jc w:val="center"/>
              <w:rPr>
                <w:b/>
              </w:rPr>
            </w:pPr>
            <w:r w:rsidRPr="00D1078F">
              <w:rPr>
                <w:b/>
              </w:rPr>
              <w:t>Year 4</w:t>
            </w:r>
          </w:p>
        </w:tc>
        <w:tc>
          <w:tcPr>
            <w:tcW w:w="647" w:type="pct"/>
            <w:shd w:val="clear" w:color="auto" w:fill="auto"/>
            <w:vAlign w:val="center"/>
          </w:tcPr>
          <w:p w:rsidR="00025949" w:rsidRPr="00D1078F" w:rsidRDefault="00025949" w:rsidP="00610C0E">
            <w:pPr>
              <w:pStyle w:val="Tabletext"/>
              <w:keepNext/>
              <w:keepLines/>
              <w:jc w:val="center"/>
              <w:rPr>
                <w:b/>
              </w:rPr>
            </w:pPr>
            <w:r w:rsidRPr="00D1078F">
              <w:rPr>
                <w:b/>
              </w:rPr>
              <w:t>Year 5</w:t>
            </w:r>
          </w:p>
        </w:tc>
        <w:tc>
          <w:tcPr>
            <w:tcW w:w="646" w:type="pct"/>
            <w:vAlign w:val="center"/>
          </w:tcPr>
          <w:p w:rsidR="00025949" w:rsidRPr="00D1078F" w:rsidRDefault="00025949" w:rsidP="00610C0E">
            <w:pPr>
              <w:pStyle w:val="Tabletext"/>
              <w:keepNext/>
              <w:keepLines/>
              <w:jc w:val="center"/>
              <w:rPr>
                <w:b/>
              </w:rPr>
            </w:pPr>
            <w:r w:rsidRPr="00D1078F">
              <w:rPr>
                <w:b/>
              </w:rPr>
              <w:t>Year 6</w:t>
            </w:r>
          </w:p>
        </w:tc>
      </w:tr>
      <w:tr w:rsidR="00025949" w:rsidRPr="00D1078F" w:rsidTr="00C261FF">
        <w:tc>
          <w:tcPr>
            <w:tcW w:w="5000" w:type="pct"/>
            <w:gridSpan w:val="7"/>
            <w:shd w:val="clear" w:color="auto" w:fill="auto"/>
            <w:vAlign w:val="center"/>
          </w:tcPr>
          <w:p w:rsidR="00025949" w:rsidRPr="00D1078F" w:rsidRDefault="00025949" w:rsidP="00610C0E">
            <w:pPr>
              <w:pStyle w:val="Tabletext"/>
              <w:keepNext/>
              <w:keepLines/>
              <w:rPr>
                <w:b/>
                <w:bCs/>
                <w:color w:val="000000"/>
              </w:rPr>
            </w:pPr>
            <w:r w:rsidRPr="00D1078F">
              <w:rPr>
                <w:b/>
                <w:bCs/>
                <w:color w:val="000000"/>
              </w:rPr>
              <w:t>Estimated extent of use</w:t>
            </w:r>
          </w:p>
        </w:tc>
      </w:tr>
      <w:tr w:rsidR="00C261FF" w:rsidRPr="003639A6" w:rsidTr="00C261FF">
        <w:tc>
          <w:tcPr>
            <w:tcW w:w="1119" w:type="pct"/>
            <w:shd w:val="clear" w:color="auto" w:fill="auto"/>
            <w:vAlign w:val="center"/>
          </w:tcPr>
          <w:p w:rsidR="00C261FF" w:rsidRPr="003639A6" w:rsidRDefault="00C261FF" w:rsidP="00610C0E">
            <w:pPr>
              <w:pStyle w:val="Tabletext"/>
              <w:keepNext/>
              <w:keepLines/>
              <w:rPr>
                <w:rFonts w:ascii="Times" w:hAnsi="Times"/>
              </w:rPr>
            </w:pPr>
            <w:r w:rsidRPr="003639A6">
              <w:t>Number of patients treated</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6" w:type="pct"/>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r>
      <w:tr w:rsidR="00C261FF" w:rsidRPr="003639A6" w:rsidTr="00C261FF">
        <w:tc>
          <w:tcPr>
            <w:tcW w:w="1119" w:type="pct"/>
            <w:shd w:val="clear" w:color="auto" w:fill="auto"/>
            <w:vAlign w:val="center"/>
          </w:tcPr>
          <w:p w:rsidR="00C261FF" w:rsidRPr="003639A6" w:rsidRDefault="00C261FF" w:rsidP="00610C0E">
            <w:pPr>
              <w:pStyle w:val="Tabletext"/>
              <w:keepNext/>
              <w:keepLines/>
              <w:rPr>
                <w:rFonts w:ascii="Times" w:hAnsi="Times"/>
              </w:rPr>
            </w:pPr>
            <w:r w:rsidRPr="00F208A8">
              <w:rPr>
                <w:i/>
              </w:rPr>
              <w:t xml:space="preserve">July 2018 </w:t>
            </w:r>
            <w:r>
              <w:rPr>
                <w:i/>
              </w:rPr>
              <w:t>treated patients</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i/>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i/>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i/>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i/>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i/>
                <w:noProof/>
                <w:color w:val="000000"/>
                <w:highlight w:val="black"/>
              </w:rPr>
              <w:t>''''''''''</w:t>
            </w:r>
          </w:p>
        </w:tc>
        <w:tc>
          <w:tcPr>
            <w:tcW w:w="646" w:type="pct"/>
            <w:vAlign w:val="center"/>
          </w:tcPr>
          <w:p w:rsidR="00C261FF" w:rsidRPr="00AE66CA" w:rsidRDefault="00AE66CA" w:rsidP="00610C0E">
            <w:pPr>
              <w:pStyle w:val="Tabletext"/>
              <w:keepNext/>
              <w:keepLines/>
              <w:jc w:val="center"/>
              <w:rPr>
                <w:bCs/>
                <w:color w:val="000000"/>
                <w:highlight w:val="black"/>
              </w:rPr>
            </w:pPr>
            <w:r>
              <w:rPr>
                <w:i/>
                <w:noProof/>
                <w:color w:val="000000"/>
                <w:highlight w:val="black"/>
              </w:rPr>
              <w:t>'''''''</w:t>
            </w:r>
          </w:p>
        </w:tc>
      </w:tr>
      <w:tr w:rsidR="00C261FF" w:rsidRPr="003639A6" w:rsidTr="00C261FF">
        <w:tc>
          <w:tcPr>
            <w:tcW w:w="1119" w:type="pct"/>
            <w:shd w:val="clear" w:color="auto" w:fill="auto"/>
            <w:vAlign w:val="center"/>
          </w:tcPr>
          <w:p w:rsidR="00C261FF" w:rsidRPr="00F208A8" w:rsidRDefault="00C261FF" w:rsidP="00610C0E">
            <w:pPr>
              <w:pStyle w:val="Tabletext"/>
              <w:keepNext/>
              <w:keepLines/>
              <w:rPr>
                <w:i/>
              </w:rPr>
            </w:pPr>
            <w:r w:rsidRPr="003639A6">
              <w:t xml:space="preserve">Number of </w:t>
            </w:r>
            <w:r>
              <w:t>scripts</w:t>
            </w:r>
            <w:r w:rsidRPr="003639A6">
              <w:t xml:space="preserve"> </w:t>
            </w:r>
            <w:r w:rsidRPr="004B334F">
              <w:t>dispensed</w:t>
            </w:r>
            <w:r w:rsidRPr="004B334F">
              <w:rPr>
                <w:vertAlign w:val="superscript"/>
              </w:rPr>
              <w:t>a</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c>
          <w:tcPr>
            <w:tcW w:w="646" w:type="pct"/>
            <w:vAlign w:val="center"/>
          </w:tcPr>
          <w:p w:rsidR="00C261FF" w:rsidRPr="00AE66CA" w:rsidRDefault="00AE66CA" w:rsidP="00610C0E">
            <w:pPr>
              <w:pStyle w:val="Tabletext"/>
              <w:keepNext/>
              <w:keepLines/>
              <w:jc w:val="center"/>
              <w:rPr>
                <w:bCs/>
                <w:color w:val="000000"/>
                <w:highlight w:val="black"/>
              </w:rPr>
            </w:pPr>
            <w:r>
              <w:rPr>
                <w:noProof/>
                <w:color w:val="000000"/>
                <w:highlight w:val="black"/>
              </w:rPr>
              <w:t>'''''''''''''</w:t>
            </w:r>
          </w:p>
        </w:tc>
      </w:tr>
      <w:tr w:rsidR="00C261FF" w:rsidRPr="003639A6" w:rsidTr="00C261FF">
        <w:tc>
          <w:tcPr>
            <w:tcW w:w="5000" w:type="pct"/>
            <w:gridSpan w:val="7"/>
            <w:shd w:val="clear" w:color="auto" w:fill="auto"/>
            <w:vAlign w:val="center"/>
          </w:tcPr>
          <w:p w:rsidR="00C261FF" w:rsidRPr="003639A6" w:rsidRDefault="00C261FF" w:rsidP="00610C0E">
            <w:pPr>
              <w:pStyle w:val="Tabletext"/>
              <w:keepNext/>
              <w:keepLines/>
              <w:rPr>
                <w:bCs/>
                <w:color w:val="000000"/>
              </w:rPr>
            </w:pPr>
            <w:r w:rsidRPr="00D1078F">
              <w:rPr>
                <w:b/>
                <w:bCs/>
                <w:color w:val="000000"/>
              </w:rPr>
              <w:t xml:space="preserve">Estimated </w:t>
            </w:r>
            <w:r>
              <w:rPr>
                <w:b/>
                <w:bCs/>
                <w:color w:val="000000"/>
              </w:rPr>
              <w:t>financial implications of letermovir</w:t>
            </w:r>
          </w:p>
        </w:tc>
      </w:tr>
      <w:tr w:rsidR="004D4977" w:rsidRPr="003639A6" w:rsidTr="00C261FF">
        <w:tc>
          <w:tcPr>
            <w:tcW w:w="1119" w:type="pct"/>
            <w:shd w:val="clear" w:color="auto" w:fill="auto"/>
            <w:vAlign w:val="center"/>
          </w:tcPr>
          <w:p w:rsidR="004D4977" w:rsidRDefault="004D4977" w:rsidP="00610C0E">
            <w:pPr>
              <w:pStyle w:val="Tabletext"/>
              <w:keepNext/>
              <w:keepLines/>
              <w:rPr>
                <w:sz w:val="19"/>
                <w:szCs w:val="19"/>
              </w:rPr>
            </w:pPr>
            <w:r w:rsidRPr="00AD13B2">
              <w:rPr>
                <w:szCs w:val="20"/>
              </w:rPr>
              <w:t>Cost to PBS/RPBS</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5154D5">
              <w:rPr>
                <w:rFonts w:cs="Arial"/>
                <w:color w:val="000000"/>
              </w:rPr>
              <w:t>$</w:t>
            </w:r>
            <w:r w:rsidR="00AE66CA">
              <w:rPr>
                <w:rFonts w:cs="Arial"/>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FF4148">
              <w:rPr>
                <w:rFonts w:cs="Arial"/>
                <w:color w:val="000000"/>
              </w:rPr>
              <w:t>$</w:t>
            </w:r>
            <w:r w:rsidR="00AE66CA">
              <w:rPr>
                <w:rFonts w:cs="Arial"/>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FF4148">
              <w:rPr>
                <w:rFonts w:cs="Arial"/>
                <w:color w:val="000000"/>
              </w:rPr>
              <w:t>$</w:t>
            </w:r>
            <w:r w:rsidR="00AE66CA">
              <w:rPr>
                <w:rFonts w:cs="Arial"/>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FF4148">
              <w:rPr>
                <w:rFonts w:cs="Arial"/>
                <w:color w:val="000000"/>
              </w:rPr>
              <w:t>$</w:t>
            </w:r>
            <w:r w:rsidR="00AE66CA">
              <w:rPr>
                <w:rFonts w:cs="Arial"/>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FF4148">
              <w:rPr>
                <w:rFonts w:cs="Arial"/>
                <w:color w:val="000000"/>
              </w:rPr>
              <w:t>$</w:t>
            </w:r>
            <w:r w:rsidR="00AE66CA">
              <w:rPr>
                <w:rFonts w:cs="Arial"/>
                <w:noProof/>
                <w:color w:val="000000"/>
                <w:highlight w:val="black"/>
              </w:rPr>
              <w:t xml:space="preserve">''''''''''''''''''''''''' </w:t>
            </w:r>
          </w:p>
        </w:tc>
        <w:tc>
          <w:tcPr>
            <w:tcW w:w="646" w:type="pct"/>
            <w:vAlign w:val="center"/>
          </w:tcPr>
          <w:p w:rsidR="004D4977" w:rsidRPr="003639A6" w:rsidRDefault="004D4977" w:rsidP="00610C0E">
            <w:pPr>
              <w:pStyle w:val="Tabletext"/>
              <w:keepNext/>
              <w:keepLines/>
              <w:jc w:val="center"/>
              <w:rPr>
                <w:bCs/>
                <w:color w:val="000000"/>
              </w:rPr>
            </w:pPr>
            <w:r w:rsidRPr="00FF4148">
              <w:rPr>
                <w:rFonts w:cs="Arial"/>
                <w:color w:val="000000"/>
              </w:rPr>
              <w:t>$</w:t>
            </w:r>
            <w:r w:rsidR="00AE66CA">
              <w:rPr>
                <w:rFonts w:cs="Arial"/>
                <w:noProof/>
                <w:color w:val="000000"/>
                <w:highlight w:val="black"/>
              </w:rPr>
              <w:t xml:space="preserve">''''''''''''''''''''' </w:t>
            </w:r>
          </w:p>
        </w:tc>
      </w:tr>
      <w:tr w:rsidR="004D4977" w:rsidRPr="003639A6" w:rsidTr="00C261FF">
        <w:tc>
          <w:tcPr>
            <w:tcW w:w="1119" w:type="pct"/>
            <w:shd w:val="clear" w:color="auto" w:fill="auto"/>
            <w:vAlign w:val="center"/>
          </w:tcPr>
          <w:p w:rsidR="004D4977" w:rsidRDefault="004D4977" w:rsidP="00610C0E">
            <w:pPr>
              <w:pStyle w:val="Tabletext"/>
              <w:keepNext/>
              <w:keepLines/>
              <w:rPr>
                <w:sz w:val="19"/>
                <w:szCs w:val="19"/>
              </w:rPr>
            </w:pPr>
            <w:r w:rsidRPr="00AD13B2">
              <w:rPr>
                <w:szCs w:val="20"/>
              </w:rPr>
              <w:t>Copayments</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5154D5">
              <w:rPr>
                <w:rFonts w:cs="Arial"/>
              </w:rPr>
              <w:t>-$</w:t>
            </w:r>
            <w:r w:rsidR="00AE66CA">
              <w:rPr>
                <w:rFonts w:cs="Arial"/>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Pr>
                <w:rFonts w:cs="Arial"/>
              </w:rPr>
              <w:t>-</w:t>
            </w:r>
            <w:r w:rsidRPr="00FF4148">
              <w:rPr>
                <w:rFonts w:cs="Arial"/>
              </w:rPr>
              <w:t>$</w:t>
            </w:r>
            <w:r w:rsidR="00AE66CA">
              <w:rPr>
                <w:rFonts w:cs="Arial"/>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Pr>
                <w:rFonts w:cs="Arial"/>
              </w:rPr>
              <w:t>-</w:t>
            </w:r>
            <w:r w:rsidRPr="00FF4148">
              <w:rPr>
                <w:rFonts w:cs="Arial"/>
              </w:rPr>
              <w:t>$</w:t>
            </w:r>
            <w:r w:rsidR="00AE66CA">
              <w:rPr>
                <w:rFonts w:cs="Arial"/>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Pr>
                <w:rFonts w:cs="Arial"/>
              </w:rPr>
              <w:t>-</w:t>
            </w:r>
            <w:r w:rsidRPr="00FF4148">
              <w:rPr>
                <w:rFonts w:cs="Arial"/>
              </w:rPr>
              <w:t>$</w:t>
            </w:r>
            <w:r w:rsidR="00AE66CA">
              <w:rPr>
                <w:rFonts w:cs="Arial"/>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Pr>
                <w:rFonts w:cs="Arial"/>
              </w:rPr>
              <w:t>-</w:t>
            </w:r>
            <w:r w:rsidRPr="00FF4148">
              <w:rPr>
                <w:rFonts w:cs="Arial"/>
              </w:rPr>
              <w:t>$</w:t>
            </w:r>
            <w:r w:rsidR="00AE66CA">
              <w:rPr>
                <w:rFonts w:cs="Arial"/>
                <w:noProof/>
                <w:color w:val="000000"/>
                <w:highlight w:val="black"/>
              </w:rPr>
              <w:t>''''''''''''''''</w:t>
            </w:r>
          </w:p>
        </w:tc>
        <w:tc>
          <w:tcPr>
            <w:tcW w:w="646" w:type="pct"/>
            <w:vAlign w:val="center"/>
          </w:tcPr>
          <w:p w:rsidR="004D4977" w:rsidRPr="003639A6" w:rsidRDefault="004D4977" w:rsidP="00610C0E">
            <w:pPr>
              <w:pStyle w:val="Tabletext"/>
              <w:keepNext/>
              <w:keepLines/>
              <w:jc w:val="center"/>
              <w:rPr>
                <w:bCs/>
                <w:color w:val="000000"/>
              </w:rPr>
            </w:pPr>
            <w:r>
              <w:rPr>
                <w:rFonts w:cs="Arial"/>
              </w:rPr>
              <w:t>-</w:t>
            </w:r>
            <w:r w:rsidRPr="00FF4148">
              <w:rPr>
                <w:rFonts w:cs="Arial"/>
              </w:rPr>
              <w:t>$</w:t>
            </w:r>
            <w:r w:rsidR="00AE66CA">
              <w:rPr>
                <w:rFonts w:cs="Arial"/>
                <w:noProof/>
                <w:color w:val="000000"/>
                <w:highlight w:val="black"/>
              </w:rPr>
              <w:t>''''''''''''''''</w:t>
            </w:r>
          </w:p>
        </w:tc>
      </w:tr>
      <w:tr w:rsidR="004D4977" w:rsidRPr="003639A6" w:rsidTr="00C261FF">
        <w:tc>
          <w:tcPr>
            <w:tcW w:w="5000" w:type="pct"/>
            <w:gridSpan w:val="7"/>
            <w:shd w:val="clear" w:color="auto" w:fill="auto"/>
            <w:vAlign w:val="center"/>
          </w:tcPr>
          <w:p w:rsidR="004D4977" w:rsidRPr="003639A6" w:rsidRDefault="004D4977" w:rsidP="00610C0E">
            <w:pPr>
              <w:pStyle w:val="Tabletext"/>
              <w:keepNext/>
              <w:keepLines/>
              <w:rPr>
                <w:bCs/>
                <w:color w:val="000000"/>
              </w:rPr>
            </w:pPr>
            <w:r w:rsidRPr="00FC22AB">
              <w:rPr>
                <w:b/>
                <w:bCs/>
                <w:color w:val="000000"/>
              </w:rPr>
              <w:t>Net financial implications</w:t>
            </w:r>
            <w:r w:rsidRPr="00FC22AB">
              <w:rPr>
                <w:b/>
                <w:bCs/>
                <w:color w:val="4BACC6" w:themeColor="accent5"/>
              </w:rPr>
              <w:t xml:space="preserve"> </w:t>
            </w:r>
          </w:p>
        </w:tc>
      </w:tr>
      <w:tr w:rsidR="004D4977" w:rsidRPr="003639A6" w:rsidTr="00C261FF">
        <w:tc>
          <w:tcPr>
            <w:tcW w:w="1119" w:type="pct"/>
            <w:shd w:val="clear" w:color="auto" w:fill="auto"/>
            <w:vAlign w:val="center"/>
          </w:tcPr>
          <w:p w:rsidR="004D4977" w:rsidRDefault="004D4977" w:rsidP="00610C0E">
            <w:pPr>
              <w:pStyle w:val="Tabletext"/>
              <w:keepNext/>
              <w:keepLines/>
              <w:rPr>
                <w:sz w:val="19"/>
                <w:szCs w:val="19"/>
              </w:rPr>
            </w:pPr>
            <w:r w:rsidRPr="00AD13B2">
              <w:rPr>
                <w:szCs w:val="20"/>
              </w:rPr>
              <w:t>Net cost to PBS/RPBS</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5154D5">
              <w:rPr>
                <w:rFonts w:cs="Arial"/>
                <w:b/>
                <w:bCs/>
                <w:color w:val="000000"/>
              </w:rPr>
              <w:t>$</w:t>
            </w:r>
            <w:r w:rsidR="00AE66CA">
              <w:rPr>
                <w:rFonts w:cs="Arial"/>
                <w:b/>
                <w:bCs/>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D51ECB">
              <w:rPr>
                <w:rFonts w:cs="Arial"/>
                <w:b/>
                <w:bCs/>
                <w:color w:val="000000"/>
              </w:rPr>
              <w:t>$</w:t>
            </w:r>
            <w:r w:rsidR="00AE66CA">
              <w:rPr>
                <w:rFonts w:cs="Arial"/>
                <w:b/>
                <w:bCs/>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D51ECB">
              <w:rPr>
                <w:rFonts w:cs="Arial"/>
                <w:b/>
                <w:bCs/>
                <w:color w:val="000000"/>
              </w:rPr>
              <w:t>$</w:t>
            </w:r>
            <w:r w:rsidR="00AE66CA">
              <w:rPr>
                <w:rFonts w:cs="Arial"/>
                <w:b/>
                <w:bCs/>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D51ECB">
              <w:rPr>
                <w:rFonts w:cs="Arial"/>
                <w:b/>
                <w:bCs/>
                <w:color w:val="000000"/>
              </w:rPr>
              <w:t>$</w:t>
            </w:r>
            <w:r w:rsidR="00AE66CA">
              <w:rPr>
                <w:rFonts w:cs="Arial"/>
                <w:b/>
                <w:bCs/>
                <w:noProof/>
                <w:color w:val="000000"/>
                <w:highlight w:val="black"/>
              </w:rPr>
              <w:t xml:space="preserve">'''''''''''''''''' </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D51ECB">
              <w:rPr>
                <w:rFonts w:cs="Arial"/>
                <w:b/>
                <w:bCs/>
                <w:color w:val="000000"/>
              </w:rPr>
              <w:t>$</w:t>
            </w:r>
            <w:r w:rsidR="00AE66CA">
              <w:rPr>
                <w:rFonts w:cs="Arial"/>
                <w:b/>
                <w:bCs/>
                <w:noProof/>
                <w:color w:val="000000"/>
                <w:highlight w:val="black"/>
              </w:rPr>
              <w:t xml:space="preserve">''''''''''''''''' </w:t>
            </w:r>
          </w:p>
        </w:tc>
        <w:tc>
          <w:tcPr>
            <w:tcW w:w="646" w:type="pct"/>
            <w:vAlign w:val="center"/>
          </w:tcPr>
          <w:p w:rsidR="004D4977" w:rsidRPr="003639A6" w:rsidRDefault="004D4977" w:rsidP="00610C0E">
            <w:pPr>
              <w:pStyle w:val="Tabletext"/>
              <w:keepNext/>
              <w:keepLines/>
              <w:jc w:val="center"/>
              <w:rPr>
                <w:bCs/>
                <w:color w:val="000000"/>
              </w:rPr>
            </w:pPr>
            <w:r w:rsidRPr="00D51ECB">
              <w:rPr>
                <w:rFonts w:cs="Arial"/>
                <w:b/>
                <w:bCs/>
                <w:color w:val="000000"/>
              </w:rPr>
              <w:t>$</w:t>
            </w:r>
            <w:r w:rsidR="00AE66CA">
              <w:rPr>
                <w:rFonts w:cs="Arial"/>
                <w:b/>
                <w:bCs/>
                <w:noProof/>
                <w:color w:val="000000"/>
                <w:highlight w:val="black"/>
              </w:rPr>
              <w:t xml:space="preserve">'''''''''''''''''' </w:t>
            </w:r>
          </w:p>
        </w:tc>
      </w:tr>
      <w:tr w:rsidR="004D4977" w:rsidRPr="003639A6" w:rsidTr="00C261FF">
        <w:tc>
          <w:tcPr>
            <w:tcW w:w="1119" w:type="pct"/>
            <w:shd w:val="clear" w:color="auto" w:fill="auto"/>
            <w:vAlign w:val="center"/>
          </w:tcPr>
          <w:p w:rsidR="004D4977" w:rsidRPr="003639A6" w:rsidRDefault="004D4977" w:rsidP="00610C0E">
            <w:pPr>
              <w:pStyle w:val="Tabletext"/>
              <w:keepNext/>
              <w:keepLines/>
              <w:rPr>
                <w:rFonts w:ascii="Times" w:hAnsi="Times"/>
              </w:rPr>
            </w:pPr>
            <w:r w:rsidRPr="00F208A8">
              <w:rPr>
                <w:i/>
              </w:rPr>
              <w:t xml:space="preserve">July 2018 overall net cost to </w:t>
            </w:r>
            <w:r>
              <w:rPr>
                <w:i/>
              </w:rPr>
              <w:t>PBS/RPBS</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9F5FE9">
              <w:rPr>
                <w:rFonts w:cs="Arial"/>
                <w:bCs/>
                <w:i/>
                <w:color w:val="000000"/>
              </w:rPr>
              <w:t>$</w:t>
            </w:r>
            <w:r w:rsidR="00AE66CA">
              <w:rPr>
                <w:rFonts w:cs="Arial"/>
                <w:bCs/>
                <w:i/>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9F5FE9">
              <w:rPr>
                <w:rFonts w:cs="Arial"/>
                <w:bCs/>
                <w:i/>
                <w:color w:val="000000"/>
              </w:rPr>
              <w:t>$</w:t>
            </w:r>
            <w:r w:rsidR="00AE66CA">
              <w:rPr>
                <w:rFonts w:cs="Arial"/>
                <w:bCs/>
                <w:i/>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9F5FE9">
              <w:rPr>
                <w:rFonts w:cs="Arial"/>
                <w:bCs/>
                <w:i/>
                <w:color w:val="000000"/>
              </w:rPr>
              <w:t>$</w:t>
            </w:r>
            <w:r w:rsidR="00AE66CA">
              <w:rPr>
                <w:rFonts w:cs="Arial"/>
                <w:bCs/>
                <w:i/>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9F5FE9">
              <w:rPr>
                <w:rFonts w:cs="Arial"/>
                <w:bCs/>
                <w:i/>
                <w:color w:val="000000"/>
              </w:rPr>
              <w:t>$</w:t>
            </w:r>
            <w:r w:rsidR="00AE66CA">
              <w:rPr>
                <w:rFonts w:cs="Arial"/>
                <w:bCs/>
                <w:i/>
                <w:noProof/>
                <w:color w:val="000000"/>
                <w:highlight w:val="black"/>
              </w:rPr>
              <w:t>'''''''''''''''''''''''</w:t>
            </w:r>
          </w:p>
        </w:tc>
        <w:tc>
          <w:tcPr>
            <w:tcW w:w="647" w:type="pct"/>
            <w:shd w:val="clear" w:color="auto" w:fill="auto"/>
            <w:vAlign w:val="center"/>
          </w:tcPr>
          <w:p w:rsidR="004D4977" w:rsidRPr="003639A6" w:rsidRDefault="004D4977" w:rsidP="00610C0E">
            <w:pPr>
              <w:pStyle w:val="Tabletext"/>
              <w:keepNext/>
              <w:keepLines/>
              <w:jc w:val="center"/>
              <w:rPr>
                <w:bCs/>
                <w:color w:val="000000"/>
              </w:rPr>
            </w:pPr>
            <w:r w:rsidRPr="009F5FE9">
              <w:rPr>
                <w:rFonts w:cs="Arial"/>
                <w:bCs/>
                <w:i/>
                <w:color w:val="000000"/>
              </w:rPr>
              <w:t>$</w:t>
            </w:r>
            <w:r w:rsidR="00AE66CA">
              <w:rPr>
                <w:rFonts w:cs="Arial"/>
                <w:bCs/>
                <w:i/>
                <w:noProof/>
                <w:color w:val="000000"/>
                <w:highlight w:val="black"/>
              </w:rPr>
              <w:t>'''''''''''''''''''''''</w:t>
            </w:r>
          </w:p>
        </w:tc>
        <w:tc>
          <w:tcPr>
            <w:tcW w:w="646" w:type="pct"/>
            <w:vAlign w:val="center"/>
          </w:tcPr>
          <w:p w:rsidR="004D4977" w:rsidRPr="003639A6" w:rsidRDefault="004D4977" w:rsidP="00610C0E">
            <w:pPr>
              <w:pStyle w:val="Tabletext"/>
              <w:keepNext/>
              <w:keepLines/>
              <w:jc w:val="center"/>
              <w:rPr>
                <w:bCs/>
                <w:color w:val="000000"/>
              </w:rPr>
            </w:pPr>
            <w:r w:rsidRPr="009F5FE9">
              <w:rPr>
                <w:i/>
              </w:rPr>
              <w:t>$</w:t>
            </w:r>
            <w:r w:rsidR="00AE66CA">
              <w:rPr>
                <w:i/>
                <w:noProof/>
                <w:color w:val="000000"/>
                <w:highlight w:val="black"/>
              </w:rPr>
              <w:t>''''''''''''''''''''''</w:t>
            </w:r>
            <w:r>
              <w:rPr>
                <w:i/>
                <w:vertAlign w:val="superscript"/>
              </w:rPr>
              <w:t>b</w:t>
            </w:r>
          </w:p>
        </w:tc>
      </w:tr>
    </w:tbl>
    <w:p w:rsidR="00E466F3" w:rsidRDefault="00E466F3" w:rsidP="00610C0E">
      <w:pPr>
        <w:pStyle w:val="TableFooter"/>
        <w:tabs>
          <w:tab w:val="left" w:pos="142"/>
        </w:tabs>
        <w:ind w:left="142" w:hanging="142"/>
      </w:pPr>
      <w:r w:rsidRPr="003639A6">
        <w:rPr>
          <w:vertAlign w:val="superscript"/>
        </w:rPr>
        <w:t>a</w:t>
      </w:r>
      <w:r>
        <w:tab/>
      </w:r>
      <w:r w:rsidR="00ED7F20">
        <w:t>Assuming a weighted average of 3.27 packs per year (</w:t>
      </w:r>
      <w:r w:rsidR="00AE66CA">
        <w:rPr>
          <w:noProof/>
          <w:color w:val="000000"/>
          <w:highlight w:val="black"/>
        </w:rPr>
        <w:t>'''''''</w:t>
      </w:r>
      <w:r w:rsidR="00ED7F20">
        <w:t xml:space="preserve">% </w:t>
      </w:r>
      <w:r w:rsidR="00D9290C">
        <w:t>using</w:t>
      </w:r>
      <w:r w:rsidR="00ED7F20">
        <w:t xml:space="preserve"> concomitant cyclosporin and 240mg/day and </w:t>
      </w:r>
      <w:r w:rsidR="00AE66CA">
        <w:rPr>
          <w:noProof/>
          <w:color w:val="000000"/>
          <w:highlight w:val="black"/>
        </w:rPr>
        <w:t>''''</w:t>
      </w:r>
      <w:r w:rsidR="00ED7F20">
        <w:t>% using letermovir alone and 480mg/day).</w:t>
      </w:r>
    </w:p>
    <w:p w:rsidR="004D4977" w:rsidRPr="004D4977" w:rsidRDefault="004D4977" w:rsidP="00610C0E">
      <w:pPr>
        <w:pStyle w:val="TableFooter"/>
        <w:tabs>
          <w:tab w:val="left" w:pos="142"/>
        </w:tabs>
        <w:ind w:left="142" w:hanging="142"/>
        <w:rPr>
          <w:b/>
        </w:rPr>
      </w:pPr>
      <w:r>
        <w:rPr>
          <w:i/>
          <w:vertAlign w:val="superscript"/>
        </w:rPr>
        <w:t>b</w:t>
      </w:r>
      <w:r w:rsidRPr="007356DC">
        <w:rPr>
          <w:i/>
        </w:rPr>
        <w:tab/>
      </w:r>
      <w:r>
        <w:rPr>
          <w:i/>
        </w:rPr>
        <w:t>While the July 2018 submission did not provide estimates for Year 6 the PSCR provided an estimated net cost.</w:t>
      </w:r>
    </w:p>
    <w:p w:rsidR="004D4977" w:rsidRDefault="004D4977" w:rsidP="00610C0E">
      <w:pPr>
        <w:pStyle w:val="TableFooter"/>
        <w:tabs>
          <w:tab w:val="left" w:pos="142"/>
        </w:tabs>
        <w:ind w:left="142" w:hanging="142"/>
      </w:pPr>
      <w:r>
        <w:t>NE=not estimated</w:t>
      </w:r>
    </w:p>
    <w:p w:rsidR="00385A9D" w:rsidRDefault="00385A9D" w:rsidP="00610C0E">
      <w:pPr>
        <w:pStyle w:val="TableFooter"/>
        <w:rPr>
          <w:rStyle w:val="CommentReference"/>
        </w:rPr>
      </w:pPr>
      <w:r>
        <w:t xml:space="preserve">Source: </w:t>
      </w:r>
      <w:r w:rsidR="007B32F7">
        <w:t xml:space="preserve">Table 4-3, p102; Table 4-4, p103; </w:t>
      </w:r>
      <w:r w:rsidR="004D4977">
        <w:t>Table 4-5, p105</w:t>
      </w:r>
      <w:r w:rsidR="007B32F7">
        <w:t xml:space="preserve"> of the resubmission and Table 12, 5.07.COM.22.</w:t>
      </w:r>
    </w:p>
    <w:p w:rsidR="00CB1663" w:rsidRPr="00CB1663" w:rsidRDefault="00CB1663" w:rsidP="0069395E">
      <w:pPr>
        <w:spacing w:before="120" w:after="120"/>
        <w:rPr>
          <w:i/>
        </w:rPr>
      </w:pPr>
      <w:r>
        <w:rPr>
          <w:i/>
        </w:rPr>
        <w:t xml:space="preserve">The redacted table shows that at Year 6, the estimated number of patients was less than 10,000. </w:t>
      </w:r>
    </w:p>
    <w:p w:rsidR="00ED4468" w:rsidRPr="0021510A" w:rsidRDefault="00ED4468" w:rsidP="0069395E">
      <w:pPr>
        <w:pStyle w:val="ListParagraph"/>
        <w:numPr>
          <w:ilvl w:val="1"/>
          <w:numId w:val="1"/>
        </w:numPr>
        <w:spacing w:after="120"/>
      </w:pPr>
      <w:r w:rsidRPr="0021510A">
        <w:t xml:space="preserve">The estimated net cost to the PBS/RPBS over the first 6 years of listing </w:t>
      </w:r>
      <w:r w:rsidR="005172C2" w:rsidRPr="0021510A">
        <w:t xml:space="preserve">in the resubmission </w:t>
      </w:r>
      <w:r w:rsidRPr="0021510A">
        <w:t>was $</w:t>
      </w:r>
      <w:r w:rsidR="00CB1663">
        <w:t>30 to $60 million</w:t>
      </w:r>
      <w:r w:rsidRPr="0021510A">
        <w:t>.</w:t>
      </w:r>
      <w:r w:rsidR="005859EC">
        <w:t xml:space="preserve"> </w:t>
      </w:r>
      <w:r w:rsidRPr="0021510A">
        <w:t>This was less than</w:t>
      </w:r>
      <w:r w:rsidR="00621E53" w:rsidRPr="0021510A">
        <w:t xml:space="preserve"> the $</w:t>
      </w:r>
      <w:r w:rsidR="00CB1663">
        <w:t>30 to $60 million</w:t>
      </w:r>
      <w:r w:rsidR="00621E53" w:rsidRPr="0021510A">
        <w:t xml:space="preserve"> estimated in the July 2018 submission.</w:t>
      </w:r>
      <w:r w:rsidR="005859EC">
        <w:t xml:space="preserve"> </w:t>
      </w:r>
      <w:r w:rsidR="00621E53" w:rsidRPr="0021510A">
        <w:t>The key reason for the estimated decrease in net cost compared to the July 2018 estimate was the assumed lower growth rate in transplant procedures, resulting in lower eligible patient numbers, along with the assumption made by the resubmission that the first year of listing would only cover 4 months</w:t>
      </w:r>
      <w:r w:rsidR="00673D3F" w:rsidRPr="0021510A">
        <w:t xml:space="preserve"> (this assumption did not correspond to the PBAC Guidelines v5.0, p107 which indicate the financial impact should be estimated over six full calendar years)</w:t>
      </w:r>
      <w:r w:rsidR="00621E53" w:rsidRPr="0021510A">
        <w:t>.</w:t>
      </w:r>
      <w:r w:rsidR="005859EC">
        <w:t xml:space="preserve"> </w:t>
      </w:r>
      <w:r w:rsidR="00621E53" w:rsidRPr="0021510A">
        <w:t xml:space="preserve">If the Year 1 costs </w:t>
      </w:r>
      <w:r w:rsidR="00DF2ADA" w:rsidRPr="0021510A">
        <w:t>we</w:t>
      </w:r>
      <w:r w:rsidR="00621E53" w:rsidRPr="0021510A">
        <w:t xml:space="preserve">re assumed to cover an entire year and the growth rate of transplant procedures </w:t>
      </w:r>
      <w:r w:rsidR="00DF2ADA" w:rsidRPr="0021510A">
        <w:t>wa</w:t>
      </w:r>
      <w:r w:rsidR="00621E53" w:rsidRPr="0021510A">
        <w:t>s returned to the level used in the July 2018 submission (4.58%) then the estimated net cost to the PBS/RPBS concurred with the July 2018 estimate at $</w:t>
      </w:r>
      <w:r w:rsidR="00CB1663">
        <w:t>30 to $60 million</w:t>
      </w:r>
      <w:r w:rsidR="00621E53" w:rsidRPr="0021510A">
        <w:t>.</w:t>
      </w:r>
    </w:p>
    <w:p w:rsidR="008E7DDE" w:rsidRPr="0021510A" w:rsidRDefault="008E7DDE" w:rsidP="0069395E">
      <w:pPr>
        <w:pStyle w:val="ListParagraph"/>
        <w:numPr>
          <w:ilvl w:val="1"/>
          <w:numId w:val="1"/>
        </w:numPr>
        <w:spacing w:after="120"/>
      </w:pPr>
      <w:r w:rsidRPr="0021510A">
        <w:t>When the number of packs available under the requested restriction were used (4 packs) the estimated net cost over the first 6 years of listing increased to $</w:t>
      </w:r>
      <w:r w:rsidR="00CB1663">
        <w:t xml:space="preserve">30 to $60 million </w:t>
      </w:r>
      <w:r w:rsidRPr="0021510A">
        <w:t>from the resubmission’s estimate of $</w:t>
      </w:r>
      <w:r w:rsidR="00CB1663">
        <w:t>30 to $60 million</w:t>
      </w:r>
      <w:r w:rsidRPr="0021510A">
        <w:t>.</w:t>
      </w:r>
      <w:r w:rsidR="005859EC">
        <w:t xml:space="preserve"> </w:t>
      </w:r>
      <w:r w:rsidR="00EB4E29" w:rsidRPr="0021510A">
        <w:t>Also including</w:t>
      </w:r>
      <w:r w:rsidRPr="0021510A">
        <w:t xml:space="preserve"> costs for the full calendar year of Year 1 </w:t>
      </w:r>
      <w:r w:rsidR="00CD0199" w:rsidRPr="0021510A">
        <w:t xml:space="preserve">increased </w:t>
      </w:r>
      <w:r w:rsidRPr="0021510A">
        <w:t>the net costs over 6 years to $</w:t>
      </w:r>
      <w:r w:rsidR="00CB1663">
        <w:t>60 to 100 million</w:t>
      </w:r>
      <w:r w:rsidRPr="0021510A">
        <w:t>.</w:t>
      </w:r>
      <w:r w:rsidR="005859EC">
        <w:t xml:space="preserve"> </w:t>
      </w:r>
      <w:r w:rsidRPr="0021510A">
        <w:t>This latter estimate was more likely to reflect the estimated net costs to the PBS/RPBS for the use of letermovir.</w:t>
      </w:r>
    </w:p>
    <w:p w:rsidR="00576972" w:rsidRPr="00576972" w:rsidRDefault="00576972" w:rsidP="005859EC">
      <w:pPr>
        <w:pStyle w:val="Heading2"/>
        <w:keepNext/>
        <w:keepLines/>
        <w:spacing w:after="120"/>
      </w:pPr>
      <w:bookmarkStart w:id="13" w:name="_Toc536019890"/>
      <w:r w:rsidRPr="00C9624D">
        <w:lastRenderedPageBreak/>
        <w:t>Quality Use of Medicines</w:t>
      </w:r>
      <w:bookmarkEnd w:id="13"/>
    </w:p>
    <w:p w:rsidR="00C54F33" w:rsidRPr="0021510A" w:rsidRDefault="00C54F33" w:rsidP="005859EC">
      <w:pPr>
        <w:pStyle w:val="ListParagraph"/>
        <w:keepNext/>
        <w:keepLines/>
        <w:numPr>
          <w:ilvl w:val="1"/>
          <w:numId w:val="1"/>
        </w:numPr>
        <w:spacing w:after="120"/>
      </w:pPr>
      <w:r w:rsidRPr="0021510A">
        <w:t>As in the July 2018 submission the resubmission provided a list of proposed activities to support the quality use of medicines, including development of materials to be provided to physicians, nurses, pharmacists and patients; educational activities; and development of materials to support responses to requests for information on the sponsor’s 1800 medical information service number.</w:t>
      </w:r>
    </w:p>
    <w:p w:rsidR="00CD5E74" w:rsidRPr="0021510A" w:rsidRDefault="00CD5E74" w:rsidP="0069395E">
      <w:pPr>
        <w:pStyle w:val="ListParagraph"/>
        <w:numPr>
          <w:ilvl w:val="1"/>
          <w:numId w:val="1"/>
        </w:numPr>
        <w:spacing w:after="120"/>
      </w:pPr>
      <w:r w:rsidRPr="0021510A">
        <w:t xml:space="preserve">DUSC highlighted (paragraph 6.59 July 2018 PSD) that educational </w:t>
      </w:r>
      <w:r w:rsidRPr="0021510A">
        <w:rPr>
          <w:szCs w:val="20"/>
        </w:rPr>
        <w:t>materials and activities on drug interactions would be crucial to support appropriate use of letermovir as there are significant drug interactions associated with co-administration of letermovir (as it is a CYP3A inhibitor and an OATP1B1/3 substrate) and the magnitude of the interactions may have been understated by the July 2018 submission, as lower doses of letermovir were used in the drug-drug interaction studies compared with the requested listing.</w:t>
      </w:r>
      <w:r w:rsidR="005859EC">
        <w:rPr>
          <w:szCs w:val="20"/>
        </w:rPr>
        <w:t xml:space="preserve"> </w:t>
      </w:r>
      <w:r w:rsidR="002D1AFB" w:rsidRPr="0021510A">
        <w:rPr>
          <w:szCs w:val="20"/>
        </w:rPr>
        <w:t xml:space="preserve">Section 2.7.2 of the resubmission listed drug interactions identified in the TGA’s risk management plan but the </w:t>
      </w:r>
      <w:r w:rsidR="00210AEF" w:rsidRPr="0021510A">
        <w:rPr>
          <w:szCs w:val="20"/>
        </w:rPr>
        <w:t xml:space="preserve">ESC noted that the </w:t>
      </w:r>
      <w:r w:rsidR="002D1AFB" w:rsidRPr="0021510A">
        <w:rPr>
          <w:szCs w:val="20"/>
        </w:rPr>
        <w:t xml:space="preserve">resubmission did not provide additional </w:t>
      </w:r>
      <w:r w:rsidR="002D1AFB" w:rsidRPr="0021510A">
        <w:t xml:space="preserve">discussion of the </w:t>
      </w:r>
      <w:r w:rsidR="002D1AFB" w:rsidRPr="0021510A">
        <w:rPr>
          <w:szCs w:val="20"/>
        </w:rPr>
        <w:t>significant drug interactions associated with co-administration of letermovir, nor did the resubmission provide discussion of</w:t>
      </w:r>
      <w:r w:rsidR="002D1AFB" w:rsidRPr="0021510A">
        <w:t xml:space="preserve"> educational materials and activities on drug interactions.</w:t>
      </w:r>
    </w:p>
    <w:p w:rsidR="00576972" w:rsidRPr="00C9624D" w:rsidRDefault="00576972" w:rsidP="0069395E">
      <w:pPr>
        <w:pStyle w:val="Heading2"/>
        <w:spacing w:after="120"/>
      </w:pPr>
      <w:bookmarkStart w:id="14" w:name="_Toc536019891"/>
      <w:r w:rsidRPr="00C9624D">
        <w:t>Financial Management – Risk Sharing Arrangements</w:t>
      </w:r>
      <w:bookmarkEnd w:id="14"/>
    </w:p>
    <w:p w:rsidR="00F72DFF" w:rsidRPr="003F7F24" w:rsidRDefault="00294853" w:rsidP="0069395E">
      <w:pPr>
        <w:pStyle w:val="ListParagraph"/>
        <w:numPr>
          <w:ilvl w:val="1"/>
          <w:numId w:val="1"/>
        </w:numPr>
        <w:spacing w:after="120"/>
      </w:pPr>
      <w:r w:rsidRPr="003F7F24">
        <w:t xml:space="preserve">The resubmission stated that the sponsor is willing to enter a risk sharing arrangement with a cap/rebate structure that takes into account uncertainty associated with </w:t>
      </w:r>
      <w:r w:rsidR="009A788A" w:rsidRPr="003F7F24">
        <w:t>proportion of seropositive patients, rate of cyclosporin use and treatment duration.</w:t>
      </w:r>
      <w:r w:rsidR="005859EC">
        <w:t xml:space="preserve"> </w:t>
      </w:r>
      <w:r w:rsidR="009A788A" w:rsidRPr="003F7F24">
        <w:t>In regard</w:t>
      </w:r>
      <w:r w:rsidR="00800FC3" w:rsidRPr="003F7F24">
        <w:t>s</w:t>
      </w:r>
      <w:r w:rsidR="009A788A" w:rsidRPr="003F7F24">
        <w:t xml:space="preserve"> to treatment duration the resubmission added</w:t>
      </w:r>
      <w:r w:rsidR="00F72DFF" w:rsidRPr="003F7F24">
        <w:t xml:space="preserve"> that any uncertainty in the real-world utilisation of letermovir would be addressed through a risk-sharing arrangement such that the impact of an extended duration of use outside of the proposed estimates does not have a significant impact to the health budget.</w:t>
      </w:r>
      <w:r w:rsidR="005859EC">
        <w:t xml:space="preserve"> </w:t>
      </w:r>
    </w:p>
    <w:p w:rsidR="00294853" w:rsidRPr="003F7F24" w:rsidRDefault="009A788A" w:rsidP="0069395E">
      <w:pPr>
        <w:pStyle w:val="ListParagraph"/>
        <w:numPr>
          <w:ilvl w:val="1"/>
          <w:numId w:val="1"/>
        </w:numPr>
        <w:spacing w:after="120"/>
      </w:pPr>
      <w:r w:rsidRPr="003F7F24">
        <w:t xml:space="preserve">The resubmission stated that the sponsor believes the risks should be shared with the Commonwealth and that any rebate payable should not exceed </w:t>
      </w:r>
      <w:r w:rsidR="00AE66CA">
        <w:rPr>
          <w:noProof/>
          <w:color w:val="000000"/>
          <w:highlight w:val="black"/>
        </w:rPr>
        <w:t>'''''</w:t>
      </w:r>
      <w:r w:rsidRPr="003F7F24">
        <w:t>%, as elements of the uncertainty being addressed are outside the control of the sponsor and are not able to be forecasted.</w:t>
      </w:r>
      <w:r w:rsidR="00800FC3" w:rsidRPr="003F7F24">
        <w:t xml:space="preserve"> </w:t>
      </w:r>
      <w:r w:rsidR="00F72DFF" w:rsidRPr="003F7F24">
        <w:t>The resubmission provided no further information on the potential risk-sharing arrangement and indicated that final details of the risk sharing arrangement would be negotiated with the Department of Health following a positive PBAC recommendation.</w:t>
      </w:r>
    </w:p>
    <w:p w:rsidR="00871FA9" w:rsidRPr="005859EC" w:rsidRDefault="00797B3D" w:rsidP="005859EC">
      <w:pPr>
        <w:spacing w:after="120"/>
        <w:ind w:firstLine="720"/>
        <w:rPr>
          <w:i/>
        </w:rPr>
      </w:pPr>
      <w:r w:rsidRPr="00053D75">
        <w:rPr>
          <w:i/>
        </w:rPr>
        <w:t>For more detail on PBAC’s view, see section 7 PBAC outcome.</w:t>
      </w:r>
    </w:p>
    <w:p w:rsidR="001332DD" w:rsidRPr="005859EC" w:rsidRDefault="00797B3D" w:rsidP="005859EC">
      <w:pPr>
        <w:pStyle w:val="PBACHeading1"/>
        <w:keepNext/>
        <w:spacing w:before="240" w:after="120"/>
      </w:pPr>
      <w:r w:rsidRPr="003765A3">
        <w:t>PBAC Outcomes</w:t>
      </w:r>
    </w:p>
    <w:p w:rsidR="00B86F47" w:rsidRPr="00AB5670" w:rsidRDefault="00B86F47" w:rsidP="00CA7A94">
      <w:pPr>
        <w:keepNext/>
        <w:widowControl w:val="0"/>
        <w:numPr>
          <w:ilvl w:val="1"/>
          <w:numId w:val="1"/>
        </w:numPr>
        <w:spacing w:after="120"/>
        <w:rPr>
          <w:rFonts w:asciiTheme="minorHAnsi" w:hAnsiTheme="minorHAnsi" w:cs="Arial"/>
          <w:bCs/>
          <w:snapToGrid w:val="0"/>
          <w:lang w:val="en-GB"/>
        </w:rPr>
      </w:pPr>
      <w:bookmarkStart w:id="15" w:name="_Toc536019893"/>
      <w:r w:rsidRPr="00AB5670">
        <w:rPr>
          <w:rFonts w:asciiTheme="minorHAnsi" w:hAnsiTheme="minorHAnsi" w:cs="Arial"/>
          <w:bCs/>
          <w:snapToGrid w:val="0"/>
          <w:lang w:val="en-GB"/>
        </w:rPr>
        <w:t>The PBAC did not recommend the Section 100 (Highly Specialised Drugs Program) Authority Required listing for letermovir for prophylaxis of CMV infection or disease in CMV sero-positive patients who have received an allogenei</w:t>
      </w:r>
      <w:r w:rsidR="00EE27CF">
        <w:rPr>
          <w:rFonts w:asciiTheme="minorHAnsi" w:hAnsiTheme="minorHAnsi" w:cs="Arial"/>
          <w:bCs/>
          <w:snapToGrid w:val="0"/>
          <w:lang w:val="en-GB"/>
        </w:rPr>
        <w:t xml:space="preserve">c </w:t>
      </w:r>
      <w:r w:rsidR="00A00F65" w:rsidRPr="00AB5670">
        <w:rPr>
          <w:rFonts w:asciiTheme="minorHAnsi" w:hAnsiTheme="minorHAnsi" w:cs="Arial"/>
          <w:bCs/>
          <w:snapToGrid w:val="0"/>
          <w:lang w:val="en-GB"/>
        </w:rPr>
        <w:t xml:space="preserve">HSCT. </w:t>
      </w:r>
      <w:r w:rsidR="00EE27CF">
        <w:rPr>
          <w:rFonts w:asciiTheme="minorHAnsi" w:hAnsiTheme="minorHAnsi" w:cs="Arial"/>
          <w:bCs/>
          <w:snapToGrid w:val="0"/>
          <w:lang w:val="en-GB"/>
        </w:rPr>
        <w:t>T</w:t>
      </w:r>
      <w:r w:rsidR="00AB5670" w:rsidRPr="00AB5670">
        <w:rPr>
          <w:rFonts w:asciiTheme="minorHAnsi" w:hAnsiTheme="minorHAnsi" w:cs="Arial"/>
          <w:bCs/>
          <w:snapToGrid w:val="0"/>
          <w:lang w:val="en-GB"/>
        </w:rPr>
        <w:t>he PBAC acknowledged the clinical utility of letermovir for this indication</w:t>
      </w:r>
      <w:r w:rsidR="00EE27CF">
        <w:rPr>
          <w:rFonts w:asciiTheme="minorHAnsi" w:hAnsiTheme="minorHAnsi" w:cs="Arial"/>
          <w:bCs/>
          <w:snapToGrid w:val="0"/>
          <w:lang w:val="en-GB"/>
        </w:rPr>
        <w:t xml:space="preserve"> but considered that </w:t>
      </w:r>
      <w:r w:rsidR="00AB5670">
        <w:rPr>
          <w:rFonts w:asciiTheme="minorHAnsi" w:hAnsiTheme="minorHAnsi" w:cs="Arial"/>
          <w:bCs/>
          <w:snapToGrid w:val="0"/>
          <w:lang w:val="en-GB"/>
        </w:rPr>
        <w:t>the</w:t>
      </w:r>
      <w:r w:rsidR="00AB5670" w:rsidRPr="00AB5670">
        <w:rPr>
          <w:rFonts w:asciiTheme="minorHAnsi" w:hAnsiTheme="minorHAnsi" w:cs="Arial"/>
          <w:bCs/>
          <w:snapToGrid w:val="0"/>
          <w:lang w:val="en-GB"/>
        </w:rPr>
        <w:t xml:space="preserve"> </w:t>
      </w:r>
      <w:r w:rsidR="00EE27CF">
        <w:rPr>
          <w:rFonts w:asciiTheme="minorHAnsi" w:hAnsiTheme="minorHAnsi" w:cs="Arial"/>
          <w:bCs/>
          <w:snapToGrid w:val="0"/>
          <w:lang w:val="en-GB"/>
        </w:rPr>
        <w:t xml:space="preserve">mortality and re-hospitalisation benefits attributed to letermovir were not supported by the trial evidence provided in the resubmission. As these outcomes </w:t>
      </w:r>
      <w:r w:rsidR="00EE27CF">
        <w:rPr>
          <w:rFonts w:asciiTheme="minorHAnsi" w:hAnsiTheme="minorHAnsi" w:cs="Arial"/>
          <w:bCs/>
          <w:snapToGrid w:val="0"/>
          <w:lang w:val="en-GB"/>
        </w:rPr>
        <w:lastRenderedPageBreak/>
        <w:t xml:space="preserve">formed the basis of the economic model the </w:t>
      </w:r>
      <w:r w:rsidR="00A00F65" w:rsidRPr="00AB5670">
        <w:rPr>
          <w:rFonts w:asciiTheme="minorHAnsi" w:hAnsiTheme="minorHAnsi" w:cs="Arial"/>
          <w:bCs/>
          <w:snapToGrid w:val="0"/>
          <w:lang w:val="en-GB"/>
        </w:rPr>
        <w:t xml:space="preserve">PBAC </w:t>
      </w:r>
      <w:r w:rsidR="00EE27CF">
        <w:rPr>
          <w:rFonts w:asciiTheme="minorHAnsi" w:hAnsiTheme="minorHAnsi" w:cs="Arial"/>
          <w:bCs/>
          <w:snapToGrid w:val="0"/>
          <w:lang w:val="en-GB"/>
        </w:rPr>
        <w:t xml:space="preserve">considered that </w:t>
      </w:r>
      <w:r w:rsidR="00A00F65" w:rsidRPr="00AB5670">
        <w:rPr>
          <w:rFonts w:asciiTheme="minorHAnsi" w:hAnsiTheme="minorHAnsi" w:cs="Arial"/>
          <w:bCs/>
          <w:snapToGrid w:val="0"/>
          <w:lang w:val="en-GB"/>
        </w:rPr>
        <w:t xml:space="preserve">the cost-effectiveness of letermovir </w:t>
      </w:r>
      <w:r w:rsidR="00EE27CF">
        <w:rPr>
          <w:rFonts w:asciiTheme="minorHAnsi" w:hAnsiTheme="minorHAnsi" w:cs="Arial"/>
          <w:bCs/>
          <w:snapToGrid w:val="0"/>
          <w:lang w:val="en-GB"/>
        </w:rPr>
        <w:t>was unable to be assessed</w:t>
      </w:r>
      <w:r w:rsidR="00A00F65" w:rsidRPr="00AB5670">
        <w:rPr>
          <w:rFonts w:asciiTheme="minorHAnsi" w:hAnsiTheme="minorHAnsi" w:cs="Arial"/>
          <w:bCs/>
          <w:snapToGrid w:val="0"/>
          <w:lang w:val="en-GB"/>
        </w:rPr>
        <w:t>.</w:t>
      </w:r>
      <w:r w:rsidR="009B58E7">
        <w:rPr>
          <w:rFonts w:asciiTheme="minorHAnsi" w:hAnsiTheme="minorHAnsi" w:cs="Arial"/>
          <w:bCs/>
          <w:snapToGrid w:val="0"/>
          <w:lang w:val="en-GB"/>
        </w:rPr>
        <w:t xml:space="preserve"> The PBAC also noted that other antivirals used as prophylaxis or pre-emptive therapy were in clinical use to reduce the burden of CMV disease in this setting.</w:t>
      </w:r>
    </w:p>
    <w:p w:rsidR="00AB5670" w:rsidRPr="00AB5670" w:rsidRDefault="002C21B5" w:rsidP="00CA7A94">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noted the consumer comments and </w:t>
      </w:r>
      <w:r w:rsidR="001D2EEA">
        <w:rPr>
          <w:rFonts w:asciiTheme="minorHAnsi" w:hAnsiTheme="minorHAnsi" w:cs="Arial"/>
          <w:bCs/>
          <w:snapToGrid w:val="0"/>
          <w:lang w:val="en-GB"/>
        </w:rPr>
        <w:t>reiterated its acceptance of</w:t>
      </w:r>
      <w:r>
        <w:rPr>
          <w:rFonts w:asciiTheme="minorHAnsi" w:hAnsiTheme="minorHAnsi" w:cs="Arial"/>
          <w:bCs/>
          <w:snapToGrid w:val="0"/>
          <w:lang w:val="en-GB"/>
        </w:rPr>
        <w:t xml:space="preserve"> the clinical utility of </w:t>
      </w:r>
      <w:r w:rsidR="00EE27CF">
        <w:rPr>
          <w:rFonts w:asciiTheme="minorHAnsi" w:hAnsiTheme="minorHAnsi" w:cs="Arial"/>
          <w:bCs/>
          <w:snapToGrid w:val="0"/>
          <w:lang w:val="en-GB"/>
        </w:rPr>
        <w:t xml:space="preserve">letermovir as </w:t>
      </w:r>
      <w:r>
        <w:rPr>
          <w:rFonts w:asciiTheme="minorHAnsi" w:hAnsiTheme="minorHAnsi" w:cs="Arial"/>
          <w:bCs/>
          <w:snapToGrid w:val="0"/>
          <w:lang w:val="en-GB"/>
        </w:rPr>
        <w:t xml:space="preserve">an orally active agent to prevent CMV infection </w:t>
      </w:r>
      <w:r w:rsidR="001D2EEA">
        <w:rPr>
          <w:rFonts w:asciiTheme="minorHAnsi" w:hAnsiTheme="minorHAnsi" w:cs="Arial"/>
          <w:bCs/>
          <w:snapToGrid w:val="0"/>
          <w:lang w:val="en-GB"/>
        </w:rPr>
        <w:t>in the post HSCT setting</w:t>
      </w:r>
      <w:r>
        <w:rPr>
          <w:rFonts w:asciiTheme="minorHAnsi" w:hAnsiTheme="minorHAnsi" w:cs="Arial"/>
          <w:bCs/>
          <w:snapToGrid w:val="0"/>
          <w:lang w:val="en-GB"/>
        </w:rPr>
        <w:t>.</w:t>
      </w:r>
    </w:p>
    <w:p w:rsidR="00CC0122" w:rsidRDefault="00CC0122" w:rsidP="00CA7A94">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The PBAC recalled that in its July 2018 consideration of letermovir it had advised that both placebo and antiviral treatments would be informative</w:t>
      </w:r>
      <w:r w:rsidR="00EE27CF">
        <w:rPr>
          <w:rFonts w:asciiTheme="minorHAnsi" w:hAnsiTheme="minorHAnsi" w:cs="Arial"/>
          <w:bCs/>
          <w:snapToGrid w:val="0"/>
          <w:lang w:val="en-GB"/>
        </w:rPr>
        <w:t xml:space="preserve"> comparators (paragraph 7.4 </w:t>
      </w:r>
      <w:r>
        <w:rPr>
          <w:rFonts w:asciiTheme="minorHAnsi" w:hAnsiTheme="minorHAnsi" w:cs="Arial"/>
          <w:bCs/>
          <w:snapToGrid w:val="0"/>
          <w:lang w:val="en-GB"/>
        </w:rPr>
        <w:t xml:space="preserve">July 2018 PSD). The PBAC noted </w:t>
      </w:r>
      <w:r w:rsidR="00FA091D">
        <w:rPr>
          <w:rFonts w:asciiTheme="minorHAnsi" w:hAnsiTheme="minorHAnsi" w:cs="Arial"/>
          <w:bCs/>
          <w:snapToGrid w:val="0"/>
          <w:lang w:val="en-GB"/>
        </w:rPr>
        <w:t xml:space="preserve">antiviral treatment </w:t>
      </w:r>
      <w:r w:rsidR="00204D62">
        <w:rPr>
          <w:rFonts w:asciiTheme="minorHAnsi" w:hAnsiTheme="minorHAnsi" w:cs="Arial"/>
          <w:bCs/>
          <w:snapToGrid w:val="0"/>
          <w:lang w:val="en-GB"/>
        </w:rPr>
        <w:t xml:space="preserve">was not </w:t>
      </w:r>
      <w:r w:rsidR="00FA091D">
        <w:rPr>
          <w:rFonts w:asciiTheme="minorHAnsi" w:hAnsiTheme="minorHAnsi" w:cs="Arial"/>
          <w:bCs/>
          <w:snapToGrid w:val="0"/>
          <w:lang w:val="en-GB"/>
        </w:rPr>
        <w:t xml:space="preserve">included as a comparator in the resubmission as the sponsor argued that these agents </w:t>
      </w:r>
      <w:r>
        <w:rPr>
          <w:rFonts w:asciiTheme="minorHAnsi" w:hAnsiTheme="minorHAnsi" w:cs="Arial"/>
          <w:bCs/>
          <w:snapToGrid w:val="0"/>
          <w:lang w:val="en-GB"/>
        </w:rPr>
        <w:t>are not routinely used in Australia</w:t>
      </w:r>
      <w:r w:rsidR="00FA091D">
        <w:rPr>
          <w:rFonts w:asciiTheme="minorHAnsi" w:hAnsiTheme="minorHAnsi" w:cs="Arial"/>
          <w:bCs/>
          <w:snapToGrid w:val="0"/>
          <w:lang w:val="en-GB"/>
        </w:rPr>
        <w:t xml:space="preserve"> for prophylaxis</w:t>
      </w:r>
      <w:r>
        <w:rPr>
          <w:rFonts w:asciiTheme="minorHAnsi" w:hAnsiTheme="minorHAnsi" w:cs="Arial"/>
          <w:bCs/>
          <w:snapToGrid w:val="0"/>
          <w:lang w:val="en-GB"/>
        </w:rPr>
        <w:t xml:space="preserve">. The PBAC </w:t>
      </w:r>
      <w:r w:rsidR="00204D62">
        <w:rPr>
          <w:rFonts w:asciiTheme="minorHAnsi" w:hAnsiTheme="minorHAnsi" w:cs="Arial"/>
          <w:bCs/>
          <w:snapToGrid w:val="0"/>
          <w:lang w:val="en-GB"/>
        </w:rPr>
        <w:t xml:space="preserve">acknowledged the limitations of the ABMTRR data in </w:t>
      </w:r>
      <w:r w:rsidR="00D208E6">
        <w:rPr>
          <w:rFonts w:asciiTheme="minorHAnsi" w:hAnsiTheme="minorHAnsi" w:cs="Arial"/>
          <w:bCs/>
          <w:snapToGrid w:val="0"/>
          <w:lang w:val="en-GB"/>
        </w:rPr>
        <w:t xml:space="preserve">providing granularity on the proportion </w:t>
      </w:r>
      <w:r w:rsidR="00DA5272">
        <w:rPr>
          <w:rFonts w:asciiTheme="minorHAnsi" w:hAnsiTheme="minorHAnsi" w:cs="Arial"/>
          <w:bCs/>
          <w:snapToGrid w:val="0"/>
          <w:lang w:val="en-GB"/>
        </w:rPr>
        <w:t>of antiviral use</w:t>
      </w:r>
      <w:r w:rsidR="00D208E6">
        <w:rPr>
          <w:rFonts w:asciiTheme="minorHAnsi" w:hAnsiTheme="minorHAnsi" w:cs="Arial"/>
          <w:bCs/>
          <w:snapToGrid w:val="0"/>
          <w:lang w:val="en-GB"/>
        </w:rPr>
        <w:t xml:space="preserve"> that is PET versus</w:t>
      </w:r>
      <w:r w:rsidR="00204D62">
        <w:rPr>
          <w:rFonts w:asciiTheme="minorHAnsi" w:hAnsiTheme="minorHAnsi" w:cs="Arial"/>
          <w:bCs/>
          <w:snapToGrid w:val="0"/>
          <w:lang w:val="en-GB"/>
        </w:rPr>
        <w:t xml:space="preserve"> prophylaxis</w:t>
      </w:r>
      <w:r w:rsidR="00DA5272">
        <w:rPr>
          <w:rFonts w:asciiTheme="minorHAnsi" w:hAnsiTheme="minorHAnsi" w:cs="Arial"/>
          <w:bCs/>
          <w:snapToGrid w:val="0"/>
          <w:lang w:val="en-GB"/>
        </w:rPr>
        <w:t xml:space="preserve"> for CMV</w:t>
      </w:r>
      <w:r w:rsidR="00204D62">
        <w:rPr>
          <w:rFonts w:asciiTheme="minorHAnsi" w:hAnsiTheme="minorHAnsi" w:cs="Arial"/>
          <w:bCs/>
          <w:snapToGrid w:val="0"/>
          <w:lang w:val="en-GB"/>
        </w:rPr>
        <w:t xml:space="preserve">. However, the PBAC considered </w:t>
      </w:r>
      <w:r w:rsidR="00FA091D">
        <w:rPr>
          <w:rFonts w:asciiTheme="minorHAnsi" w:hAnsiTheme="minorHAnsi" w:cs="Arial"/>
          <w:bCs/>
          <w:snapToGrid w:val="0"/>
          <w:lang w:val="en-GB"/>
        </w:rPr>
        <w:t xml:space="preserve">that </w:t>
      </w:r>
      <w:r w:rsidR="005B4028">
        <w:rPr>
          <w:rFonts w:asciiTheme="minorHAnsi" w:hAnsiTheme="minorHAnsi" w:cs="Arial"/>
          <w:bCs/>
          <w:snapToGrid w:val="0"/>
          <w:lang w:val="en-GB"/>
        </w:rPr>
        <w:t>the data indicated antivirals continue</w:t>
      </w:r>
      <w:r w:rsidR="00576C1A">
        <w:rPr>
          <w:rFonts w:asciiTheme="minorHAnsi" w:hAnsiTheme="minorHAnsi" w:cs="Arial"/>
          <w:bCs/>
          <w:snapToGrid w:val="0"/>
          <w:lang w:val="en-GB"/>
        </w:rPr>
        <w:t xml:space="preserve"> to be used as primary prophylaxis in this context in Australia. As such the PBAC </w:t>
      </w:r>
      <w:r w:rsidR="00B03704">
        <w:rPr>
          <w:rFonts w:asciiTheme="minorHAnsi" w:hAnsiTheme="minorHAnsi" w:cs="Arial"/>
          <w:bCs/>
          <w:snapToGrid w:val="0"/>
          <w:lang w:val="en-GB"/>
        </w:rPr>
        <w:t>reaffirmed</w:t>
      </w:r>
      <w:r w:rsidR="00576C1A">
        <w:rPr>
          <w:rFonts w:asciiTheme="minorHAnsi" w:hAnsiTheme="minorHAnsi" w:cs="Arial"/>
          <w:bCs/>
          <w:snapToGrid w:val="0"/>
          <w:lang w:val="en-GB"/>
        </w:rPr>
        <w:t xml:space="preserve"> that</w:t>
      </w:r>
      <w:r w:rsidR="00063D14">
        <w:rPr>
          <w:rFonts w:asciiTheme="minorHAnsi" w:hAnsiTheme="minorHAnsi" w:cs="Arial"/>
          <w:bCs/>
          <w:snapToGrid w:val="0"/>
          <w:lang w:val="en-GB"/>
        </w:rPr>
        <w:t>, in addition to placebo,</w:t>
      </w:r>
      <w:r w:rsidR="00576C1A">
        <w:rPr>
          <w:rFonts w:asciiTheme="minorHAnsi" w:hAnsiTheme="minorHAnsi" w:cs="Arial"/>
          <w:bCs/>
          <w:snapToGrid w:val="0"/>
          <w:lang w:val="en-GB"/>
        </w:rPr>
        <w:t xml:space="preserve"> a comparison of letermovir with ganciclovir or other antiviral</w:t>
      </w:r>
      <w:r w:rsidR="005B4028">
        <w:rPr>
          <w:rFonts w:asciiTheme="minorHAnsi" w:hAnsiTheme="minorHAnsi" w:cs="Arial"/>
          <w:bCs/>
          <w:snapToGrid w:val="0"/>
          <w:lang w:val="en-GB"/>
        </w:rPr>
        <w:t>s</w:t>
      </w:r>
      <w:r w:rsidR="00576C1A">
        <w:rPr>
          <w:rFonts w:asciiTheme="minorHAnsi" w:hAnsiTheme="minorHAnsi" w:cs="Arial"/>
          <w:bCs/>
          <w:snapToGrid w:val="0"/>
          <w:lang w:val="en-GB"/>
        </w:rPr>
        <w:t xml:space="preserve"> as prophylaxis </w:t>
      </w:r>
      <w:r w:rsidR="005B4028">
        <w:rPr>
          <w:rFonts w:asciiTheme="minorHAnsi" w:hAnsiTheme="minorHAnsi" w:cs="Arial"/>
          <w:bCs/>
          <w:snapToGrid w:val="0"/>
          <w:lang w:val="en-GB"/>
        </w:rPr>
        <w:t xml:space="preserve">for CMV </w:t>
      </w:r>
      <w:r w:rsidR="00B03704">
        <w:rPr>
          <w:rFonts w:asciiTheme="minorHAnsi" w:hAnsiTheme="minorHAnsi" w:cs="Arial"/>
          <w:bCs/>
          <w:snapToGrid w:val="0"/>
          <w:lang w:val="en-GB"/>
        </w:rPr>
        <w:t>would be informative.</w:t>
      </w:r>
      <w:r w:rsidR="00576C1A">
        <w:rPr>
          <w:rFonts w:asciiTheme="minorHAnsi" w:hAnsiTheme="minorHAnsi" w:cs="Arial"/>
          <w:bCs/>
          <w:snapToGrid w:val="0"/>
          <w:lang w:val="en-GB"/>
        </w:rPr>
        <w:t xml:space="preserve"> </w:t>
      </w:r>
    </w:p>
    <w:p w:rsidR="008A4912" w:rsidRDefault="008A4912" w:rsidP="00CA7A94">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The PBAC noted that, as with the July 2018 submission, the resubmission was based on Trial P001. The PBAC recalled that the primary outcome for this trial was clinically significant CMV inf</w:t>
      </w:r>
      <w:r w:rsidR="00DA5272">
        <w:rPr>
          <w:rFonts w:asciiTheme="minorHAnsi" w:hAnsiTheme="minorHAnsi" w:cs="Arial"/>
          <w:bCs/>
          <w:snapToGrid w:val="0"/>
          <w:lang w:val="en-GB"/>
        </w:rPr>
        <w:t xml:space="preserve">ection (a composite outcome of </w:t>
      </w:r>
      <w:r>
        <w:rPr>
          <w:rFonts w:asciiTheme="minorHAnsi" w:hAnsiTheme="minorHAnsi" w:cs="Arial"/>
          <w:bCs/>
          <w:snapToGrid w:val="0"/>
          <w:lang w:val="en-GB"/>
        </w:rPr>
        <w:t>onse</w:t>
      </w:r>
      <w:r w:rsidR="00DA5272">
        <w:rPr>
          <w:rFonts w:asciiTheme="minorHAnsi" w:hAnsiTheme="minorHAnsi" w:cs="Arial"/>
          <w:bCs/>
          <w:snapToGrid w:val="0"/>
          <w:lang w:val="en-GB"/>
        </w:rPr>
        <w:t xml:space="preserve">t of CMV end-organ disease and </w:t>
      </w:r>
      <w:r>
        <w:rPr>
          <w:rFonts w:asciiTheme="minorHAnsi" w:hAnsiTheme="minorHAnsi" w:cs="Arial"/>
          <w:bCs/>
          <w:snapToGrid w:val="0"/>
          <w:lang w:val="en-GB"/>
        </w:rPr>
        <w:t>i</w:t>
      </w:r>
      <w:r w:rsidR="00DA5272">
        <w:rPr>
          <w:rFonts w:asciiTheme="minorHAnsi" w:hAnsiTheme="minorHAnsi" w:cs="Arial"/>
          <w:bCs/>
          <w:snapToGrid w:val="0"/>
          <w:lang w:val="en-GB"/>
        </w:rPr>
        <w:t>nitiation of PET) and reaffirmed</w:t>
      </w:r>
      <w:r>
        <w:rPr>
          <w:rFonts w:asciiTheme="minorHAnsi" w:hAnsiTheme="minorHAnsi" w:cs="Arial"/>
          <w:bCs/>
          <w:snapToGrid w:val="0"/>
          <w:lang w:val="en-GB"/>
        </w:rPr>
        <w:t xml:space="preserve"> its July 2018 conclusion that the difference between letermovir and placebo for this outcome </w:t>
      </w:r>
      <w:r w:rsidR="009B58E7">
        <w:rPr>
          <w:rFonts w:asciiTheme="minorHAnsi" w:hAnsiTheme="minorHAnsi" w:cs="Arial"/>
          <w:bCs/>
          <w:snapToGrid w:val="0"/>
          <w:lang w:val="en-GB"/>
        </w:rPr>
        <w:t>was</w:t>
      </w:r>
      <w:r>
        <w:rPr>
          <w:rFonts w:asciiTheme="minorHAnsi" w:hAnsiTheme="minorHAnsi" w:cs="Arial"/>
          <w:bCs/>
          <w:snapToGrid w:val="0"/>
          <w:lang w:val="en-GB"/>
        </w:rPr>
        <w:t xml:space="preserve"> based on the difference in PET </w:t>
      </w:r>
      <w:r w:rsidR="00DA5272">
        <w:rPr>
          <w:rFonts w:asciiTheme="minorHAnsi" w:hAnsiTheme="minorHAnsi" w:cs="Arial"/>
          <w:bCs/>
          <w:snapToGrid w:val="0"/>
          <w:lang w:val="en-GB"/>
        </w:rPr>
        <w:t>initiation</w:t>
      </w:r>
      <w:r>
        <w:rPr>
          <w:rFonts w:asciiTheme="minorHAnsi" w:hAnsiTheme="minorHAnsi" w:cs="Arial"/>
          <w:bCs/>
          <w:snapToGrid w:val="0"/>
          <w:lang w:val="en-GB"/>
        </w:rPr>
        <w:t>.</w:t>
      </w:r>
    </w:p>
    <w:p w:rsidR="00213389" w:rsidRPr="00213389" w:rsidRDefault="00CF2088" w:rsidP="00CA7A94">
      <w:pPr>
        <w:widowControl w:val="0"/>
        <w:numPr>
          <w:ilvl w:val="1"/>
          <w:numId w:val="1"/>
        </w:numPr>
        <w:spacing w:after="120"/>
        <w:rPr>
          <w:rFonts w:asciiTheme="minorHAnsi" w:hAnsiTheme="minorHAnsi" w:cs="Arial"/>
          <w:bCs/>
          <w:snapToGrid w:val="0"/>
          <w:lang w:val="en-GB"/>
        </w:rPr>
      </w:pPr>
      <w:r w:rsidRPr="008A4912">
        <w:rPr>
          <w:rFonts w:asciiTheme="minorHAnsi" w:hAnsiTheme="minorHAnsi" w:cs="Arial"/>
          <w:bCs/>
          <w:snapToGrid w:val="0"/>
          <w:lang w:val="en-GB"/>
        </w:rPr>
        <w:t>The PBAC noted that</w:t>
      </w:r>
      <w:r w:rsidR="00213389">
        <w:rPr>
          <w:rFonts w:asciiTheme="minorHAnsi" w:hAnsiTheme="minorHAnsi" w:cs="Arial"/>
          <w:bCs/>
          <w:snapToGrid w:val="0"/>
          <w:lang w:val="en-GB"/>
        </w:rPr>
        <w:t xml:space="preserve"> in Trial P001</w:t>
      </w:r>
      <w:r w:rsidRPr="008A4912">
        <w:rPr>
          <w:rFonts w:asciiTheme="minorHAnsi" w:hAnsiTheme="minorHAnsi" w:cs="Arial"/>
          <w:bCs/>
          <w:snapToGrid w:val="0"/>
          <w:lang w:val="en-GB"/>
        </w:rPr>
        <w:t xml:space="preserve"> </w:t>
      </w:r>
      <w:r w:rsidR="004401BF">
        <w:rPr>
          <w:rFonts w:asciiTheme="minorHAnsi" w:hAnsiTheme="minorHAnsi" w:cs="Arial"/>
          <w:bCs/>
          <w:snapToGrid w:val="0"/>
          <w:lang w:val="en-GB"/>
        </w:rPr>
        <w:t xml:space="preserve">a statistically significant difference between letermovir and placebo at week 48 was reported for </w:t>
      </w:r>
      <w:r w:rsidR="005459EB">
        <w:rPr>
          <w:rFonts w:asciiTheme="minorHAnsi" w:hAnsiTheme="minorHAnsi" w:cs="Arial"/>
          <w:bCs/>
          <w:snapToGrid w:val="0"/>
          <w:lang w:val="en-GB"/>
        </w:rPr>
        <w:t xml:space="preserve">the </w:t>
      </w:r>
      <w:r w:rsidRPr="008A4912">
        <w:rPr>
          <w:rFonts w:asciiTheme="minorHAnsi" w:hAnsiTheme="minorHAnsi" w:cs="Arial"/>
          <w:bCs/>
          <w:snapToGrid w:val="0"/>
          <w:lang w:val="en-GB"/>
        </w:rPr>
        <w:t>CMV</w:t>
      </w:r>
      <w:r w:rsidR="009D5071">
        <w:rPr>
          <w:rFonts w:asciiTheme="minorHAnsi" w:hAnsiTheme="minorHAnsi" w:cs="Arial"/>
          <w:bCs/>
          <w:snapToGrid w:val="0"/>
          <w:lang w:val="en-GB"/>
        </w:rPr>
        <w:t>-</w:t>
      </w:r>
      <w:r w:rsidRPr="008A4912">
        <w:rPr>
          <w:rFonts w:asciiTheme="minorHAnsi" w:hAnsiTheme="minorHAnsi" w:cs="Arial"/>
          <w:bCs/>
          <w:snapToGrid w:val="0"/>
          <w:lang w:val="en-GB"/>
        </w:rPr>
        <w:t>related mortality</w:t>
      </w:r>
      <w:r w:rsidR="00696077">
        <w:rPr>
          <w:rFonts w:asciiTheme="minorHAnsi" w:hAnsiTheme="minorHAnsi" w:cs="Arial"/>
          <w:bCs/>
          <w:snapToGrid w:val="0"/>
          <w:lang w:val="en-GB"/>
        </w:rPr>
        <w:t xml:space="preserve"> </w:t>
      </w:r>
      <w:r w:rsidR="001447AD">
        <w:rPr>
          <w:rFonts w:asciiTheme="minorHAnsi" w:hAnsiTheme="minorHAnsi" w:cs="Arial"/>
          <w:bCs/>
          <w:snapToGrid w:val="0"/>
          <w:lang w:val="en-GB"/>
        </w:rPr>
        <w:t xml:space="preserve">(p&lt;0.0001) with an assumed link between CMV infection and mortality </w:t>
      </w:r>
      <w:r w:rsidRPr="008A4912">
        <w:rPr>
          <w:rFonts w:asciiTheme="minorHAnsi" w:hAnsiTheme="minorHAnsi" w:cs="Arial"/>
          <w:bCs/>
          <w:snapToGrid w:val="0"/>
          <w:lang w:val="en-GB"/>
        </w:rPr>
        <w:t xml:space="preserve">included </w:t>
      </w:r>
      <w:r w:rsidR="00696077">
        <w:rPr>
          <w:rFonts w:asciiTheme="minorHAnsi" w:hAnsiTheme="minorHAnsi" w:cs="Arial"/>
          <w:bCs/>
          <w:snapToGrid w:val="0"/>
          <w:lang w:val="en-GB"/>
        </w:rPr>
        <w:t xml:space="preserve">in </w:t>
      </w:r>
      <w:r w:rsidRPr="008A4912">
        <w:rPr>
          <w:rFonts w:asciiTheme="minorHAnsi" w:hAnsiTheme="minorHAnsi" w:cs="Arial"/>
          <w:bCs/>
          <w:snapToGrid w:val="0"/>
          <w:lang w:val="en-GB"/>
        </w:rPr>
        <w:t xml:space="preserve">the economic evaluation. </w:t>
      </w:r>
      <w:r w:rsidR="00696077">
        <w:rPr>
          <w:rFonts w:asciiTheme="minorHAnsi" w:hAnsiTheme="minorHAnsi" w:cs="Arial"/>
          <w:bCs/>
          <w:snapToGrid w:val="0"/>
          <w:lang w:val="en-GB"/>
        </w:rPr>
        <w:t xml:space="preserve">The PBAC noted that CMV-related mortality referred to </w:t>
      </w:r>
      <w:r w:rsidR="00A06CDF" w:rsidRPr="00696077">
        <w:rPr>
          <w:rFonts w:asciiTheme="minorHAnsi" w:hAnsiTheme="minorHAnsi" w:cs="Arial"/>
          <w:bCs/>
          <w:snapToGrid w:val="0"/>
          <w:lang w:val="en-GB"/>
        </w:rPr>
        <w:t>all-cause mortality in patients who met the primary outcome of the trial</w:t>
      </w:r>
      <w:r w:rsidR="00153CCB">
        <w:rPr>
          <w:rFonts w:asciiTheme="minorHAnsi" w:hAnsiTheme="minorHAnsi" w:cs="Arial"/>
          <w:bCs/>
          <w:snapToGrid w:val="0"/>
          <w:lang w:val="en-GB"/>
        </w:rPr>
        <w:t>.</w:t>
      </w:r>
      <w:r w:rsidR="005859EC">
        <w:rPr>
          <w:rFonts w:asciiTheme="minorHAnsi" w:hAnsiTheme="minorHAnsi" w:cs="Arial"/>
          <w:bCs/>
          <w:snapToGrid w:val="0"/>
          <w:lang w:val="en-GB"/>
        </w:rPr>
        <w:t xml:space="preserve"> </w:t>
      </w:r>
      <w:r w:rsidR="00153CCB" w:rsidRPr="003F7F24">
        <w:t>Therefore,</w:t>
      </w:r>
      <w:r w:rsidR="00153CCB">
        <w:t xml:space="preserve"> a death in an individual with a prior CMV infection would be counted as ‘CMV</w:t>
      </w:r>
      <w:r w:rsidR="00507D1A">
        <w:t>-related</w:t>
      </w:r>
      <w:r w:rsidR="00153CCB">
        <w:t xml:space="preserve"> mortality’ regardless of the cause of death.</w:t>
      </w:r>
      <w:r w:rsidR="00153CCB" w:rsidRPr="003F7F24">
        <w:t xml:space="preserve"> </w:t>
      </w:r>
      <w:r w:rsidR="00153CCB">
        <w:rPr>
          <w:rFonts w:asciiTheme="minorHAnsi" w:hAnsiTheme="minorHAnsi" w:cs="Arial"/>
          <w:bCs/>
          <w:snapToGrid w:val="0"/>
          <w:lang w:val="en-GB"/>
        </w:rPr>
        <w:t xml:space="preserve">The PBAC agreed with the ESC </w:t>
      </w:r>
      <w:r w:rsidR="003C3001">
        <w:rPr>
          <w:rFonts w:asciiTheme="minorHAnsi" w:hAnsiTheme="minorHAnsi" w:cs="Arial"/>
          <w:bCs/>
          <w:snapToGrid w:val="0"/>
          <w:lang w:val="en-GB"/>
        </w:rPr>
        <w:t xml:space="preserve">that the statistically significant </w:t>
      </w:r>
      <w:r w:rsidR="00ED6764">
        <w:rPr>
          <w:rFonts w:asciiTheme="minorHAnsi" w:hAnsiTheme="minorHAnsi" w:cs="Arial"/>
          <w:bCs/>
          <w:snapToGrid w:val="0"/>
          <w:lang w:val="en-GB"/>
        </w:rPr>
        <w:t>lower rate of</w:t>
      </w:r>
      <w:r w:rsidR="003C3001">
        <w:rPr>
          <w:rFonts w:asciiTheme="minorHAnsi" w:hAnsiTheme="minorHAnsi" w:cs="Arial"/>
          <w:bCs/>
          <w:snapToGrid w:val="0"/>
          <w:lang w:val="en-GB"/>
        </w:rPr>
        <w:t xml:space="preserve"> CMV-related mortality</w:t>
      </w:r>
      <w:r w:rsidR="00ED6764">
        <w:rPr>
          <w:rFonts w:asciiTheme="minorHAnsi" w:hAnsiTheme="minorHAnsi" w:cs="Arial"/>
          <w:bCs/>
          <w:snapToGrid w:val="0"/>
          <w:lang w:val="en-GB"/>
        </w:rPr>
        <w:t xml:space="preserve"> in the letermovir group</w:t>
      </w:r>
      <w:r w:rsidR="003C3001">
        <w:rPr>
          <w:rFonts w:asciiTheme="minorHAnsi" w:hAnsiTheme="minorHAnsi" w:cs="Arial"/>
          <w:bCs/>
          <w:snapToGrid w:val="0"/>
          <w:lang w:val="en-GB"/>
        </w:rPr>
        <w:t xml:space="preserve"> </w:t>
      </w:r>
      <w:r w:rsidR="00ED6764">
        <w:rPr>
          <w:rFonts w:asciiTheme="minorHAnsi" w:hAnsiTheme="minorHAnsi" w:cs="Arial"/>
          <w:bCs/>
          <w:snapToGrid w:val="0"/>
          <w:lang w:val="en-GB"/>
        </w:rPr>
        <w:t xml:space="preserve">was not meaningful because it </w:t>
      </w:r>
      <w:r w:rsidR="003C3001">
        <w:rPr>
          <w:rFonts w:asciiTheme="minorHAnsi" w:hAnsiTheme="minorHAnsi" w:cs="Arial"/>
          <w:bCs/>
          <w:snapToGrid w:val="0"/>
          <w:lang w:val="en-GB"/>
        </w:rPr>
        <w:t>may not reflect a difference in mortality attributable to letermovir treatment.</w:t>
      </w:r>
      <w:r w:rsidR="00213389">
        <w:rPr>
          <w:rFonts w:asciiTheme="minorHAnsi" w:hAnsiTheme="minorHAnsi" w:cs="Arial"/>
          <w:bCs/>
          <w:snapToGrid w:val="0"/>
          <w:lang w:val="en-GB"/>
        </w:rPr>
        <w:t xml:space="preserve"> </w:t>
      </w:r>
      <w:r w:rsidR="00213389" w:rsidRPr="00213389">
        <w:t xml:space="preserve">In addition, the </w:t>
      </w:r>
      <w:r w:rsidR="00213389">
        <w:t xml:space="preserve">PBAC agreed with the ESC </w:t>
      </w:r>
      <w:r w:rsidR="00213389" w:rsidRPr="00213389">
        <w:t>that the post-hoc analysis of all-cause mortality in patients with and without clinically significant CMV infection did not demonstrate that letermovir is an effect modifier for the effect of CMV infection on mortality, as claimed by the resubmission and PSCR</w:t>
      </w:r>
      <w:r w:rsidR="00213389">
        <w:t xml:space="preserve">. </w:t>
      </w:r>
    </w:p>
    <w:p w:rsidR="00213389" w:rsidRPr="00421466" w:rsidRDefault="00213389" w:rsidP="005859EC">
      <w:pPr>
        <w:widowControl w:val="0"/>
        <w:numPr>
          <w:ilvl w:val="1"/>
          <w:numId w:val="1"/>
        </w:numPr>
        <w:tabs>
          <w:tab w:val="left" w:pos="3544"/>
        </w:tabs>
        <w:spacing w:after="120"/>
        <w:rPr>
          <w:rFonts w:asciiTheme="minorHAnsi" w:hAnsiTheme="minorHAnsi" w:cs="Arial"/>
          <w:bCs/>
          <w:snapToGrid w:val="0"/>
          <w:lang w:val="en-GB"/>
        </w:rPr>
      </w:pPr>
      <w:r w:rsidRPr="00850016">
        <w:t xml:space="preserve">The </w:t>
      </w:r>
      <w:r>
        <w:t>PBAC noted that the sponsor</w:t>
      </w:r>
      <w:r w:rsidRPr="00850016">
        <w:t xml:space="preserve"> highlight</w:t>
      </w:r>
      <w:r>
        <w:t>ed</w:t>
      </w:r>
      <w:r w:rsidRPr="00850016">
        <w:t xml:space="preserve"> </w:t>
      </w:r>
      <w:r w:rsidR="00DA5272">
        <w:t xml:space="preserve">in the pre-PBAC response </w:t>
      </w:r>
      <w:r w:rsidRPr="00850016">
        <w:t>the challenges associated with undertaking a study that is adequately powered to det</w:t>
      </w:r>
      <w:r w:rsidR="00AB49ED">
        <w:t xml:space="preserve">ect a mortality benefit in allogeneic </w:t>
      </w:r>
      <w:r w:rsidRPr="00850016">
        <w:t xml:space="preserve">HSCT patients, especially when utilising the surrogate endpoint of CMV infection which is known to increase the risk of mortality. </w:t>
      </w:r>
      <w:r>
        <w:t>However,</w:t>
      </w:r>
      <w:r w:rsidR="006242B7">
        <w:t xml:space="preserve"> the PBAC disagreed with the sponsor and considered that based on the size of the modelled mortality benefit that Trial P001 </w:t>
      </w:r>
      <w:r w:rsidR="009B58E7">
        <w:t>appeared to be</w:t>
      </w:r>
      <w:r w:rsidR="006242B7">
        <w:t xml:space="preserve"> adequately powered to detect such a </w:t>
      </w:r>
      <w:r w:rsidR="006242B7">
        <w:lastRenderedPageBreak/>
        <w:t>differenc</w:t>
      </w:r>
      <w:r w:rsidR="005859EC">
        <w:t>e.</w:t>
      </w:r>
    </w:p>
    <w:p w:rsidR="00421466" w:rsidRPr="00213389" w:rsidRDefault="00421466" w:rsidP="00CA7A94">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resubmission cited an advantage in re-hospitalisation for patients with clinically significant CMV infection. However, the PBAC agreed with the </w:t>
      </w:r>
      <w:r w:rsidR="00507D1A">
        <w:rPr>
          <w:rFonts w:asciiTheme="minorHAnsi" w:hAnsiTheme="minorHAnsi" w:cs="Arial"/>
          <w:bCs/>
          <w:snapToGrid w:val="0"/>
          <w:lang w:val="en-GB"/>
        </w:rPr>
        <w:t xml:space="preserve">ESC that </w:t>
      </w:r>
      <w:r>
        <w:rPr>
          <w:rFonts w:asciiTheme="minorHAnsi" w:hAnsiTheme="minorHAnsi" w:cs="Arial"/>
          <w:bCs/>
          <w:snapToGrid w:val="0"/>
          <w:lang w:val="en-GB"/>
        </w:rPr>
        <w:t xml:space="preserve">when discontinued and missing patients were excluded from the comparison, the proportion re-hospitalised was similar between the letermovir and placebo groups. In addition, the </w:t>
      </w:r>
      <w:r w:rsidR="00507D1A">
        <w:rPr>
          <w:rFonts w:asciiTheme="minorHAnsi" w:hAnsiTheme="minorHAnsi" w:cs="Arial"/>
          <w:bCs/>
          <w:snapToGrid w:val="0"/>
          <w:lang w:val="en-GB"/>
        </w:rPr>
        <w:t>PBAC noted that no differences in the occurrence of bacterial and/or fungal infections were evident between letermovir-treated and placebo-treated patients in Trial P001.</w:t>
      </w:r>
      <w:r w:rsidR="005859EC">
        <w:rPr>
          <w:rFonts w:asciiTheme="minorHAnsi" w:hAnsiTheme="minorHAnsi" w:cs="Arial"/>
          <w:bCs/>
          <w:snapToGrid w:val="0"/>
          <w:lang w:val="en-GB"/>
        </w:rPr>
        <w:t xml:space="preserve"> </w:t>
      </w:r>
    </w:p>
    <w:p w:rsidR="002C21B5" w:rsidRDefault="002C21B5" w:rsidP="00CA7A94">
      <w:pPr>
        <w:widowControl w:val="0"/>
        <w:numPr>
          <w:ilvl w:val="1"/>
          <w:numId w:val="1"/>
        </w:numPr>
        <w:spacing w:after="120"/>
      </w:pPr>
      <w:r>
        <w:t xml:space="preserve">The PBAC </w:t>
      </w:r>
      <w:r w:rsidR="00DA5272">
        <w:t>concluded</w:t>
      </w:r>
      <w:r w:rsidR="00DF34FF">
        <w:t xml:space="preserve"> that</w:t>
      </w:r>
      <w:r w:rsidR="00DA5272">
        <w:t>,</w:t>
      </w:r>
      <w:r w:rsidR="00DF34FF">
        <w:t xml:space="preserve"> given the trial evidence did not demonstrate a difference in mortality attributable to letermovir treatment, and there appeared to be no difference in re-hospitalisations or </w:t>
      </w:r>
      <w:r w:rsidR="004F0A76">
        <w:t xml:space="preserve">the </w:t>
      </w:r>
      <w:r w:rsidR="00DF34FF">
        <w:t xml:space="preserve">occurrence of bacterial or fungal infections between letermovir and placebo-treated patients, the advantage for letermovir </w:t>
      </w:r>
      <w:r w:rsidR="00DA5272">
        <w:t xml:space="preserve">remained </w:t>
      </w:r>
      <w:r w:rsidR="00DF34FF">
        <w:t xml:space="preserve">largely </w:t>
      </w:r>
      <w:r w:rsidR="00DA5272">
        <w:t xml:space="preserve">based </w:t>
      </w:r>
      <w:r w:rsidR="00DF34FF">
        <w:t xml:space="preserve">on </w:t>
      </w:r>
      <w:r w:rsidR="00DA5272">
        <w:t xml:space="preserve">a </w:t>
      </w:r>
      <w:r w:rsidR="00DF34FF">
        <w:t>reduction in the use of PET.</w:t>
      </w:r>
    </w:p>
    <w:p w:rsidR="00C01F9C" w:rsidRDefault="00AB49ED" w:rsidP="00CA7A94">
      <w:pPr>
        <w:widowControl w:val="0"/>
        <w:numPr>
          <w:ilvl w:val="1"/>
          <w:numId w:val="1"/>
        </w:numPr>
        <w:spacing w:after="120"/>
      </w:pPr>
      <w:r>
        <w:t>The PBAC noted the Gagelmann 2018 meta-analysis of comparative efficacy and safety of different antiviral agents for CMV prophylaxis in allogeneic HSCT. The PBAC acknowledged the limitations of the meta-analysis and netw</w:t>
      </w:r>
      <w:r w:rsidR="004F0A76">
        <w:t>ork meta-analysis and considered</w:t>
      </w:r>
      <w:r>
        <w:t xml:space="preserve"> that the overall analysis suggested that there was probably little or no difference in the effect of letermovir in preventing CMV disease compared with other antivirals.</w:t>
      </w:r>
      <w:r w:rsidR="004F0A76">
        <w:t xml:space="preserve"> </w:t>
      </w:r>
    </w:p>
    <w:p w:rsidR="00CD706D" w:rsidRDefault="00C01F9C" w:rsidP="00CA7A94">
      <w:pPr>
        <w:widowControl w:val="0"/>
        <w:numPr>
          <w:ilvl w:val="1"/>
          <w:numId w:val="1"/>
        </w:numPr>
        <w:spacing w:after="120"/>
      </w:pPr>
      <w:r>
        <w:t xml:space="preserve">The PBAC reaffirmed its July 2018 recommendation that the claim of non-inferior safety compared to placebo was appropriate. The PBAC recalled that there are well known toxicities (e.g. bone marrow suppression) associated with currently used antiviral treatments and acknowledged </w:t>
      </w:r>
      <w:r>
        <w:rPr>
          <w:rFonts w:asciiTheme="minorHAnsi" w:hAnsiTheme="minorHAnsi" w:cs="Arial"/>
          <w:bCs/>
          <w:snapToGrid w:val="0"/>
          <w:lang w:val="en-GB"/>
        </w:rPr>
        <w:t>that letermovir was less toxic than existing antiviral agents.</w:t>
      </w:r>
    </w:p>
    <w:p w:rsidR="00096FD4" w:rsidRDefault="00144EC4" w:rsidP="00CA7A94">
      <w:pPr>
        <w:widowControl w:val="0"/>
        <w:numPr>
          <w:ilvl w:val="1"/>
          <w:numId w:val="1"/>
        </w:numPr>
        <w:spacing w:after="120"/>
      </w:pPr>
      <w:r>
        <w:t xml:space="preserve">The PBAC </w:t>
      </w:r>
      <w:r w:rsidR="0080674E">
        <w:t xml:space="preserve">recalled that in July 2018 it had recommended </w:t>
      </w:r>
      <w:r>
        <w:t xml:space="preserve">that the modelled economic analysis should be based on the health benefits demonstrated in the trial, i.e. reduction in the use of PET (paragraph 7.8 July 2018 PSD). The PBAC noted that the resubmission did not adopt this recommended approach and instead based the </w:t>
      </w:r>
      <w:r w:rsidR="004F0A76">
        <w:t xml:space="preserve">revised </w:t>
      </w:r>
      <w:r>
        <w:t xml:space="preserve">economic model on CMV infection and mortality outcomes, along with the re-hospitalisation outcomes. </w:t>
      </w:r>
      <w:r w:rsidR="00096FD4">
        <w:t xml:space="preserve">The PBAC noted that the assumed link between CMV infection and mortality was a key driver of the economic model. </w:t>
      </w:r>
      <w:r w:rsidR="00F73A23">
        <w:t xml:space="preserve">As outlined above the PBAC considered that the trial evidence did not </w:t>
      </w:r>
      <w:r w:rsidR="00096FD4">
        <w:t>support</w:t>
      </w:r>
      <w:r w:rsidR="00F73A23">
        <w:t xml:space="preserve"> </w:t>
      </w:r>
      <w:r>
        <w:t xml:space="preserve">the claimed link between letermovir treatment, CMV infection and the </w:t>
      </w:r>
      <w:r w:rsidR="008D1B2A">
        <w:t xml:space="preserve">modelled </w:t>
      </w:r>
      <w:r>
        <w:t>clinical outcomes</w:t>
      </w:r>
      <w:r w:rsidR="00096FD4">
        <w:t>.</w:t>
      </w:r>
      <w:r w:rsidR="001447AD">
        <w:t xml:space="preserve"> In addition, the PBAC considered the assumption of 78 days of letermovir treatment was likely underestimated and hence the cost of letermovir in the economic model may not reflect the cost associated with potential use in practice.</w:t>
      </w:r>
      <w:r w:rsidR="00096FD4">
        <w:t xml:space="preserve"> </w:t>
      </w:r>
      <w:r w:rsidR="001447AD">
        <w:t>T</w:t>
      </w:r>
      <w:r>
        <w:t xml:space="preserve">he PBAC </w:t>
      </w:r>
      <w:r w:rsidR="00096FD4">
        <w:t xml:space="preserve">concluded that </w:t>
      </w:r>
      <w:r w:rsidR="00F00B33">
        <w:t xml:space="preserve">the economic evaluation presented </w:t>
      </w:r>
      <w:r w:rsidR="00096FD4">
        <w:t xml:space="preserve">in the resubmission </w:t>
      </w:r>
      <w:r w:rsidR="004F0A76">
        <w:t xml:space="preserve">was flawed and </w:t>
      </w:r>
      <w:r w:rsidR="00F00B33">
        <w:t>d</w:t>
      </w:r>
      <w:r w:rsidR="004F0A76">
        <w:t>id</w:t>
      </w:r>
      <w:r w:rsidR="00F00B33">
        <w:t xml:space="preserve"> not provide </w:t>
      </w:r>
      <w:r w:rsidR="00096FD4">
        <w:t xml:space="preserve">a </w:t>
      </w:r>
      <w:r w:rsidR="00F00B33">
        <w:t>reliable estimate of the cost-effectiveness of letermovir.</w:t>
      </w:r>
      <w:r w:rsidR="00096FD4">
        <w:t xml:space="preserve"> </w:t>
      </w:r>
    </w:p>
    <w:p w:rsidR="004F0A76" w:rsidRDefault="004F0A76" w:rsidP="00CA7A94">
      <w:pPr>
        <w:widowControl w:val="0"/>
        <w:numPr>
          <w:ilvl w:val="1"/>
          <w:numId w:val="1"/>
        </w:numPr>
        <w:spacing w:after="120"/>
      </w:pPr>
      <w:r>
        <w:t>The PBAC considered that</w:t>
      </w:r>
      <w:r w:rsidR="000D6D62">
        <w:t xml:space="preserve"> the financial estimates reported in the resubmission</w:t>
      </w:r>
      <w:r w:rsidR="00063D14">
        <w:t xml:space="preserve"> remained uncertain. </w:t>
      </w:r>
    </w:p>
    <w:p w:rsidR="00DD6D38" w:rsidRPr="0021510A" w:rsidRDefault="00D81BD0" w:rsidP="00CA7A94">
      <w:pPr>
        <w:widowControl w:val="0"/>
        <w:numPr>
          <w:ilvl w:val="1"/>
          <w:numId w:val="1"/>
        </w:numPr>
        <w:spacing w:after="120"/>
      </w:pPr>
      <w:r>
        <w:t xml:space="preserve">The PBAC proposed that any future </w:t>
      </w:r>
      <w:r w:rsidR="007F1D68">
        <w:t>re</w:t>
      </w:r>
      <w:r>
        <w:t>submission should</w:t>
      </w:r>
      <w:r w:rsidR="007F1D68">
        <w:t xml:space="preserve"> be a major submission. The </w:t>
      </w:r>
      <w:r w:rsidR="007F1D68">
        <w:lastRenderedPageBreak/>
        <w:t xml:space="preserve">PBAC considered that such a resubmission should revise the economic model </w:t>
      </w:r>
      <w:r w:rsidR="00723228">
        <w:t xml:space="preserve">to be based on the health benefits demonstrated in the trial, i.e. reduction in the use of PET. </w:t>
      </w:r>
      <w:r w:rsidR="007F1D68">
        <w:t xml:space="preserve">In addition, the </w:t>
      </w:r>
      <w:r>
        <w:t>PBAC</w:t>
      </w:r>
      <w:r w:rsidR="007F1D68">
        <w:t xml:space="preserve"> considered the model should incorporate</w:t>
      </w:r>
      <w:r>
        <w:t xml:space="preserve"> cost offsets arising from the </w:t>
      </w:r>
      <w:r w:rsidR="007F1D68">
        <w:t xml:space="preserve">increased PET requirement with placebo </w:t>
      </w:r>
      <w:r>
        <w:t xml:space="preserve">and the health gains associated with the reduction in </w:t>
      </w:r>
      <w:r w:rsidR="007F1D68">
        <w:t>use of PET with letermovir</w:t>
      </w:r>
      <w:r>
        <w:t>.</w:t>
      </w:r>
      <w:r w:rsidR="007F1D68">
        <w:t xml:space="preserve"> </w:t>
      </w:r>
      <w:r w:rsidR="00063D14">
        <w:t xml:space="preserve">The PBAC considered that based on the information available a substantial reduction in price would be required to render letermovir cost-effective for the indication sought for listing. </w:t>
      </w:r>
      <w:r w:rsidR="00723228">
        <w:t>The PBAC advised</w:t>
      </w:r>
      <w:r w:rsidR="007F1D68">
        <w:t xml:space="preserve"> that </w:t>
      </w:r>
      <w:r>
        <w:t xml:space="preserve">a </w:t>
      </w:r>
      <w:r w:rsidRPr="007F1D68">
        <w:rPr>
          <w:rFonts w:asciiTheme="minorHAnsi" w:hAnsiTheme="minorHAnsi" w:cs="Arial"/>
          <w:bCs/>
          <w:snapToGrid w:val="0"/>
          <w:lang w:val="en-GB"/>
        </w:rPr>
        <w:t>comparison of letermovir with antivirals as prophylaxis for CMV</w:t>
      </w:r>
      <w:r>
        <w:t xml:space="preserve"> </w:t>
      </w:r>
      <w:r w:rsidR="00723228">
        <w:t xml:space="preserve">should be included in any future resubmission to allow the incremental </w:t>
      </w:r>
      <w:r w:rsidR="00893646">
        <w:t>clinical and cost-</w:t>
      </w:r>
      <w:r w:rsidR="00723228">
        <w:t xml:space="preserve">effectiveness of letermovir over the use of antivirals in the context to be evaluated. </w:t>
      </w:r>
    </w:p>
    <w:p w:rsidR="0017532E" w:rsidRPr="004F0A76" w:rsidRDefault="00DD6D38" w:rsidP="00CA7A94">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The PBAC noted that this resubmission is eligible for an Independent Review</w:t>
      </w:r>
      <w:r w:rsidRPr="004F0A76">
        <w:rPr>
          <w:rFonts w:asciiTheme="minorHAnsi" w:hAnsiTheme="minorHAnsi" w:cs="Arial"/>
          <w:bCs/>
          <w:snapToGrid w:val="0"/>
          <w:lang w:val="en-GB"/>
        </w:rPr>
        <w:t>.</w:t>
      </w:r>
    </w:p>
    <w:p w:rsidR="00797B3D" w:rsidRPr="0017532E" w:rsidRDefault="00797B3D" w:rsidP="00CA7A94">
      <w:pPr>
        <w:spacing w:before="240" w:after="120"/>
        <w:rPr>
          <w:rFonts w:asciiTheme="minorHAnsi" w:hAnsiTheme="minorHAnsi" w:cs="Arial"/>
          <w:b/>
          <w:bCs/>
          <w:snapToGrid w:val="0"/>
          <w:lang w:val="en-GB"/>
        </w:rPr>
      </w:pPr>
      <w:r w:rsidRPr="0017532E">
        <w:rPr>
          <w:rFonts w:asciiTheme="minorHAnsi" w:hAnsiTheme="minorHAnsi" w:cs="Arial"/>
          <w:b/>
          <w:bCs/>
          <w:snapToGrid w:val="0"/>
          <w:lang w:val="en-GB"/>
        </w:rPr>
        <w:t>Outcome:</w:t>
      </w:r>
    </w:p>
    <w:p w:rsidR="0078210F" w:rsidRDefault="00797B3D" w:rsidP="00CA7A94">
      <w:pPr>
        <w:spacing w:after="120"/>
        <w:rPr>
          <w:rFonts w:asciiTheme="minorHAnsi" w:hAnsiTheme="minorHAnsi" w:cs="Arial"/>
          <w:bCs/>
          <w:snapToGrid w:val="0"/>
          <w:lang w:val="en-GB"/>
        </w:rPr>
      </w:pPr>
      <w:r w:rsidRPr="0017532E">
        <w:rPr>
          <w:rFonts w:asciiTheme="minorHAnsi" w:hAnsiTheme="minorHAnsi" w:cs="Arial"/>
          <w:bCs/>
          <w:snapToGrid w:val="0"/>
          <w:lang w:val="en-GB"/>
        </w:rPr>
        <w:t>Reje</w:t>
      </w:r>
      <w:r w:rsidR="0017532E">
        <w:rPr>
          <w:rFonts w:asciiTheme="minorHAnsi" w:hAnsiTheme="minorHAnsi" w:cs="Arial"/>
          <w:bCs/>
          <w:snapToGrid w:val="0"/>
          <w:lang w:val="en-GB"/>
        </w:rPr>
        <w:t xml:space="preserve">cted </w:t>
      </w:r>
      <w:bookmarkEnd w:id="15"/>
    </w:p>
    <w:p w:rsidR="0078210F" w:rsidRPr="005859EC" w:rsidRDefault="0078210F" w:rsidP="005859EC">
      <w:pPr>
        <w:pStyle w:val="PBACHeading1"/>
        <w:keepNext/>
        <w:spacing w:before="240" w:after="120"/>
      </w:pPr>
      <w:bookmarkStart w:id="16" w:name="_GoBack"/>
      <w:bookmarkEnd w:id="16"/>
      <w:r w:rsidRPr="0078210F">
        <w:t>Context for Decision</w:t>
      </w:r>
    </w:p>
    <w:p w:rsidR="0078210F" w:rsidRPr="0078210F" w:rsidRDefault="0078210F" w:rsidP="00CA7A94">
      <w:pPr>
        <w:spacing w:after="120"/>
        <w:ind w:left="709"/>
        <w:rPr>
          <w:rFonts w:asciiTheme="minorHAnsi" w:eastAsiaTheme="minorHAnsi" w:hAnsiTheme="minorHAnsi" w:cs="Arial"/>
          <w:szCs w:val="22"/>
        </w:rPr>
      </w:pPr>
      <w:r w:rsidRPr="0078210F">
        <w:rPr>
          <w:rFonts w:asciiTheme="minorHAnsi" w:eastAsiaTheme="minorHAnsi" w:hAnsiTheme="minorHAnsi" w:cs="Arial"/>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8210F" w:rsidRPr="0078210F" w:rsidRDefault="0078210F" w:rsidP="005859EC">
      <w:pPr>
        <w:pStyle w:val="PBACHeading1"/>
        <w:keepNext/>
        <w:spacing w:before="240" w:after="120"/>
      </w:pPr>
      <w:r w:rsidRPr="0078210F">
        <w:t>Sponsor’s Comment</w:t>
      </w:r>
    </w:p>
    <w:p w:rsidR="0078210F" w:rsidRPr="0078210F" w:rsidRDefault="0078210F" w:rsidP="00CA7A94">
      <w:pPr>
        <w:spacing w:after="120"/>
        <w:ind w:left="709"/>
        <w:rPr>
          <w:rFonts w:asciiTheme="minorHAnsi" w:eastAsiaTheme="minorHAnsi" w:hAnsiTheme="minorHAnsi" w:cs="Arial"/>
          <w:bCs/>
          <w:szCs w:val="22"/>
        </w:rPr>
      </w:pPr>
      <w:r w:rsidRPr="0078210F">
        <w:rPr>
          <w:rFonts w:asciiTheme="minorHAnsi" w:eastAsiaTheme="minorHAnsi" w:hAnsiTheme="minorHAnsi" w:cs="Arial"/>
          <w:bCs/>
          <w:szCs w:val="22"/>
        </w:rPr>
        <w:t>The sponsor had no comment.</w:t>
      </w:r>
    </w:p>
    <w:p w:rsidR="00797B3D" w:rsidRPr="0078210F" w:rsidRDefault="00797B3D" w:rsidP="0078210F">
      <w:pPr>
        <w:rPr>
          <w:rFonts w:asciiTheme="minorHAnsi" w:hAnsiTheme="minorHAnsi" w:cs="Arial"/>
          <w:lang w:val="en-GB"/>
        </w:rPr>
      </w:pPr>
    </w:p>
    <w:sectPr w:rsidR="00797B3D" w:rsidRPr="0078210F"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773AEA" w16cid:durableId="20618394"/>
  <w16cid:commentId w16cid:paraId="03DC7BE7" w16cid:durableId="206184E6"/>
  <w16cid:commentId w16cid:paraId="1AF868E2" w16cid:durableId="20618681"/>
  <w16cid:commentId w16cid:paraId="66676786" w16cid:durableId="20618266"/>
  <w16cid:commentId w16cid:paraId="5EDBE60C" w16cid:durableId="20618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9EC" w:rsidRDefault="005859EC" w:rsidP="00124A51">
      <w:r>
        <w:separator/>
      </w:r>
    </w:p>
    <w:p w:rsidR="005859EC" w:rsidRDefault="005859EC"/>
  </w:endnote>
  <w:endnote w:type="continuationSeparator" w:id="0">
    <w:p w:rsidR="005859EC" w:rsidRDefault="005859EC" w:rsidP="00124A51">
      <w:r>
        <w:continuationSeparator/>
      </w:r>
    </w:p>
    <w:p w:rsidR="005859EC" w:rsidRDefault="0058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15133"/>
      <w:docPartObj>
        <w:docPartGallery w:val="Page Numbers (Bottom of Page)"/>
        <w:docPartUnique/>
      </w:docPartObj>
    </w:sdtPr>
    <w:sdtEndPr>
      <w:rPr>
        <w:b/>
        <w:noProof/>
      </w:rPr>
    </w:sdtEndPr>
    <w:sdtContent>
      <w:p w:rsidR="005859EC" w:rsidRPr="004F2BF9" w:rsidRDefault="005859EC" w:rsidP="00452229">
        <w:pPr>
          <w:pStyle w:val="Footer"/>
          <w:jc w:val="center"/>
          <w:rPr>
            <w:b/>
          </w:rPr>
        </w:pPr>
        <w:r w:rsidRPr="004F2BF9">
          <w:rPr>
            <w:b/>
          </w:rPr>
          <w:fldChar w:fldCharType="begin"/>
        </w:r>
        <w:r w:rsidRPr="004F2BF9">
          <w:rPr>
            <w:b/>
          </w:rPr>
          <w:instrText xml:space="preserve"> PAGE   \* MERGEFORMAT </w:instrText>
        </w:r>
        <w:r w:rsidRPr="004F2BF9">
          <w:rPr>
            <w:b/>
          </w:rPr>
          <w:fldChar w:fldCharType="separate"/>
        </w:r>
        <w:r w:rsidR="003E7699">
          <w:rPr>
            <w:b/>
            <w:noProof/>
          </w:rPr>
          <w:t>29</w:t>
        </w:r>
        <w:r w:rsidRPr="004F2BF9">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9EC" w:rsidRDefault="005859EC" w:rsidP="00124A51">
      <w:r>
        <w:separator/>
      </w:r>
    </w:p>
    <w:p w:rsidR="005859EC" w:rsidRDefault="005859EC"/>
  </w:footnote>
  <w:footnote w:type="continuationSeparator" w:id="0">
    <w:p w:rsidR="005859EC" w:rsidRDefault="005859EC" w:rsidP="00124A51">
      <w:r>
        <w:continuationSeparator/>
      </w:r>
    </w:p>
    <w:p w:rsidR="005859EC" w:rsidRDefault="005859EC"/>
  </w:footnote>
  <w:footnote w:id="1">
    <w:p w:rsidR="005859EC" w:rsidRDefault="005859EC" w:rsidP="009F0A4E">
      <w:pPr>
        <w:pStyle w:val="FootnoteText"/>
      </w:pPr>
      <w:r>
        <w:rPr>
          <w:rStyle w:val="FootnoteReference"/>
        </w:rPr>
        <w:footnoteRef/>
      </w:r>
      <w:r>
        <w:t xml:space="preserve"> For letermovir trials on clinicaltrials.gov see:</w:t>
      </w:r>
    </w:p>
    <w:p w:rsidR="005859EC" w:rsidRDefault="005859EC" w:rsidP="009F0A4E">
      <w:pPr>
        <w:pStyle w:val="FootnoteText"/>
      </w:pPr>
      <w:r>
        <w:t xml:space="preserve"> </w:t>
      </w:r>
      <w:hyperlink r:id="rId1" w:history="1">
        <w:r w:rsidRPr="003B76D0">
          <w:rPr>
            <w:rStyle w:val="Hyperlink"/>
          </w:rPr>
          <w:t>https://clinicaltrials.gov/ct2/results?cond=&amp;term=letermovir&amp;cntry=&amp;state=&amp;city=&amp;dist</w:t>
        </w:r>
      </w:hyperlink>
      <w:r w:rsidRPr="00E15194">
        <w:t>=</w:t>
      </w:r>
    </w:p>
  </w:footnote>
  <w:footnote w:id="2">
    <w:p w:rsidR="005859EC" w:rsidRPr="00EC5E7D" w:rsidRDefault="005859EC" w:rsidP="000561FB">
      <w:pPr>
        <w:rPr>
          <w:sz w:val="20"/>
          <w:szCs w:val="20"/>
        </w:rPr>
      </w:pPr>
      <w:r>
        <w:rPr>
          <w:rStyle w:val="FootnoteReference"/>
        </w:rPr>
        <w:footnoteRef/>
      </w:r>
      <w:r>
        <w:t xml:space="preserve"> </w:t>
      </w:r>
      <w:r w:rsidRPr="00EC5E7D">
        <w:rPr>
          <w:sz w:val="20"/>
          <w:szCs w:val="20"/>
        </w:rPr>
        <w:t xml:space="preserve">FDA report available at: </w:t>
      </w:r>
    </w:p>
    <w:p w:rsidR="005859EC" w:rsidRDefault="005859EC" w:rsidP="000561FB">
      <w:hyperlink r:id="rId2" w:history="1">
        <w:r w:rsidRPr="00EC5E7D">
          <w:rPr>
            <w:rStyle w:val="Hyperlink"/>
            <w:sz w:val="20"/>
            <w:szCs w:val="20"/>
          </w:rPr>
          <w:t>https://www.accessdata.fda.gov/drugsatfda_docs/nda/2017/209939Orig1s000,209940Orig1s000StatR.pdf</w:t>
        </w:r>
      </w:hyperlink>
      <w:r w:rsidRPr="00EC5E7D">
        <w:rPr>
          <w:sz w:val="20"/>
          <w:szCs w:val="20"/>
        </w:rPr>
        <w:t xml:space="preserve"> </w:t>
      </w:r>
    </w:p>
  </w:footnote>
  <w:footnote w:id="3">
    <w:p w:rsidR="005859EC" w:rsidRDefault="005859EC" w:rsidP="000561FB">
      <w:pPr>
        <w:pStyle w:val="FootnoteText"/>
      </w:pPr>
      <w:r>
        <w:rPr>
          <w:rStyle w:val="FootnoteReference"/>
        </w:rPr>
        <w:footnoteRef/>
      </w:r>
      <w:r>
        <w:t xml:space="preserve"> CADTH clinical report available at: </w:t>
      </w:r>
    </w:p>
    <w:p w:rsidR="005859EC" w:rsidRDefault="005859EC" w:rsidP="000561FB">
      <w:pPr>
        <w:pStyle w:val="FootnoteText"/>
      </w:pPr>
      <w:r w:rsidRPr="007F1AFB">
        <w:t>https://cadth.ca/sites/default/files/cdr/clinical/SR0545_Prevymis_CL_Report.pdf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Pr="0078210F" w:rsidRDefault="005859EC" w:rsidP="0078210F">
    <w:pPr>
      <w:tabs>
        <w:tab w:val="center" w:pos="4513"/>
        <w:tab w:val="right" w:pos="9026"/>
      </w:tabs>
      <w:jc w:val="center"/>
      <w:rPr>
        <w:rFonts w:asciiTheme="minorHAnsi" w:eastAsiaTheme="minorHAnsi" w:hAnsiTheme="minorHAnsi" w:cstheme="minorHAnsi"/>
        <w:i/>
        <w:color w:val="808080"/>
        <w:szCs w:val="22"/>
      </w:rPr>
    </w:pPr>
    <w:r w:rsidRPr="0078210F">
      <w:rPr>
        <w:rFonts w:asciiTheme="minorHAnsi" w:eastAsiaTheme="minorHAnsi" w:hAnsiTheme="minorHAnsi" w:cstheme="minorHAnsi"/>
        <w:i/>
        <w:color w:val="808080"/>
        <w:szCs w:val="22"/>
      </w:rPr>
      <w:t>Publ</w:t>
    </w:r>
    <w:r>
      <w:rPr>
        <w:rFonts w:asciiTheme="minorHAnsi" w:eastAsiaTheme="minorHAnsi" w:hAnsiTheme="minorHAnsi" w:cstheme="minorHAnsi"/>
        <w:i/>
        <w:color w:val="808080"/>
        <w:szCs w:val="22"/>
      </w:rPr>
      <w:t>ic Summary Document – March 2019</w:t>
    </w:r>
    <w:r w:rsidRPr="0078210F">
      <w:rPr>
        <w:rFonts w:asciiTheme="minorHAnsi" w:eastAsiaTheme="minorHAnsi" w:hAnsiTheme="minorHAnsi" w:cstheme="minorHAnsi"/>
        <w:i/>
        <w:color w:val="808080"/>
        <w:szCs w:val="22"/>
      </w:rPr>
      <w:t xml:space="preserve"> PBAC Meeting</w:t>
    </w:r>
  </w:p>
  <w:p w:rsidR="005859EC" w:rsidRPr="0078210F" w:rsidRDefault="005859EC" w:rsidP="00782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4150C"/>
    <w:multiLevelType w:val="hybridMultilevel"/>
    <w:tmpl w:val="8A429E80"/>
    <w:lvl w:ilvl="0" w:tplc="1786CF78">
      <w:start w:val="1"/>
      <w:numFmt w:val="decimal"/>
      <w:lvlText w:val="%1."/>
      <w:lvlJc w:val="left"/>
      <w:pPr>
        <w:ind w:left="360" w:hanging="360"/>
      </w:pPr>
      <w:rPr>
        <w:b w:val="0"/>
      </w:rPr>
    </w:lvl>
    <w:lvl w:ilvl="1" w:tplc="8D3CC680">
      <w:start w:val="1"/>
      <w:numFmt w:val="lowerLetter"/>
      <w:lvlText w:val="%2."/>
      <w:lvlJc w:val="left"/>
      <w:pPr>
        <w:ind w:left="1080" w:hanging="360"/>
      </w:pPr>
      <w:rPr>
        <w:strike w:val="0"/>
      </w:rPr>
    </w:lvl>
    <w:lvl w:ilvl="2" w:tplc="CC6AAB00">
      <w:start w:val="1"/>
      <w:numFmt w:val="lowerRoman"/>
      <w:lvlText w:val="%3."/>
      <w:lvlJc w:val="right"/>
      <w:pPr>
        <w:ind w:left="1800" w:hanging="180"/>
      </w:pPr>
      <w:rPr>
        <w:strike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595754"/>
    <w:multiLevelType w:val="hybridMultilevel"/>
    <w:tmpl w:val="F30CDE0E"/>
    <w:lvl w:ilvl="0" w:tplc="A944399C">
      <w:numFmt w:val="bullet"/>
      <w:lvlText w:val="-"/>
      <w:lvlJc w:val="left"/>
      <w:pPr>
        <w:ind w:left="1211" w:hanging="360"/>
      </w:pPr>
      <w:rPr>
        <w:rFonts w:ascii="Calibri" w:eastAsiaTheme="majorEastAsia" w:hAnsi="Calibri" w:cs="Calibri"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784D033C"/>
    <w:multiLevelType w:val="multilevel"/>
    <w:tmpl w:val="951E3114"/>
    <w:lvl w:ilvl="0">
      <w:start w:val="1"/>
      <w:numFmt w:val="decimal"/>
      <w:pStyle w:val="PBACHeading1"/>
      <w:lvlText w:val="%1"/>
      <w:lvlJc w:val="left"/>
      <w:pPr>
        <w:ind w:left="720" w:hanging="720"/>
      </w:pPr>
      <w:rPr>
        <w:rFonts w:hint="default"/>
        <w:b/>
        <w:sz w:val="32"/>
        <w:szCs w:val="32"/>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5"/>
  </w:num>
  <w:num w:numId="5">
    <w:abstractNumId w:val="7"/>
  </w:num>
  <w:num w:numId="6">
    <w:abstractNumId w:val="0"/>
  </w:num>
  <w:num w:numId="7">
    <w:abstractNumId w:val="6"/>
  </w:num>
  <w:num w:numId="8">
    <w:abstractNumId w:val="6"/>
  </w:num>
  <w:num w:numId="9">
    <w:abstractNumId w:val="6"/>
  </w:num>
  <w:num w:numId="10">
    <w:abstractNumId w:val="10"/>
  </w:num>
  <w:num w:numId="11">
    <w:abstractNumId w:val="11"/>
  </w:num>
  <w:num w:numId="12">
    <w:abstractNumId w:val="2"/>
  </w:num>
  <w:num w:numId="13">
    <w:abstractNumId w:val="1"/>
  </w:num>
  <w:num w:numId="14">
    <w:abstractNumId w:val="3"/>
  </w:num>
  <w:num w:numId="15">
    <w:abstractNumId w:val="9"/>
  </w:num>
  <w:num w:numId="16">
    <w:abstractNumId w:val="8"/>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B8"/>
    <w:rsid w:val="0000014A"/>
    <w:rsid w:val="000006A4"/>
    <w:rsid w:val="00000790"/>
    <w:rsid w:val="0000110B"/>
    <w:rsid w:val="0000151E"/>
    <w:rsid w:val="00001A08"/>
    <w:rsid w:val="00002251"/>
    <w:rsid w:val="000023F1"/>
    <w:rsid w:val="00002DC5"/>
    <w:rsid w:val="00003499"/>
    <w:rsid w:val="00003924"/>
    <w:rsid w:val="000039B7"/>
    <w:rsid w:val="00004C33"/>
    <w:rsid w:val="0000531A"/>
    <w:rsid w:val="00005649"/>
    <w:rsid w:val="00005B26"/>
    <w:rsid w:val="000064FF"/>
    <w:rsid w:val="0000671C"/>
    <w:rsid w:val="000067BB"/>
    <w:rsid w:val="00006B97"/>
    <w:rsid w:val="00007F3E"/>
    <w:rsid w:val="0001194F"/>
    <w:rsid w:val="000120F4"/>
    <w:rsid w:val="00012820"/>
    <w:rsid w:val="00012B52"/>
    <w:rsid w:val="00013247"/>
    <w:rsid w:val="0001348C"/>
    <w:rsid w:val="0001435E"/>
    <w:rsid w:val="000151C9"/>
    <w:rsid w:val="00015886"/>
    <w:rsid w:val="000162EF"/>
    <w:rsid w:val="0001725D"/>
    <w:rsid w:val="0001761C"/>
    <w:rsid w:val="00017DB2"/>
    <w:rsid w:val="0002225F"/>
    <w:rsid w:val="00022BB5"/>
    <w:rsid w:val="00023684"/>
    <w:rsid w:val="00023763"/>
    <w:rsid w:val="000240CF"/>
    <w:rsid w:val="00024AC5"/>
    <w:rsid w:val="00025949"/>
    <w:rsid w:val="00025AB8"/>
    <w:rsid w:val="00026FD9"/>
    <w:rsid w:val="00030F4B"/>
    <w:rsid w:val="0003192F"/>
    <w:rsid w:val="00032A36"/>
    <w:rsid w:val="00032ED9"/>
    <w:rsid w:val="00033234"/>
    <w:rsid w:val="00033614"/>
    <w:rsid w:val="00033863"/>
    <w:rsid w:val="00033BF1"/>
    <w:rsid w:val="00034268"/>
    <w:rsid w:val="00034373"/>
    <w:rsid w:val="00034DA1"/>
    <w:rsid w:val="00035D30"/>
    <w:rsid w:val="00035DC0"/>
    <w:rsid w:val="00035DE5"/>
    <w:rsid w:val="00036070"/>
    <w:rsid w:val="00036829"/>
    <w:rsid w:val="00037016"/>
    <w:rsid w:val="00037A4D"/>
    <w:rsid w:val="00037B0F"/>
    <w:rsid w:val="0004018B"/>
    <w:rsid w:val="000405FD"/>
    <w:rsid w:val="00040895"/>
    <w:rsid w:val="00040AC4"/>
    <w:rsid w:val="00041040"/>
    <w:rsid w:val="0004156E"/>
    <w:rsid w:val="0004281E"/>
    <w:rsid w:val="00042E0A"/>
    <w:rsid w:val="00043A5A"/>
    <w:rsid w:val="00043B56"/>
    <w:rsid w:val="00043C37"/>
    <w:rsid w:val="00043F84"/>
    <w:rsid w:val="00045017"/>
    <w:rsid w:val="00045901"/>
    <w:rsid w:val="00045A2B"/>
    <w:rsid w:val="00045B60"/>
    <w:rsid w:val="000467E1"/>
    <w:rsid w:val="0004688A"/>
    <w:rsid w:val="0004698F"/>
    <w:rsid w:val="000507EA"/>
    <w:rsid w:val="00050CDA"/>
    <w:rsid w:val="00051499"/>
    <w:rsid w:val="0005186F"/>
    <w:rsid w:val="00051BA2"/>
    <w:rsid w:val="00051E7E"/>
    <w:rsid w:val="00052227"/>
    <w:rsid w:val="00052D67"/>
    <w:rsid w:val="000539D0"/>
    <w:rsid w:val="00053D75"/>
    <w:rsid w:val="00054621"/>
    <w:rsid w:val="000546D7"/>
    <w:rsid w:val="00055FAA"/>
    <w:rsid w:val="000561FB"/>
    <w:rsid w:val="000562E6"/>
    <w:rsid w:val="00057D4B"/>
    <w:rsid w:val="00060452"/>
    <w:rsid w:val="000608C5"/>
    <w:rsid w:val="000613BF"/>
    <w:rsid w:val="00061FB6"/>
    <w:rsid w:val="000634F7"/>
    <w:rsid w:val="00063B09"/>
    <w:rsid w:val="00063D14"/>
    <w:rsid w:val="00065746"/>
    <w:rsid w:val="00065A73"/>
    <w:rsid w:val="00065D1D"/>
    <w:rsid w:val="00065EDA"/>
    <w:rsid w:val="00065FB8"/>
    <w:rsid w:val="00065FFA"/>
    <w:rsid w:val="00066126"/>
    <w:rsid w:val="000661D2"/>
    <w:rsid w:val="0006634C"/>
    <w:rsid w:val="00066360"/>
    <w:rsid w:val="00067D28"/>
    <w:rsid w:val="0007010C"/>
    <w:rsid w:val="00070D8E"/>
    <w:rsid w:val="00070EDD"/>
    <w:rsid w:val="00071248"/>
    <w:rsid w:val="000715A2"/>
    <w:rsid w:val="000720B9"/>
    <w:rsid w:val="00072362"/>
    <w:rsid w:val="0007242C"/>
    <w:rsid w:val="00072AFA"/>
    <w:rsid w:val="000730F9"/>
    <w:rsid w:val="000737F7"/>
    <w:rsid w:val="00073BDA"/>
    <w:rsid w:val="0007431B"/>
    <w:rsid w:val="000748BF"/>
    <w:rsid w:val="00074BAB"/>
    <w:rsid w:val="00074CFD"/>
    <w:rsid w:val="00074F66"/>
    <w:rsid w:val="00074FB0"/>
    <w:rsid w:val="00075B50"/>
    <w:rsid w:val="00075EE6"/>
    <w:rsid w:val="0007672F"/>
    <w:rsid w:val="000774F0"/>
    <w:rsid w:val="00077FA7"/>
    <w:rsid w:val="00080909"/>
    <w:rsid w:val="000812CA"/>
    <w:rsid w:val="00081F96"/>
    <w:rsid w:val="00082372"/>
    <w:rsid w:val="0008258D"/>
    <w:rsid w:val="00082877"/>
    <w:rsid w:val="00082DB7"/>
    <w:rsid w:val="00083E99"/>
    <w:rsid w:val="000844FA"/>
    <w:rsid w:val="000852C5"/>
    <w:rsid w:val="00085375"/>
    <w:rsid w:val="000856C5"/>
    <w:rsid w:val="00085D15"/>
    <w:rsid w:val="00086F5B"/>
    <w:rsid w:val="000872AB"/>
    <w:rsid w:val="00087B19"/>
    <w:rsid w:val="00087F49"/>
    <w:rsid w:val="0009097B"/>
    <w:rsid w:val="00090C7E"/>
    <w:rsid w:val="00091900"/>
    <w:rsid w:val="000922A7"/>
    <w:rsid w:val="00092600"/>
    <w:rsid w:val="0009262B"/>
    <w:rsid w:val="00092839"/>
    <w:rsid w:val="00093310"/>
    <w:rsid w:val="00093B44"/>
    <w:rsid w:val="00093C35"/>
    <w:rsid w:val="0009445C"/>
    <w:rsid w:val="000948F7"/>
    <w:rsid w:val="00095C16"/>
    <w:rsid w:val="00095CCB"/>
    <w:rsid w:val="00095FE5"/>
    <w:rsid w:val="00096284"/>
    <w:rsid w:val="00096FD4"/>
    <w:rsid w:val="000978C1"/>
    <w:rsid w:val="00097ACE"/>
    <w:rsid w:val="000A062B"/>
    <w:rsid w:val="000A09D4"/>
    <w:rsid w:val="000A113B"/>
    <w:rsid w:val="000A1A99"/>
    <w:rsid w:val="000A2140"/>
    <w:rsid w:val="000A3C77"/>
    <w:rsid w:val="000A43F8"/>
    <w:rsid w:val="000A45B8"/>
    <w:rsid w:val="000A4EA7"/>
    <w:rsid w:val="000A590A"/>
    <w:rsid w:val="000A62FC"/>
    <w:rsid w:val="000A70E2"/>
    <w:rsid w:val="000A78F3"/>
    <w:rsid w:val="000A7D08"/>
    <w:rsid w:val="000B028D"/>
    <w:rsid w:val="000B0670"/>
    <w:rsid w:val="000B0B07"/>
    <w:rsid w:val="000B0E75"/>
    <w:rsid w:val="000B0F68"/>
    <w:rsid w:val="000B1560"/>
    <w:rsid w:val="000B186A"/>
    <w:rsid w:val="000B1D20"/>
    <w:rsid w:val="000B211F"/>
    <w:rsid w:val="000B263E"/>
    <w:rsid w:val="000B27AE"/>
    <w:rsid w:val="000B3019"/>
    <w:rsid w:val="000B3579"/>
    <w:rsid w:val="000B4BA2"/>
    <w:rsid w:val="000B50DC"/>
    <w:rsid w:val="000B53C8"/>
    <w:rsid w:val="000B5804"/>
    <w:rsid w:val="000B5F4A"/>
    <w:rsid w:val="000B6CAC"/>
    <w:rsid w:val="000B7272"/>
    <w:rsid w:val="000B754A"/>
    <w:rsid w:val="000B7612"/>
    <w:rsid w:val="000C05ED"/>
    <w:rsid w:val="000C078E"/>
    <w:rsid w:val="000C1347"/>
    <w:rsid w:val="000C22CF"/>
    <w:rsid w:val="000C22FA"/>
    <w:rsid w:val="000C3453"/>
    <w:rsid w:val="000C3D4C"/>
    <w:rsid w:val="000C3DF8"/>
    <w:rsid w:val="000C3DF9"/>
    <w:rsid w:val="000C4725"/>
    <w:rsid w:val="000C5067"/>
    <w:rsid w:val="000C5D9F"/>
    <w:rsid w:val="000C64D9"/>
    <w:rsid w:val="000C6713"/>
    <w:rsid w:val="000C6E9C"/>
    <w:rsid w:val="000C7AD5"/>
    <w:rsid w:val="000C7CE6"/>
    <w:rsid w:val="000D0CE5"/>
    <w:rsid w:val="000D0E6D"/>
    <w:rsid w:val="000D0F98"/>
    <w:rsid w:val="000D1BFC"/>
    <w:rsid w:val="000D1D6D"/>
    <w:rsid w:val="000D281A"/>
    <w:rsid w:val="000D2848"/>
    <w:rsid w:val="000D2C9A"/>
    <w:rsid w:val="000D326A"/>
    <w:rsid w:val="000D4284"/>
    <w:rsid w:val="000D43C1"/>
    <w:rsid w:val="000D4E5D"/>
    <w:rsid w:val="000D51FB"/>
    <w:rsid w:val="000D5232"/>
    <w:rsid w:val="000D563D"/>
    <w:rsid w:val="000D5827"/>
    <w:rsid w:val="000D5A00"/>
    <w:rsid w:val="000D6D62"/>
    <w:rsid w:val="000D6FBB"/>
    <w:rsid w:val="000D705E"/>
    <w:rsid w:val="000D7326"/>
    <w:rsid w:val="000D77AF"/>
    <w:rsid w:val="000E0121"/>
    <w:rsid w:val="000E02E7"/>
    <w:rsid w:val="000E0318"/>
    <w:rsid w:val="000E09EC"/>
    <w:rsid w:val="000E0C71"/>
    <w:rsid w:val="000E118D"/>
    <w:rsid w:val="000E135D"/>
    <w:rsid w:val="000E1968"/>
    <w:rsid w:val="000E19DA"/>
    <w:rsid w:val="000E2E6B"/>
    <w:rsid w:val="000E31A6"/>
    <w:rsid w:val="000E3BDB"/>
    <w:rsid w:val="000E4B78"/>
    <w:rsid w:val="000E5A44"/>
    <w:rsid w:val="000E5D6F"/>
    <w:rsid w:val="000E6301"/>
    <w:rsid w:val="000E6E77"/>
    <w:rsid w:val="000E75ED"/>
    <w:rsid w:val="000F00BA"/>
    <w:rsid w:val="000F015B"/>
    <w:rsid w:val="000F1591"/>
    <w:rsid w:val="000F316A"/>
    <w:rsid w:val="000F3B15"/>
    <w:rsid w:val="000F3C74"/>
    <w:rsid w:val="000F4332"/>
    <w:rsid w:val="000F4BB8"/>
    <w:rsid w:val="000F6816"/>
    <w:rsid w:val="000F6981"/>
    <w:rsid w:val="000F7005"/>
    <w:rsid w:val="000F7127"/>
    <w:rsid w:val="000F7165"/>
    <w:rsid w:val="000F738C"/>
    <w:rsid w:val="000F7402"/>
    <w:rsid w:val="000F7A28"/>
    <w:rsid w:val="00100664"/>
    <w:rsid w:val="00100F8A"/>
    <w:rsid w:val="00101064"/>
    <w:rsid w:val="00101097"/>
    <w:rsid w:val="00101098"/>
    <w:rsid w:val="00101B3C"/>
    <w:rsid w:val="00101E2E"/>
    <w:rsid w:val="00102D52"/>
    <w:rsid w:val="00103581"/>
    <w:rsid w:val="00103DD2"/>
    <w:rsid w:val="00105AE2"/>
    <w:rsid w:val="00105FDC"/>
    <w:rsid w:val="00105FE9"/>
    <w:rsid w:val="00106610"/>
    <w:rsid w:val="0010671B"/>
    <w:rsid w:val="001069A8"/>
    <w:rsid w:val="00106B80"/>
    <w:rsid w:val="00106C6A"/>
    <w:rsid w:val="0011032E"/>
    <w:rsid w:val="0011079D"/>
    <w:rsid w:val="00110809"/>
    <w:rsid w:val="00110AB4"/>
    <w:rsid w:val="00111912"/>
    <w:rsid w:val="00111C4A"/>
    <w:rsid w:val="00112E32"/>
    <w:rsid w:val="001133A1"/>
    <w:rsid w:val="0011348B"/>
    <w:rsid w:val="00113803"/>
    <w:rsid w:val="00114250"/>
    <w:rsid w:val="0011435A"/>
    <w:rsid w:val="001144D4"/>
    <w:rsid w:val="00114FCD"/>
    <w:rsid w:val="00114FF8"/>
    <w:rsid w:val="0011519D"/>
    <w:rsid w:val="00115982"/>
    <w:rsid w:val="00115F0B"/>
    <w:rsid w:val="00116391"/>
    <w:rsid w:val="00116B97"/>
    <w:rsid w:val="00116C53"/>
    <w:rsid w:val="00117247"/>
    <w:rsid w:val="0011783E"/>
    <w:rsid w:val="00117ECE"/>
    <w:rsid w:val="00117F76"/>
    <w:rsid w:val="0012002E"/>
    <w:rsid w:val="001200CA"/>
    <w:rsid w:val="0012019C"/>
    <w:rsid w:val="00121337"/>
    <w:rsid w:val="00121799"/>
    <w:rsid w:val="00121E72"/>
    <w:rsid w:val="001222FC"/>
    <w:rsid w:val="0012248E"/>
    <w:rsid w:val="0012364A"/>
    <w:rsid w:val="00124063"/>
    <w:rsid w:val="00124535"/>
    <w:rsid w:val="0012484B"/>
    <w:rsid w:val="00124A51"/>
    <w:rsid w:val="00126150"/>
    <w:rsid w:val="00126373"/>
    <w:rsid w:val="00126621"/>
    <w:rsid w:val="00126674"/>
    <w:rsid w:val="0012757D"/>
    <w:rsid w:val="00127C2A"/>
    <w:rsid w:val="00127FDF"/>
    <w:rsid w:val="001301E9"/>
    <w:rsid w:val="00130FAD"/>
    <w:rsid w:val="00131400"/>
    <w:rsid w:val="00131D82"/>
    <w:rsid w:val="00132AD1"/>
    <w:rsid w:val="00133019"/>
    <w:rsid w:val="001332DD"/>
    <w:rsid w:val="00133D36"/>
    <w:rsid w:val="0013602A"/>
    <w:rsid w:val="00137645"/>
    <w:rsid w:val="001378F9"/>
    <w:rsid w:val="00137EA9"/>
    <w:rsid w:val="00137F91"/>
    <w:rsid w:val="0014002F"/>
    <w:rsid w:val="001400FD"/>
    <w:rsid w:val="0014015A"/>
    <w:rsid w:val="00140260"/>
    <w:rsid w:val="001404AD"/>
    <w:rsid w:val="00140E99"/>
    <w:rsid w:val="00141454"/>
    <w:rsid w:val="00141621"/>
    <w:rsid w:val="0014352D"/>
    <w:rsid w:val="001439A3"/>
    <w:rsid w:val="001447AD"/>
    <w:rsid w:val="00144EC4"/>
    <w:rsid w:val="00145540"/>
    <w:rsid w:val="001456B0"/>
    <w:rsid w:val="00145BBE"/>
    <w:rsid w:val="00145D98"/>
    <w:rsid w:val="00150C3A"/>
    <w:rsid w:val="00152466"/>
    <w:rsid w:val="00152958"/>
    <w:rsid w:val="00153ADF"/>
    <w:rsid w:val="00153CCB"/>
    <w:rsid w:val="001546D5"/>
    <w:rsid w:val="00155506"/>
    <w:rsid w:val="00155AD6"/>
    <w:rsid w:val="00155AF7"/>
    <w:rsid w:val="001569E5"/>
    <w:rsid w:val="00157130"/>
    <w:rsid w:val="001571F6"/>
    <w:rsid w:val="001576B1"/>
    <w:rsid w:val="0016043E"/>
    <w:rsid w:val="00160A4C"/>
    <w:rsid w:val="001615C4"/>
    <w:rsid w:val="00161C1C"/>
    <w:rsid w:val="00162651"/>
    <w:rsid w:val="00162913"/>
    <w:rsid w:val="00163EFF"/>
    <w:rsid w:val="0016437C"/>
    <w:rsid w:val="00164C35"/>
    <w:rsid w:val="001661FB"/>
    <w:rsid w:val="0016621B"/>
    <w:rsid w:val="0016710E"/>
    <w:rsid w:val="0016767B"/>
    <w:rsid w:val="00167D3B"/>
    <w:rsid w:val="00171ADD"/>
    <w:rsid w:val="00173565"/>
    <w:rsid w:val="001735B6"/>
    <w:rsid w:val="00173B07"/>
    <w:rsid w:val="0017497C"/>
    <w:rsid w:val="00174E06"/>
    <w:rsid w:val="0017532E"/>
    <w:rsid w:val="0017640A"/>
    <w:rsid w:val="00180379"/>
    <w:rsid w:val="00180740"/>
    <w:rsid w:val="001812A5"/>
    <w:rsid w:val="00181C0E"/>
    <w:rsid w:val="00181D9C"/>
    <w:rsid w:val="00182A7E"/>
    <w:rsid w:val="00182EE1"/>
    <w:rsid w:val="00183391"/>
    <w:rsid w:val="00183843"/>
    <w:rsid w:val="00184F31"/>
    <w:rsid w:val="00185525"/>
    <w:rsid w:val="00185FEF"/>
    <w:rsid w:val="001860E8"/>
    <w:rsid w:val="00186606"/>
    <w:rsid w:val="00186E09"/>
    <w:rsid w:val="00186EFA"/>
    <w:rsid w:val="0018752F"/>
    <w:rsid w:val="0019000C"/>
    <w:rsid w:val="001907DD"/>
    <w:rsid w:val="00191979"/>
    <w:rsid w:val="001934E7"/>
    <w:rsid w:val="00193B3B"/>
    <w:rsid w:val="00193C19"/>
    <w:rsid w:val="00195222"/>
    <w:rsid w:val="001961E8"/>
    <w:rsid w:val="00196ACC"/>
    <w:rsid w:val="001975D8"/>
    <w:rsid w:val="001A2317"/>
    <w:rsid w:val="001A43FA"/>
    <w:rsid w:val="001A4A42"/>
    <w:rsid w:val="001A5540"/>
    <w:rsid w:val="001A5804"/>
    <w:rsid w:val="001A587D"/>
    <w:rsid w:val="001A59FB"/>
    <w:rsid w:val="001A6354"/>
    <w:rsid w:val="001A6448"/>
    <w:rsid w:val="001A68F1"/>
    <w:rsid w:val="001A7767"/>
    <w:rsid w:val="001A7AE8"/>
    <w:rsid w:val="001B0180"/>
    <w:rsid w:val="001B1048"/>
    <w:rsid w:val="001B1CC1"/>
    <w:rsid w:val="001B204E"/>
    <w:rsid w:val="001B29D4"/>
    <w:rsid w:val="001B2DB3"/>
    <w:rsid w:val="001B3443"/>
    <w:rsid w:val="001B39F0"/>
    <w:rsid w:val="001B3E97"/>
    <w:rsid w:val="001B40EB"/>
    <w:rsid w:val="001B441B"/>
    <w:rsid w:val="001B4B9B"/>
    <w:rsid w:val="001B4D20"/>
    <w:rsid w:val="001B503A"/>
    <w:rsid w:val="001B5072"/>
    <w:rsid w:val="001B5876"/>
    <w:rsid w:val="001B5A1A"/>
    <w:rsid w:val="001B5B6C"/>
    <w:rsid w:val="001B610E"/>
    <w:rsid w:val="001B7AF5"/>
    <w:rsid w:val="001B7E64"/>
    <w:rsid w:val="001C0BB5"/>
    <w:rsid w:val="001C18BF"/>
    <w:rsid w:val="001C18F6"/>
    <w:rsid w:val="001C1B40"/>
    <w:rsid w:val="001C2854"/>
    <w:rsid w:val="001C2A9B"/>
    <w:rsid w:val="001C2C23"/>
    <w:rsid w:val="001C2D13"/>
    <w:rsid w:val="001C4299"/>
    <w:rsid w:val="001C4889"/>
    <w:rsid w:val="001C4D98"/>
    <w:rsid w:val="001C5115"/>
    <w:rsid w:val="001C51B3"/>
    <w:rsid w:val="001C554F"/>
    <w:rsid w:val="001C5E76"/>
    <w:rsid w:val="001C5F94"/>
    <w:rsid w:val="001C6133"/>
    <w:rsid w:val="001C624D"/>
    <w:rsid w:val="001C6C18"/>
    <w:rsid w:val="001C6E66"/>
    <w:rsid w:val="001C7AD4"/>
    <w:rsid w:val="001C7F26"/>
    <w:rsid w:val="001D0CA3"/>
    <w:rsid w:val="001D1383"/>
    <w:rsid w:val="001D183F"/>
    <w:rsid w:val="001D1C16"/>
    <w:rsid w:val="001D2EEA"/>
    <w:rsid w:val="001D3B8C"/>
    <w:rsid w:val="001D50DC"/>
    <w:rsid w:val="001D55D4"/>
    <w:rsid w:val="001D5987"/>
    <w:rsid w:val="001D5B95"/>
    <w:rsid w:val="001D7066"/>
    <w:rsid w:val="001D7110"/>
    <w:rsid w:val="001D7847"/>
    <w:rsid w:val="001D7A11"/>
    <w:rsid w:val="001E0F2F"/>
    <w:rsid w:val="001E238E"/>
    <w:rsid w:val="001E2483"/>
    <w:rsid w:val="001E2A6A"/>
    <w:rsid w:val="001E2B1E"/>
    <w:rsid w:val="001E30D4"/>
    <w:rsid w:val="001E4A57"/>
    <w:rsid w:val="001E4C5B"/>
    <w:rsid w:val="001E52EB"/>
    <w:rsid w:val="001E52F1"/>
    <w:rsid w:val="001E5825"/>
    <w:rsid w:val="001E5BF5"/>
    <w:rsid w:val="001E6007"/>
    <w:rsid w:val="001E612A"/>
    <w:rsid w:val="001E61D2"/>
    <w:rsid w:val="001E740C"/>
    <w:rsid w:val="001E759C"/>
    <w:rsid w:val="001E7B8A"/>
    <w:rsid w:val="001F0FD6"/>
    <w:rsid w:val="001F1235"/>
    <w:rsid w:val="001F1CB3"/>
    <w:rsid w:val="001F2DE4"/>
    <w:rsid w:val="001F38B5"/>
    <w:rsid w:val="001F4BDB"/>
    <w:rsid w:val="001F61EC"/>
    <w:rsid w:val="001F7361"/>
    <w:rsid w:val="001F7DAF"/>
    <w:rsid w:val="00201020"/>
    <w:rsid w:val="002011B0"/>
    <w:rsid w:val="00201568"/>
    <w:rsid w:val="00201B68"/>
    <w:rsid w:val="00201C06"/>
    <w:rsid w:val="00202218"/>
    <w:rsid w:val="0020292A"/>
    <w:rsid w:val="00202E73"/>
    <w:rsid w:val="00203181"/>
    <w:rsid w:val="00203401"/>
    <w:rsid w:val="00203783"/>
    <w:rsid w:val="0020385F"/>
    <w:rsid w:val="0020390F"/>
    <w:rsid w:val="00204D62"/>
    <w:rsid w:val="0020586D"/>
    <w:rsid w:val="00206C40"/>
    <w:rsid w:val="00207021"/>
    <w:rsid w:val="0020732F"/>
    <w:rsid w:val="00207D00"/>
    <w:rsid w:val="002105C1"/>
    <w:rsid w:val="00210AEF"/>
    <w:rsid w:val="00210F9D"/>
    <w:rsid w:val="00211056"/>
    <w:rsid w:val="002118A2"/>
    <w:rsid w:val="00211924"/>
    <w:rsid w:val="00212524"/>
    <w:rsid w:val="00212D27"/>
    <w:rsid w:val="00213389"/>
    <w:rsid w:val="00213983"/>
    <w:rsid w:val="002143D6"/>
    <w:rsid w:val="00214F0F"/>
    <w:rsid w:val="0021510A"/>
    <w:rsid w:val="00216193"/>
    <w:rsid w:val="002162F3"/>
    <w:rsid w:val="00220050"/>
    <w:rsid w:val="002215DE"/>
    <w:rsid w:val="00221DCE"/>
    <w:rsid w:val="002230FB"/>
    <w:rsid w:val="00223B49"/>
    <w:rsid w:val="00223E31"/>
    <w:rsid w:val="00224209"/>
    <w:rsid w:val="00224DD4"/>
    <w:rsid w:val="0022520D"/>
    <w:rsid w:val="00225BF1"/>
    <w:rsid w:val="0022605A"/>
    <w:rsid w:val="002275C9"/>
    <w:rsid w:val="002309CC"/>
    <w:rsid w:val="002311E3"/>
    <w:rsid w:val="00231BA8"/>
    <w:rsid w:val="00231FFE"/>
    <w:rsid w:val="0023209F"/>
    <w:rsid w:val="002334D2"/>
    <w:rsid w:val="00234CCD"/>
    <w:rsid w:val="00235BE3"/>
    <w:rsid w:val="0023629D"/>
    <w:rsid w:val="0023658E"/>
    <w:rsid w:val="00236A0E"/>
    <w:rsid w:val="00236C3A"/>
    <w:rsid w:val="00237255"/>
    <w:rsid w:val="00237FCA"/>
    <w:rsid w:val="00240DDD"/>
    <w:rsid w:val="002411F5"/>
    <w:rsid w:val="00241FA1"/>
    <w:rsid w:val="0024232C"/>
    <w:rsid w:val="002424AF"/>
    <w:rsid w:val="002439DC"/>
    <w:rsid w:val="00244D7D"/>
    <w:rsid w:val="00244DC8"/>
    <w:rsid w:val="002453D4"/>
    <w:rsid w:val="002454EE"/>
    <w:rsid w:val="002458BA"/>
    <w:rsid w:val="0024620C"/>
    <w:rsid w:val="0024636C"/>
    <w:rsid w:val="00246C66"/>
    <w:rsid w:val="002478D4"/>
    <w:rsid w:val="00247925"/>
    <w:rsid w:val="00247B25"/>
    <w:rsid w:val="00247D28"/>
    <w:rsid w:val="00250936"/>
    <w:rsid w:val="002516B8"/>
    <w:rsid w:val="00251BED"/>
    <w:rsid w:val="0025237F"/>
    <w:rsid w:val="002528EF"/>
    <w:rsid w:val="00252CAD"/>
    <w:rsid w:val="00253FE4"/>
    <w:rsid w:val="00254718"/>
    <w:rsid w:val="00254DCF"/>
    <w:rsid w:val="0025534B"/>
    <w:rsid w:val="00255BB7"/>
    <w:rsid w:val="00256988"/>
    <w:rsid w:val="002571DB"/>
    <w:rsid w:val="00257541"/>
    <w:rsid w:val="002577D7"/>
    <w:rsid w:val="00257B58"/>
    <w:rsid w:val="00257BAD"/>
    <w:rsid w:val="0026056D"/>
    <w:rsid w:val="00260DF0"/>
    <w:rsid w:val="00262038"/>
    <w:rsid w:val="002627AC"/>
    <w:rsid w:val="00262A1A"/>
    <w:rsid w:val="00262A81"/>
    <w:rsid w:val="00262A87"/>
    <w:rsid w:val="00262E09"/>
    <w:rsid w:val="00263DD6"/>
    <w:rsid w:val="0026411D"/>
    <w:rsid w:val="00264A94"/>
    <w:rsid w:val="00264B5E"/>
    <w:rsid w:val="00264D12"/>
    <w:rsid w:val="00264D26"/>
    <w:rsid w:val="00266325"/>
    <w:rsid w:val="00266B19"/>
    <w:rsid w:val="002675FA"/>
    <w:rsid w:val="00267642"/>
    <w:rsid w:val="00267AEA"/>
    <w:rsid w:val="00267D94"/>
    <w:rsid w:val="002700D3"/>
    <w:rsid w:val="002700E6"/>
    <w:rsid w:val="002703BE"/>
    <w:rsid w:val="0027131C"/>
    <w:rsid w:val="00271DCD"/>
    <w:rsid w:val="002721D4"/>
    <w:rsid w:val="0027294B"/>
    <w:rsid w:val="002732C1"/>
    <w:rsid w:val="00273A13"/>
    <w:rsid w:val="00273D21"/>
    <w:rsid w:val="0027580F"/>
    <w:rsid w:val="00275C5A"/>
    <w:rsid w:val="0027608D"/>
    <w:rsid w:val="002774AA"/>
    <w:rsid w:val="00280178"/>
    <w:rsid w:val="0028046B"/>
    <w:rsid w:val="00280E35"/>
    <w:rsid w:val="00280E66"/>
    <w:rsid w:val="00281014"/>
    <w:rsid w:val="00281384"/>
    <w:rsid w:val="0028265F"/>
    <w:rsid w:val="00283A28"/>
    <w:rsid w:val="00283B9D"/>
    <w:rsid w:val="00283E5D"/>
    <w:rsid w:val="00283F08"/>
    <w:rsid w:val="0028441A"/>
    <w:rsid w:val="00284D94"/>
    <w:rsid w:val="00285461"/>
    <w:rsid w:val="00286284"/>
    <w:rsid w:val="002868A4"/>
    <w:rsid w:val="00287827"/>
    <w:rsid w:val="00287A7A"/>
    <w:rsid w:val="00287F9F"/>
    <w:rsid w:val="002902B8"/>
    <w:rsid w:val="002917F4"/>
    <w:rsid w:val="00291D4E"/>
    <w:rsid w:val="00293B7E"/>
    <w:rsid w:val="00294049"/>
    <w:rsid w:val="00294853"/>
    <w:rsid w:val="0029709D"/>
    <w:rsid w:val="00297879"/>
    <w:rsid w:val="00297CBE"/>
    <w:rsid w:val="002A007B"/>
    <w:rsid w:val="002A04F7"/>
    <w:rsid w:val="002A0A84"/>
    <w:rsid w:val="002A14AB"/>
    <w:rsid w:val="002A18D2"/>
    <w:rsid w:val="002A2F50"/>
    <w:rsid w:val="002A3065"/>
    <w:rsid w:val="002A3072"/>
    <w:rsid w:val="002A3121"/>
    <w:rsid w:val="002A3AE1"/>
    <w:rsid w:val="002A4139"/>
    <w:rsid w:val="002A49F4"/>
    <w:rsid w:val="002A6033"/>
    <w:rsid w:val="002A64C1"/>
    <w:rsid w:val="002A6AD1"/>
    <w:rsid w:val="002A708D"/>
    <w:rsid w:val="002B09A4"/>
    <w:rsid w:val="002B0F85"/>
    <w:rsid w:val="002B0FF5"/>
    <w:rsid w:val="002B17D8"/>
    <w:rsid w:val="002B1C1F"/>
    <w:rsid w:val="002B1E81"/>
    <w:rsid w:val="002B22E3"/>
    <w:rsid w:val="002B241A"/>
    <w:rsid w:val="002B2E1E"/>
    <w:rsid w:val="002B391C"/>
    <w:rsid w:val="002B4142"/>
    <w:rsid w:val="002B432F"/>
    <w:rsid w:val="002B4CEF"/>
    <w:rsid w:val="002B55A9"/>
    <w:rsid w:val="002B55C4"/>
    <w:rsid w:val="002B5C85"/>
    <w:rsid w:val="002B6237"/>
    <w:rsid w:val="002B62B3"/>
    <w:rsid w:val="002B6754"/>
    <w:rsid w:val="002B6CCE"/>
    <w:rsid w:val="002B79FD"/>
    <w:rsid w:val="002C03F6"/>
    <w:rsid w:val="002C1200"/>
    <w:rsid w:val="002C125B"/>
    <w:rsid w:val="002C21B5"/>
    <w:rsid w:val="002C2510"/>
    <w:rsid w:val="002C2775"/>
    <w:rsid w:val="002C27C1"/>
    <w:rsid w:val="002C49C2"/>
    <w:rsid w:val="002C5099"/>
    <w:rsid w:val="002C5889"/>
    <w:rsid w:val="002C5F68"/>
    <w:rsid w:val="002C6446"/>
    <w:rsid w:val="002C71CE"/>
    <w:rsid w:val="002C7A79"/>
    <w:rsid w:val="002C7B06"/>
    <w:rsid w:val="002C7B09"/>
    <w:rsid w:val="002D1AFB"/>
    <w:rsid w:val="002D2122"/>
    <w:rsid w:val="002D22EF"/>
    <w:rsid w:val="002D23C1"/>
    <w:rsid w:val="002D266B"/>
    <w:rsid w:val="002D2A3C"/>
    <w:rsid w:val="002D4437"/>
    <w:rsid w:val="002D44D7"/>
    <w:rsid w:val="002D566F"/>
    <w:rsid w:val="002D5753"/>
    <w:rsid w:val="002D577C"/>
    <w:rsid w:val="002D5D24"/>
    <w:rsid w:val="002D5F76"/>
    <w:rsid w:val="002D5FD9"/>
    <w:rsid w:val="002D6D5D"/>
    <w:rsid w:val="002D7076"/>
    <w:rsid w:val="002D7301"/>
    <w:rsid w:val="002E0A70"/>
    <w:rsid w:val="002E106B"/>
    <w:rsid w:val="002E15B9"/>
    <w:rsid w:val="002E16F6"/>
    <w:rsid w:val="002E2158"/>
    <w:rsid w:val="002E2A0D"/>
    <w:rsid w:val="002E4AEE"/>
    <w:rsid w:val="002E56E4"/>
    <w:rsid w:val="002E58F6"/>
    <w:rsid w:val="002E5B65"/>
    <w:rsid w:val="002E622D"/>
    <w:rsid w:val="002E68D6"/>
    <w:rsid w:val="002E7722"/>
    <w:rsid w:val="002F01C6"/>
    <w:rsid w:val="002F0252"/>
    <w:rsid w:val="002F07BA"/>
    <w:rsid w:val="002F0888"/>
    <w:rsid w:val="002F0DA9"/>
    <w:rsid w:val="002F1A6D"/>
    <w:rsid w:val="002F1B66"/>
    <w:rsid w:val="002F1D0B"/>
    <w:rsid w:val="002F1EE1"/>
    <w:rsid w:val="002F26CC"/>
    <w:rsid w:val="002F280F"/>
    <w:rsid w:val="002F2EA5"/>
    <w:rsid w:val="002F3159"/>
    <w:rsid w:val="002F3EEF"/>
    <w:rsid w:val="002F3F39"/>
    <w:rsid w:val="002F4B9B"/>
    <w:rsid w:val="002F4DB4"/>
    <w:rsid w:val="002F530C"/>
    <w:rsid w:val="002F5E31"/>
    <w:rsid w:val="002F643C"/>
    <w:rsid w:val="002F6E15"/>
    <w:rsid w:val="002F71C0"/>
    <w:rsid w:val="002F77C7"/>
    <w:rsid w:val="002F7DD7"/>
    <w:rsid w:val="00300054"/>
    <w:rsid w:val="003000DC"/>
    <w:rsid w:val="00300898"/>
    <w:rsid w:val="00300FC6"/>
    <w:rsid w:val="00301017"/>
    <w:rsid w:val="00301512"/>
    <w:rsid w:val="0030155F"/>
    <w:rsid w:val="00301A5D"/>
    <w:rsid w:val="0030259C"/>
    <w:rsid w:val="00303CE0"/>
    <w:rsid w:val="00304136"/>
    <w:rsid w:val="00304A90"/>
    <w:rsid w:val="00304EED"/>
    <w:rsid w:val="0030587B"/>
    <w:rsid w:val="00306429"/>
    <w:rsid w:val="003068F8"/>
    <w:rsid w:val="00306D98"/>
    <w:rsid w:val="003071BA"/>
    <w:rsid w:val="0030786C"/>
    <w:rsid w:val="00307C85"/>
    <w:rsid w:val="0031031A"/>
    <w:rsid w:val="00310981"/>
    <w:rsid w:val="00310DF4"/>
    <w:rsid w:val="0031105A"/>
    <w:rsid w:val="003112B3"/>
    <w:rsid w:val="00311C52"/>
    <w:rsid w:val="00312866"/>
    <w:rsid w:val="00312D6C"/>
    <w:rsid w:val="00313335"/>
    <w:rsid w:val="00314075"/>
    <w:rsid w:val="0031490E"/>
    <w:rsid w:val="00315065"/>
    <w:rsid w:val="00315498"/>
    <w:rsid w:val="0031572B"/>
    <w:rsid w:val="00315B6E"/>
    <w:rsid w:val="00315C0B"/>
    <w:rsid w:val="00315FB0"/>
    <w:rsid w:val="003161EC"/>
    <w:rsid w:val="00316B92"/>
    <w:rsid w:val="00316BD2"/>
    <w:rsid w:val="00320578"/>
    <w:rsid w:val="003219E2"/>
    <w:rsid w:val="00321CC2"/>
    <w:rsid w:val="003220B4"/>
    <w:rsid w:val="00322107"/>
    <w:rsid w:val="0032220E"/>
    <w:rsid w:val="00322846"/>
    <w:rsid w:val="00323463"/>
    <w:rsid w:val="00326DA7"/>
    <w:rsid w:val="003270A8"/>
    <w:rsid w:val="003270E4"/>
    <w:rsid w:val="003306EE"/>
    <w:rsid w:val="003309C8"/>
    <w:rsid w:val="00330A58"/>
    <w:rsid w:val="00330D04"/>
    <w:rsid w:val="00330F5C"/>
    <w:rsid w:val="003317B8"/>
    <w:rsid w:val="00331FBC"/>
    <w:rsid w:val="00332260"/>
    <w:rsid w:val="0033303B"/>
    <w:rsid w:val="0033324B"/>
    <w:rsid w:val="00334573"/>
    <w:rsid w:val="00334B06"/>
    <w:rsid w:val="00334D42"/>
    <w:rsid w:val="00336133"/>
    <w:rsid w:val="0033623D"/>
    <w:rsid w:val="003366C9"/>
    <w:rsid w:val="003371B0"/>
    <w:rsid w:val="0033727D"/>
    <w:rsid w:val="0033786C"/>
    <w:rsid w:val="00340DF1"/>
    <w:rsid w:val="00341256"/>
    <w:rsid w:val="00343A5F"/>
    <w:rsid w:val="00343C7E"/>
    <w:rsid w:val="00344934"/>
    <w:rsid w:val="003459AB"/>
    <w:rsid w:val="00347CE6"/>
    <w:rsid w:val="0035025C"/>
    <w:rsid w:val="0035069A"/>
    <w:rsid w:val="003517F9"/>
    <w:rsid w:val="00351956"/>
    <w:rsid w:val="00351F1E"/>
    <w:rsid w:val="003526E5"/>
    <w:rsid w:val="00352C09"/>
    <w:rsid w:val="00353737"/>
    <w:rsid w:val="00354B22"/>
    <w:rsid w:val="00354BAE"/>
    <w:rsid w:val="00354DA4"/>
    <w:rsid w:val="00355A3D"/>
    <w:rsid w:val="0035620E"/>
    <w:rsid w:val="00356351"/>
    <w:rsid w:val="00356722"/>
    <w:rsid w:val="00356BFD"/>
    <w:rsid w:val="00356D16"/>
    <w:rsid w:val="0035721E"/>
    <w:rsid w:val="0036016C"/>
    <w:rsid w:val="00360846"/>
    <w:rsid w:val="00361041"/>
    <w:rsid w:val="003615E8"/>
    <w:rsid w:val="00361F1E"/>
    <w:rsid w:val="003624C4"/>
    <w:rsid w:val="0036273D"/>
    <w:rsid w:val="0036274F"/>
    <w:rsid w:val="003630A8"/>
    <w:rsid w:val="00364353"/>
    <w:rsid w:val="0036462B"/>
    <w:rsid w:val="00364911"/>
    <w:rsid w:val="00364D34"/>
    <w:rsid w:val="003654AC"/>
    <w:rsid w:val="00365C32"/>
    <w:rsid w:val="003663C2"/>
    <w:rsid w:val="003675BC"/>
    <w:rsid w:val="00370824"/>
    <w:rsid w:val="0037100B"/>
    <w:rsid w:val="003710CF"/>
    <w:rsid w:val="00371346"/>
    <w:rsid w:val="00371366"/>
    <w:rsid w:val="003733B8"/>
    <w:rsid w:val="0037358A"/>
    <w:rsid w:val="00373A29"/>
    <w:rsid w:val="00373E0F"/>
    <w:rsid w:val="003742E7"/>
    <w:rsid w:val="003750F6"/>
    <w:rsid w:val="003760FC"/>
    <w:rsid w:val="003765A3"/>
    <w:rsid w:val="00376F38"/>
    <w:rsid w:val="0037726E"/>
    <w:rsid w:val="0038058A"/>
    <w:rsid w:val="00381262"/>
    <w:rsid w:val="00381655"/>
    <w:rsid w:val="00381EA1"/>
    <w:rsid w:val="0038277A"/>
    <w:rsid w:val="00382B63"/>
    <w:rsid w:val="00382B8F"/>
    <w:rsid w:val="0038365C"/>
    <w:rsid w:val="0038369B"/>
    <w:rsid w:val="00383801"/>
    <w:rsid w:val="00383AD0"/>
    <w:rsid w:val="00383B78"/>
    <w:rsid w:val="00383E32"/>
    <w:rsid w:val="003843C1"/>
    <w:rsid w:val="00385352"/>
    <w:rsid w:val="0038554A"/>
    <w:rsid w:val="00385A9D"/>
    <w:rsid w:val="00385F7C"/>
    <w:rsid w:val="003865FA"/>
    <w:rsid w:val="00386E95"/>
    <w:rsid w:val="003902B1"/>
    <w:rsid w:val="00390554"/>
    <w:rsid w:val="003908A6"/>
    <w:rsid w:val="00390FBB"/>
    <w:rsid w:val="00392705"/>
    <w:rsid w:val="003933A5"/>
    <w:rsid w:val="00393740"/>
    <w:rsid w:val="00393FD5"/>
    <w:rsid w:val="0039460C"/>
    <w:rsid w:val="00394759"/>
    <w:rsid w:val="00394CE0"/>
    <w:rsid w:val="003951AA"/>
    <w:rsid w:val="00396896"/>
    <w:rsid w:val="00396C34"/>
    <w:rsid w:val="00396FD0"/>
    <w:rsid w:val="00397AF3"/>
    <w:rsid w:val="003A0C26"/>
    <w:rsid w:val="003A1A7A"/>
    <w:rsid w:val="003A2392"/>
    <w:rsid w:val="003A253C"/>
    <w:rsid w:val="003A2831"/>
    <w:rsid w:val="003A29BD"/>
    <w:rsid w:val="003A3CBD"/>
    <w:rsid w:val="003A3ED1"/>
    <w:rsid w:val="003A5523"/>
    <w:rsid w:val="003A5F69"/>
    <w:rsid w:val="003A6947"/>
    <w:rsid w:val="003A709E"/>
    <w:rsid w:val="003A7862"/>
    <w:rsid w:val="003B0730"/>
    <w:rsid w:val="003B098D"/>
    <w:rsid w:val="003B1AE5"/>
    <w:rsid w:val="003B24D2"/>
    <w:rsid w:val="003B288D"/>
    <w:rsid w:val="003B2CAF"/>
    <w:rsid w:val="003B4F2F"/>
    <w:rsid w:val="003B5B61"/>
    <w:rsid w:val="003B667E"/>
    <w:rsid w:val="003B6E7D"/>
    <w:rsid w:val="003B7C4F"/>
    <w:rsid w:val="003C03E5"/>
    <w:rsid w:val="003C1654"/>
    <w:rsid w:val="003C199F"/>
    <w:rsid w:val="003C19C4"/>
    <w:rsid w:val="003C3001"/>
    <w:rsid w:val="003C35FE"/>
    <w:rsid w:val="003C4DF3"/>
    <w:rsid w:val="003C511F"/>
    <w:rsid w:val="003C6B29"/>
    <w:rsid w:val="003C6F43"/>
    <w:rsid w:val="003C7D19"/>
    <w:rsid w:val="003D0135"/>
    <w:rsid w:val="003D01BA"/>
    <w:rsid w:val="003D0B6D"/>
    <w:rsid w:val="003D130B"/>
    <w:rsid w:val="003D1539"/>
    <w:rsid w:val="003D1828"/>
    <w:rsid w:val="003D1DE4"/>
    <w:rsid w:val="003D2422"/>
    <w:rsid w:val="003D327C"/>
    <w:rsid w:val="003D39A1"/>
    <w:rsid w:val="003D3D06"/>
    <w:rsid w:val="003D3FBF"/>
    <w:rsid w:val="003D45CC"/>
    <w:rsid w:val="003D4A30"/>
    <w:rsid w:val="003D5019"/>
    <w:rsid w:val="003D5354"/>
    <w:rsid w:val="003D5F12"/>
    <w:rsid w:val="003D6207"/>
    <w:rsid w:val="003D624C"/>
    <w:rsid w:val="003D640B"/>
    <w:rsid w:val="003D67FA"/>
    <w:rsid w:val="003D79BB"/>
    <w:rsid w:val="003D7A2E"/>
    <w:rsid w:val="003D7C98"/>
    <w:rsid w:val="003E00B2"/>
    <w:rsid w:val="003E0543"/>
    <w:rsid w:val="003E07D4"/>
    <w:rsid w:val="003E0DAC"/>
    <w:rsid w:val="003E1004"/>
    <w:rsid w:val="003E2088"/>
    <w:rsid w:val="003E2609"/>
    <w:rsid w:val="003E2AB3"/>
    <w:rsid w:val="003E3FBB"/>
    <w:rsid w:val="003E4BDC"/>
    <w:rsid w:val="003E50DD"/>
    <w:rsid w:val="003E57AD"/>
    <w:rsid w:val="003E7699"/>
    <w:rsid w:val="003E7B25"/>
    <w:rsid w:val="003F10F8"/>
    <w:rsid w:val="003F1BAA"/>
    <w:rsid w:val="003F2030"/>
    <w:rsid w:val="003F2C03"/>
    <w:rsid w:val="003F3374"/>
    <w:rsid w:val="003F4156"/>
    <w:rsid w:val="003F6321"/>
    <w:rsid w:val="003F696E"/>
    <w:rsid w:val="003F6B0C"/>
    <w:rsid w:val="003F6DD3"/>
    <w:rsid w:val="003F7F24"/>
    <w:rsid w:val="00400412"/>
    <w:rsid w:val="004009E6"/>
    <w:rsid w:val="00400B29"/>
    <w:rsid w:val="004014B8"/>
    <w:rsid w:val="00402614"/>
    <w:rsid w:val="004032AD"/>
    <w:rsid w:val="00403748"/>
    <w:rsid w:val="004039C7"/>
    <w:rsid w:val="0040504B"/>
    <w:rsid w:val="004054CF"/>
    <w:rsid w:val="00407901"/>
    <w:rsid w:val="00407C7C"/>
    <w:rsid w:val="00407F5F"/>
    <w:rsid w:val="00410708"/>
    <w:rsid w:val="00410EC7"/>
    <w:rsid w:val="00410FEC"/>
    <w:rsid w:val="00411260"/>
    <w:rsid w:val="0041185D"/>
    <w:rsid w:val="00411B39"/>
    <w:rsid w:val="00412301"/>
    <w:rsid w:val="00413387"/>
    <w:rsid w:val="00413A1E"/>
    <w:rsid w:val="00413BA4"/>
    <w:rsid w:val="00414476"/>
    <w:rsid w:val="0041466D"/>
    <w:rsid w:val="00414C2E"/>
    <w:rsid w:val="004151CF"/>
    <w:rsid w:val="00416364"/>
    <w:rsid w:val="004163CF"/>
    <w:rsid w:val="00416832"/>
    <w:rsid w:val="004176FE"/>
    <w:rsid w:val="00417B18"/>
    <w:rsid w:val="00420612"/>
    <w:rsid w:val="004209FF"/>
    <w:rsid w:val="00420AA6"/>
    <w:rsid w:val="00420B1B"/>
    <w:rsid w:val="00420B9F"/>
    <w:rsid w:val="004213F3"/>
    <w:rsid w:val="00421466"/>
    <w:rsid w:val="00421971"/>
    <w:rsid w:val="00421E52"/>
    <w:rsid w:val="00422260"/>
    <w:rsid w:val="00422954"/>
    <w:rsid w:val="004229A9"/>
    <w:rsid w:val="00422DAF"/>
    <w:rsid w:val="00423142"/>
    <w:rsid w:val="0042317A"/>
    <w:rsid w:val="00423580"/>
    <w:rsid w:val="00423682"/>
    <w:rsid w:val="004238DA"/>
    <w:rsid w:val="00423CB7"/>
    <w:rsid w:val="00423CC7"/>
    <w:rsid w:val="0042413F"/>
    <w:rsid w:val="0042454E"/>
    <w:rsid w:val="0042676F"/>
    <w:rsid w:val="00427453"/>
    <w:rsid w:val="004305DC"/>
    <w:rsid w:val="004311D5"/>
    <w:rsid w:val="0043151A"/>
    <w:rsid w:val="004319F8"/>
    <w:rsid w:val="00431E55"/>
    <w:rsid w:val="004321F6"/>
    <w:rsid w:val="00432280"/>
    <w:rsid w:val="004329F0"/>
    <w:rsid w:val="00433044"/>
    <w:rsid w:val="004343B4"/>
    <w:rsid w:val="00434690"/>
    <w:rsid w:val="00435A88"/>
    <w:rsid w:val="00435DCC"/>
    <w:rsid w:val="004364BA"/>
    <w:rsid w:val="004375B9"/>
    <w:rsid w:val="004401BF"/>
    <w:rsid w:val="004409BD"/>
    <w:rsid w:val="00440C94"/>
    <w:rsid w:val="0044117A"/>
    <w:rsid w:val="00441E6B"/>
    <w:rsid w:val="00441E96"/>
    <w:rsid w:val="004428D0"/>
    <w:rsid w:val="004443A7"/>
    <w:rsid w:val="0044442C"/>
    <w:rsid w:val="004450E5"/>
    <w:rsid w:val="00445941"/>
    <w:rsid w:val="004464EB"/>
    <w:rsid w:val="00446B5F"/>
    <w:rsid w:val="004477AF"/>
    <w:rsid w:val="00447818"/>
    <w:rsid w:val="00447D26"/>
    <w:rsid w:val="00450FBC"/>
    <w:rsid w:val="00452229"/>
    <w:rsid w:val="004526AF"/>
    <w:rsid w:val="00453122"/>
    <w:rsid w:val="004537F9"/>
    <w:rsid w:val="004540EF"/>
    <w:rsid w:val="00455903"/>
    <w:rsid w:val="00455D45"/>
    <w:rsid w:val="00455ECF"/>
    <w:rsid w:val="00455FF6"/>
    <w:rsid w:val="004566E9"/>
    <w:rsid w:val="004568E8"/>
    <w:rsid w:val="00456B61"/>
    <w:rsid w:val="00457241"/>
    <w:rsid w:val="00461126"/>
    <w:rsid w:val="0046212E"/>
    <w:rsid w:val="0046398E"/>
    <w:rsid w:val="00464595"/>
    <w:rsid w:val="00464667"/>
    <w:rsid w:val="004647C7"/>
    <w:rsid w:val="00464BDA"/>
    <w:rsid w:val="00464F8F"/>
    <w:rsid w:val="004666D4"/>
    <w:rsid w:val="0046703A"/>
    <w:rsid w:val="00467301"/>
    <w:rsid w:val="00467432"/>
    <w:rsid w:val="004704B2"/>
    <w:rsid w:val="0047128D"/>
    <w:rsid w:val="00472A79"/>
    <w:rsid w:val="00473F19"/>
    <w:rsid w:val="004745A6"/>
    <w:rsid w:val="00474658"/>
    <w:rsid w:val="004747F4"/>
    <w:rsid w:val="00474905"/>
    <w:rsid w:val="004750D8"/>
    <w:rsid w:val="00475E22"/>
    <w:rsid w:val="00476633"/>
    <w:rsid w:val="004769F9"/>
    <w:rsid w:val="00476B48"/>
    <w:rsid w:val="00477FB7"/>
    <w:rsid w:val="00480748"/>
    <w:rsid w:val="0048088E"/>
    <w:rsid w:val="00480B60"/>
    <w:rsid w:val="00480C3B"/>
    <w:rsid w:val="004811AF"/>
    <w:rsid w:val="004818FC"/>
    <w:rsid w:val="00481C76"/>
    <w:rsid w:val="0048229F"/>
    <w:rsid w:val="00482720"/>
    <w:rsid w:val="004835E7"/>
    <w:rsid w:val="00483DBA"/>
    <w:rsid w:val="00485FDB"/>
    <w:rsid w:val="00486400"/>
    <w:rsid w:val="004867E2"/>
    <w:rsid w:val="00486D3B"/>
    <w:rsid w:val="00486E85"/>
    <w:rsid w:val="004874C1"/>
    <w:rsid w:val="00487D9F"/>
    <w:rsid w:val="00491B3A"/>
    <w:rsid w:val="004923BA"/>
    <w:rsid w:val="00492933"/>
    <w:rsid w:val="00492CFD"/>
    <w:rsid w:val="0049384D"/>
    <w:rsid w:val="00494596"/>
    <w:rsid w:val="00494DD5"/>
    <w:rsid w:val="00494EED"/>
    <w:rsid w:val="004962D2"/>
    <w:rsid w:val="00497443"/>
    <w:rsid w:val="00497C33"/>
    <w:rsid w:val="00497E81"/>
    <w:rsid w:val="004A0DA1"/>
    <w:rsid w:val="004A2359"/>
    <w:rsid w:val="004A2408"/>
    <w:rsid w:val="004A3BF2"/>
    <w:rsid w:val="004A52E9"/>
    <w:rsid w:val="004A56C0"/>
    <w:rsid w:val="004A5FDA"/>
    <w:rsid w:val="004A6597"/>
    <w:rsid w:val="004A7848"/>
    <w:rsid w:val="004A7883"/>
    <w:rsid w:val="004A7BBD"/>
    <w:rsid w:val="004A7F16"/>
    <w:rsid w:val="004B09B9"/>
    <w:rsid w:val="004B0DF1"/>
    <w:rsid w:val="004B1CB4"/>
    <w:rsid w:val="004B2F18"/>
    <w:rsid w:val="004B3C10"/>
    <w:rsid w:val="004B3D63"/>
    <w:rsid w:val="004B3DDB"/>
    <w:rsid w:val="004B44FD"/>
    <w:rsid w:val="004B5403"/>
    <w:rsid w:val="004B555B"/>
    <w:rsid w:val="004B5984"/>
    <w:rsid w:val="004B5CFC"/>
    <w:rsid w:val="004B69B4"/>
    <w:rsid w:val="004B6B81"/>
    <w:rsid w:val="004B729E"/>
    <w:rsid w:val="004B774D"/>
    <w:rsid w:val="004B788B"/>
    <w:rsid w:val="004B7972"/>
    <w:rsid w:val="004C0033"/>
    <w:rsid w:val="004C01BA"/>
    <w:rsid w:val="004C0C61"/>
    <w:rsid w:val="004C0C86"/>
    <w:rsid w:val="004C0E4D"/>
    <w:rsid w:val="004C142E"/>
    <w:rsid w:val="004C1548"/>
    <w:rsid w:val="004C1D66"/>
    <w:rsid w:val="004C249C"/>
    <w:rsid w:val="004C2611"/>
    <w:rsid w:val="004C34C6"/>
    <w:rsid w:val="004C4184"/>
    <w:rsid w:val="004C4AED"/>
    <w:rsid w:val="004C4CF3"/>
    <w:rsid w:val="004C5194"/>
    <w:rsid w:val="004C7729"/>
    <w:rsid w:val="004D06AB"/>
    <w:rsid w:val="004D0DC8"/>
    <w:rsid w:val="004D12FF"/>
    <w:rsid w:val="004D1AF8"/>
    <w:rsid w:val="004D1F38"/>
    <w:rsid w:val="004D25E3"/>
    <w:rsid w:val="004D27F4"/>
    <w:rsid w:val="004D2C2D"/>
    <w:rsid w:val="004D2D97"/>
    <w:rsid w:val="004D2FE1"/>
    <w:rsid w:val="004D4977"/>
    <w:rsid w:val="004D56C3"/>
    <w:rsid w:val="004D5802"/>
    <w:rsid w:val="004D63FB"/>
    <w:rsid w:val="004D7227"/>
    <w:rsid w:val="004D74C7"/>
    <w:rsid w:val="004D7B23"/>
    <w:rsid w:val="004E006F"/>
    <w:rsid w:val="004E0515"/>
    <w:rsid w:val="004E0E7F"/>
    <w:rsid w:val="004E0EB8"/>
    <w:rsid w:val="004E18BE"/>
    <w:rsid w:val="004E19C2"/>
    <w:rsid w:val="004E2ADC"/>
    <w:rsid w:val="004E32E7"/>
    <w:rsid w:val="004E3D39"/>
    <w:rsid w:val="004E3F02"/>
    <w:rsid w:val="004E43B2"/>
    <w:rsid w:val="004E4489"/>
    <w:rsid w:val="004E44C5"/>
    <w:rsid w:val="004E4E4D"/>
    <w:rsid w:val="004E5148"/>
    <w:rsid w:val="004E58B9"/>
    <w:rsid w:val="004E58EC"/>
    <w:rsid w:val="004E6411"/>
    <w:rsid w:val="004E65A4"/>
    <w:rsid w:val="004E6D00"/>
    <w:rsid w:val="004E6FA1"/>
    <w:rsid w:val="004F0A76"/>
    <w:rsid w:val="004F16D3"/>
    <w:rsid w:val="004F1D02"/>
    <w:rsid w:val="004F2183"/>
    <w:rsid w:val="004F2679"/>
    <w:rsid w:val="004F27E0"/>
    <w:rsid w:val="004F2BF9"/>
    <w:rsid w:val="004F2EF9"/>
    <w:rsid w:val="004F2F21"/>
    <w:rsid w:val="004F3111"/>
    <w:rsid w:val="004F384E"/>
    <w:rsid w:val="004F459C"/>
    <w:rsid w:val="004F4918"/>
    <w:rsid w:val="004F5745"/>
    <w:rsid w:val="004F58A7"/>
    <w:rsid w:val="004F5950"/>
    <w:rsid w:val="004F5CBB"/>
    <w:rsid w:val="004F603F"/>
    <w:rsid w:val="004F610C"/>
    <w:rsid w:val="004F680F"/>
    <w:rsid w:val="004F6913"/>
    <w:rsid w:val="004F6FB9"/>
    <w:rsid w:val="004F75A5"/>
    <w:rsid w:val="004F7865"/>
    <w:rsid w:val="005012F2"/>
    <w:rsid w:val="0050205F"/>
    <w:rsid w:val="00502188"/>
    <w:rsid w:val="0050219B"/>
    <w:rsid w:val="00502369"/>
    <w:rsid w:val="00503389"/>
    <w:rsid w:val="00503F17"/>
    <w:rsid w:val="00505135"/>
    <w:rsid w:val="00505624"/>
    <w:rsid w:val="00505E15"/>
    <w:rsid w:val="00506928"/>
    <w:rsid w:val="00506BCD"/>
    <w:rsid w:val="005072AB"/>
    <w:rsid w:val="0050783E"/>
    <w:rsid w:val="00507D1A"/>
    <w:rsid w:val="0051065B"/>
    <w:rsid w:val="00510C1D"/>
    <w:rsid w:val="00511BD0"/>
    <w:rsid w:val="00511EF9"/>
    <w:rsid w:val="00511FC3"/>
    <w:rsid w:val="005138CA"/>
    <w:rsid w:val="00515157"/>
    <w:rsid w:val="0051523D"/>
    <w:rsid w:val="005152B5"/>
    <w:rsid w:val="005154D5"/>
    <w:rsid w:val="00516CE5"/>
    <w:rsid w:val="005172C2"/>
    <w:rsid w:val="00517E40"/>
    <w:rsid w:val="00520699"/>
    <w:rsid w:val="00521319"/>
    <w:rsid w:val="00521859"/>
    <w:rsid w:val="00521B1A"/>
    <w:rsid w:val="00522BC8"/>
    <w:rsid w:val="00522EA7"/>
    <w:rsid w:val="00523687"/>
    <w:rsid w:val="00523AA0"/>
    <w:rsid w:val="00523C28"/>
    <w:rsid w:val="0052496A"/>
    <w:rsid w:val="0052525B"/>
    <w:rsid w:val="00525D5E"/>
    <w:rsid w:val="00525DD6"/>
    <w:rsid w:val="00525F7E"/>
    <w:rsid w:val="00526B51"/>
    <w:rsid w:val="00527AAD"/>
    <w:rsid w:val="00527EBE"/>
    <w:rsid w:val="00527F8A"/>
    <w:rsid w:val="005302A7"/>
    <w:rsid w:val="005307E0"/>
    <w:rsid w:val="00531240"/>
    <w:rsid w:val="00532534"/>
    <w:rsid w:val="005343C5"/>
    <w:rsid w:val="00536227"/>
    <w:rsid w:val="00536419"/>
    <w:rsid w:val="005368A0"/>
    <w:rsid w:val="00536C00"/>
    <w:rsid w:val="00536F42"/>
    <w:rsid w:val="00537182"/>
    <w:rsid w:val="00537286"/>
    <w:rsid w:val="00540AEB"/>
    <w:rsid w:val="005416D2"/>
    <w:rsid w:val="00541A0A"/>
    <w:rsid w:val="00541BF8"/>
    <w:rsid w:val="00542743"/>
    <w:rsid w:val="00542C2D"/>
    <w:rsid w:val="00542EA9"/>
    <w:rsid w:val="005430FB"/>
    <w:rsid w:val="00544BFA"/>
    <w:rsid w:val="00545919"/>
    <w:rsid w:val="005459EB"/>
    <w:rsid w:val="00545F12"/>
    <w:rsid w:val="00546848"/>
    <w:rsid w:val="0054686A"/>
    <w:rsid w:val="005505D9"/>
    <w:rsid w:val="00550873"/>
    <w:rsid w:val="00550C36"/>
    <w:rsid w:val="00551985"/>
    <w:rsid w:val="00552BD3"/>
    <w:rsid w:val="005534F5"/>
    <w:rsid w:val="005544D6"/>
    <w:rsid w:val="00555109"/>
    <w:rsid w:val="00555A16"/>
    <w:rsid w:val="00556BD0"/>
    <w:rsid w:val="005577FA"/>
    <w:rsid w:val="0056013B"/>
    <w:rsid w:val="00560E56"/>
    <w:rsid w:val="00560F9E"/>
    <w:rsid w:val="0056232E"/>
    <w:rsid w:val="005644AC"/>
    <w:rsid w:val="00564F86"/>
    <w:rsid w:val="00565BE9"/>
    <w:rsid w:val="00566136"/>
    <w:rsid w:val="0056696F"/>
    <w:rsid w:val="005669B2"/>
    <w:rsid w:val="00567206"/>
    <w:rsid w:val="00567398"/>
    <w:rsid w:val="00567CAD"/>
    <w:rsid w:val="00567D0B"/>
    <w:rsid w:val="00570142"/>
    <w:rsid w:val="00570CFB"/>
    <w:rsid w:val="0057159F"/>
    <w:rsid w:val="00572269"/>
    <w:rsid w:val="0057238E"/>
    <w:rsid w:val="0057244A"/>
    <w:rsid w:val="005725EE"/>
    <w:rsid w:val="00572924"/>
    <w:rsid w:val="0057336B"/>
    <w:rsid w:val="0057347C"/>
    <w:rsid w:val="00574BBC"/>
    <w:rsid w:val="005756F6"/>
    <w:rsid w:val="00575D8D"/>
    <w:rsid w:val="00576253"/>
    <w:rsid w:val="00576624"/>
    <w:rsid w:val="00576972"/>
    <w:rsid w:val="00576C1A"/>
    <w:rsid w:val="005774EF"/>
    <w:rsid w:val="00577786"/>
    <w:rsid w:val="00577D90"/>
    <w:rsid w:val="00580327"/>
    <w:rsid w:val="005835F4"/>
    <w:rsid w:val="00583699"/>
    <w:rsid w:val="00584069"/>
    <w:rsid w:val="00584711"/>
    <w:rsid w:val="00584770"/>
    <w:rsid w:val="005854EF"/>
    <w:rsid w:val="00585598"/>
    <w:rsid w:val="005859EC"/>
    <w:rsid w:val="00585B9D"/>
    <w:rsid w:val="00585CDD"/>
    <w:rsid w:val="005863E2"/>
    <w:rsid w:val="00586DAD"/>
    <w:rsid w:val="00586F9C"/>
    <w:rsid w:val="00587058"/>
    <w:rsid w:val="005878B4"/>
    <w:rsid w:val="00590ECB"/>
    <w:rsid w:val="00591957"/>
    <w:rsid w:val="00591A48"/>
    <w:rsid w:val="00591B95"/>
    <w:rsid w:val="00592122"/>
    <w:rsid w:val="0059294E"/>
    <w:rsid w:val="00592AD1"/>
    <w:rsid w:val="00593482"/>
    <w:rsid w:val="005936C8"/>
    <w:rsid w:val="0059422D"/>
    <w:rsid w:val="00594D4B"/>
    <w:rsid w:val="005966E2"/>
    <w:rsid w:val="00596EE4"/>
    <w:rsid w:val="00597AE6"/>
    <w:rsid w:val="00597B5B"/>
    <w:rsid w:val="00597BF9"/>
    <w:rsid w:val="00597CFC"/>
    <w:rsid w:val="005A0392"/>
    <w:rsid w:val="005A0AAF"/>
    <w:rsid w:val="005A0F47"/>
    <w:rsid w:val="005A1163"/>
    <w:rsid w:val="005A373D"/>
    <w:rsid w:val="005A3C16"/>
    <w:rsid w:val="005A3C84"/>
    <w:rsid w:val="005A42E5"/>
    <w:rsid w:val="005A4694"/>
    <w:rsid w:val="005A48DF"/>
    <w:rsid w:val="005A5480"/>
    <w:rsid w:val="005A58DA"/>
    <w:rsid w:val="005A704A"/>
    <w:rsid w:val="005A716B"/>
    <w:rsid w:val="005A7DAE"/>
    <w:rsid w:val="005A7E39"/>
    <w:rsid w:val="005B0009"/>
    <w:rsid w:val="005B0647"/>
    <w:rsid w:val="005B06A6"/>
    <w:rsid w:val="005B119F"/>
    <w:rsid w:val="005B12DD"/>
    <w:rsid w:val="005B1453"/>
    <w:rsid w:val="005B2CE2"/>
    <w:rsid w:val="005B35AE"/>
    <w:rsid w:val="005B3D17"/>
    <w:rsid w:val="005B4028"/>
    <w:rsid w:val="005B4E0D"/>
    <w:rsid w:val="005B538C"/>
    <w:rsid w:val="005B54A2"/>
    <w:rsid w:val="005B57F3"/>
    <w:rsid w:val="005B5857"/>
    <w:rsid w:val="005B5BF6"/>
    <w:rsid w:val="005B6641"/>
    <w:rsid w:val="005B6E20"/>
    <w:rsid w:val="005B76B9"/>
    <w:rsid w:val="005B79E6"/>
    <w:rsid w:val="005C1B83"/>
    <w:rsid w:val="005C201D"/>
    <w:rsid w:val="005C2D55"/>
    <w:rsid w:val="005C346B"/>
    <w:rsid w:val="005C38FD"/>
    <w:rsid w:val="005C3F34"/>
    <w:rsid w:val="005C4091"/>
    <w:rsid w:val="005C4915"/>
    <w:rsid w:val="005C51A1"/>
    <w:rsid w:val="005C630F"/>
    <w:rsid w:val="005C661D"/>
    <w:rsid w:val="005C6634"/>
    <w:rsid w:val="005C679B"/>
    <w:rsid w:val="005C6AF7"/>
    <w:rsid w:val="005C7290"/>
    <w:rsid w:val="005D002C"/>
    <w:rsid w:val="005D044D"/>
    <w:rsid w:val="005D069E"/>
    <w:rsid w:val="005D0ABD"/>
    <w:rsid w:val="005D18AD"/>
    <w:rsid w:val="005D26B4"/>
    <w:rsid w:val="005D2DBA"/>
    <w:rsid w:val="005D3652"/>
    <w:rsid w:val="005D481B"/>
    <w:rsid w:val="005D5161"/>
    <w:rsid w:val="005D563F"/>
    <w:rsid w:val="005D5F02"/>
    <w:rsid w:val="005E09FF"/>
    <w:rsid w:val="005E21FE"/>
    <w:rsid w:val="005E315B"/>
    <w:rsid w:val="005E3BFC"/>
    <w:rsid w:val="005E3C6E"/>
    <w:rsid w:val="005E45DC"/>
    <w:rsid w:val="005E6CBC"/>
    <w:rsid w:val="005E6CEF"/>
    <w:rsid w:val="005E6FC0"/>
    <w:rsid w:val="005E73C0"/>
    <w:rsid w:val="005E74EA"/>
    <w:rsid w:val="005E781B"/>
    <w:rsid w:val="005F2706"/>
    <w:rsid w:val="005F4B77"/>
    <w:rsid w:val="005F4D86"/>
    <w:rsid w:val="005F5BD4"/>
    <w:rsid w:val="005F5E6C"/>
    <w:rsid w:val="005F6495"/>
    <w:rsid w:val="005F6A8F"/>
    <w:rsid w:val="005F72E1"/>
    <w:rsid w:val="005F72FE"/>
    <w:rsid w:val="005F758F"/>
    <w:rsid w:val="005F7591"/>
    <w:rsid w:val="005F7ADD"/>
    <w:rsid w:val="00601949"/>
    <w:rsid w:val="00603542"/>
    <w:rsid w:val="00603DB9"/>
    <w:rsid w:val="00604D36"/>
    <w:rsid w:val="00605233"/>
    <w:rsid w:val="00605FB6"/>
    <w:rsid w:val="0060694B"/>
    <w:rsid w:val="00607669"/>
    <w:rsid w:val="00607AFD"/>
    <w:rsid w:val="00610156"/>
    <w:rsid w:val="00610228"/>
    <w:rsid w:val="00610395"/>
    <w:rsid w:val="00610C0E"/>
    <w:rsid w:val="00611185"/>
    <w:rsid w:val="006114EA"/>
    <w:rsid w:val="00611510"/>
    <w:rsid w:val="006115BD"/>
    <w:rsid w:val="00612295"/>
    <w:rsid w:val="00612806"/>
    <w:rsid w:val="00612D5F"/>
    <w:rsid w:val="00612F97"/>
    <w:rsid w:val="0061345D"/>
    <w:rsid w:val="006136B4"/>
    <w:rsid w:val="00613D89"/>
    <w:rsid w:val="00614B3A"/>
    <w:rsid w:val="0061579F"/>
    <w:rsid w:val="00615F82"/>
    <w:rsid w:val="00616078"/>
    <w:rsid w:val="00616456"/>
    <w:rsid w:val="00616802"/>
    <w:rsid w:val="00616FE4"/>
    <w:rsid w:val="00617069"/>
    <w:rsid w:val="00617160"/>
    <w:rsid w:val="0061757A"/>
    <w:rsid w:val="006176AE"/>
    <w:rsid w:val="00617A3D"/>
    <w:rsid w:val="00617E12"/>
    <w:rsid w:val="006201E5"/>
    <w:rsid w:val="006205FE"/>
    <w:rsid w:val="00621477"/>
    <w:rsid w:val="00621D27"/>
    <w:rsid w:val="00621E53"/>
    <w:rsid w:val="006220A8"/>
    <w:rsid w:val="006227FA"/>
    <w:rsid w:val="00622FFB"/>
    <w:rsid w:val="006235E7"/>
    <w:rsid w:val="006242B7"/>
    <w:rsid w:val="00624FE3"/>
    <w:rsid w:val="00625763"/>
    <w:rsid w:val="00625817"/>
    <w:rsid w:val="00625D09"/>
    <w:rsid w:val="006266B4"/>
    <w:rsid w:val="00626CD9"/>
    <w:rsid w:val="00626DEA"/>
    <w:rsid w:val="00626EF1"/>
    <w:rsid w:val="006314A0"/>
    <w:rsid w:val="0063158F"/>
    <w:rsid w:val="0063165F"/>
    <w:rsid w:val="00631940"/>
    <w:rsid w:val="006319D0"/>
    <w:rsid w:val="00631D6B"/>
    <w:rsid w:val="00631FCD"/>
    <w:rsid w:val="00632055"/>
    <w:rsid w:val="006320DB"/>
    <w:rsid w:val="006329A1"/>
    <w:rsid w:val="006330A1"/>
    <w:rsid w:val="006334AC"/>
    <w:rsid w:val="006337C9"/>
    <w:rsid w:val="00633A1A"/>
    <w:rsid w:val="00633E3E"/>
    <w:rsid w:val="00634652"/>
    <w:rsid w:val="0063479F"/>
    <w:rsid w:val="00634A67"/>
    <w:rsid w:val="006353F0"/>
    <w:rsid w:val="006354F0"/>
    <w:rsid w:val="006364A1"/>
    <w:rsid w:val="00636B9E"/>
    <w:rsid w:val="00637BFD"/>
    <w:rsid w:val="00637C58"/>
    <w:rsid w:val="00640302"/>
    <w:rsid w:val="00640BCB"/>
    <w:rsid w:val="00641AD2"/>
    <w:rsid w:val="00641C4E"/>
    <w:rsid w:val="00641CD4"/>
    <w:rsid w:val="00641DFC"/>
    <w:rsid w:val="00641F6D"/>
    <w:rsid w:val="00642048"/>
    <w:rsid w:val="00642716"/>
    <w:rsid w:val="006428E2"/>
    <w:rsid w:val="00642AD3"/>
    <w:rsid w:val="00642E76"/>
    <w:rsid w:val="00644849"/>
    <w:rsid w:val="00644D03"/>
    <w:rsid w:val="006451BB"/>
    <w:rsid w:val="00645726"/>
    <w:rsid w:val="00646EF1"/>
    <w:rsid w:val="006471CC"/>
    <w:rsid w:val="00647631"/>
    <w:rsid w:val="006476B5"/>
    <w:rsid w:val="0064786F"/>
    <w:rsid w:val="00647D9C"/>
    <w:rsid w:val="00650370"/>
    <w:rsid w:val="0065079F"/>
    <w:rsid w:val="006512FD"/>
    <w:rsid w:val="006515A5"/>
    <w:rsid w:val="006518FB"/>
    <w:rsid w:val="00651BD2"/>
    <w:rsid w:val="00651D8D"/>
    <w:rsid w:val="00651E0B"/>
    <w:rsid w:val="0065379F"/>
    <w:rsid w:val="00654449"/>
    <w:rsid w:val="00654694"/>
    <w:rsid w:val="00654C72"/>
    <w:rsid w:val="00654FC9"/>
    <w:rsid w:val="00655F63"/>
    <w:rsid w:val="006564D2"/>
    <w:rsid w:val="006565DA"/>
    <w:rsid w:val="0065690B"/>
    <w:rsid w:val="00656FCE"/>
    <w:rsid w:val="0065762C"/>
    <w:rsid w:val="006576B0"/>
    <w:rsid w:val="00657D3F"/>
    <w:rsid w:val="00660193"/>
    <w:rsid w:val="00660E69"/>
    <w:rsid w:val="006612AE"/>
    <w:rsid w:val="00661B3F"/>
    <w:rsid w:val="00661C6B"/>
    <w:rsid w:val="00661DFA"/>
    <w:rsid w:val="00662C2B"/>
    <w:rsid w:val="00662C63"/>
    <w:rsid w:val="00663DCD"/>
    <w:rsid w:val="00664DF2"/>
    <w:rsid w:val="00666CB2"/>
    <w:rsid w:val="0067009D"/>
    <w:rsid w:val="0067354D"/>
    <w:rsid w:val="00673C7B"/>
    <w:rsid w:val="00673D3F"/>
    <w:rsid w:val="00674340"/>
    <w:rsid w:val="00674841"/>
    <w:rsid w:val="00674B05"/>
    <w:rsid w:val="00674E42"/>
    <w:rsid w:val="0067714A"/>
    <w:rsid w:val="00677236"/>
    <w:rsid w:val="00677981"/>
    <w:rsid w:val="00680A06"/>
    <w:rsid w:val="006816FD"/>
    <w:rsid w:val="00682112"/>
    <w:rsid w:val="00682763"/>
    <w:rsid w:val="006827E1"/>
    <w:rsid w:val="006839C5"/>
    <w:rsid w:val="00684048"/>
    <w:rsid w:val="006849E5"/>
    <w:rsid w:val="00685863"/>
    <w:rsid w:val="00686957"/>
    <w:rsid w:val="006872BA"/>
    <w:rsid w:val="00690D71"/>
    <w:rsid w:val="00691648"/>
    <w:rsid w:val="00691792"/>
    <w:rsid w:val="006917D7"/>
    <w:rsid w:val="0069395E"/>
    <w:rsid w:val="00693A57"/>
    <w:rsid w:val="006941A6"/>
    <w:rsid w:val="006945F8"/>
    <w:rsid w:val="00694F44"/>
    <w:rsid w:val="00696077"/>
    <w:rsid w:val="00697BDD"/>
    <w:rsid w:val="006A0033"/>
    <w:rsid w:val="006A0A20"/>
    <w:rsid w:val="006A0D82"/>
    <w:rsid w:val="006A1CCA"/>
    <w:rsid w:val="006A2F26"/>
    <w:rsid w:val="006A315E"/>
    <w:rsid w:val="006A44E7"/>
    <w:rsid w:val="006A540E"/>
    <w:rsid w:val="006A54C0"/>
    <w:rsid w:val="006A7472"/>
    <w:rsid w:val="006A75A5"/>
    <w:rsid w:val="006A7A0B"/>
    <w:rsid w:val="006A7B80"/>
    <w:rsid w:val="006A7D37"/>
    <w:rsid w:val="006A7E5F"/>
    <w:rsid w:val="006B0249"/>
    <w:rsid w:val="006B092D"/>
    <w:rsid w:val="006B1825"/>
    <w:rsid w:val="006B1B46"/>
    <w:rsid w:val="006B261B"/>
    <w:rsid w:val="006B2C90"/>
    <w:rsid w:val="006B2F41"/>
    <w:rsid w:val="006B3852"/>
    <w:rsid w:val="006B3CC1"/>
    <w:rsid w:val="006B48B0"/>
    <w:rsid w:val="006B4DE5"/>
    <w:rsid w:val="006B523E"/>
    <w:rsid w:val="006B690A"/>
    <w:rsid w:val="006B6DD0"/>
    <w:rsid w:val="006B727C"/>
    <w:rsid w:val="006C0BA7"/>
    <w:rsid w:val="006C10C7"/>
    <w:rsid w:val="006C16E2"/>
    <w:rsid w:val="006C2A8E"/>
    <w:rsid w:val="006C2B5D"/>
    <w:rsid w:val="006C2FE1"/>
    <w:rsid w:val="006C3AA2"/>
    <w:rsid w:val="006C42B9"/>
    <w:rsid w:val="006C42BA"/>
    <w:rsid w:val="006C5287"/>
    <w:rsid w:val="006C5634"/>
    <w:rsid w:val="006C6F65"/>
    <w:rsid w:val="006D0382"/>
    <w:rsid w:val="006D063F"/>
    <w:rsid w:val="006D06B7"/>
    <w:rsid w:val="006D22E5"/>
    <w:rsid w:val="006D26B0"/>
    <w:rsid w:val="006D30AB"/>
    <w:rsid w:val="006D351C"/>
    <w:rsid w:val="006D36ED"/>
    <w:rsid w:val="006D3763"/>
    <w:rsid w:val="006D3A4E"/>
    <w:rsid w:val="006D3C7D"/>
    <w:rsid w:val="006D4484"/>
    <w:rsid w:val="006D5322"/>
    <w:rsid w:val="006D5D5F"/>
    <w:rsid w:val="006D5FEF"/>
    <w:rsid w:val="006D707C"/>
    <w:rsid w:val="006E004D"/>
    <w:rsid w:val="006E14D5"/>
    <w:rsid w:val="006E15C3"/>
    <w:rsid w:val="006E3B0B"/>
    <w:rsid w:val="006E3F70"/>
    <w:rsid w:val="006E4E77"/>
    <w:rsid w:val="006E5CD1"/>
    <w:rsid w:val="006E6201"/>
    <w:rsid w:val="006E6232"/>
    <w:rsid w:val="006E66AD"/>
    <w:rsid w:val="006E6735"/>
    <w:rsid w:val="006E6959"/>
    <w:rsid w:val="006E6BF2"/>
    <w:rsid w:val="006E6FA6"/>
    <w:rsid w:val="006E7959"/>
    <w:rsid w:val="006F161F"/>
    <w:rsid w:val="006F306C"/>
    <w:rsid w:val="006F37F4"/>
    <w:rsid w:val="006F396E"/>
    <w:rsid w:val="006F4A0C"/>
    <w:rsid w:val="006F4F51"/>
    <w:rsid w:val="006F5955"/>
    <w:rsid w:val="006F5C3F"/>
    <w:rsid w:val="006F63A5"/>
    <w:rsid w:val="00700CFE"/>
    <w:rsid w:val="0070142B"/>
    <w:rsid w:val="00701F24"/>
    <w:rsid w:val="007024C3"/>
    <w:rsid w:val="0070262C"/>
    <w:rsid w:val="0070276E"/>
    <w:rsid w:val="00702961"/>
    <w:rsid w:val="00702F8F"/>
    <w:rsid w:val="007037AC"/>
    <w:rsid w:val="00703B0E"/>
    <w:rsid w:val="00704693"/>
    <w:rsid w:val="00704755"/>
    <w:rsid w:val="007048BC"/>
    <w:rsid w:val="00704BF1"/>
    <w:rsid w:val="00704C8F"/>
    <w:rsid w:val="007055BB"/>
    <w:rsid w:val="00705658"/>
    <w:rsid w:val="00705F85"/>
    <w:rsid w:val="0070637F"/>
    <w:rsid w:val="007066F4"/>
    <w:rsid w:val="00707434"/>
    <w:rsid w:val="00707983"/>
    <w:rsid w:val="00710560"/>
    <w:rsid w:val="007106CE"/>
    <w:rsid w:val="0071112B"/>
    <w:rsid w:val="00711A36"/>
    <w:rsid w:val="00711CE3"/>
    <w:rsid w:val="00711EC1"/>
    <w:rsid w:val="0071232C"/>
    <w:rsid w:val="00714573"/>
    <w:rsid w:val="0071529C"/>
    <w:rsid w:val="007172AD"/>
    <w:rsid w:val="00720252"/>
    <w:rsid w:val="00720589"/>
    <w:rsid w:val="007207B3"/>
    <w:rsid w:val="00721DF9"/>
    <w:rsid w:val="00722B1B"/>
    <w:rsid w:val="00723228"/>
    <w:rsid w:val="00723EBE"/>
    <w:rsid w:val="00723F20"/>
    <w:rsid w:val="0072416F"/>
    <w:rsid w:val="007241A5"/>
    <w:rsid w:val="00724D60"/>
    <w:rsid w:val="00725602"/>
    <w:rsid w:val="007266B3"/>
    <w:rsid w:val="00727B80"/>
    <w:rsid w:val="00727BEF"/>
    <w:rsid w:val="00727C94"/>
    <w:rsid w:val="00727E86"/>
    <w:rsid w:val="0073092B"/>
    <w:rsid w:val="00730DCF"/>
    <w:rsid w:val="00730FA7"/>
    <w:rsid w:val="007311D7"/>
    <w:rsid w:val="00731E2B"/>
    <w:rsid w:val="00731EAE"/>
    <w:rsid w:val="00732CE7"/>
    <w:rsid w:val="00732F30"/>
    <w:rsid w:val="007336F4"/>
    <w:rsid w:val="0073388E"/>
    <w:rsid w:val="007338F4"/>
    <w:rsid w:val="00734BC0"/>
    <w:rsid w:val="00735033"/>
    <w:rsid w:val="0073529D"/>
    <w:rsid w:val="00735328"/>
    <w:rsid w:val="007356DC"/>
    <w:rsid w:val="00735A43"/>
    <w:rsid w:val="00736329"/>
    <w:rsid w:val="00736718"/>
    <w:rsid w:val="0073685B"/>
    <w:rsid w:val="00736B39"/>
    <w:rsid w:val="0073714D"/>
    <w:rsid w:val="00740A2D"/>
    <w:rsid w:val="00741182"/>
    <w:rsid w:val="00741A76"/>
    <w:rsid w:val="00741CB1"/>
    <w:rsid w:val="0074266F"/>
    <w:rsid w:val="00743208"/>
    <w:rsid w:val="00744846"/>
    <w:rsid w:val="00746615"/>
    <w:rsid w:val="00746953"/>
    <w:rsid w:val="00746A3E"/>
    <w:rsid w:val="00747D64"/>
    <w:rsid w:val="00750130"/>
    <w:rsid w:val="007502FF"/>
    <w:rsid w:val="007509FC"/>
    <w:rsid w:val="00750C48"/>
    <w:rsid w:val="00751433"/>
    <w:rsid w:val="00751DE0"/>
    <w:rsid w:val="00752142"/>
    <w:rsid w:val="007522A3"/>
    <w:rsid w:val="007523F9"/>
    <w:rsid w:val="007526D9"/>
    <w:rsid w:val="007533E8"/>
    <w:rsid w:val="00753AA7"/>
    <w:rsid w:val="00753DB3"/>
    <w:rsid w:val="00754492"/>
    <w:rsid w:val="00754570"/>
    <w:rsid w:val="00754E2A"/>
    <w:rsid w:val="00755431"/>
    <w:rsid w:val="00755C0D"/>
    <w:rsid w:val="007569FC"/>
    <w:rsid w:val="00756E17"/>
    <w:rsid w:val="007573E8"/>
    <w:rsid w:val="0075767B"/>
    <w:rsid w:val="00757902"/>
    <w:rsid w:val="00760439"/>
    <w:rsid w:val="00760C4E"/>
    <w:rsid w:val="00760D32"/>
    <w:rsid w:val="00760F97"/>
    <w:rsid w:val="00760FFA"/>
    <w:rsid w:val="00761539"/>
    <w:rsid w:val="0076221F"/>
    <w:rsid w:val="00762A60"/>
    <w:rsid w:val="007633CC"/>
    <w:rsid w:val="00764A52"/>
    <w:rsid w:val="00765093"/>
    <w:rsid w:val="007651EA"/>
    <w:rsid w:val="0076544B"/>
    <w:rsid w:val="00765B1A"/>
    <w:rsid w:val="007666AB"/>
    <w:rsid w:val="007667CE"/>
    <w:rsid w:val="0076753F"/>
    <w:rsid w:val="007715F8"/>
    <w:rsid w:val="00771867"/>
    <w:rsid w:val="007724F5"/>
    <w:rsid w:val="007726A1"/>
    <w:rsid w:val="00772A5D"/>
    <w:rsid w:val="00773017"/>
    <w:rsid w:val="00774302"/>
    <w:rsid w:val="00774FE2"/>
    <w:rsid w:val="00775299"/>
    <w:rsid w:val="0077548A"/>
    <w:rsid w:val="007765A0"/>
    <w:rsid w:val="00776764"/>
    <w:rsid w:val="00776881"/>
    <w:rsid w:val="00776AB4"/>
    <w:rsid w:val="00776B2A"/>
    <w:rsid w:val="00777C94"/>
    <w:rsid w:val="00777E5E"/>
    <w:rsid w:val="00780033"/>
    <w:rsid w:val="007809EC"/>
    <w:rsid w:val="007810BD"/>
    <w:rsid w:val="0078210F"/>
    <w:rsid w:val="00782642"/>
    <w:rsid w:val="007830AA"/>
    <w:rsid w:val="0078375C"/>
    <w:rsid w:val="00783E21"/>
    <w:rsid w:val="007843F2"/>
    <w:rsid w:val="007868EE"/>
    <w:rsid w:val="007908E7"/>
    <w:rsid w:val="007917C2"/>
    <w:rsid w:val="00791C51"/>
    <w:rsid w:val="007936DF"/>
    <w:rsid w:val="00795BAF"/>
    <w:rsid w:val="00796A87"/>
    <w:rsid w:val="00797B3D"/>
    <w:rsid w:val="007A0428"/>
    <w:rsid w:val="007A0A12"/>
    <w:rsid w:val="007A0B0D"/>
    <w:rsid w:val="007A132D"/>
    <w:rsid w:val="007A1E95"/>
    <w:rsid w:val="007A21BB"/>
    <w:rsid w:val="007A329D"/>
    <w:rsid w:val="007A3C2C"/>
    <w:rsid w:val="007A3F47"/>
    <w:rsid w:val="007A41C8"/>
    <w:rsid w:val="007A4706"/>
    <w:rsid w:val="007A4799"/>
    <w:rsid w:val="007A4B55"/>
    <w:rsid w:val="007A4FB3"/>
    <w:rsid w:val="007A5746"/>
    <w:rsid w:val="007A5D17"/>
    <w:rsid w:val="007A6240"/>
    <w:rsid w:val="007A65D5"/>
    <w:rsid w:val="007A6A7C"/>
    <w:rsid w:val="007A6AE8"/>
    <w:rsid w:val="007A706F"/>
    <w:rsid w:val="007A7D9F"/>
    <w:rsid w:val="007B0D68"/>
    <w:rsid w:val="007B0F7F"/>
    <w:rsid w:val="007B1E69"/>
    <w:rsid w:val="007B1E7D"/>
    <w:rsid w:val="007B249D"/>
    <w:rsid w:val="007B251D"/>
    <w:rsid w:val="007B279D"/>
    <w:rsid w:val="007B32F7"/>
    <w:rsid w:val="007B3394"/>
    <w:rsid w:val="007B3E35"/>
    <w:rsid w:val="007B41DD"/>
    <w:rsid w:val="007B4BC4"/>
    <w:rsid w:val="007B4F58"/>
    <w:rsid w:val="007B528D"/>
    <w:rsid w:val="007B53F3"/>
    <w:rsid w:val="007B5C4D"/>
    <w:rsid w:val="007B6BE1"/>
    <w:rsid w:val="007B77D1"/>
    <w:rsid w:val="007C04CE"/>
    <w:rsid w:val="007C0709"/>
    <w:rsid w:val="007C09C5"/>
    <w:rsid w:val="007C117B"/>
    <w:rsid w:val="007C1CD9"/>
    <w:rsid w:val="007C2123"/>
    <w:rsid w:val="007C361D"/>
    <w:rsid w:val="007C3E75"/>
    <w:rsid w:val="007C4137"/>
    <w:rsid w:val="007C4797"/>
    <w:rsid w:val="007C4B84"/>
    <w:rsid w:val="007C4DFA"/>
    <w:rsid w:val="007C7C2F"/>
    <w:rsid w:val="007D004F"/>
    <w:rsid w:val="007D0743"/>
    <w:rsid w:val="007D0826"/>
    <w:rsid w:val="007D0B38"/>
    <w:rsid w:val="007D1D71"/>
    <w:rsid w:val="007D38C9"/>
    <w:rsid w:val="007D39EF"/>
    <w:rsid w:val="007D3D21"/>
    <w:rsid w:val="007D3D9F"/>
    <w:rsid w:val="007D5440"/>
    <w:rsid w:val="007D55D6"/>
    <w:rsid w:val="007D5B46"/>
    <w:rsid w:val="007D6CBC"/>
    <w:rsid w:val="007D7AB0"/>
    <w:rsid w:val="007D7C29"/>
    <w:rsid w:val="007D7C71"/>
    <w:rsid w:val="007E0AD2"/>
    <w:rsid w:val="007E1A5C"/>
    <w:rsid w:val="007E1CBF"/>
    <w:rsid w:val="007E4B00"/>
    <w:rsid w:val="007E4D23"/>
    <w:rsid w:val="007E6566"/>
    <w:rsid w:val="007E6C64"/>
    <w:rsid w:val="007E72A9"/>
    <w:rsid w:val="007F01D4"/>
    <w:rsid w:val="007F1017"/>
    <w:rsid w:val="007F1648"/>
    <w:rsid w:val="007F1731"/>
    <w:rsid w:val="007F17ED"/>
    <w:rsid w:val="007F1AAF"/>
    <w:rsid w:val="007F1AFB"/>
    <w:rsid w:val="007F1B11"/>
    <w:rsid w:val="007F1D68"/>
    <w:rsid w:val="007F331E"/>
    <w:rsid w:val="007F373B"/>
    <w:rsid w:val="007F40AA"/>
    <w:rsid w:val="007F414A"/>
    <w:rsid w:val="007F4A3F"/>
    <w:rsid w:val="007F4A61"/>
    <w:rsid w:val="007F4B31"/>
    <w:rsid w:val="007F5A1B"/>
    <w:rsid w:val="007F61C2"/>
    <w:rsid w:val="007F6B19"/>
    <w:rsid w:val="007F6C8A"/>
    <w:rsid w:val="007F6E97"/>
    <w:rsid w:val="007F74A4"/>
    <w:rsid w:val="00800FC3"/>
    <w:rsid w:val="0080102E"/>
    <w:rsid w:val="00801E24"/>
    <w:rsid w:val="00803AD6"/>
    <w:rsid w:val="00803C37"/>
    <w:rsid w:val="00804495"/>
    <w:rsid w:val="00804B80"/>
    <w:rsid w:val="00805142"/>
    <w:rsid w:val="0080674E"/>
    <w:rsid w:val="0080692C"/>
    <w:rsid w:val="0080766D"/>
    <w:rsid w:val="00807A8B"/>
    <w:rsid w:val="0081022F"/>
    <w:rsid w:val="00810289"/>
    <w:rsid w:val="00810825"/>
    <w:rsid w:val="00811383"/>
    <w:rsid w:val="00811537"/>
    <w:rsid w:val="00812149"/>
    <w:rsid w:val="00812CAC"/>
    <w:rsid w:val="00813854"/>
    <w:rsid w:val="00814356"/>
    <w:rsid w:val="008155F4"/>
    <w:rsid w:val="008166EF"/>
    <w:rsid w:val="00820123"/>
    <w:rsid w:val="008203C5"/>
    <w:rsid w:val="008208B9"/>
    <w:rsid w:val="008214EC"/>
    <w:rsid w:val="00821FA2"/>
    <w:rsid w:val="008223DC"/>
    <w:rsid w:val="00822D2F"/>
    <w:rsid w:val="00822E6F"/>
    <w:rsid w:val="0082326F"/>
    <w:rsid w:val="0082362F"/>
    <w:rsid w:val="008242EC"/>
    <w:rsid w:val="00824CC9"/>
    <w:rsid w:val="00825751"/>
    <w:rsid w:val="008264B2"/>
    <w:rsid w:val="008264EB"/>
    <w:rsid w:val="008267AE"/>
    <w:rsid w:val="00831324"/>
    <w:rsid w:val="008314A4"/>
    <w:rsid w:val="008319CB"/>
    <w:rsid w:val="0083254C"/>
    <w:rsid w:val="00833B05"/>
    <w:rsid w:val="00834251"/>
    <w:rsid w:val="00834C72"/>
    <w:rsid w:val="00835570"/>
    <w:rsid w:val="00835C8C"/>
    <w:rsid w:val="008362B4"/>
    <w:rsid w:val="008367F0"/>
    <w:rsid w:val="00836A53"/>
    <w:rsid w:val="00837D5A"/>
    <w:rsid w:val="00840CA2"/>
    <w:rsid w:val="008410F7"/>
    <w:rsid w:val="0084112F"/>
    <w:rsid w:val="0084172E"/>
    <w:rsid w:val="00841950"/>
    <w:rsid w:val="00841BFF"/>
    <w:rsid w:val="008420D6"/>
    <w:rsid w:val="0084374F"/>
    <w:rsid w:val="00843AF5"/>
    <w:rsid w:val="00844F2F"/>
    <w:rsid w:val="0084543C"/>
    <w:rsid w:val="00845EB9"/>
    <w:rsid w:val="0084620B"/>
    <w:rsid w:val="008463C8"/>
    <w:rsid w:val="00847120"/>
    <w:rsid w:val="008476AC"/>
    <w:rsid w:val="00847DF5"/>
    <w:rsid w:val="00850016"/>
    <w:rsid w:val="00850176"/>
    <w:rsid w:val="008504F9"/>
    <w:rsid w:val="0085170D"/>
    <w:rsid w:val="008519AE"/>
    <w:rsid w:val="008519B2"/>
    <w:rsid w:val="00852ADE"/>
    <w:rsid w:val="00852DD5"/>
    <w:rsid w:val="0085309D"/>
    <w:rsid w:val="008531BD"/>
    <w:rsid w:val="008557CC"/>
    <w:rsid w:val="00856897"/>
    <w:rsid w:val="00856BD8"/>
    <w:rsid w:val="00856CD5"/>
    <w:rsid w:val="00856E9A"/>
    <w:rsid w:val="008577AA"/>
    <w:rsid w:val="00857BA7"/>
    <w:rsid w:val="0086075D"/>
    <w:rsid w:val="00860B27"/>
    <w:rsid w:val="0086160E"/>
    <w:rsid w:val="00862502"/>
    <w:rsid w:val="00862A8F"/>
    <w:rsid w:val="00862D85"/>
    <w:rsid w:val="008635BF"/>
    <w:rsid w:val="00863DDB"/>
    <w:rsid w:val="00863F45"/>
    <w:rsid w:val="0086523E"/>
    <w:rsid w:val="008658AD"/>
    <w:rsid w:val="008660D4"/>
    <w:rsid w:val="00867976"/>
    <w:rsid w:val="0087038E"/>
    <w:rsid w:val="00870868"/>
    <w:rsid w:val="00870CDD"/>
    <w:rsid w:val="00871C52"/>
    <w:rsid w:val="00871D18"/>
    <w:rsid w:val="00871FA9"/>
    <w:rsid w:val="008728E9"/>
    <w:rsid w:val="00872B99"/>
    <w:rsid w:val="0087443F"/>
    <w:rsid w:val="008749C8"/>
    <w:rsid w:val="00874A99"/>
    <w:rsid w:val="008751D3"/>
    <w:rsid w:val="00875837"/>
    <w:rsid w:val="00875CF8"/>
    <w:rsid w:val="00875F72"/>
    <w:rsid w:val="008768A0"/>
    <w:rsid w:val="00876D57"/>
    <w:rsid w:val="008805E2"/>
    <w:rsid w:val="008805F5"/>
    <w:rsid w:val="008817AB"/>
    <w:rsid w:val="00881907"/>
    <w:rsid w:val="0088197D"/>
    <w:rsid w:val="00882874"/>
    <w:rsid w:val="0088301C"/>
    <w:rsid w:val="0088345F"/>
    <w:rsid w:val="00883787"/>
    <w:rsid w:val="00883E1B"/>
    <w:rsid w:val="00883EF5"/>
    <w:rsid w:val="00883FE2"/>
    <w:rsid w:val="00884E2E"/>
    <w:rsid w:val="00885089"/>
    <w:rsid w:val="00885433"/>
    <w:rsid w:val="0088605E"/>
    <w:rsid w:val="00886C64"/>
    <w:rsid w:val="00886CD2"/>
    <w:rsid w:val="00890120"/>
    <w:rsid w:val="00891846"/>
    <w:rsid w:val="00892A36"/>
    <w:rsid w:val="00892CAB"/>
    <w:rsid w:val="00893239"/>
    <w:rsid w:val="00893646"/>
    <w:rsid w:val="00894489"/>
    <w:rsid w:val="00895644"/>
    <w:rsid w:val="008963A5"/>
    <w:rsid w:val="00896A1F"/>
    <w:rsid w:val="00896CAA"/>
    <w:rsid w:val="00897506"/>
    <w:rsid w:val="0089768A"/>
    <w:rsid w:val="008978FB"/>
    <w:rsid w:val="00897E0B"/>
    <w:rsid w:val="008A06CD"/>
    <w:rsid w:val="008A07AC"/>
    <w:rsid w:val="008A07B2"/>
    <w:rsid w:val="008A1A04"/>
    <w:rsid w:val="008A1E86"/>
    <w:rsid w:val="008A2135"/>
    <w:rsid w:val="008A2BB2"/>
    <w:rsid w:val="008A3363"/>
    <w:rsid w:val="008A3371"/>
    <w:rsid w:val="008A3C3E"/>
    <w:rsid w:val="008A402E"/>
    <w:rsid w:val="008A4912"/>
    <w:rsid w:val="008A5760"/>
    <w:rsid w:val="008A5FF6"/>
    <w:rsid w:val="008A65D4"/>
    <w:rsid w:val="008A662F"/>
    <w:rsid w:val="008A72B8"/>
    <w:rsid w:val="008A772D"/>
    <w:rsid w:val="008A79DE"/>
    <w:rsid w:val="008B05EE"/>
    <w:rsid w:val="008B0830"/>
    <w:rsid w:val="008B0A0E"/>
    <w:rsid w:val="008B1757"/>
    <w:rsid w:val="008B178A"/>
    <w:rsid w:val="008B1F1A"/>
    <w:rsid w:val="008B20C3"/>
    <w:rsid w:val="008B2233"/>
    <w:rsid w:val="008B2528"/>
    <w:rsid w:val="008B29E2"/>
    <w:rsid w:val="008B30DF"/>
    <w:rsid w:val="008B3A61"/>
    <w:rsid w:val="008B4246"/>
    <w:rsid w:val="008B661E"/>
    <w:rsid w:val="008B7A35"/>
    <w:rsid w:val="008B7D7E"/>
    <w:rsid w:val="008C0587"/>
    <w:rsid w:val="008C06B5"/>
    <w:rsid w:val="008C1384"/>
    <w:rsid w:val="008C3817"/>
    <w:rsid w:val="008C5289"/>
    <w:rsid w:val="008C5EFA"/>
    <w:rsid w:val="008C5FC4"/>
    <w:rsid w:val="008C692C"/>
    <w:rsid w:val="008C6E72"/>
    <w:rsid w:val="008C760D"/>
    <w:rsid w:val="008C7792"/>
    <w:rsid w:val="008C7ECB"/>
    <w:rsid w:val="008D0661"/>
    <w:rsid w:val="008D1B2A"/>
    <w:rsid w:val="008D2960"/>
    <w:rsid w:val="008D3098"/>
    <w:rsid w:val="008D396E"/>
    <w:rsid w:val="008D4755"/>
    <w:rsid w:val="008D4C3D"/>
    <w:rsid w:val="008D53D9"/>
    <w:rsid w:val="008D6905"/>
    <w:rsid w:val="008D71FA"/>
    <w:rsid w:val="008D72C0"/>
    <w:rsid w:val="008D7EB4"/>
    <w:rsid w:val="008E0D3C"/>
    <w:rsid w:val="008E1B9E"/>
    <w:rsid w:val="008E1E82"/>
    <w:rsid w:val="008E250A"/>
    <w:rsid w:val="008E256F"/>
    <w:rsid w:val="008E2C10"/>
    <w:rsid w:val="008E38A9"/>
    <w:rsid w:val="008E3A2B"/>
    <w:rsid w:val="008E4CC9"/>
    <w:rsid w:val="008E4ED1"/>
    <w:rsid w:val="008E5141"/>
    <w:rsid w:val="008E544E"/>
    <w:rsid w:val="008E55AB"/>
    <w:rsid w:val="008E5A98"/>
    <w:rsid w:val="008E5B25"/>
    <w:rsid w:val="008E6987"/>
    <w:rsid w:val="008E78B7"/>
    <w:rsid w:val="008E7DDE"/>
    <w:rsid w:val="008F0A9F"/>
    <w:rsid w:val="008F120A"/>
    <w:rsid w:val="008F12C1"/>
    <w:rsid w:val="008F221B"/>
    <w:rsid w:val="008F27E0"/>
    <w:rsid w:val="008F284A"/>
    <w:rsid w:val="008F3173"/>
    <w:rsid w:val="008F3432"/>
    <w:rsid w:val="008F3D36"/>
    <w:rsid w:val="008F4355"/>
    <w:rsid w:val="008F48EB"/>
    <w:rsid w:val="008F4ABC"/>
    <w:rsid w:val="008F4F0B"/>
    <w:rsid w:val="008F56EF"/>
    <w:rsid w:val="008F65FA"/>
    <w:rsid w:val="008F6CA8"/>
    <w:rsid w:val="008F703E"/>
    <w:rsid w:val="008F71E5"/>
    <w:rsid w:val="008F782A"/>
    <w:rsid w:val="00900E37"/>
    <w:rsid w:val="0090234C"/>
    <w:rsid w:val="009023EC"/>
    <w:rsid w:val="00903930"/>
    <w:rsid w:val="009043A8"/>
    <w:rsid w:val="009046C4"/>
    <w:rsid w:val="00905980"/>
    <w:rsid w:val="00905C07"/>
    <w:rsid w:val="00905F1F"/>
    <w:rsid w:val="009062A5"/>
    <w:rsid w:val="009073EC"/>
    <w:rsid w:val="00907635"/>
    <w:rsid w:val="00910F94"/>
    <w:rsid w:val="00911272"/>
    <w:rsid w:val="009133C5"/>
    <w:rsid w:val="009135D6"/>
    <w:rsid w:val="00913A4F"/>
    <w:rsid w:val="00913D97"/>
    <w:rsid w:val="00914994"/>
    <w:rsid w:val="00914C77"/>
    <w:rsid w:val="00916653"/>
    <w:rsid w:val="00916789"/>
    <w:rsid w:val="00917434"/>
    <w:rsid w:val="009177CE"/>
    <w:rsid w:val="009208C1"/>
    <w:rsid w:val="00921127"/>
    <w:rsid w:val="0092120A"/>
    <w:rsid w:val="00921C55"/>
    <w:rsid w:val="00922E60"/>
    <w:rsid w:val="00922E7C"/>
    <w:rsid w:val="0092369B"/>
    <w:rsid w:val="00924C4F"/>
    <w:rsid w:val="00930352"/>
    <w:rsid w:val="00930924"/>
    <w:rsid w:val="009309AF"/>
    <w:rsid w:val="009318D0"/>
    <w:rsid w:val="00931AB2"/>
    <w:rsid w:val="009349B0"/>
    <w:rsid w:val="00936521"/>
    <w:rsid w:val="00936B3E"/>
    <w:rsid w:val="00936CDD"/>
    <w:rsid w:val="00937941"/>
    <w:rsid w:val="00941DB4"/>
    <w:rsid w:val="009428D1"/>
    <w:rsid w:val="009429DB"/>
    <w:rsid w:val="00942EC9"/>
    <w:rsid w:val="00942F51"/>
    <w:rsid w:val="0094346E"/>
    <w:rsid w:val="0094370E"/>
    <w:rsid w:val="00945871"/>
    <w:rsid w:val="00946235"/>
    <w:rsid w:val="00946761"/>
    <w:rsid w:val="009474A3"/>
    <w:rsid w:val="00947820"/>
    <w:rsid w:val="009500C5"/>
    <w:rsid w:val="009510A2"/>
    <w:rsid w:val="00953230"/>
    <w:rsid w:val="00953257"/>
    <w:rsid w:val="00954461"/>
    <w:rsid w:val="00954D47"/>
    <w:rsid w:val="0095553C"/>
    <w:rsid w:val="00955D9C"/>
    <w:rsid w:val="009561A6"/>
    <w:rsid w:val="00956821"/>
    <w:rsid w:val="00956DC8"/>
    <w:rsid w:val="0095710E"/>
    <w:rsid w:val="00960015"/>
    <w:rsid w:val="009603C4"/>
    <w:rsid w:val="00961244"/>
    <w:rsid w:val="00962130"/>
    <w:rsid w:val="00962CB9"/>
    <w:rsid w:val="00963048"/>
    <w:rsid w:val="00964312"/>
    <w:rsid w:val="00964515"/>
    <w:rsid w:val="00964586"/>
    <w:rsid w:val="009652CD"/>
    <w:rsid w:val="009653CB"/>
    <w:rsid w:val="00965B8A"/>
    <w:rsid w:val="00967125"/>
    <w:rsid w:val="0097148E"/>
    <w:rsid w:val="009717AC"/>
    <w:rsid w:val="009728A5"/>
    <w:rsid w:val="00972EC3"/>
    <w:rsid w:val="00973D4A"/>
    <w:rsid w:val="0097421E"/>
    <w:rsid w:val="00974EBE"/>
    <w:rsid w:val="00975280"/>
    <w:rsid w:val="009765A7"/>
    <w:rsid w:val="00976BFF"/>
    <w:rsid w:val="00976EFD"/>
    <w:rsid w:val="009778EC"/>
    <w:rsid w:val="00977970"/>
    <w:rsid w:val="009779EC"/>
    <w:rsid w:val="0098146E"/>
    <w:rsid w:val="009816F7"/>
    <w:rsid w:val="00981924"/>
    <w:rsid w:val="00981CC9"/>
    <w:rsid w:val="00982177"/>
    <w:rsid w:val="00982538"/>
    <w:rsid w:val="0098279F"/>
    <w:rsid w:val="009832C3"/>
    <w:rsid w:val="009837A3"/>
    <w:rsid w:val="009837E6"/>
    <w:rsid w:val="00983E57"/>
    <w:rsid w:val="0098457C"/>
    <w:rsid w:val="009849C9"/>
    <w:rsid w:val="0098675D"/>
    <w:rsid w:val="0098676E"/>
    <w:rsid w:val="00987836"/>
    <w:rsid w:val="00990308"/>
    <w:rsid w:val="00990DF5"/>
    <w:rsid w:val="00992183"/>
    <w:rsid w:val="0099278F"/>
    <w:rsid w:val="00993B19"/>
    <w:rsid w:val="00993D18"/>
    <w:rsid w:val="00993EC6"/>
    <w:rsid w:val="00994613"/>
    <w:rsid w:val="00994634"/>
    <w:rsid w:val="00994E66"/>
    <w:rsid w:val="00994E77"/>
    <w:rsid w:val="00995F69"/>
    <w:rsid w:val="0099640C"/>
    <w:rsid w:val="00996B1A"/>
    <w:rsid w:val="009977AC"/>
    <w:rsid w:val="0099788F"/>
    <w:rsid w:val="00997E3F"/>
    <w:rsid w:val="009A02BF"/>
    <w:rsid w:val="009A098B"/>
    <w:rsid w:val="009A12D1"/>
    <w:rsid w:val="009A15CC"/>
    <w:rsid w:val="009A1727"/>
    <w:rsid w:val="009A23A1"/>
    <w:rsid w:val="009A2589"/>
    <w:rsid w:val="009A35C2"/>
    <w:rsid w:val="009A43DD"/>
    <w:rsid w:val="009A448B"/>
    <w:rsid w:val="009A4911"/>
    <w:rsid w:val="009A4D13"/>
    <w:rsid w:val="009A5D75"/>
    <w:rsid w:val="009A60D7"/>
    <w:rsid w:val="009A7372"/>
    <w:rsid w:val="009A75EA"/>
    <w:rsid w:val="009A76E7"/>
    <w:rsid w:val="009A784F"/>
    <w:rsid w:val="009A788A"/>
    <w:rsid w:val="009A7A99"/>
    <w:rsid w:val="009A7F10"/>
    <w:rsid w:val="009B0380"/>
    <w:rsid w:val="009B07D3"/>
    <w:rsid w:val="009B1910"/>
    <w:rsid w:val="009B1B25"/>
    <w:rsid w:val="009B1F8C"/>
    <w:rsid w:val="009B28CD"/>
    <w:rsid w:val="009B2C18"/>
    <w:rsid w:val="009B2C89"/>
    <w:rsid w:val="009B33A0"/>
    <w:rsid w:val="009B3E26"/>
    <w:rsid w:val="009B3E72"/>
    <w:rsid w:val="009B4A61"/>
    <w:rsid w:val="009B5150"/>
    <w:rsid w:val="009B58E7"/>
    <w:rsid w:val="009B6368"/>
    <w:rsid w:val="009B6735"/>
    <w:rsid w:val="009B6A7C"/>
    <w:rsid w:val="009B6DC8"/>
    <w:rsid w:val="009B6EA4"/>
    <w:rsid w:val="009B75DD"/>
    <w:rsid w:val="009C032F"/>
    <w:rsid w:val="009C0796"/>
    <w:rsid w:val="009C1D12"/>
    <w:rsid w:val="009C1D26"/>
    <w:rsid w:val="009C270F"/>
    <w:rsid w:val="009C3192"/>
    <w:rsid w:val="009C3259"/>
    <w:rsid w:val="009C487C"/>
    <w:rsid w:val="009C4F3A"/>
    <w:rsid w:val="009C5B7C"/>
    <w:rsid w:val="009C5FE1"/>
    <w:rsid w:val="009C6213"/>
    <w:rsid w:val="009C6439"/>
    <w:rsid w:val="009C6673"/>
    <w:rsid w:val="009C6CEA"/>
    <w:rsid w:val="009C74B2"/>
    <w:rsid w:val="009C7B85"/>
    <w:rsid w:val="009D06ED"/>
    <w:rsid w:val="009D13B7"/>
    <w:rsid w:val="009D178A"/>
    <w:rsid w:val="009D26C9"/>
    <w:rsid w:val="009D27AE"/>
    <w:rsid w:val="009D3272"/>
    <w:rsid w:val="009D4095"/>
    <w:rsid w:val="009D44F6"/>
    <w:rsid w:val="009D4935"/>
    <w:rsid w:val="009D5071"/>
    <w:rsid w:val="009D5184"/>
    <w:rsid w:val="009D5B91"/>
    <w:rsid w:val="009D5F3D"/>
    <w:rsid w:val="009D5FE1"/>
    <w:rsid w:val="009D792E"/>
    <w:rsid w:val="009D7B39"/>
    <w:rsid w:val="009E0DFE"/>
    <w:rsid w:val="009E1C42"/>
    <w:rsid w:val="009E2868"/>
    <w:rsid w:val="009E3C8C"/>
    <w:rsid w:val="009E4ADB"/>
    <w:rsid w:val="009E4C07"/>
    <w:rsid w:val="009E5008"/>
    <w:rsid w:val="009E5EAE"/>
    <w:rsid w:val="009E71C7"/>
    <w:rsid w:val="009E75BF"/>
    <w:rsid w:val="009E7EB6"/>
    <w:rsid w:val="009F00D4"/>
    <w:rsid w:val="009F0276"/>
    <w:rsid w:val="009F0A4E"/>
    <w:rsid w:val="009F1021"/>
    <w:rsid w:val="009F185A"/>
    <w:rsid w:val="009F2139"/>
    <w:rsid w:val="009F3810"/>
    <w:rsid w:val="009F3FA5"/>
    <w:rsid w:val="009F4244"/>
    <w:rsid w:val="009F42C5"/>
    <w:rsid w:val="009F4B5D"/>
    <w:rsid w:val="009F4C07"/>
    <w:rsid w:val="009F5FE9"/>
    <w:rsid w:val="009F64E8"/>
    <w:rsid w:val="009F6C6F"/>
    <w:rsid w:val="009F796C"/>
    <w:rsid w:val="009F7ADE"/>
    <w:rsid w:val="00A005A9"/>
    <w:rsid w:val="00A00D5B"/>
    <w:rsid w:val="00A00F65"/>
    <w:rsid w:val="00A01184"/>
    <w:rsid w:val="00A01AB3"/>
    <w:rsid w:val="00A01C28"/>
    <w:rsid w:val="00A0290D"/>
    <w:rsid w:val="00A02F1A"/>
    <w:rsid w:val="00A03117"/>
    <w:rsid w:val="00A03D43"/>
    <w:rsid w:val="00A04380"/>
    <w:rsid w:val="00A05615"/>
    <w:rsid w:val="00A06CDF"/>
    <w:rsid w:val="00A071BB"/>
    <w:rsid w:val="00A1022F"/>
    <w:rsid w:val="00A1031A"/>
    <w:rsid w:val="00A10ADE"/>
    <w:rsid w:val="00A11259"/>
    <w:rsid w:val="00A11CD0"/>
    <w:rsid w:val="00A11EAD"/>
    <w:rsid w:val="00A1262B"/>
    <w:rsid w:val="00A13509"/>
    <w:rsid w:val="00A13863"/>
    <w:rsid w:val="00A13948"/>
    <w:rsid w:val="00A13DBE"/>
    <w:rsid w:val="00A1411B"/>
    <w:rsid w:val="00A1541F"/>
    <w:rsid w:val="00A1555B"/>
    <w:rsid w:val="00A155C5"/>
    <w:rsid w:val="00A15D72"/>
    <w:rsid w:val="00A1604B"/>
    <w:rsid w:val="00A16AD8"/>
    <w:rsid w:val="00A1775B"/>
    <w:rsid w:val="00A17D08"/>
    <w:rsid w:val="00A2081E"/>
    <w:rsid w:val="00A20B8E"/>
    <w:rsid w:val="00A20E73"/>
    <w:rsid w:val="00A212E4"/>
    <w:rsid w:val="00A21CF3"/>
    <w:rsid w:val="00A22D97"/>
    <w:rsid w:val="00A231AA"/>
    <w:rsid w:val="00A237FF"/>
    <w:rsid w:val="00A23A89"/>
    <w:rsid w:val="00A24A0E"/>
    <w:rsid w:val="00A25EEA"/>
    <w:rsid w:val="00A26515"/>
    <w:rsid w:val="00A26AE5"/>
    <w:rsid w:val="00A27676"/>
    <w:rsid w:val="00A27A1E"/>
    <w:rsid w:val="00A27AEC"/>
    <w:rsid w:val="00A305BE"/>
    <w:rsid w:val="00A30B93"/>
    <w:rsid w:val="00A31D35"/>
    <w:rsid w:val="00A31E2B"/>
    <w:rsid w:val="00A320DB"/>
    <w:rsid w:val="00A3218D"/>
    <w:rsid w:val="00A328E5"/>
    <w:rsid w:val="00A338C1"/>
    <w:rsid w:val="00A34A08"/>
    <w:rsid w:val="00A35A32"/>
    <w:rsid w:val="00A35D16"/>
    <w:rsid w:val="00A35E7B"/>
    <w:rsid w:val="00A36E8D"/>
    <w:rsid w:val="00A37B2C"/>
    <w:rsid w:val="00A37BCD"/>
    <w:rsid w:val="00A4012A"/>
    <w:rsid w:val="00A4014A"/>
    <w:rsid w:val="00A405AB"/>
    <w:rsid w:val="00A41005"/>
    <w:rsid w:val="00A43C59"/>
    <w:rsid w:val="00A43E93"/>
    <w:rsid w:val="00A453B4"/>
    <w:rsid w:val="00A46456"/>
    <w:rsid w:val="00A46716"/>
    <w:rsid w:val="00A46EA4"/>
    <w:rsid w:val="00A474E4"/>
    <w:rsid w:val="00A47671"/>
    <w:rsid w:val="00A50214"/>
    <w:rsid w:val="00A50ECD"/>
    <w:rsid w:val="00A518F3"/>
    <w:rsid w:val="00A5247B"/>
    <w:rsid w:val="00A52729"/>
    <w:rsid w:val="00A52B93"/>
    <w:rsid w:val="00A53675"/>
    <w:rsid w:val="00A54782"/>
    <w:rsid w:val="00A555D9"/>
    <w:rsid w:val="00A55BA2"/>
    <w:rsid w:val="00A563A0"/>
    <w:rsid w:val="00A564D7"/>
    <w:rsid w:val="00A569FC"/>
    <w:rsid w:val="00A56B6A"/>
    <w:rsid w:val="00A578DC"/>
    <w:rsid w:val="00A57EC6"/>
    <w:rsid w:val="00A609C1"/>
    <w:rsid w:val="00A62BB8"/>
    <w:rsid w:val="00A63300"/>
    <w:rsid w:val="00A64A01"/>
    <w:rsid w:val="00A660B4"/>
    <w:rsid w:val="00A6725B"/>
    <w:rsid w:val="00A70605"/>
    <w:rsid w:val="00A708B2"/>
    <w:rsid w:val="00A71645"/>
    <w:rsid w:val="00A72258"/>
    <w:rsid w:val="00A72A1F"/>
    <w:rsid w:val="00A72B47"/>
    <w:rsid w:val="00A73134"/>
    <w:rsid w:val="00A734A9"/>
    <w:rsid w:val="00A73875"/>
    <w:rsid w:val="00A73F61"/>
    <w:rsid w:val="00A746A1"/>
    <w:rsid w:val="00A74806"/>
    <w:rsid w:val="00A752FC"/>
    <w:rsid w:val="00A755D2"/>
    <w:rsid w:val="00A76EE2"/>
    <w:rsid w:val="00A777B2"/>
    <w:rsid w:val="00A77CD3"/>
    <w:rsid w:val="00A8123E"/>
    <w:rsid w:val="00A82676"/>
    <w:rsid w:val="00A82DEF"/>
    <w:rsid w:val="00A8302F"/>
    <w:rsid w:val="00A83274"/>
    <w:rsid w:val="00A834EC"/>
    <w:rsid w:val="00A83EA0"/>
    <w:rsid w:val="00A861A9"/>
    <w:rsid w:val="00A868B8"/>
    <w:rsid w:val="00A86E8B"/>
    <w:rsid w:val="00A87164"/>
    <w:rsid w:val="00A90406"/>
    <w:rsid w:val="00A93072"/>
    <w:rsid w:val="00A93953"/>
    <w:rsid w:val="00A93F64"/>
    <w:rsid w:val="00A943FA"/>
    <w:rsid w:val="00A948AC"/>
    <w:rsid w:val="00A94C9E"/>
    <w:rsid w:val="00A959D8"/>
    <w:rsid w:val="00A95EB6"/>
    <w:rsid w:val="00A96CD6"/>
    <w:rsid w:val="00A975B8"/>
    <w:rsid w:val="00A97D74"/>
    <w:rsid w:val="00A97D9F"/>
    <w:rsid w:val="00A97DCE"/>
    <w:rsid w:val="00AA113D"/>
    <w:rsid w:val="00AA119D"/>
    <w:rsid w:val="00AA1726"/>
    <w:rsid w:val="00AA2A0B"/>
    <w:rsid w:val="00AA4820"/>
    <w:rsid w:val="00AA4F79"/>
    <w:rsid w:val="00AA5A11"/>
    <w:rsid w:val="00AA6664"/>
    <w:rsid w:val="00AA6C7D"/>
    <w:rsid w:val="00AA7BA9"/>
    <w:rsid w:val="00AA7FD6"/>
    <w:rsid w:val="00AB042A"/>
    <w:rsid w:val="00AB071E"/>
    <w:rsid w:val="00AB09E1"/>
    <w:rsid w:val="00AB154A"/>
    <w:rsid w:val="00AB17E2"/>
    <w:rsid w:val="00AB1AC6"/>
    <w:rsid w:val="00AB2D34"/>
    <w:rsid w:val="00AB3430"/>
    <w:rsid w:val="00AB45D5"/>
    <w:rsid w:val="00AB4768"/>
    <w:rsid w:val="00AB47A0"/>
    <w:rsid w:val="00AB48C8"/>
    <w:rsid w:val="00AB48E5"/>
    <w:rsid w:val="00AB49ED"/>
    <w:rsid w:val="00AB4A3C"/>
    <w:rsid w:val="00AB4AD1"/>
    <w:rsid w:val="00AB50DA"/>
    <w:rsid w:val="00AB5670"/>
    <w:rsid w:val="00AB5CA2"/>
    <w:rsid w:val="00AB5DE8"/>
    <w:rsid w:val="00AB7333"/>
    <w:rsid w:val="00AB7451"/>
    <w:rsid w:val="00AB7824"/>
    <w:rsid w:val="00AB7CFA"/>
    <w:rsid w:val="00AC0C57"/>
    <w:rsid w:val="00AC3E6D"/>
    <w:rsid w:val="00AC4115"/>
    <w:rsid w:val="00AC4B2B"/>
    <w:rsid w:val="00AC55F6"/>
    <w:rsid w:val="00AC585D"/>
    <w:rsid w:val="00AC5B3F"/>
    <w:rsid w:val="00AC5B48"/>
    <w:rsid w:val="00AC6175"/>
    <w:rsid w:val="00AC61C4"/>
    <w:rsid w:val="00AC6741"/>
    <w:rsid w:val="00AC6FBB"/>
    <w:rsid w:val="00AC7CB2"/>
    <w:rsid w:val="00AC7CC5"/>
    <w:rsid w:val="00AD1002"/>
    <w:rsid w:val="00AD14BE"/>
    <w:rsid w:val="00AD1853"/>
    <w:rsid w:val="00AD1B40"/>
    <w:rsid w:val="00AD1C10"/>
    <w:rsid w:val="00AD31E4"/>
    <w:rsid w:val="00AD3F46"/>
    <w:rsid w:val="00AD44CB"/>
    <w:rsid w:val="00AD4BC4"/>
    <w:rsid w:val="00AD4FCA"/>
    <w:rsid w:val="00AD573C"/>
    <w:rsid w:val="00AD5B1F"/>
    <w:rsid w:val="00AD63DE"/>
    <w:rsid w:val="00AD6502"/>
    <w:rsid w:val="00AD7196"/>
    <w:rsid w:val="00AE1B76"/>
    <w:rsid w:val="00AE2008"/>
    <w:rsid w:val="00AE2BD7"/>
    <w:rsid w:val="00AE2D93"/>
    <w:rsid w:val="00AE32B3"/>
    <w:rsid w:val="00AE343A"/>
    <w:rsid w:val="00AE37D3"/>
    <w:rsid w:val="00AE5A74"/>
    <w:rsid w:val="00AE607A"/>
    <w:rsid w:val="00AE66CA"/>
    <w:rsid w:val="00AE78AE"/>
    <w:rsid w:val="00AE79E6"/>
    <w:rsid w:val="00AF00C6"/>
    <w:rsid w:val="00AF01B5"/>
    <w:rsid w:val="00AF044F"/>
    <w:rsid w:val="00AF0C45"/>
    <w:rsid w:val="00AF0F50"/>
    <w:rsid w:val="00AF1315"/>
    <w:rsid w:val="00AF19BF"/>
    <w:rsid w:val="00AF1E33"/>
    <w:rsid w:val="00AF1E61"/>
    <w:rsid w:val="00AF2CBA"/>
    <w:rsid w:val="00AF2DC3"/>
    <w:rsid w:val="00AF5120"/>
    <w:rsid w:val="00AF5686"/>
    <w:rsid w:val="00AF648F"/>
    <w:rsid w:val="00AF68C4"/>
    <w:rsid w:val="00AF6B76"/>
    <w:rsid w:val="00AF6C9A"/>
    <w:rsid w:val="00AF7189"/>
    <w:rsid w:val="00AF7245"/>
    <w:rsid w:val="00B0020C"/>
    <w:rsid w:val="00B0082A"/>
    <w:rsid w:val="00B01056"/>
    <w:rsid w:val="00B013BA"/>
    <w:rsid w:val="00B01554"/>
    <w:rsid w:val="00B01F2F"/>
    <w:rsid w:val="00B02265"/>
    <w:rsid w:val="00B033E5"/>
    <w:rsid w:val="00B03704"/>
    <w:rsid w:val="00B03A63"/>
    <w:rsid w:val="00B03E77"/>
    <w:rsid w:val="00B0428E"/>
    <w:rsid w:val="00B049FF"/>
    <w:rsid w:val="00B04AB9"/>
    <w:rsid w:val="00B04FED"/>
    <w:rsid w:val="00B056A0"/>
    <w:rsid w:val="00B05C2F"/>
    <w:rsid w:val="00B073A4"/>
    <w:rsid w:val="00B1036E"/>
    <w:rsid w:val="00B11994"/>
    <w:rsid w:val="00B12FDE"/>
    <w:rsid w:val="00B14734"/>
    <w:rsid w:val="00B14DBC"/>
    <w:rsid w:val="00B14E01"/>
    <w:rsid w:val="00B14F73"/>
    <w:rsid w:val="00B15B65"/>
    <w:rsid w:val="00B15F4B"/>
    <w:rsid w:val="00B1627D"/>
    <w:rsid w:val="00B201A4"/>
    <w:rsid w:val="00B20DFA"/>
    <w:rsid w:val="00B2120B"/>
    <w:rsid w:val="00B21293"/>
    <w:rsid w:val="00B213A6"/>
    <w:rsid w:val="00B21BCD"/>
    <w:rsid w:val="00B22262"/>
    <w:rsid w:val="00B22537"/>
    <w:rsid w:val="00B22BAB"/>
    <w:rsid w:val="00B23633"/>
    <w:rsid w:val="00B24DF6"/>
    <w:rsid w:val="00B25EA6"/>
    <w:rsid w:val="00B2610E"/>
    <w:rsid w:val="00B265CF"/>
    <w:rsid w:val="00B26B07"/>
    <w:rsid w:val="00B27957"/>
    <w:rsid w:val="00B27D1F"/>
    <w:rsid w:val="00B3005A"/>
    <w:rsid w:val="00B31034"/>
    <w:rsid w:val="00B31254"/>
    <w:rsid w:val="00B3134E"/>
    <w:rsid w:val="00B3147A"/>
    <w:rsid w:val="00B32663"/>
    <w:rsid w:val="00B3364D"/>
    <w:rsid w:val="00B337CB"/>
    <w:rsid w:val="00B34D01"/>
    <w:rsid w:val="00B34FE2"/>
    <w:rsid w:val="00B357D8"/>
    <w:rsid w:val="00B35C8A"/>
    <w:rsid w:val="00B35DD2"/>
    <w:rsid w:val="00B37786"/>
    <w:rsid w:val="00B37BFC"/>
    <w:rsid w:val="00B40358"/>
    <w:rsid w:val="00B41614"/>
    <w:rsid w:val="00B41B9A"/>
    <w:rsid w:val="00B41BC3"/>
    <w:rsid w:val="00B422A8"/>
    <w:rsid w:val="00B426F5"/>
    <w:rsid w:val="00B42851"/>
    <w:rsid w:val="00B42F80"/>
    <w:rsid w:val="00B432F6"/>
    <w:rsid w:val="00B435CB"/>
    <w:rsid w:val="00B44259"/>
    <w:rsid w:val="00B44D10"/>
    <w:rsid w:val="00B4535F"/>
    <w:rsid w:val="00B45DA5"/>
    <w:rsid w:val="00B4787D"/>
    <w:rsid w:val="00B47BAE"/>
    <w:rsid w:val="00B47D42"/>
    <w:rsid w:val="00B50233"/>
    <w:rsid w:val="00B50A25"/>
    <w:rsid w:val="00B50DB8"/>
    <w:rsid w:val="00B51620"/>
    <w:rsid w:val="00B51D9D"/>
    <w:rsid w:val="00B52745"/>
    <w:rsid w:val="00B52909"/>
    <w:rsid w:val="00B52F3F"/>
    <w:rsid w:val="00B530F4"/>
    <w:rsid w:val="00B5354D"/>
    <w:rsid w:val="00B53654"/>
    <w:rsid w:val="00B53905"/>
    <w:rsid w:val="00B54739"/>
    <w:rsid w:val="00B54B5B"/>
    <w:rsid w:val="00B54D48"/>
    <w:rsid w:val="00B54ED6"/>
    <w:rsid w:val="00B554A0"/>
    <w:rsid w:val="00B5562E"/>
    <w:rsid w:val="00B55CC3"/>
    <w:rsid w:val="00B5606F"/>
    <w:rsid w:val="00B56076"/>
    <w:rsid w:val="00B57000"/>
    <w:rsid w:val="00B60939"/>
    <w:rsid w:val="00B60AFD"/>
    <w:rsid w:val="00B60B58"/>
    <w:rsid w:val="00B61BCD"/>
    <w:rsid w:val="00B620D2"/>
    <w:rsid w:val="00B62715"/>
    <w:rsid w:val="00B627A1"/>
    <w:rsid w:val="00B62D0B"/>
    <w:rsid w:val="00B64796"/>
    <w:rsid w:val="00B651F5"/>
    <w:rsid w:val="00B6675A"/>
    <w:rsid w:val="00B66AD6"/>
    <w:rsid w:val="00B66AFD"/>
    <w:rsid w:val="00B66F5D"/>
    <w:rsid w:val="00B7020B"/>
    <w:rsid w:val="00B709B2"/>
    <w:rsid w:val="00B7266C"/>
    <w:rsid w:val="00B7299D"/>
    <w:rsid w:val="00B73D43"/>
    <w:rsid w:val="00B74842"/>
    <w:rsid w:val="00B753FD"/>
    <w:rsid w:val="00B75562"/>
    <w:rsid w:val="00B77BAA"/>
    <w:rsid w:val="00B80564"/>
    <w:rsid w:val="00B80A77"/>
    <w:rsid w:val="00B80BB8"/>
    <w:rsid w:val="00B818A4"/>
    <w:rsid w:val="00B82119"/>
    <w:rsid w:val="00B83158"/>
    <w:rsid w:val="00B832BA"/>
    <w:rsid w:val="00B835B5"/>
    <w:rsid w:val="00B83D35"/>
    <w:rsid w:val="00B84117"/>
    <w:rsid w:val="00B847F6"/>
    <w:rsid w:val="00B84EEB"/>
    <w:rsid w:val="00B85AA2"/>
    <w:rsid w:val="00B85B4A"/>
    <w:rsid w:val="00B861A3"/>
    <w:rsid w:val="00B8649C"/>
    <w:rsid w:val="00B86F47"/>
    <w:rsid w:val="00B878E0"/>
    <w:rsid w:val="00B87F0A"/>
    <w:rsid w:val="00B9144F"/>
    <w:rsid w:val="00B92A3E"/>
    <w:rsid w:val="00B92D0B"/>
    <w:rsid w:val="00B9424D"/>
    <w:rsid w:val="00B948F3"/>
    <w:rsid w:val="00B94945"/>
    <w:rsid w:val="00B9501D"/>
    <w:rsid w:val="00B96284"/>
    <w:rsid w:val="00B9687D"/>
    <w:rsid w:val="00B96B3E"/>
    <w:rsid w:val="00B975EC"/>
    <w:rsid w:val="00B97B9F"/>
    <w:rsid w:val="00B97FBD"/>
    <w:rsid w:val="00BA1001"/>
    <w:rsid w:val="00BA150C"/>
    <w:rsid w:val="00BA29FC"/>
    <w:rsid w:val="00BA2BAB"/>
    <w:rsid w:val="00BA2EA5"/>
    <w:rsid w:val="00BA322D"/>
    <w:rsid w:val="00BA3837"/>
    <w:rsid w:val="00BA40D5"/>
    <w:rsid w:val="00BA48FC"/>
    <w:rsid w:val="00BA6250"/>
    <w:rsid w:val="00BA6305"/>
    <w:rsid w:val="00BA68D2"/>
    <w:rsid w:val="00BA7B17"/>
    <w:rsid w:val="00BB0766"/>
    <w:rsid w:val="00BB0BDD"/>
    <w:rsid w:val="00BB21BB"/>
    <w:rsid w:val="00BB225B"/>
    <w:rsid w:val="00BB2A73"/>
    <w:rsid w:val="00BB2D44"/>
    <w:rsid w:val="00BB3DA4"/>
    <w:rsid w:val="00BB48CD"/>
    <w:rsid w:val="00BB4ACC"/>
    <w:rsid w:val="00BB6302"/>
    <w:rsid w:val="00BB6368"/>
    <w:rsid w:val="00BB703E"/>
    <w:rsid w:val="00BB7405"/>
    <w:rsid w:val="00BB7E1F"/>
    <w:rsid w:val="00BB7FAB"/>
    <w:rsid w:val="00BC1158"/>
    <w:rsid w:val="00BC1EA1"/>
    <w:rsid w:val="00BC2234"/>
    <w:rsid w:val="00BC2488"/>
    <w:rsid w:val="00BC3631"/>
    <w:rsid w:val="00BC37BD"/>
    <w:rsid w:val="00BC381B"/>
    <w:rsid w:val="00BC46CF"/>
    <w:rsid w:val="00BC5C72"/>
    <w:rsid w:val="00BC63BC"/>
    <w:rsid w:val="00BC7A91"/>
    <w:rsid w:val="00BD01AB"/>
    <w:rsid w:val="00BD0553"/>
    <w:rsid w:val="00BD084E"/>
    <w:rsid w:val="00BD1B2A"/>
    <w:rsid w:val="00BD3465"/>
    <w:rsid w:val="00BD35A1"/>
    <w:rsid w:val="00BD369B"/>
    <w:rsid w:val="00BD6740"/>
    <w:rsid w:val="00BD68A3"/>
    <w:rsid w:val="00BD6938"/>
    <w:rsid w:val="00BD6B92"/>
    <w:rsid w:val="00BD6CF3"/>
    <w:rsid w:val="00BD6FF9"/>
    <w:rsid w:val="00BD7B0F"/>
    <w:rsid w:val="00BE0BD8"/>
    <w:rsid w:val="00BE15C9"/>
    <w:rsid w:val="00BE16B7"/>
    <w:rsid w:val="00BE1B7D"/>
    <w:rsid w:val="00BE2052"/>
    <w:rsid w:val="00BE208A"/>
    <w:rsid w:val="00BE2180"/>
    <w:rsid w:val="00BE21F2"/>
    <w:rsid w:val="00BE29FB"/>
    <w:rsid w:val="00BE2AB4"/>
    <w:rsid w:val="00BE30FB"/>
    <w:rsid w:val="00BE33AD"/>
    <w:rsid w:val="00BE3714"/>
    <w:rsid w:val="00BE4275"/>
    <w:rsid w:val="00BE5233"/>
    <w:rsid w:val="00BE59B4"/>
    <w:rsid w:val="00BE66AE"/>
    <w:rsid w:val="00BE7CF7"/>
    <w:rsid w:val="00BF090A"/>
    <w:rsid w:val="00BF0BE8"/>
    <w:rsid w:val="00BF0F95"/>
    <w:rsid w:val="00BF1BE3"/>
    <w:rsid w:val="00BF1DA5"/>
    <w:rsid w:val="00BF2261"/>
    <w:rsid w:val="00BF2433"/>
    <w:rsid w:val="00BF26E3"/>
    <w:rsid w:val="00BF301B"/>
    <w:rsid w:val="00BF4332"/>
    <w:rsid w:val="00BF4665"/>
    <w:rsid w:val="00BF496D"/>
    <w:rsid w:val="00BF51E1"/>
    <w:rsid w:val="00BF5623"/>
    <w:rsid w:val="00BF5FA1"/>
    <w:rsid w:val="00BF61C9"/>
    <w:rsid w:val="00BF6C56"/>
    <w:rsid w:val="00BF6C94"/>
    <w:rsid w:val="00BF7C12"/>
    <w:rsid w:val="00BF7F07"/>
    <w:rsid w:val="00C00424"/>
    <w:rsid w:val="00C01B4A"/>
    <w:rsid w:val="00C01F9C"/>
    <w:rsid w:val="00C02DEF"/>
    <w:rsid w:val="00C03196"/>
    <w:rsid w:val="00C03394"/>
    <w:rsid w:val="00C03949"/>
    <w:rsid w:val="00C05095"/>
    <w:rsid w:val="00C062B2"/>
    <w:rsid w:val="00C06318"/>
    <w:rsid w:val="00C0637B"/>
    <w:rsid w:val="00C07371"/>
    <w:rsid w:val="00C07C49"/>
    <w:rsid w:val="00C104AA"/>
    <w:rsid w:val="00C10D50"/>
    <w:rsid w:val="00C10FA3"/>
    <w:rsid w:val="00C118B2"/>
    <w:rsid w:val="00C11A86"/>
    <w:rsid w:val="00C12C14"/>
    <w:rsid w:val="00C1318A"/>
    <w:rsid w:val="00C13442"/>
    <w:rsid w:val="00C14830"/>
    <w:rsid w:val="00C15FD1"/>
    <w:rsid w:val="00C1638A"/>
    <w:rsid w:val="00C1650E"/>
    <w:rsid w:val="00C16B14"/>
    <w:rsid w:val="00C16E83"/>
    <w:rsid w:val="00C17741"/>
    <w:rsid w:val="00C200AA"/>
    <w:rsid w:val="00C203A4"/>
    <w:rsid w:val="00C21CBE"/>
    <w:rsid w:val="00C21E23"/>
    <w:rsid w:val="00C237ED"/>
    <w:rsid w:val="00C24632"/>
    <w:rsid w:val="00C24771"/>
    <w:rsid w:val="00C24DBD"/>
    <w:rsid w:val="00C25418"/>
    <w:rsid w:val="00C25D9C"/>
    <w:rsid w:val="00C261FF"/>
    <w:rsid w:val="00C2690B"/>
    <w:rsid w:val="00C2778B"/>
    <w:rsid w:val="00C27C83"/>
    <w:rsid w:val="00C27D7E"/>
    <w:rsid w:val="00C305CA"/>
    <w:rsid w:val="00C30F93"/>
    <w:rsid w:val="00C31649"/>
    <w:rsid w:val="00C316FA"/>
    <w:rsid w:val="00C31D30"/>
    <w:rsid w:val="00C32F8A"/>
    <w:rsid w:val="00C3418F"/>
    <w:rsid w:val="00C34980"/>
    <w:rsid w:val="00C35383"/>
    <w:rsid w:val="00C356E2"/>
    <w:rsid w:val="00C357A8"/>
    <w:rsid w:val="00C36C4E"/>
    <w:rsid w:val="00C40385"/>
    <w:rsid w:val="00C4175E"/>
    <w:rsid w:val="00C41A0B"/>
    <w:rsid w:val="00C41CDE"/>
    <w:rsid w:val="00C43490"/>
    <w:rsid w:val="00C44FD4"/>
    <w:rsid w:val="00C450AC"/>
    <w:rsid w:val="00C453AE"/>
    <w:rsid w:val="00C45A6B"/>
    <w:rsid w:val="00C45D70"/>
    <w:rsid w:val="00C46BD1"/>
    <w:rsid w:val="00C475AA"/>
    <w:rsid w:val="00C50BB3"/>
    <w:rsid w:val="00C51C02"/>
    <w:rsid w:val="00C52C42"/>
    <w:rsid w:val="00C53212"/>
    <w:rsid w:val="00C53238"/>
    <w:rsid w:val="00C539D9"/>
    <w:rsid w:val="00C54C01"/>
    <w:rsid w:val="00C54F33"/>
    <w:rsid w:val="00C55D2A"/>
    <w:rsid w:val="00C565D0"/>
    <w:rsid w:val="00C56F91"/>
    <w:rsid w:val="00C57CCB"/>
    <w:rsid w:val="00C57EEE"/>
    <w:rsid w:val="00C6101F"/>
    <w:rsid w:val="00C613D3"/>
    <w:rsid w:val="00C6182F"/>
    <w:rsid w:val="00C626A8"/>
    <w:rsid w:val="00C62749"/>
    <w:rsid w:val="00C627A3"/>
    <w:rsid w:val="00C629E8"/>
    <w:rsid w:val="00C62B37"/>
    <w:rsid w:val="00C63A56"/>
    <w:rsid w:val="00C64D18"/>
    <w:rsid w:val="00C64E49"/>
    <w:rsid w:val="00C65576"/>
    <w:rsid w:val="00C65FF9"/>
    <w:rsid w:val="00C66165"/>
    <w:rsid w:val="00C6701D"/>
    <w:rsid w:val="00C67236"/>
    <w:rsid w:val="00C677D4"/>
    <w:rsid w:val="00C67FBF"/>
    <w:rsid w:val="00C700DE"/>
    <w:rsid w:val="00C702C9"/>
    <w:rsid w:val="00C709B4"/>
    <w:rsid w:val="00C713C8"/>
    <w:rsid w:val="00C7151A"/>
    <w:rsid w:val="00C71AE6"/>
    <w:rsid w:val="00C71F60"/>
    <w:rsid w:val="00C71F87"/>
    <w:rsid w:val="00C72241"/>
    <w:rsid w:val="00C72379"/>
    <w:rsid w:val="00C7381B"/>
    <w:rsid w:val="00C73AA0"/>
    <w:rsid w:val="00C74250"/>
    <w:rsid w:val="00C746B8"/>
    <w:rsid w:val="00C750C8"/>
    <w:rsid w:val="00C7560F"/>
    <w:rsid w:val="00C75D3D"/>
    <w:rsid w:val="00C77139"/>
    <w:rsid w:val="00C7767E"/>
    <w:rsid w:val="00C80A0E"/>
    <w:rsid w:val="00C80E11"/>
    <w:rsid w:val="00C81FD3"/>
    <w:rsid w:val="00C8213F"/>
    <w:rsid w:val="00C832D5"/>
    <w:rsid w:val="00C8468F"/>
    <w:rsid w:val="00C85EB5"/>
    <w:rsid w:val="00C86633"/>
    <w:rsid w:val="00C86BD0"/>
    <w:rsid w:val="00C87382"/>
    <w:rsid w:val="00C8742E"/>
    <w:rsid w:val="00C8762A"/>
    <w:rsid w:val="00C8797A"/>
    <w:rsid w:val="00C900B1"/>
    <w:rsid w:val="00C900B8"/>
    <w:rsid w:val="00C90C71"/>
    <w:rsid w:val="00C90FD9"/>
    <w:rsid w:val="00C91368"/>
    <w:rsid w:val="00C92721"/>
    <w:rsid w:val="00C92990"/>
    <w:rsid w:val="00C931CF"/>
    <w:rsid w:val="00C938CF"/>
    <w:rsid w:val="00C94D90"/>
    <w:rsid w:val="00C95BCE"/>
    <w:rsid w:val="00C95C88"/>
    <w:rsid w:val="00C9624D"/>
    <w:rsid w:val="00C9659A"/>
    <w:rsid w:val="00C969DA"/>
    <w:rsid w:val="00C9712A"/>
    <w:rsid w:val="00CA039A"/>
    <w:rsid w:val="00CA0CC8"/>
    <w:rsid w:val="00CA232F"/>
    <w:rsid w:val="00CA2C77"/>
    <w:rsid w:val="00CA3EA3"/>
    <w:rsid w:val="00CA42D2"/>
    <w:rsid w:val="00CA4336"/>
    <w:rsid w:val="00CA444F"/>
    <w:rsid w:val="00CA5245"/>
    <w:rsid w:val="00CA56F9"/>
    <w:rsid w:val="00CA5812"/>
    <w:rsid w:val="00CA5FD0"/>
    <w:rsid w:val="00CA631F"/>
    <w:rsid w:val="00CA714A"/>
    <w:rsid w:val="00CA71F4"/>
    <w:rsid w:val="00CA7A94"/>
    <w:rsid w:val="00CA7B09"/>
    <w:rsid w:val="00CA7CA2"/>
    <w:rsid w:val="00CB0F91"/>
    <w:rsid w:val="00CB1663"/>
    <w:rsid w:val="00CB255F"/>
    <w:rsid w:val="00CB2F2A"/>
    <w:rsid w:val="00CB3767"/>
    <w:rsid w:val="00CB3FC2"/>
    <w:rsid w:val="00CB4666"/>
    <w:rsid w:val="00CB50A7"/>
    <w:rsid w:val="00CB59BA"/>
    <w:rsid w:val="00CB5B1A"/>
    <w:rsid w:val="00CB6105"/>
    <w:rsid w:val="00CB62B2"/>
    <w:rsid w:val="00CB6B22"/>
    <w:rsid w:val="00CB75B5"/>
    <w:rsid w:val="00CB7D6A"/>
    <w:rsid w:val="00CB7F5F"/>
    <w:rsid w:val="00CC0122"/>
    <w:rsid w:val="00CC02F3"/>
    <w:rsid w:val="00CC1167"/>
    <w:rsid w:val="00CC1692"/>
    <w:rsid w:val="00CC1816"/>
    <w:rsid w:val="00CC1B39"/>
    <w:rsid w:val="00CC2351"/>
    <w:rsid w:val="00CC295E"/>
    <w:rsid w:val="00CC2A26"/>
    <w:rsid w:val="00CC2A3C"/>
    <w:rsid w:val="00CC4462"/>
    <w:rsid w:val="00CC4DAC"/>
    <w:rsid w:val="00CC71AE"/>
    <w:rsid w:val="00CC725A"/>
    <w:rsid w:val="00CC75CF"/>
    <w:rsid w:val="00CC7D96"/>
    <w:rsid w:val="00CD0199"/>
    <w:rsid w:val="00CD1319"/>
    <w:rsid w:val="00CD1609"/>
    <w:rsid w:val="00CD183C"/>
    <w:rsid w:val="00CD1FE9"/>
    <w:rsid w:val="00CD2287"/>
    <w:rsid w:val="00CD3380"/>
    <w:rsid w:val="00CD430D"/>
    <w:rsid w:val="00CD4AAF"/>
    <w:rsid w:val="00CD570A"/>
    <w:rsid w:val="00CD5968"/>
    <w:rsid w:val="00CD5B3B"/>
    <w:rsid w:val="00CD5E74"/>
    <w:rsid w:val="00CD63FB"/>
    <w:rsid w:val="00CD6ADC"/>
    <w:rsid w:val="00CD6DFD"/>
    <w:rsid w:val="00CD706D"/>
    <w:rsid w:val="00CE05C3"/>
    <w:rsid w:val="00CE0714"/>
    <w:rsid w:val="00CE09B2"/>
    <w:rsid w:val="00CE0B39"/>
    <w:rsid w:val="00CE1914"/>
    <w:rsid w:val="00CE2A97"/>
    <w:rsid w:val="00CE2BCF"/>
    <w:rsid w:val="00CE3595"/>
    <w:rsid w:val="00CE3E7E"/>
    <w:rsid w:val="00CE4971"/>
    <w:rsid w:val="00CE6274"/>
    <w:rsid w:val="00CE731C"/>
    <w:rsid w:val="00CE7B69"/>
    <w:rsid w:val="00CF1390"/>
    <w:rsid w:val="00CF2088"/>
    <w:rsid w:val="00CF2B8D"/>
    <w:rsid w:val="00CF2C3B"/>
    <w:rsid w:val="00CF32B4"/>
    <w:rsid w:val="00CF37A0"/>
    <w:rsid w:val="00CF456B"/>
    <w:rsid w:val="00CF4E18"/>
    <w:rsid w:val="00CF4E73"/>
    <w:rsid w:val="00CF5394"/>
    <w:rsid w:val="00CF5888"/>
    <w:rsid w:val="00CF5A22"/>
    <w:rsid w:val="00CF5B36"/>
    <w:rsid w:val="00CF5E20"/>
    <w:rsid w:val="00CF7502"/>
    <w:rsid w:val="00CF7EE3"/>
    <w:rsid w:val="00D00781"/>
    <w:rsid w:val="00D0087A"/>
    <w:rsid w:val="00D01071"/>
    <w:rsid w:val="00D01774"/>
    <w:rsid w:val="00D0240E"/>
    <w:rsid w:val="00D0262E"/>
    <w:rsid w:val="00D02805"/>
    <w:rsid w:val="00D02902"/>
    <w:rsid w:val="00D02CFE"/>
    <w:rsid w:val="00D03393"/>
    <w:rsid w:val="00D035CB"/>
    <w:rsid w:val="00D04ACB"/>
    <w:rsid w:val="00D05641"/>
    <w:rsid w:val="00D05B8D"/>
    <w:rsid w:val="00D06F28"/>
    <w:rsid w:val="00D071CE"/>
    <w:rsid w:val="00D071DD"/>
    <w:rsid w:val="00D106C1"/>
    <w:rsid w:val="00D10E69"/>
    <w:rsid w:val="00D110BD"/>
    <w:rsid w:val="00D115F4"/>
    <w:rsid w:val="00D11EE4"/>
    <w:rsid w:val="00D120FB"/>
    <w:rsid w:val="00D12B51"/>
    <w:rsid w:val="00D13675"/>
    <w:rsid w:val="00D141E1"/>
    <w:rsid w:val="00D14212"/>
    <w:rsid w:val="00D14268"/>
    <w:rsid w:val="00D1730B"/>
    <w:rsid w:val="00D17D6C"/>
    <w:rsid w:val="00D20244"/>
    <w:rsid w:val="00D208E6"/>
    <w:rsid w:val="00D208FB"/>
    <w:rsid w:val="00D21606"/>
    <w:rsid w:val="00D24406"/>
    <w:rsid w:val="00D24CA6"/>
    <w:rsid w:val="00D24F3A"/>
    <w:rsid w:val="00D2754D"/>
    <w:rsid w:val="00D27B27"/>
    <w:rsid w:val="00D30C55"/>
    <w:rsid w:val="00D30E36"/>
    <w:rsid w:val="00D312F7"/>
    <w:rsid w:val="00D3176F"/>
    <w:rsid w:val="00D31C69"/>
    <w:rsid w:val="00D31F2E"/>
    <w:rsid w:val="00D33238"/>
    <w:rsid w:val="00D33347"/>
    <w:rsid w:val="00D33702"/>
    <w:rsid w:val="00D33B0E"/>
    <w:rsid w:val="00D33BE9"/>
    <w:rsid w:val="00D3498C"/>
    <w:rsid w:val="00D357FF"/>
    <w:rsid w:val="00D36074"/>
    <w:rsid w:val="00D37259"/>
    <w:rsid w:val="00D376EA"/>
    <w:rsid w:val="00D37D14"/>
    <w:rsid w:val="00D40057"/>
    <w:rsid w:val="00D40447"/>
    <w:rsid w:val="00D4077C"/>
    <w:rsid w:val="00D40A84"/>
    <w:rsid w:val="00D40B58"/>
    <w:rsid w:val="00D40FE1"/>
    <w:rsid w:val="00D410DC"/>
    <w:rsid w:val="00D424C7"/>
    <w:rsid w:val="00D42638"/>
    <w:rsid w:val="00D433ED"/>
    <w:rsid w:val="00D43B2A"/>
    <w:rsid w:val="00D44D81"/>
    <w:rsid w:val="00D44D99"/>
    <w:rsid w:val="00D45452"/>
    <w:rsid w:val="00D45758"/>
    <w:rsid w:val="00D45844"/>
    <w:rsid w:val="00D4635C"/>
    <w:rsid w:val="00D46FED"/>
    <w:rsid w:val="00D47514"/>
    <w:rsid w:val="00D47575"/>
    <w:rsid w:val="00D50860"/>
    <w:rsid w:val="00D5139E"/>
    <w:rsid w:val="00D51D0E"/>
    <w:rsid w:val="00D51ECB"/>
    <w:rsid w:val="00D53E27"/>
    <w:rsid w:val="00D54078"/>
    <w:rsid w:val="00D5439B"/>
    <w:rsid w:val="00D54CE2"/>
    <w:rsid w:val="00D555C2"/>
    <w:rsid w:val="00D55CBF"/>
    <w:rsid w:val="00D57067"/>
    <w:rsid w:val="00D57357"/>
    <w:rsid w:val="00D62538"/>
    <w:rsid w:val="00D625FA"/>
    <w:rsid w:val="00D626C4"/>
    <w:rsid w:val="00D62C43"/>
    <w:rsid w:val="00D62FCB"/>
    <w:rsid w:val="00D6345E"/>
    <w:rsid w:val="00D637DF"/>
    <w:rsid w:val="00D64535"/>
    <w:rsid w:val="00D64833"/>
    <w:rsid w:val="00D64DFC"/>
    <w:rsid w:val="00D65AA5"/>
    <w:rsid w:val="00D65DE0"/>
    <w:rsid w:val="00D6620D"/>
    <w:rsid w:val="00D669E0"/>
    <w:rsid w:val="00D67716"/>
    <w:rsid w:val="00D704D1"/>
    <w:rsid w:val="00D70AB0"/>
    <w:rsid w:val="00D70F16"/>
    <w:rsid w:val="00D73102"/>
    <w:rsid w:val="00D737B8"/>
    <w:rsid w:val="00D73E42"/>
    <w:rsid w:val="00D74F94"/>
    <w:rsid w:val="00D75398"/>
    <w:rsid w:val="00D759B3"/>
    <w:rsid w:val="00D75B9E"/>
    <w:rsid w:val="00D76384"/>
    <w:rsid w:val="00D76819"/>
    <w:rsid w:val="00D76A44"/>
    <w:rsid w:val="00D76E5C"/>
    <w:rsid w:val="00D76E67"/>
    <w:rsid w:val="00D77275"/>
    <w:rsid w:val="00D77652"/>
    <w:rsid w:val="00D77F49"/>
    <w:rsid w:val="00D802CA"/>
    <w:rsid w:val="00D803A1"/>
    <w:rsid w:val="00D80DBE"/>
    <w:rsid w:val="00D815EF"/>
    <w:rsid w:val="00D8197D"/>
    <w:rsid w:val="00D81BD0"/>
    <w:rsid w:val="00D82574"/>
    <w:rsid w:val="00D825C2"/>
    <w:rsid w:val="00D82CE2"/>
    <w:rsid w:val="00D82E88"/>
    <w:rsid w:val="00D83C64"/>
    <w:rsid w:val="00D85722"/>
    <w:rsid w:val="00D86C84"/>
    <w:rsid w:val="00D871EC"/>
    <w:rsid w:val="00D872BF"/>
    <w:rsid w:val="00D9082C"/>
    <w:rsid w:val="00D91923"/>
    <w:rsid w:val="00D91E1F"/>
    <w:rsid w:val="00D922FD"/>
    <w:rsid w:val="00D9281F"/>
    <w:rsid w:val="00D9290C"/>
    <w:rsid w:val="00D93753"/>
    <w:rsid w:val="00D94B6B"/>
    <w:rsid w:val="00D94DC2"/>
    <w:rsid w:val="00D95150"/>
    <w:rsid w:val="00D9561A"/>
    <w:rsid w:val="00D96081"/>
    <w:rsid w:val="00D9609E"/>
    <w:rsid w:val="00D96219"/>
    <w:rsid w:val="00D9637A"/>
    <w:rsid w:val="00D96524"/>
    <w:rsid w:val="00D969C2"/>
    <w:rsid w:val="00D9769F"/>
    <w:rsid w:val="00DA01C8"/>
    <w:rsid w:val="00DA0ED9"/>
    <w:rsid w:val="00DA248A"/>
    <w:rsid w:val="00DA2EFD"/>
    <w:rsid w:val="00DA3167"/>
    <w:rsid w:val="00DA33DA"/>
    <w:rsid w:val="00DA38A7"/>
    <w:rsid w:val="00DA45C8"/>
    <w:rsid w:val="00DA471E"/>
    <w:rsid w:val="00DA4DC3"/>
    <w:rsid w:val="00DA5084"/>
    <w:rsid w:val="00DA5272"/>
    <w:rsid w:val="00DA5441"/>
    <w:rsid w:val="00DA64BF"/>
    <w:rsid w:val="00DA717A"/>
    <w:rsid w:val="00DA77A5"/>
    <w:rsid w:val="00DA7922"/>
    <w:rsid w:val="00DA7937"/>
    <w:rsid w:val="00DA7C9F"/>
    <w:rsid w:val="00DB001C"/>
    <w:rsid w:val="00DB022A"/>
    <w:rsid w:val="00DB2DAA"/>
    <w:rsid w:val="00DB30A8"/>
    <w:rsid w:val="00DB3482"/>
    <w:rsid w:val="00DB484F"/>
    <w:rsid w:val="00DB49A2"/>
    <w:rsid w:val="00DB50F7"/>
    <w:rsid w:val="00DB5868"/>
    <w:rsid w:val="00DB5E52"/>
    <w:rsid w:val="00DB6857"/>
    <w:rsid w:val="00DC01D6"/>
    <w:rsid w:val="00DC04F6"/>
    <w:rsid w:val="00DC0733"/>
    <w:rsid w:val="00DC299C"/>
    <w:rsid w:val="00DC2AA1"/>
    <w:rsid w:val="00DC3239"/>
    <w:rsid w:val="00DC3C57"/>
    <w:rsid w:val="00DC3F26"/>
    <w:rsid w:val="00DC5501"/>
    <w:rsid w:val="00DC5594"/>
    <w:rsid w:val="00DC5B8B"/>
    <w:rsid w:val="00DC5D0D"/>
    <w:rsid w:val="00DC6EA2"/>
    <w:rsid w:val="00DC6FF7"/>
    <w:rsid w:val="00DC7023"/>
    <w:rsid w:val="00DC7F04"/>
    <w:rsid w:val="00DD01B6"/>
    <w:rsid w:val="00DD0649"/>
    <w:rsid w:val="00DD06DC"/>
    <w:rsid w:val="00DD0801"/>
    <w:rsid w:val="00DD0A21"/>
    <w:rsid w:val="00DD0D01"/>
    <w:rsid w:val="00DD14F6"/>
    <w:rsid w:val="00DD2274"/>
    <w:rsid w:val="00DD2378"/>
    <w:rsid w:val="00DD273C"/>
    <w:rsid w:val="00DD2EFF"/>
    <w:rsid w:val="00DD3F28"/>
    <w:rsid w:val="00DD4537"/>
    <w:rsid w:val="00DD4E15"/>
    <w:rsid w:val="00DD4E2D"/>
    <w:rsid w:val="00DD6D38"/>
    <w:rsid w:val="00DD774A"/>
    <w:rsid w:val="00DE0BE0"/>
    <w:rsid w:val="00DE175E"/>
    <w:rsid w:val="00DE1EB4"/>
    <w:rsid w:val="00DE235D"/>
    <w:rsid w:val="00DE290E"/>
    <w:rsid w:val="00DE2A77"/>
    <w:rsid w:val="00DE2D1E"/>
    <w:rsid w:val="00DE3022"/>
    <w:rsid w:val="00DE3138"/>
    <w:rsid w:val="00DE37F8"/>
    <w:rsid w:val="00DE3976"/>
    <w:rsid w:val="00DE3FA3"/>
    <w:rsid w:val="00DE42E7"/>
    <w:rsid w:val="00DE4FCB"/>
    <w:rsid w:val="00DE6278"/>
    <w:rsid w:val="00DE6615"/>
    <w:rsid w:val="00DE68F8"/>
    <w:rsid w:val="00DE741C"/>
    <w:rsid w:val="00DE7832"/>
    <w:rsid w:val="00DF007C"/>
    <w:rsid w:val="00DF0580"/>
    <w:rsid w:val="00DF18FC"/>
    <w:rsid w:val="00DF1A0D"/>
    <w:rsid w:val="00DF1C3D"/>
    <w:rsid w:val="00DF2ADA"/>
    <w:rsid w:val="00DF2B60"/>
    <w:rsid w:val="00DF34FF"/>
    <w:rsid w:val="00DF3F5F"/>
    <w:rsid w:val="00DF4B1D"/>
    <w:rsid w:val="00DF4D43"/>
    <w:rsid w:val="00DF4EC6"/>
    <w:rsid w:val="00DF558B"/>
    <w:rsid w:val="00DF5D2B"/>
    <w:rsid w:val="00DF6526"/>
    <w:rsid w:val="00DF6C1D"/>
    <w:rsid w:val="00DF6DEF"/>
    <w:rsid w:val="00DF7B62"/>
    <w:rsid w:val="00DF7D54"/>
    <w:rsid w:val="00E000FA"/>
    <w:rsid w:val="00E009DD"/>
    <w:rsid w:val="00E00E8E"/>
    <w:rsid w:val="00E01699"/>
    <w:rsid w:val="00E019A7"/>
    <w:rsid w:val="00E02732"/>
    <w:rsid w:val="00E029E4"/>
    <w:rsid w:val="00E05630"/>
    <w:rsid w:val="00E06507"/>
    <w:rsid w:val="00E0682D"/>
    <w:rsid w:val="00E0683E"/>
    <w:rsid w:val="00E06DAC"/>
    <w:rsid w:val="00E06DBB"/>
    <w:rsid w:val="00E07004"/>
    <w:rsid w:val="00E0713F"/>
    <w:rsid w:val="00E07802"/>
    <w:rsid w:val="00E07856"/>
    <w:rsid w:val="00E10149"/>
    <w:rsid w:val="00E10D7E"/>
    <w:rsid w:val="00E11BE3"/>
    <w:rsid w:val="00E12E50"/>
    <w:rsid w:val="00E12F27"/>
    <w:rsid w:val="00E14595"/>
    <w:rsid w:val="00E15194"/>
    <w:rsid w:val="00E155DE"/>
    <w:rsid w:val="00E1561C"/>
    <w:rsid w:val="00E15678"/>
    <w:rsid w:val="00E15E01"/>
    <w:rsid w:val="00E16372"/>
    <w:rsid w:val="00E166DF"/>
    <w:rsid w:val="00E16DFC"/>
    <w:rsid w:val="00E175A8"/>
    <w:rsid w:val="00E17A02"/>
    <w:rsid w:val="00E17EB6"/>
    <w:rsid w:val="00E20E4D"/>
    <w:rsid w:val="00E20ED6"/>
    <w:rsid w:val="00E2104C"/>
    <w:rsid w:val="00E210DA"/>
    <w:rsid w:val="00E21225"/>
    <w:rsid w:val="00E21358"/>
    <w:rsid w:val="00E21BF4"/>
    <w:rsid w:val="00E22431"/>
    <w:rsid w:val="00E2249B"/>
    <w:rsid w:val="00E225F2"/>
    <w:rsid w:val="00E22A0D"/>
    <w:rsid w:val="00E22DCF"/>
    <w:rsid w:val="00E23753"/>
    <w:rsid w:val="00E239E4"/>
    <w:rsid w:val="00E24389"/>
    <w:rsid w:val="00E2634D"/>
    <w:rsid w:val="00E2771E"/>
    <w:rsid w:val="00E27BCA"/>
    <w:rsid w:val="00E309D0"/>
    <w:rsid w:val="00E31652"/>
    <w:rsid w:val="00E318DB"/>
    <w:rsid w:val="00E319FF"/>
    <w:rsid w:val="00E31F2B"/>
    <w:rsid w:val="00E32342"/>
    <w:rsid w:val="00E324EB"/>
    <w:rsid w:val="00E32B24"/>
    <w:rsid w:val="00E33DEE"/>
    <w:rsid w:val="00E34203"/>
    <w:rsid w:val="00E34948"/>
    <w:rsid w:val="00E34AB3"/>
    <w:rsid w:val="00E34E5A"/>
    <w:rsid w:val="00E3536F"/>
    <w:rsid w:val="00E353A1"/>
    <w:rsid w:val="00E362E9"/>
    <w:rsid w:val="00E3638D"/>
    <w:rsid w:val="00E36541"/>
    <w:rsid w:val="00E3688C"/>
    <w:rsid w:val="00E37569"/>
    <w:rsid w:val="00E378FC"/>
    <w:rsid w:val="00E40987"/>
    <w:rsid w:val="00E41E30"/>
    <w:rsid w:val="00E42150"/>
    <w:rsid w:val="00E42745"/>
    <w:rsid w:val="00E427EE"/>
    <w:rsid w:val="00E43042"/>
    <w:rsid w:val="00E43D70"/>
    <w:rsid w:val="00E4423E"/>
    <w:rsid w:val="00E44276"/>
    <w:rsid w:val="00E45760"/>
    <w:rsid w:val="00E45D6B"/>
    <w:rsid w:val="00E466F3"/>
    <w:rsid w:val="00E46F26"/>
    <w:rsid w:val="00E47B2C"/>
    <w:rsid w:val="00E50F30"/>
    <w:rsid w:val="00E51560"/>
    <w:rsid w:val="00E515D4"/>
    <w:rsid w:val="00E51E7B"/>
    <w:rsid w:val="00E52B09"/>
    <w:rsid w:val="00E52EE9"/>
    <w:rsid w:val="00E54347"/>
    <w:rsid w:val="00E546FB"/>
    <w:rsid w:val="00E54ED7"/>
    <w:rsid w:val="00E55424"/>
    <w:rsid w:val="00E55505"/>
    <w:rsid w:val="00E5576B"/>
    <w:rsid w:val="00E55BB5"/>
    <w:rsid w:val="00E55E68"/>
    <w:rsid w:val="00E560E7"/>
    <w:rsid w:val="00E562D3"/>
    <w:rsid w:val="00E57315"/>
    <w:rsid w:val="00E57762"/>
    <w:rsid w:val="00E57A93"/>
    <w:rsid w:val="00E57D44"/>
    <w:rsid w:val="00E60D4D"/>
    <w:rsid w:val="00E61DC1"/>
    <w:rsid w:val="00E63E67"/>
    <w:rsid w:val="00E63F9D"/>
    <w:rsid w:val="00E65E79"/>
    <w:rsid w:val="00E66063"/>
    <w:rsid w:val="00E66BA2"/>
    <w:rsid w:val="00E672C4"/>
    <w:rsid w:val="00E67416"/>
    <w:rsid w:val="00E6762A"/>
    <w:rsid w:val="00E67BF0"/>
    <w:rsid w:val="00E706B0"/>
    <w:rsid w:val="00E70B98"/>
    <w:rsid w:val="00E70F63"/>
    <w:rsid w:val="00E7141F"/>
    <w:rsid w:val="00E715F3"/>
    <w:rsid w:val="00E718B6"/>
    <w:rsid w:val="00E719BA"/>
    <w:rsid w:val="00E71AF5"/>
    <w:rsid w:val="00E72334"/>
    <w:rsid w:val="00E723BA"/>
    <w:rsid w:val="00E73581"/>
    <w:rsid w:val="00E75923"/>
    <w:rsid w:val="00E76030"/>
    <w:rsid w:val="00E77120"/>
    <w:rsid w:val="00E7744B"/>
    <w:rsid w:val="00E77488"/>
    <w:rsid w:val="00E776FB"/>
    <w:rsid w:val="00E80028"/>
    <w:rsid w:val="00E801F8"/>
    <w:rsid w:val="00E81614"/>
    <w:rsid w:val="00E81CFA"/>
    <w:rsid w:val="00E8260B"/>
    <w:rsid w:val="00E82B62"/>
    <w:rsid w:val="00E82C4B"/>
    <w:rsid w:val="00E833F7"/>
    <w:rsid w:val="00E83685"/>
    <w:rsid w:val="00E83BDF"/>
    <w:rsid w:val="00E83BE5"/>
    <w:rsid w:val="00E845CD"/>
    <w:rsid w:val="00E84B01"/>
    <w:rsid w:val="00E84C8F"/>
    <w:rsid w:val="00E84E42"/>
    <w:rsid w:val="00E84FBC"/>
    <w:rsid w:val="00E863E3"/>
    <w:rsid w:val="00E86CF7"/>
    <w:rsid w:val="00E87A1D"/>
    <w:rsid w:val="00E87BA9"/>
    <w:rsid w:val="00E87E54"/>
    <w:rsid w:val="00E9148F"/>
    <w:rsid w:val="00E91E32"/>
    <w:rsid w:val="00E92385"/>
    <w:rsid w:val="00E926A5"/>
    <w:rsid w:val="00E92A2A"/>
    <w:rsid w:val="00E92D22"/>
    <w:rsid w:val="00E932A5"/>
    <w:rsid w:val="00E95B9E"/>
    <w:rsid w:val="00E95E7D"/>
    <w:rsid w:val="00E97E73"/>
    <w:rsid w:val="00EA10C2"/>
    <w:rsid w:val="00EA1210"/>
    <w:rsid w:val="00EA17C3"/>
    <w:rsid w:val="00EA1837"/>
    <w:rsid w:val="00EA2CAA"/>
    <w:rsid w:val="00EA2E86"/>
    <w:rsid w:val="00EA2F42"/>
    <w:rsid w:val="00EA3037"/>
    <w:rsid w:val="00EA3864"/>
    <w:rsid w:val="00EA3C3F"/>
    <w:rsid w:val="00EA3C48"/>
    <w:rsid w:val="00EA417D"/>
    <w:rsid w:val="00EA5F4D"/>
    <w:rsid w:val="00EA62CD"/>
    <w:rsid w:val="00EB008F"/>
    <w:rsid w:val="00EB0451"/>
    <w:rsid w:val="00EB04E7"/>
    <w:rsid w:val="00EB07D1"/>
    <w:rsid w:val="00EB15B6"/>
    <w:rsid w:val="00EB198B"/>
    <w:rsid w:val="00EB1EC6"/>
    <w:rsid w:val="00EB2B17"/>
    <w:rsid w:val="00EB2D98"/>
    <w:rsid w:val="00EB3EBD"/>
    <w:rsid w:val="00EB4916"/>
    <w:rsid w:val="00EB4A0C"/>
    <w:rsid w:val="00EB4C3B"/>
    <w:rsid w:val="00EB4E29"/>
    <w:rsid w:val="00EB59D5"/>
    <w:rsid w:val="00EB5E88"/>
    <w:rsid w:val="00EB714B"/>
    <w:rsid w:val="00EB71A2"/>
    <w:rsid w:val="00EB72CF"/>
    <w:rsid w:val="00EB7736"/>
    <w:rsid w:val="00EC00C9"/>
    <w:rsid w:val="00EC0650"/>
    <w:rsid w:val="00EC0837"/>
    <w:rsid w:val="00EC10CE"/>
    <w:rsid w:val="00EC16EE"/>
    <w:rsid w:val="00EC17D3"/>
    <w:rsid w:val="00EC182A"/>
    <w:rsid w:val="00EC19DA"/>
    <w:rsid w:val="00EC2641"/>
    <w:rsid w:val="00EC2649"/>
    <w:rsid w:val="00EC2FA3"/>
    <w:rsid w:val="00EC303A"/>
    <w:rsid w:val="00EC328D"/>
    <w:rsid w:val="00EC34D7"/>
    <w:rsid w:val="00EC400B"/>
    <w:rsid w:val="00EC5D6A"/>
    <w:rsid w:val="00EC5E7D"/>
    <w:rsid w:val="00EC61D8"/>
    <w:rsid w:val="00EC6671"/>
    <w:rsid w:val="00ED1708"/>
    <w:rsid w:val="00ED183B"/>
    <w:rsid w:val="00ED1D40"/>
    <w:rsid w:val="00ED2080"/>
    <w:rsid w:val="00ED2C96"/>
    <w:rsid w:val="00ED409B"/>
    <w:rsid w:val="00ED4468"/>
    <w:rsid w:val="00ED57EA"/>
    <w:rsid w:val="00ED6764"/>
    <w:rsid w:val="00ED6B09"/>
    <w:rsid w:val="00ED74E8"/>
    <w:rsid w:val="00ED7F20"/>
    <w:rsid w:val="00EE07D3"/>
    <w:rsid w:val="00EE0E46"/>
    <w:rsid w:val="00EE0EDF"/>
    <w:rsid w:val="00EE1582"/>
    <w:rsid w:val="00EE1B80"/>
    <w:rsid w:val="00EE22AF"/>
    <w:rsid w:val="00EE2541"/>
    <w:rsid w:val="00EE27CF"/>
    <w:rsid w:val="00EE3DE4"/>
    <w:rsid w:val="00EE46B5"/>
    <w:rsid w:val="00EE7180"/>
    <w:rsid w:val="00EE71D5"/>
    <w:rsid w:val="00EE75FF"/>
    <w:rsid w:val="00EE77D6"/>
    <w:rsid w:val="00EE7916"/>
    <w:rsid w:val="00EE7B65"/>
    <w:rsid w:val="00EF0171"/>
    <w:rsid w:val="00EF06BE"/>
    <w:rsid w:val="00EF0F35"/>
    <w:rsid w:val="00EF1B25"/>
    <w:rsid w:val="00EF1E39"/>
    <w:rsid w:val="00EF388F"/>
    <w:rsid w:val="00EF3BD2"/>
    <w:rsid w:val="00EF4342"/>
    <w:rsid w:val="00EF44F0"/>
    <w:rsid w:val="00EF46AD"/>
    <w:rsid w:val="00EF4747"/>
    <w:rsid w:val="00EF4BF8"/>
    <w:rsid w:val="00EF4DA9"/>
    <w:rsid w:val="00EF50E2"/>
    <w:rsid w:val="00EF5903"/>
    <w:rsid w:val="00EF5B0D"/>
    <w:rsid w:val="00EF6063"/>
    <w:rsid w:val="00EF63C7"/>
    <w:rsid w:val="00EF7182"/>
    <w:rsid w:val="00EF7439"/>
    <w:rsid w:val="00F00B33"/>
    <w:rsid w:val="00F00E49"/>
    <w:rsid w:val="00F01C22"/>
    <w:rsid w:val="00F01CA1"/>
    <w:rsid w:val="00F02197"/>
    <w:rsid w:val="00F02253"/>
    <w:rsid w:val="00F0240A"/>
    <w:rsid w:val="00F02EB8"/>
    <w:rsid w:val="00F03BBE"/>
    <w:rsid w:val="00F03C2E"/>
    <w:rsid w:val="00F044C1"/>
    <w:rsid w:val="00F048EE"/>
    <w:rsid w:val="00F04A66"/>
    <w:rsid w:val="00F0516C"/>
    <w:rsid w:val="00F058CD"/>
    <w:rsid w:val="00F05CF3"/>
    <w:rsid w:val="00F067A2"/>
    <w:rsid w:val="00F06ABD"/>
    <w:rsid w:val="00F10882"/>
    <w:rsid w:val="00F1100E"/>
    <w:rsid w:val="00F11046"/>
    <w:rsid w:val="00F110E6"/>
    <w:rsid w:val="00F1154D"/>
    <w:rsid w:val="00F1263A"/>
    <w:rsid w:val="00F128B7"/>
    <w:rsid w:val="00F12A67"/>
    <w:rsid w:val="00F13150"/>
    <w:rsid w:val="00F141DA"/>
    <w:rsid w:val="00F14751"/>
    <w:rsid w:val="00F149AA"/>
    <w:rsid w:val="00F15FAB"/>
    <w:rsid w:val="00F16035"/>
    <w:rsid w:val="00F16191"/>
    <w:rsid w:val="00F16391"/>
    <w:rsid w:val="00F164FC"/>
    <w:rsid w:val="00F16C52"/>
    <w:rsid w:val="00F178D3"/>
    <w:rsid w:val="00F20480"/>
    <w:rsid w:val="00F20491"/>
    <w:rsid w:val="00F20AF7"/>
    <w:rsid w:val="00F211C4"/>
    <w:rsid w:val="00F21703"/>
    <w:rsid w:val="00F22581"/>
    <w:rsid w:val="00F23496"/>
    <w:rsid w:val="00F23A1C"/>
    <w:rsid w:val="00F24837"/>
    <w:rsid w:val="00F2575F"/>
    <w:rsid w:val="00F2666E"/>
    <w:rsid w:val="00F26D97"/>
    <w:rsid w:val="00F274BC"/>
    <w:rsid w:val="00F27565"/>
    <w:rsid w:val="00F27898"/>
    <w:rsid w:val="00F279C8"/>
    <w:rsid w:val="00F31068"/>
    <w:rsid w:val="00F310D4"/>
    <w:rsid w:val="00F311ED"/>
    <w:rsid w:val="00F31C4B"/>
    <w:rsid w:val="00F31D5A"/>
    <w:rsid w:val="00F32E62"/>
    <w:rsid w:val="00F32E7C"/>
    <w:rsid w:val="00F330CB"/>
    <w:rsid w:val="00F331E5"/>
    <w:rsid w:val="00F333D5"/>
    <w:rsid w:val="00F33AA2"/>
    <w:rsid w:val="00F33DE9"/>
    <w:rsid w:val="00F33EEE"/>
    <w:rsid w:val="00F359A7"/>
    <w:rsid w:val="00F3619A"/>
    <w:rsid w:val="00F404BF"/>
    <w:rsid w:val="00F4075E"/>
    <w:rsid w:val="00F40AAA"/>
    <w:rsid w:val="00F40BA7"/>
    <w:rsid w:val="00F41EA8"/>
    <w:rsid w:val="00F42363"/>
    <w:rsid w:val="00F43649"/>
    <w:rsid w:val="00F4381B"/>
    <w:rsid w:val="00F43C5A"/>
    <w:rsid w:val="00F447A1"/>
    <w:rsid w:val="00F46CB6"/>
    <w:rsid w:val="00F47048"/>
    <w:rsid w:val="00F47383"/>
    <w:rsid w:val="00F47CE2"/>
    <w:rsid w:val="00F47DE8"/>
    <w:rsid w:val="00F514E4"/>
    <w:rsid w:val="00F51E35"/>
    <w:rsid w:val="00F52207"/>
    <w:rsid w:val="00F527B5"/>
    <w:rsid w:val="00F528D4"/>
    <w:rsid w:val="00F52E34"/>
    <w:rsid w:val="00F5356B"/>
    <w:rsid w:val="00F542C1"/>
    <w:rsid w:val="00F542DE"/>
    <w:rsid w:val="00F54465"/>
    <w:rsid w:val="00F55E73"/>
    <w:rsid w:val="00F55EDA"/>
    <w:rsid w:val="00F571A9"/>
    <w:rsid w:val="00F57687"/>
    <w:rsid w:val="00F576FF"/>
    <w:rsid w:val="00F60092"/>
    <w:rsid w:val="00F6021B"/>
    <w:rsid w:val="00F607BA"/>
    <w:rsid w:val="00F614BB"/>
    <w:rsid w:val="00F61797"/>
    <w:rsid w:val="00F61D98"/>
    <w:rsid w:val="00F61F58"/>
    <w:rsid w:val="00F62F2D"/>
    <w:rsid w:val="00F635AB"/>
    <w:rsid w:val="00F6372E"/>
    <w:rsid w:val="00F6383D"/>
    <w:rsid w:val="00F64930"/>
    <w:rsid w:val="00F65F4B"/>
    <w:rsid w:val="00F6639C"/>
    <w:rsid w:val="00F67232"/>
    <w:rsid w:val="00F673BB"/>
    <w:rsid w:val="00F67D8B"/>
    <w:rsid w:val="00F70823"/>
    <w:rsid w:val="00F70C9D"/>
    <w:rsid w:val="00F70D64"/>
    <w:rsid w:val="00F7248C"/>
    <w:rsid w:val="00F72DFF"/>
    <w:rsid w:val="00F73A23"/>
    <w:rsid w:val="00F73FB5"/>
    <w:rsid w:val="00F741AB"/>
    <w:rsid w:val="00F74823"/>
    <w:rsid w:val="00F749CF"/>
    <w:rsid w:val="00F74CD9"/>
    <w:rsid w:val="00F75C2C"/>
    <w:rsid w:val="00F75DED"/>
    <w:rsid w:val="00F80A7B"/>
    <w:rsid w:val="00F80AE2"/>
    <w:rsid w:val="00F80E5D"/>
    <w:rsid w:val="00F812AB"/>
    <w:rsid w:val="00F8231A"/>
    <w:rsid w:val="00F824E2"/>
    <w:rsid w:val="00F82B6D"/>
    <w:rsid w:val="00F82E2C"/>
    <w:rsid w:val="00F83984"/>
    <w:rsid w:val="00F83F94"/>
    <w:rsid w:val="00F84AF6"/>
    <w:rsid w:val="00F851CE"/>
    <w:rsid w:val="00F85432"/>
    <w:rsid w:val="00F85D23"/>
    <w:rsid w:val="00F86302"/>
    <w:rsid w:val="00F90199"/>
    <w:rsid w:val="00F91219"/>
    <w:rsid w:val="00F939C7"/>
    <w:rsid w:val="00F93DF0"/>
    <w:rsid w:val="00F93ECD"/>
    <w:rsid w:val="00F943DD"/>
    <w:rsid w:val="00F94A0A"/>
    <w:rsid w:val="00F94FD8"/>
    <w:rsid w:val="00F952C8"/>
    <w:rsid w:val="00F96D58"/>
    <w:rsid w:val="00F97A78"/>
    <w:rsid w:val="00FA05BF"/>
    <w:rsid w:val="00FA091D"/>
    <w:rsid w:val="00FA0B20"/>
    <w:rsid w:val="00FA125A"/>
    <w:rsid w:val="00FA1A9F"/>
    <w:rsid w:val="00FA22FD"/>
    <w:rsid w:val="00FA235E"/>
    <w:rsid w:val="00FA24E7"/>
    <w:rsid w:val="00FA379E"/>
    <w:rsid w:val="00FA40BF"/>
    <w:rsid w:val="00FA4C32"/>
    <w:rsid w:val="00FA5110"/>
    <w:rsid w:val="00FA585A"/>
    <w:rsid w:val="00FA5A70"/>
    <w:rsid w:val="00FA69D6"/>
    <w:rsid w:val="00FA7F50"/>
    <w:rsid w:val="00FB144D"/>
    <w:rsid w:val="00FB1918"/>
    <w:rsid w:val="00FB1C33"/>
    <w:rsid w:val="00FB2815"/>
    <w:rsid w:val="00FB2FCB"/>
    <w:rsid w:val="00FB4402"/>
    <w:rsid w:val="00FB587F"/>
    <w:rsid w:val="00FB5BCA"/>
    <w:rsid w:val="00FB634A"/>
    <w:rsid w:val="00FB6724"/>
    <w:rsid w:val="00FB6AA5"/>
    <w:rsid w:val="00FB709B"/>
    <w:rsid w:val="00FB7888"/>
    <w:rsid w:val="00FC05AE"/>
    <w:rsid w:val="00FC0CA9"/>
    <w:rsid w:val="00FC0D25"/>
    <w:rsid w:val="00FC0EAA"/>
    <w:rsid w:val="00FC1074"/>
    <w:rsid w:val="00FC1884"/>
    <w:rsid w:val="00FC298A"/>
    <w:rsid w:val="00FC2E5B"/>
    <w:rsid w:val="00FC3088"/>
    <w:rsid w:val="00FC36F9"/>
    <w:rsid w:val="00FC371D"/>
    <w:rsid w:val="00FC39CF"/>
    <w:rsid w:val="00FC3F09"/>
    <w:rsid w:val="00FC47B4"/>
    <w:rsid w:val="00FC577D"/>
    <w:rsid w:val="00FC5F0B"/>
    <w:rsid w:val="00FC6078"/>
    <w:rsid w:val="00FC6D00"/>
    <w:rsid w:val="00FC6EE8"/>
    <w:rsid w:val="00FC7064"/>
    <w:rsid w:val="00FC74C5"/>
    <w:rsid w:val="00FC7B12"/>
    <w:rsid w:val="00FD118B"/>
    <w:rsid w:val="00FD2100"/>
    <w:rsid w:val="00FD24DE"/>
    <w:rsid w:val="00FD3AF5"/>
    <w:rsid w:val="00FD3DEF"/>
    <w:rsid w:val="00FD436C"/>
    <w:rsid w:val="00FD446D"/>
    <w:rsid w:val="00FD53CF"/>
    <w:rsid w:val="00FD5B02"/>
    <w:rsid w:val="00FD5FA2"/>
    <w:rsid w:val="00FD6319"/>
    <w:rsid w:val="00FD6394"/>
    <w:rsid w:val="00FD70C2"/>
    <w:rsid w:val="00FD7F70"/>
    <w:rsid w:val="00FE021E"/>
    <w:rsid w:val="00FE0E6C"/>
    <w:rsid w:val="00FE13ED"/>
    <w:rsid w:val="00FE153E"/>
    <w:rsid w:val="00FE38CC"/>
    <w:rsid w:val="00FE3E4A"/>
    <w:rsid w:val="00FE4946"/>
    <w:rsid w:val="00FE4D3E"/>
    <w:rsid w:val="00FE4DC6"/>
    <w:rsid w:val="00FE52C6"/>
    <w:rsid w:val="00FE5F50"/>
    <w:rsid w:val="00FE6FDC"/>
    <w:rsid w:val="00FE70C3"/>
    <w:rsid w:val="00FE720A"/>
    <w:rsid w:val="00FE7ED0"/>
    <w:rsid w:val="00FF00E5"/>
    <w:rsid w:val="00FF1FC5"/>
    <w:rsid w:val="00FF226B"/>
    <w:rsid w:val="00FF3938"/>
    <w:rsid w:val="00FF3DCF"/>
    <w:rsid w:val="00FF4148"/>
    <w:rsid w:val="00FF492C"/>
    <w:rsid w:val="00FF4937"/>
    <w:rsid w:val="00FF4A21"/>
    <w:rsid w:val="00FF5AA3"/>
    <w:rsid w:val="00FF5AD8"/>
    <w:rsid w:val="00FF5C94"/>
    <w:rsid w:val="00FF668D"/>
    <w:rsid w:val="00FF6DEE"/>
    <w:rsid w:val="00FF7990"/>
    <w:rsid w:val="00FF7CFA"/>
    <w:rsid w:val="00FF7D7E"/>
    <w:rsid w:val="00FF7FD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B6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lsdException w:name="List 2" w:semiHidden="1" w:unhideWhenUsed="1"/>
    <w:lsdException w:name="List 3" w:semiHidden="1"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B4"/>
    <w:pPr>
      <w:jc w:val="both"/>
    </w:pPr>
    <w:rPr>
      <w:rFonts w:ascii="Calibri" w:hAnsi="Calibri"/>
      <w:sz w:val="24"/>
      <w:szCs w:val="24"/>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304A90"/>
    <w:pPr>
      <w:outlineLvl w:val="0"/>
    </w:pPr>
    <w:rPr>
      <w:rFonts w:eastAsia="Calibri"/>
      <w:b/>
      <w:sz w:val="36"/>
      <w:szCs w:val="36"/>
    </w:rPr>
  </w:style>
  <w:style w:type="character" w:customStyle="1" w:styleId="TitleChar">
    <w:name w:val="Title Char"/>
    <w:basedOn w:val="DefaultParagraphFont"/>
    <w:link w:val="Title"/>
    <w:rsid w:val="00304A90"/>
    <w:rPr>
      <w:rFonts w:ascii="Calibri" w:eastAsia="Calibri" w:hAnsi="Calibri"/>
      <w:b/>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B1AE5"/>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NoSpacingChar">
    <w:name w:val="No Spacing Char"/>
    <w:basedOn w:val="DefaultParagraphFont"/>
    <w:link w:val="NoSpacing"/>
    <w:uiPriority w:val="1"/>
    <w:rsid w:val="007D7AB0"/>
    <w:rPr>
      <w:rFonts w:ascii="Arial" w:hAnsi="Arial" w:cs="Arial"/>
      <w:snapToGrid w:val="0"/>
      <w:sz w:val="22"/>
      <w:lang w:eastAsia="en-US"/>
    </w:rPr>
  </w:style>
  <w:style w:type="paragraph" w:styleId="FootnoteText">
    <w:name w:val="footnote text"/>
    <w:basedOn w:val="Normal"/>
    <w:link w:val="FootnoteTextChar"/>
    <w:unhideWhenUsed/>
    <w:rsid w:val="007D7AB0"/>
    <w:rPr>
      <w:snapToGrid w:val="0"/>
      <w:sz w:val="20"/>
      <w:szCs w:val="20"/>
    </w:rPr>
  </w:style>
  <w:style w:type="character" w:customStyle="1" w:styleId="FootnoteTextChar">
    <w:name w:val="Footnote Text Char"/>
    <w:basedOn w:val="DefaultParagraphFont"/>
    <w:link w:val="FootnoteText"/>
    <w:rsid w:val="007D7AB0"/>
    <w:rPr>
      <w:rFonts w:ascii="Calibri" w:hAnsi="Calibri"/>
      <w:lang w:eastAsia="en-US"/>
    </w:rPr>
  </w:style>
  <w:style w:type="character" w:styleId="FootnoteReference">
    <w:name w:val="footnote reference"/>
    <w:basedOn w:val="DefaultParagraphFont"/>
    <w:unhideWhenUsed/>
    <w:rsid w:val="007D7AB0"/>
    <w:rPr>
      <w:vertAlign w:val="superscript"/>
    </w:rPr>
  </w:style>
  <w:style w:type="paragraph" w:customStyle="1" w:styleId="TableText0">
    <w:name w:val="Table Text"/>
    <w:basedOn w:val="Normal"/>
    <w:qFormat/>
    <w:rsid w:val="007D7AB0"/>
    <w:pPr>
      <w:spacing w:before="40" w:after="40"/>
      <w:jc w:val="left"/>
    </w:pPr>
    <w:rPr>
      <w:rFonts w:ascii="Arial Narrow" w:eastAsiaTheme="minorHAnsi" w:hAnsi="Arial Narrow" w:cstheme="minorBidi"/>
      <w:snapToGrid w:val="0"/>
      <w:sz w:val="20"/>
    </w:rPr>
  </w:style>
  <w:style w:type="paragraph" w:customStyle="1" w:styleId="TableNoteBullet">
    <w:name w:val="Table Note Bullet"/>
    <w:basedOn w:val="Normal"/>
    <w:qFormat/>
    <w:rsid w:val="007D7AB0"/>
    <w:pPr>
      <w:numPr>
        <w:numId w:val="3"/>
      </w:numPr>
      <w:spacing w:after="60"/>
      <w:ind w:left="357" w:hanging="357"/>
      <w:jc w:val="left"/>
    </w:pPr>
    <w:rPr>
      <w:rFonts w:asciiTheme="minorHAnsi" w:eastAsiaTheme="minorHAnsi" w:hAnsiTheme="minorHAnsi" w:cstheme="minorBidi"/>
      <w:snapToGrid w:val="0"/>
      <w:sz w:val="18"/>
    </w:rPr>
  </w:style>
  <w:style w:type="paragraph" w:styleId="ListBullet">
    <w:name w:val="List Bullet"/>
    <w:basedOn w:val="Normal"/>
    <w:link w:val="ListBulletChar"/>
    <w:uiPriority w:val="16"/>
    <w:rsid w:val="003E57AD"/>
    <w:pPr>
      <w:numPr>
        <w:numId w:val="4"/>
      </w:numPr>
      <w:spacing w:after="120"/>
      <w:jc w:val="left"/>
    </w:pPr>
    <w:rPr>
      <w:rFonts w:ascii="Arial" w:eastAsiaTheme="minorHAnsi" w:hAnsi="Arial" w:cstheme="minorBidi"/>
      <w:sz w:val="20"/>
      <w:szCs w:val="20"/>
    </w:rPr>
  </w:style>
  <w:style w:type="paragraph" w:styleId="ListBullet2">
    <w:name w:val="List Bullet 2"/>
    <w:basedOn w:val="ListBullet"/>
    <w:uiPriority w:val="16"/>
    <w:rsid w:val="003E57AD"/>
    <w:pPr>
      <w:numPr>
        <w:ilvl w:val="1"/>
      </w:numPr>
      <w:ind w:left="1440" w:hanging="360"/>
    </w:pPr>
  </w:style>
  <w:style w:type="paragraph" w:styleId="ListBullet3">
    <w:name w:val="List Bullet 3"/>
    <w:basedOn w:val="Normal"/>
    <w:uiPriority w:val="16"/>
    <w:rsid w:val="003E57AD"/>
    <w:pPr>
      <w:numPr>
        <w:ilvl w:val="2"/>
        <w:numId w:val="4"/>
      </w:numPr>
      <w:spacing w:after="120"/>
      <w:contextualSpacing/>
      <w:jc w:val="left"/>
    </w:pPr>
    <w:rPr>
      <w:rFonts w:ascii="Arial" w:eastAsiaTheme="minorHAnsi" w:hAnsi="Arial" w:cstheme="minorBidi"/>
      <w:sz w:val="20"/>
      <w:szCs w:val="20"/>
    </w:rPr>
  </w:style>
  <w:style w:type="paragraph" w:styleId="ListBullet4">
    <w:name w:val="List Bullet 4"/>
    <w:basedOn w:val="Normal"/>
    <w:uiPriority w:val="16"/>
    <w:rsid w:val="003E57AD"/>
    <w:pPr>
      <w:numPr>
        <w:ilvl w:val="3"/>
        <w:numId w:val="4"/>
      </w:numPr>
      <w:spacing w:after="120"/>
      <w:contextualSpacing/>
      <w:jc w:val="left"/>
    </w:pPr>
    <w:rPr>
      <w:rFonts w:ascii="Arial" w:eastAsiaTheme="minorHAnsi" w:hAnsi="Arial" w:cstheme="minorBidi"/>
      <w:sz w:val="20"/>
      <w:szCs w:val="20"/>
    </w:rPr>
  </w:style>
  <w:style w:type="character" w:customStyle="1" w:styleId="ListBulletChar">
    <w:name w:val="List Bullet Char"/>
    <w:basedOn w:val="DefaultParagraphFont"/>
    <w:link w:val="ListBullet"/>
    <w:uiPriority w:val="16"/>
    <w:rsid w:val="003E57AD"/>
    <w:rPr>
      <w:rFonts w:ascii="Arial" w:eastAsiaTheme="minorHAnsi" w:hAnsi="Arial" w:cstheme="minorBidi"/>
      <w:lang w:eastAsia="en-US"/>
    </w:rPr>
  </w:style>
  <w:style w:type="character" w:customStyle="1" w:styleId="UnresolvedMention1">
    <w:name w:val="Unresolved Mention1"/>
    <w:basedOn w:val="DefaultParagraphFont"/>
    <w:uiPriority w:val="99"/>
    <w:semiHidden/>
    <w:unhideWhenUsed/>
    <w:rsid w:val="00E15194"/>
    <w:rPr>
      <w:color w:val="605E5C"/>
      <w:shd w:val="clear" w:color="auto" w:fill="E1DFDD"/>
    </w:rPr>
  </w:style>
  <w:style w:type="paragraph" w:customStyle="1" w:styleId="V50Instructions">
    <w:name w:val="V5.0 Instructions"/>
    <w:basedOn w:val="Normal"/>
    <w:link w:val="V50InstructionsChar"/>
    <w:qFormat/>
    <w:rsid w:val="00E75923"/>
    <w:pPr>
      <w:spacing w:before="120" w:after="160"/>
      <w:jc w:val="left"/>
    </w:pPr>
    <w:rPr>
      <w:rFonts w:asciiTheme="minorHAnsi" w:eastAsiaTheme="minorHAnsi" w:hAnsiTheme="minorHAnsi" w:cstheme="minorBidi"/>
      <w:color w:val="4BACC6" w:themeColor="accent5"/>
    </w:rPr>
  </w:style>
  <w:style w:type="character" w:customStyle="1" w:styleId="V50InstructionsChar">
    <w:name w:val="V5.0 Instructions Char"/>
    <w:basedOn w:val="DefaultParagraphFont"/>
    <w:link w:val="V50Instructions"/>
    <w:rsid w:val="00E75923"/>
    <w:rPr>
      <w:rFonts w:asciiTheme="minorHAnsi" w:eastAsiaTheme="minorHAnsi" w:hAnsiTheme="minorHAnsi" w:cstheme="minorBidi"/>
      <w:snapToGrid w:val="0"/>
      <w:color w:val="4BACC6" w:themeColor="accent5"/>
      <w:sz w:val="24"/>
      <w:szCs w:val="24"/>
      <w:lang w:eastAsia="en-US"/>
    </w:rPr>
  </w:style>
  <w:style w:type="paragraph" w:customStyle="1" w:styleId="TableText1">
    <w:name w:val="TableText"/>
    <w:basedOn w:val="Normal"/>
    <w:link w:val="TableTextChar0"/>
    <w:uiPriority w:val="3"/>
    <w:rsid w:val="00E75923"/>
    <w:pPr>
      <w:keepNext/>
      <w:spacing w:before="40" w:after="40"/>
      <w:jc w:val="left"/>
    </w:pPr>
    <w:rPr>
      <w:rFonts w:ascii="Arial Narrow" w:hAnsi="Arial Narrow" w:cs="Arial Narrow"/>
      <w:sz w:val="20"/>
      <w:szCs w:val="20"/>
    </w:rPr>
  </w:style>
  <w:style w:type="character" w:customStyle="1" w:styleId="TableTextChar0">
    <w:name w:val="TableText Char"/>
    <w:basedOn w:val="DefaultParagraphFont"/>
    <w:link w:val="TableText1"/>
    <w:uiPriority w:val="3"/>
    <w:rsid w:val="00E75923"/>
    <w:rPr>
      <w:rFonts w:ascii="Arial Narrow" w:hAnsi="Arial Narrow" w:cs="Arial Narrow"/>
      <w:snapToGrid w:val="0"/>
      <w:lang w:eastAsia="en-US"/>
    </w:rPr>
  </w:style>
  <w:style w:type="paragraph" w:customStyle="1" w:styleId="TableHeadingRow">
    <w:name w:val="TableHeadingRow"/>
    <w:basedOn w:val="Normal"/>
    <w:uiPriority w:val="3"/>
    <w:qFormat/>
    <w:rsid w:val="00E75923"/>
    <w:pPr>
      <w:keepNext/>
      <w:spacing w:before="20" w:after="20"/>
      <w:jc w:val="left"/>
    </w:pPr>
    <w:rPr>
      <w:rFonts w:cstheme="minorHAnsi"/>
      <w:b/>
      <w:sz w:val="20"/>
      <w:szCs w:val="20"/>
    </w:rPr>
  </w:style>
  <w:style w:type="paragraph" w:customStyle="1" w:styleId="Default">
    <w:name w:val="Default"/>
    <w:rsid w:val="000F4332"/>
    <w:pPr>
      <w:autoSpaceDE w:val="0"/>
      <w:autoSpaceDN w:val="0"/>
      <w:adjustRightInd w:val="0"/>
    </w:pPr>
    <w:rPr>
      <w:color w:val="000000"/>
      <w:sz w:val="24"/>
      <w:szCs w:val="24"/>
      <w:lang w:val="en-US"/>
    </w:rPr>
  </w:style>
  <w:style w:type="table" w:customStyle="1" w:styleId="Summarybox2">
    <w:name w:val="Summary box2"/>
    <w:basedOn w:val="TableNormal"/>
    <w:uiPriority w:val="59"/>
    <w:rsid w:val="00BF5F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rsid w:val="00BD6B92"/>
    <w:pPr>
      <w:spacing w:before="40" w:after="40"/>
      <w:jc w:val="left"/>
    </w:pPr>
    <w:rPr>
      <w:rFonts w:ascii="Arial Narrow" w:hAnsi="Arial Narrow"/>
      <w:snapToGrid w:val="0"/>
      <w:sz w:val="20"/>
      <w:szCs w:val="20"/>
    </w:rPr>
  </w:style>
  <w:style w:type="character" w:customStyle="1" w:styleId="PBACTableTextChar">
    <w:name w:val="PBAC Table Text Char"/>
    <w:basedOn w:val="DefaultParagraphFont"/>
    <w:link w:val="PBACTableText"/>
    <w:rsid w:val="00BD6B92"/>
    <w:rPr>
      <w:rFonts w:ascii="Arial Narrow" w:hAnsi="Arial Narrow"/>
      <w:lang w:eastAsia="en-US"/>
    </w:rPr>
  </w:style>
  <w:style w:type="paragraph" w:customStyle="1" w:styleId="PbacTableHeading">
    <w:name w:val="Pbac Table Heading"/>
    <w:basedOn w:val="PBACTableText"/>
    <w:rsid w:val="00BD6B92"/>
    <w:pPr>
      <w:spacing w:before="0" w:after="80"/>
    </w:pPr>
    <w:rPr>
      <w:rFonts w:eastAsiaTheme="minorHAnsi" w:cs="Arial"/>
      <w:b/>
    </w:rPr>
  </w:style>
  <w:style w:type="paragraph" w:customStyle="1" w:styleId="NormalStyle">
    <w:name w:val="Normal Style"/>
    <w:basedOn w:val="Normal"/>
    <w:link w:val="NormalStyleChar"/>
    <w:qFormat/>
    <w:rsid w:val="00E82B62"/>
    <w:pPr>
      <w:spacing w:after="120" w:line="360" w:lineRule="auto"/>
      <w:jc w:val="left"/>
    </w:pPr>
    <w:rPr>
      <w:rFonts w:ascii="Arial" w:hAnsi="Arial"/>
      <w:sz w:val="20"/>
    </w:rPr>
  </w:style>
  <w:style w:type="character" w:customStyle="1" w:styleId="NormalStyleChar">
    <w:name w:val="Normal Style Char"/>
    <w:basedOn w:val="DefaultParagraphFont"/>
    <w:link w:val="NormalStyle"/>
    <w:rsid w:val="00E82B62"/>
    <w:rPr>
      <w:rFonts w:ascii="Arial" w:hAnsi="Arial"/>
      <w:szCs w:val="24"/>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8742E"/>
    <w:pPr>
      <w:spacing w:after="160" w:line="240" w:lineRule="exact"/>
      <w:jc w:val="left"/>
    </w:pPr>
    <w:rPr>
      <w:rFonts w:ascii="Verdana" w:eastAsia="MS Mincho" w:hAnsi="Verdana" w:cs="Verdana"/>
      <w:sz w:val="20"/>
      <w:szCs w:val="20"/>
      <w:lang w:val="en-US"/>
    </w:rPr>
  </w:style>
  <w:style w:type="paragraph" w:styleId="ListBullet5">
    <w:name w:val="List Bullet 5"/>
    <w:basedOn w:val="Normal"/>
    <w:uiPriority w:val="99"/>
    <w:semiHidden/>
    <w:rsid w:val="000E3BDB"/>
    <w:pPr>
      <w:numPr>
        <w:numId w:val="6"/>
      </w:numPr>
      <w:spacing w:after="120"/>
      <w:contextualSpacing/>
      <w:jc w:val="left"/>
    </w:pPr>
    <w:rPr>
      <w:rFonts w:ascii="Arial" w:eastAsiaTheme="minorHAnsi" w:hAnsi="Arial"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8999">
      <w:bodyDiv w:val="1"/>
      <w:marLeft w:val="0"/>
      <w:marRight w:val="0"/>
      <w:marTop w:val="0"/>
      <w:marBottom w:val="0"/>
      <w:divBdr>
        <w:top w:val="none" w:sz="0" w:space="0" w:color="auto"/>
        <w:left w:val="none" w:sz="0" w:space="0" w:color="auto"/>
        <w:bottom w:val="none" w:sz="0" w:space="0" w:color="auto"/>
        <w:right w:val="none" w:sz="0" w:space="0" w:color="auto"/>
      </w:divBdr>
      <w:divsChild>
        <w:div w:id="1544975211">
          <w:marLeft w:val="0"/>
          <w:marRight w:val="0"/>
          <w:marTop w:val="0"/>
          <w:marBottom w:val="0"/>
          <w:divBdr>
            <w:top w:val="none" w:sz="0" w:space="0" w:color="auto"/>
            <w:left w:val="none" w:sz="0" w:space="0" w:color="auto"/>
            <w:bottom w:val="none" w:sz="0" w:space="0" w:color="auto"/>
            <w:right w:val="none" w:sz="0" w:space="0" w:color="auto"/>
          </w:divBdr>
          <w:divsChild>
            <w:div w:id="681586757">
              <w:marLeft w:val="0"/>
              <w:marRight w:val="0"/>
              <w:marTop w:val="0"/>
              <w:marBottom w:val="0"/>
              <w:divBdr>
                <w:top w:val="none" w:sz="0" w:space="0" w:color="auto"/>
                <w:left w:val="none" w:sz="0" w:space="0" w:color="auto"/>
                <w:bottom w:val="none" w:sz="0" w:space="0" w:color="auto"/>
                <w:right w:val="none" w:sz="0" w:space="0" w:color="auto"/>
              </w:divBdr>
              <w:divsChild>
                <w:div w:id="355810343">
                  <w:marLeft w:val="0"/>
                  <w:marRight w:val="0"/>
                  <w:marTop w:val="0"/>
                  <w:marBottom w:val="0"/>
                  <w:divBdr>
                    <w:top w:val="none" w:sz="0" w:space="0" w:color="auto"/>
                    <w:left w:val="none" w:sz="0" w:space="0" w:color="auto"/>
                    <w:bottom w:val="none" w:sz="0" w:space="0" w:color="auto"/>
                    <w:right w:val="none" w:sz="0" w:space="0" w:color="auto"/>
                  </w:divBdr>
                  <w:divsChild>
                    <w:div w:id="2035568763">
                      <w:marLeft w:val="0"/>
                      <w:marRight w:val="0"/>
                      <w:marTop w:val="0"/>
                      <w:marBottom w:val="0"/>
                      <w:divBdr>
                        <w:top w:val="none" w:sz="0" w:space="0" w:color="auto"/>
                        <w:left w:val="none" w:sz="0" w:space="0" w:color="auto"/>
                        <w:bottom w:val="none" w:sz="0" w:space="0" w:color="auto"/>
                        <w:right w:val="none" w:sz="0" w:space="0" w:color="auto"/>
                      </w:divBdr>
                    </w:div>
                  </w:divsChild>
                </w:div>
                <w:div w:id="426464962">
                  <w:marLeft w:val="0"/>
                  <w:marRight w:val="0"/>
                  <w:marTop w:val="0"/>
                  <w:marBottom w:val="0"/>
                  <w:divBdr>
                    <w:top w:val="none" w:sz="0" w:space="0" w:color="auto"/>
                    <w:left w:val="none" w:sz="0" w:space="0" w:color="auto"/>
                    <w:bottom w:val="none" w:sz="0" w:space="0" w:color="auto"/>
                    <w:right w:val="none" w:sz="0" w:space="0" w:color="auto"/>
                  </w:divBdr>
                  <w:divsChild>
                    <w:div w:id="350910620">
                      <w:marLeft w:val="0"/>
                      <w:marRight w:val="0"/>
                      <w:marTop w:val="0"/>
                      <w:marBottom w:val="0"/>
                      <w:divBdr>
                        <w:top w:val="none" w:sz="0" w:space="0" w:color="auto"/>
                        <w:left w:val="none" w:sz="0" w:space="0" w:color="auto"/>
                        <w:bottom w:val="none" w:sz="0" w:space="0" w:color="auto"/>
                        <w:right w:val="none" w:sz="0" w:space="0" w:color="auto"/>
                      </w:divBdr>
                    </w:div>
                  </w:divsChild>
                </w:div>
                <w:div w:id="544486823">
                  <w:marLeft w:val="0"/>
                  <w:marRight w:val="0"/>
                  <w:marTop w:val="0"/>
                  <w:marBottom w:val="0"/>
                  <w:divBdr>
                    <w:top w:val="none" w:sz="0" w:space="0" w:color="auto"/>
                    <w:left w:val="none" w:sz="0" w:space="0" w:color="auto"/>
                    <w:bottom w:val="none" w:sz="0" w:space="0" w:color="auto"/>
                    <w:right w:val="none" w:sz="0" w:space="0" w:color="auto"/>
                  </w:divBdr>
                  <w:divsChild>
                    <w:div w:id="2138334663">
                      <w:marLeft w:val="0"/>
                      <w:marRight w:val="0"/>
                      <w:marTop w:val="0"/>
                      <w:marBottom w:val="0"/>
                      <w:divBdr>
                        <w:top w:val="none" w:sz="0" w:space="0" w:color="auto"/>
                        <w:left w:val="none" w:sz="0" w:space="0" w:color="auto"/>
                        <w:bottom w:val="none" w:sz="0" w:space="0" w:color="auto"/>
                        <w:right w:val="none" w:sz="0" w:space="0" w:color="auto"/>
                      </w:divBdr>
                    </w:div>
                  </w:divsChild>
                </w:div>
                <w:div w:id="627467772">
                  <w:marLeft w:val="0"/>
                  <w:marRight w:val="0"/>
                  <w:marTop w:val="0"/>
                  <w:marBottom w:val="0"/>
                  <w:divBdr>
                    <w:top w:val="none" w:sz="0" w:space="0" w:color="auto"/>
                    <w:left w:val="none" w:sz="0" w:space="0" w:color="auto"/>
                    <w:bottom w:val="none" w:sz="0" w:space="0" w:color="auto"/>
                    <w:right w:val="none" w:sz="0" w:space="0" w:color="auto"/>
                  </w:divBdr>
                  <w:divsChild>
                    <w:div w:id="1886411066">
                      <w:marLeft w:val="0"/>
                      <w:marRight w:val="0"/>
                      <w:marTop w:val="0"/>
                      <w:marBottom w:val="0"/>
                      <w:divBdr>
                        <w:top w:val="none" w:sz="0" w:space="0" w:color="auto"/>
                        <w:left w:val="none" w:sz="0" w:space="0" w:color="auto"/>
                        <w:bottom w:val="none" w:sz="0" w:space="0" w:color="auto"/>
                        <w:right w:val="none" w:sz="0" w:space="0" w:color="auto"/>
                      </w:divBdr>
                    </w:div>
                  </w:divsChild>
                </w:div>
                <w:div w:id="855653568">
                  <w:marLeft w:val="0"/>
                  <w:marRight w:val="0"/>
                  <w:marTop w:val="0"/>
                  <w:marBottom w:val="0"/>
                  <w:divBdr>
                    <w:top w:val="none" w:sz="0" w:space="0" w:color="auto"/>
                    <w:left w:val="none" w:sz="0" w:space="0" w:color="auto"/>
                    <w:bottom w:val="none" w:sz="0" w:space="0" w:color="auto"/>
                    <w:right w:val="none" w:sz="0" w:space="0" w:color="auto"/>
                  </w:divBdr>
                  <w:divsChild>
                    <w:div w:id="357435894">
                      <w:marLeft w:val="0"/>
                      <w:marRight w:val="0"/>
                      <w:marTop w:val="0"/>
                      <w:marBottom w:val="0"/>
                      <w:divBdr>
                        <w:top w:val="none" w:sz="0" w:space="0" w:color="auto"/>
                        <w:left w:val="none" w:sz="0" w:space="0" w:color="auto"/>
                        <w:bottom w:val="none" w:sz="0" w:space="0" w:color="auto"/>
                        <w:right w:val="none" w:sz="0" w:space="0" w:color="auto"/>
                      </w:divBdr>
                    </w:div>
                  </w:divsChild>
                </w:div>
                <w:div w:id="1268778955">
                  <w:marLeft w:val="0"/>
                  <w:marRight w:val="0"/>
                  <w:marTop w:val="0"/>
                  <w:marBottom w:val="0"/>
                  <w:divBdr>
                    <w:top w:val="none" w:sz="0" w:space="0" w:color="auto"/>
                    <w:left w:val="none" w:sz="0" w:space="0" w:color="auto"/>
                    <w:bottom w:val="none" w:sz="0" w:space="0" w:color="auto"/>
                    <w:right w:val="none" w:sz="0" w:space="0" w:color="auto"/>
                  </w:divBdr>
                  <w:divsChild>
                    <w:div w:id="1300917201">
                      <w:marLeft w:val="0"/>
                      <w:marRight w:val="0"/>
                      <w:marTop w:val="0"/>
                      <w:marBottom w:val="0"/>
                      <w:divBdr>
                        <w:top w:val="none" w:sz="0" w:space="0" w:color="auto"/>
                        <w:left w:val="none" w:sz="0" w:space="0" w:color="auto"/>
                        <w:bottom w:val="none" w:sz="0" w:space="0" w:color="auto"/>
                        <w:right w:val="none" w:sz="0" w:space="0" w:color="auto"/>
                      </w:divBdr>
                    </w:div>
                  </w:divsChild>
                </w:div>
                <w:div w:id="2071153646">
                  <w:marLeft w:val="0"/>
                  <w:marRight w:val="0"/>
                  <w:marTop w:val="0"/>
                  <w:marBottom w:val="0"/>
                  <w:divBdr>
                    <w:top w:val="none" w:sz="0" w:space="0" w:color="auto"/>
                    <w:left w:val="none" w:sz="0" w:space="0" w:color="auto"/>
                    <w:bottom w:val="none" w:sz="0" w:space="0" w:color="auto"/>
                    <w:right w:val="none" w:sz="0" w:space="0" w:color="auto"/>
                  </w:divBdr>
                  <w:divsChild>
                    <w:div w:id="16399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9239">
              <w:marLeft w:val="0"/>
              <w:marRight w:val="0"/>
              <w:marTop w:val="0"/>
              <w:marBottom w:val="0"/>
              <w:divBdr>
                <w:top w:val="none" w:sz="0" w:space="0" w:color="auto"/>
                <w:left w:val="none" w:sz="0" w:space="0" w:color="auto"/>
                <w:bottom w:val="none" w:sz="0" w:space="0" w:color="auto"/>
                <w:right w:val="none" w:sz="0" w:space="0" w:color="auto"/>
              </w:divBdr>
              <w:divsChild>
                <w:div w:id="32117112">
                  <w:marLeft w:val="0"/>
                  <w:marRight w:val="0"/>
                  <w:marTop w:val="0"/>
                  <w:marBottom w:val="0"/>
                  <w:divBdr>
                    <w:top w:val="none" w:sz="0" w:space="0" w:color="auto"/>
                    <w:left w:val="none" w:sz="0" w:space="0" w:color="auto"/>
                    <w:bottom w:val="none" w:sz="0" w:space="0" w:color="auto"/>
                    <w:right w:val="none" w:sz="0" w:space="0" w:color="auto"/>
                  </w:divBdr>
                  <w:divsChild>
                    <w:div w:id="1949775532">
                      <w:marLeft w:val="0"/>
                      <w:marRight w:val="0"/>
                      <w:marTop w:val="0"/>
                      <w:marBottom w:val="0"/>
                      <w:divBdr>
                        <w:top w:val="none" w:sz="0" w:space="0" w:color="auto"/>
                        <w:left w:val="none" w:sz="0" w:space="0" w:color="auto"/>
                        <w:bottom w:val="none" w:sz="0" w:space="0" w:color="auto"/>
                        <w:right w:val="none" w:sz="0" w:space="0" w:color="auto"/>
                      </w:divBdr>
                    </w:div>
                  </w:divsChild>
                </w:div>
                <w:div w:id="104888535">
                  <w:marLeft w:val="0"/>
                  <w:marRight w:val="0"/>
                  <w:marTop w:val="0"/>
                  <w:marBottom w:val="0"/>
                  <w:divBdr>
                    <w:top w:val="none" w:sz="0" w:space="0" w:color="auto"/>
                    <w:left w:val="none" w:sz="0" w:space="0" w:color="auto"/>
                    <w:bottom w:val="none" w:sz="0" w:space="0" w:color="auto"/>
                    <w:right w:val="none" w:sz="0" w:space="0" w:color="auto"/>
                  </w:divBdr>
                  <w:divsChild>
                    <w:div w:id="1901818665">
                      <w:marLeft w:val="0"/>
                      <w:marRight w:val="0"/>
                      <w:marTop w:val="0"/>
                      <w:marBottom w:val="0"/>
                      <w:divBdr>
                        <w:top w:val="none" w:sz="0" w:space="0" w:color="auto"/>
                        <w:left w:val="none" w:sz="0" w:space="0" w:color="auto"/>
                        <w:bottom w:val="none" w:sz="0" w:space="0" w:color="auto"/>
                        <w:right w:val="none" w:sz="0" w:space="0" w:color="auto"/>
                      </w:divBdr>
                    </w:div>
                  </w:divsChild>
                </w:div>
                <w:div w:id="513957095">
                  <w:marLeft w:val="0"/>
                  <w:marRight w:val="0"/>
                  <w:marTop w:val="0"/>
                  <w:marBottom w:val="0"/>
                  <w:divBdr>
                    <w:top w:val="none" w:sz="0" w:space="0" w:color="auto"/>
                    <w:left w:val="none" w:sz="0" w:space="0" w:color="auto"/>
                    <w:bottom w:val="none" w:sz="0" w:space="0" w:color="auto"/>
                    <w:right w:val="none" w:sz="0" w:space="0" w:color="auto"/>
                  </w:divBdr>
                  <w:divsChild>
                    <w:div w:id="1353217433">
                      <w:marLeft w:val="0"/>
                      <w:marRight w:val="0"/>
                      <w:marTop w:val="0"/>
                      <w:marBottom w:val="0"/>
                      <w:divBdr>
                        <w:top w:val="none" w:sz="0" w:space="0" w:color="auto"/>
                        <w:left w:val="none" w:sz="0" w:space="0" w:color="auto"/>
                        <w:bottom w:val="none" w:sz="0" w:space="0" w:color="auto"/>
                        <w:right w:val="none" w:sz="0" w:space="0" w:color="auto"/>
                      </w:divBdr>
                    </w:div>
                  </w:divsChild>
                </w:div>
                <w:div w:id="624458996">
                  <w:marLeft w:val="0"/>
                  <w:marRight w:val="0"/>
                  <w:marTop w:val="0"/>
                  <w:marBottom w:val="0"/>
                  <w:divBdr>
                    <w:top w:val="none" w:sz="0" w:space="0" w:color="auto"/>
                    <w:left w:val="none" w:sz="0" w:space="0" w:color="auto"/>
                    <w:bottom w:val="none" w:sz="0" w:space="0" w:color="auto"/>
                    <w:right w:val="none" w:sz="0" w:space="0" w:color="auto"/>
                  </w:divBdr>
                  <w:divsChild>
                    <w:div w:id="1908490272">
                      <w:marLeft w:val="0"/>
                      <w:marRight w:val="0"/>
                      <w:marTop w:val="0"/>
                      <w:marBottom w:val="0"/>
                      <w:divBdr>
                        <w:top w:val="none" w:sz="0" w:space="0" w:color="auto"/>
                        <w:left w:val="none" w:sz="0" w:space="0" w:color="auto"/>
                        <w:bottom w:val="none" w:sz="0" w:space="0" w:color="auto"/>
                        <w:right w:val="none" w:sz="0" w:space="0" w:color="auto"/>
                      </w:divBdr>
                    </w:div>
                  </w:divsChild>
                </w:div>
                <w:div w:id="735471015">
                  <w:marLeft w:val="0"/>
                  <w:marRight w:val="0"/>
                  <w:marTop w:val="0"/>
                  <w:marBottom w:val="0"/>
                  <w:divBdr>
                    <w:top w:val="none" w:sz="0" w:space="0" w:color="auto"/>
                    <w:left w:val="none" w:sz="0" w:space="0" w:color="auto"/>
                    <w:bottom w:val="none" w:sz="0" w:space="0" w:color="auto"/>
                    <w:right w:val="none" w:sz="0" w:space="0" w:color="auto"/>
                  </w:divBdr>
                  <w:divsChild>
                    <w:div w:id="669219770">
                      <w:marLeft w:val="0"/>
                      <w:marRight w:val="0"/>
                      <w:marTop w:val="0"/>
                      <w:marBottom w:val="0"/>
                      <w:divBdr>
                        <w:top w:val="none" w:sz="0" w:space="0" w:color="auto"/>
                        <w:left w:val="none" w:sz="0" w:space="0" w:color="auto"/>
                        <w:bottom w:val="none" w:sz="0" w:space="0" w:color="auto"/>
                        <w:right w:val="none" w:sz="0" w:space="0" w:color="auto"/>
                      </w:divBdr>
                    </w:div>
                  </w:divsChild>
                </w:div>
                <w:div w:id="1160774636">
                  <w:marLeft w:val="0"/>
                  <w:marRight w:val="0"/>
                  <w:marTop w:val="0"/>
                  <w:marBottom w:val="0"/>
                  <w:divBdr>
                    <w:top w:val="none" w:sz="0" w:space="0" w:color="auto"/>
                    <w:left w:val="none" w:sz="0" w:space="0" w:color="auto"/>
                    <w:bottom w:val="none" w:sz="0" w:space="0" w:color="auto"/>
                    <w:right w:val="none" w:sz="0" w:space="0" w:color="auto"/>
                  </w:divBdr>
                  <w:divsChild>
                    <w:div w:id="1677615686">
                      <w:marLeft w:val="0"/>
                      <w:marRight w:val="0"/>
                      <w:marTop w:val="0"/>
                      <w:marBottom w:val="0"/>
                      <w:divBdr>
                        <w:top w:val="none" w:sz="0" w:space="0" w:color="auto"/>
                        <w:left w:val="none" w:sz="0" w:space="0" w:color="auto"/>
                        <w:bottom w:val="none" w:sz="0" w:space="0" w:color="auto"/>
                        <w:right w:val="none" w:sz="0" w:space="0" w:color="auto"/>
                      </w:divBdr>
                    </w:div>
                  </w:divsChild>
                </w:div>
                <w:div w:id="1548688580">
                  <w:marLeft w:val="0"/>
                  <w:marRight w:val="0"/>
                  <w:marTop w:val="0"/>
                  <w:marBottom w:val="0"/>
                  <w:divBdr>
                    <w:top w:val="none" w:sz="0" w:space="0" w:color="auto"/>
                    <w:left w:val="none" w:sz="0" w:space="0" w:color="auto"/>
                    <w:bottom w:val="none" w:sz="0" w:space="0" w:color="auto"/>
                    <w:right w:val="none" w:sz="0" w:space="0" w:color="auto"/>
                  </w:divBdr>
                  <w:divsChild>
                    <w:div w:id="519052299">
                      <w:marLeft w:val="0"/>
                      <w:marRight w:val="0"/>
                      <w:marTop w:val="0"/>
                      <w:marBottom w:val="0"/>
                      <w:divBdr>
                        <w:top w:val="none" w:sz="0" w:space="0" w:color="auto"/>
                        <w:left w:val="none" w:sz="0" w:space="0" w:color="auto"/>
                        <w:bottom w:val="none" w:sz="0" w:space="0" w:color="auto"/>
                        <w:right w:val="none" w:sz="0" w:space="0" w:color="auto"/>
                      </w:divBdr>
                    </w:div>
                  </w:divsChild>
                </w:div>
                <w:div w:id="1708335158">
                  <w:marLeft w:val="0"/>
                  <w:marRight w:val="0"/>
                  <w:marTop w:val="0"/>
                  <w:marBottom w:val="0"/>
                  <w:divBdr>
                    <w:top w:val="none" w:sz="0" w:space="0" w:color="auto"/>
                    <w:left w:val="none" w:sz="0" w:space="0" w:color="auto"/>
                    <w:bottom w:val="none" w:sz="0" w:space="0" w:color="auto"/>
                    <w:right w:val="none" w:sz="0" w:space="0" w:color="auto"/>
                  </w:divBdr>
                  <w:divsChild>
                    <w:div w:id="210920591">
                      <w:marLeft w:val="0"/>
                      <w:marRight w:val="0"/>
                      <w:marTop w:val="0"/>
                      <w:marBottom w:val="0"/>
                      <w:divBdr>
                        <w:top w:val="none" w:sz="0" w:space="0" w:color="auto"/>
                        <w:left w:val="none" w:sz="0" w:space="0" w:color="auto"/>
                        <w:bottom w:val="none" w:sz="0" w:space="0" w:color="auto"/>
                        <w:right w:val="none" w:sz="0" w:space="0" w:color="auto"/>
                      </w:divBdr>
                    </w:div>
                  </w:divsChild>
                </w:div>
                <w:div w:id="1752039484">
                  <w:marLeft w:val="0"/>
                  <w:marRight w:val="0"/>
                  <w:marTop w:val="0"/>
                  <w:marBottom w:val="0"/>
                  <w:divBdr>
                    <w:top w:val="none" w:sz="0" w:space="0" w:color="auto"/>
                    <w:left w:val="none" w:sz="0" w:space="0" w:color="auto"/>
                    <w:bottom w:val="none" w:sz="0" w:space="0" w:color="auto"/>
                    <w:right w:val="none" w:sz="0" w:space="0" w:color="auto"/>
                  </w:divBdr>
                  <w:divsChild>
                    <w:div w:id="1201358439">
                      <w:marLeft w:val="0"/>
                      <w:marRight w:val="0"/>
                      <w:marTop w:val="0"/>
                      <w:marBottom w:val="0"/>
                      <w:divBdr>
                        <w:top w:val="none" w:sz="0" w:space="0" w:color="auto"/>
                        <w:left w:val="none" w:sz="0" w:space="0" w:color="auto"/>
                        <w:bottom w:val="none" w:sz="0" w:space="0" w:color="auto"/>
                        <w:right w:val="none" w:sz="0" w:space="0" w:color="auto"/>
                      </w:divBdr>
                    </w:div>
                  </w:divsChild>
                </w:div>
                <w:div w:id="1947888600">
                  <w:marLeft w:val="0"/>
                  <w:marRight w:val="0"/>
                  <w:marTop w:val="0"/>
                  <w:marBottom w:val="0"/>
                  <w:divBdr>
                    <w:top w:val="none" w:sz="0" w:space="0" w:color="auto"/>
                    <w:left w:val="none" w:sz="0" w:space="0" w:color="auto"/>
                    <w:bottom w:val="none" w:sz="0" w:space="0" w:color="auto"/>
                    <w:right w:val="none" w:sz="0" w:space="0" w:color="auto"/>
                  </w:divBdr>
                  <w:divsChild>
                    <w:div w:id="18285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12068">
      <w:bodyDiv w:val="1"/>
      <w:marLeft w:val="0"/>
      <w:marRight w:val="0"/>
      <w:marTop w:val="0"/>
      <w:marBottom w:val="0"/>
      <w:divBdr>
        <w:top w:val="none" w:sz="0" w:space="0" w:color="auto"/>
        <w:left w:val="none" w:sz="0" w:space="0" w:color="auto"/>
        <w:bottom w:val="none" w:sz="0" w:space="0" w:color="auto"/>
        <w:right w:val="none" w:sz="0" w:space="0" w:color="auto"/>
      </w:divBdr>
      <w:divsChild>
        <w:div w:id="899904674">
          <w:marLeft w:val="0"/>
          <w:marRight w:val="0"/>
          <w:marTop w:val="0"/>
          <w:marBottom w:val="0"/>
          <w:divBdr>
            <w:top w:val="none" w:sz="0" w:space="0" w:color="auto"/>
            <w:left w:val="none" w:sz="0" w:space="0" w:color="auto"/>
            <w:bottom w:val="none" w:sz="0" w:space="0" w:color="auto"/>
            <w:right w:val="none" w:sz="0" w:space="0" w:color="auto"/>
          </w:divBdr>
          <w:divsChild>
            <w:div w:id="760832262">
              <w:marLeft w:val="0"/>
              <w:marRight w:val="0"/>
              <w:marTop w:val="0"/>
              <w:marBottom w:val="0"/>
              <w:divBdr>
                <w:top w:val="none" w:sz="0" w:space="0" w:color="auto"/>
                <w:left w:val="none" w:sz="0" w:space="0" w:color="auto"/>
                <w:bottom w:val="none" w:sz="0" w:space="0" w:color="auto"/>
                <w:right w:val="none" w:sz="0" w:space="0" w:color="auto"/>
              </w:divBdr>
              <w:divsChild>
                <w:div w:id="15650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2001">
      <w:bodyDiv w:val="1"/>
      <w:marLeft w:val="0"/>
      <w:marRight w:val="0"/>
      <w:marTop w:val="0"/>
      <w:marBottom w:val="0"/>
      <w:divBdr>
        <w:top w:val="none" w:sz="0" w:space="0" w:color="auto"/>
        <w:left w:val="none" w:sz="0" w:space="0" w:color="auto"/>
        <w:bottom w:val="none" w:sz="0" w:space="0" w:color="auto"/>
        <w:right w:val="none" w:sz="0" w:space="0" w:color="auto"/>
      </w:divBdr>
    </w:div>
    <w:div w:id="456097384">
      <w:bodyDiv w:val="1"/>
      <w:marLeft w:val="0"/>
      <w:marRight w:val="0"/>
      <w:marTop w:val="0"/>
      <w:marBottom w:val="0"/>
      <w:divBdr>
        <w:top w:val="none" w:sz="0" w:space="0" w:color="auto"/>
        <w:left w:val="none" w:sz="0" w:space="0" w:color="auto"/>
        <w:bottom w:val="none" w:sz="0" w:space="0" w:color="auto"/>
        <w:right w:val="none" w:sz="0" w:space="0" w:color="auto"/>
      </w:divBdr>
      <w:divsChild>
        <w:div w:id="1189637458">
          <w:marLeft w:val="1166"/>
          <w:marRight w:val="0"/>
          <w:marTop w:val="67"/>
          <w:marBottom w:val="0"/>
          <w:divBdr>
            <w:top w:val="none" w:sz="0" w:space="0" w:color="auto"/>
            <w:left w:val="none" w:sz="0" w:space="0" w:color="auto"/>
            <w:bottom w:val="none" w:sz="0" w:space="0" w:color="auto"/>
            <w:right w:val="none" w:sz="0" w:space="0" w:color="auto"/>
          </w:divBdr>
        </w:div>
      </w:divsChild>
    </w:div>
    <w:div w:id="483593044">
      <w:bodyDiv w:val="1"/>
      <w:marLeft w:val="0"/>
      <w:marRight w:val="0"/>
      <w:marTop w:val="0"/>
      <w:marBottom w:val="0"/>
      <w:divBdr>
        <w:top w:val="none" w:sz="0" w:space="0" w:color="auto"/>
        <w:left w:val="none" w:sz="0" w:space="0" w:color="auto"/>
        <w:bottom w:val="none" w:sz="0" w:space="0" w:color="auto"/>
        <w:right w:val="none" w:sz="0" w:space="0" w:color="auto"/>
      </w:divBdr>
    </w:div>
    <w:div w:id="582228501">
      <w:bodyDiv w:val="1"/>
      <w:marLeft w:val="0"/>
      <w:marRight w:val="0"/>
      <w:marTop w:val="0"/>
      <w:marBottom w:val="0"/>
      <w:divBdr>
        <w:top w:val="none" w:sz="0" w:space="0" w:color="auto"/>
        <w:left w:val="none" w:sz="0" w:space="0" w:color="auto"/>
        <w:bottom w:val="none" w:sz="0" w:space="0" w:color="auto"/>
        <w:right w:val="none" w:sz="0" w:space="0" w:color="auto"/>
      </w:divBdr>
      <w:divsChild>
        <w:div w:id="893346533">
          <w:marLeft w:val="1166"/>
          <w:marRight w:val="0"/>
          <w:marTop w:val="67"/>
          <w:marBottom w:val="0"/>
          <w:divBdr>
            <w:top w:val="none" w:sz="0" w:space="0" w:color="auto"/>
            <w:left w:val="none" w:sz="0" w:space="0" w:color="auto"/>
            <w:bottom w:val="none" w:sz="0" w:space="0" w:color="auto"/>
            <w:right w:val="none" w:sz="0" w:space="0" w:color="auto"/>
          </w:divBdr>
        </w:div>
      </w:divsChild>
    </w:div>
    <w:div w:id="643854958">
      <w:bodyDiv w:val="1"/>
      <w:marLeft w:val="0"/>
      <w:marRight w:val="0"/>
      <w:marTop w:val="0"/>
      <w:marBottom w:val="0"/>
      <w:divBdr>
        <w:top w:val="none" w:sz="0" w:space="0" w:color="auto"/>
        <w:left w:val="none" w:sz="0" w:space="0" w:color="auto"/>
        <w:bottom w:val="none" w:sz="0" w:space="0" w:color="auto"/>
        <w:right w:val="none" w:sz="0" w:space="0" w:color="auto"/>
      </w:divBdr>
      <w:divsChild>
        <w:div w:id="1108085838">
          <w:marLeft w:val="0"/>
          <w:marRight w:val="0"/>
          <w:marTop w:val="0"/>
          <w:marBottom w:val="0"/>
          <w:divBdr>
            <w:top w:val="none" w:sz="0" w:space="0" w:color="auto"/>
            <w:left w:val="none" w:sz="0" w:space="0" w:color="auto"/>
            <w:bottom w:val="none" w:sz="0" w:space="0" w:color="auto"/>
            <w:right w:val="none" w:sz="0" w:space="0" w:color="auto"/>
          </w:divBdr>
          <w:divsChild>
            <w:div w:id="770128214">
              <w:marLeft w:val="0"/>
              <w:marRight w:val="0"/>
              <w:marTop w:val="0"/>
              <w:marBottom w:val="0"/>
              <w:divBdr>
                <w:top w:val="none" w:sz="0" w:space="0" w:color="auto"/>
                <w:left w:val="none" w:sz="0" w:space="0" w:color="auto"/>
                <w:bottom w:val="none" w:sz="0" w:space="0" w:color="auto"/>
                <w:right w:val="none" w:sz="0" w:space="0" w:color="auto"/>
              </w:divBdr>
              <w:divsChild>
                <w:div w:id="773134909">
                  <w:marLeft w:val="0"/>
                  <w:marRight w:val="0"/>
                  <w:marTop w:val="0"/>
                  <w:marBottom w:val="0"/>
                  <w:divBdr>
                    <w:top w:val="none" w:sz="0" w:space="0" w:color="auto"/>
                    <w:left w:val="none" w:sz="0" w:space="0" w:color="auto"/>
                    <w:bottom w:val="none" w:sz="0" w:space="0" w:color="auto"/>
                    <w:right w:val="none" w:sz="0" w:space="0" w:color="auto"/>
                  </w:divBdr>
                  <w:divsChild>
                    <w:div w:id="2002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43645">
      <w:bodyDiv w:val="1"/>
      <w:marLeft w:val="0"/>
      <w:marRight w:val="0"/>
      <w:marTop w:val="0"/>
      <w:marBottom w:val="0"/>
      <w:divBdr>
        <w:top w:val="none" w:sz="0" w:space="0" w:color="auto"/>
        <w:left w:val="none" w:sz="0" w:space="0" w:color="auto"/>
        <w:bottom w:val="none" w:sz="0" w:space="0" w:color="auto"/>
        <w:right w:val="none" w:sz="0" w:space="0" w:color="auto"/>
      </w:divBdr>
      <w:divsChild>
        <w:div w:id="1717001537">
          <w:marLeft w:val="0"/>
          <w:marRight w:val="0"/>
          <w:marTop w:val="0"/>
          <w:marBottom w:val="0"/>
          <w:divBdr>
            <w:top w:val="none" w:sz="0" w:space="0" w:color="auto"/>
            <w:left w:val="none" w:sz="0" w:space="0" w:color="auto"/>
            <w:bottom w:val="none" w:sz="0" w:space="0" w:color="auto"/>
            <w:right w:val="none" w:sz="0" w:space="0" w:color="auto"/>
          </w:divBdr>
          <w:divsChild>
            <w:div w:id="1384480209">
              <w:marLeft w:val="0"/>
              <w:marRight w:val="0"/>
              <w:marTop w:val="0"/>
              <w:marBottom w:val="0"/>
              <w:divBdr>
                <w:top w:val="none" w:sz="0" w:space="0" w:color="auto"/>
                <w:left w:val="none" w:sz="0" w:space="0" w:color="auto"/>
                <w:bottom w:val="none" w:sz="0" w:space="0" w:color="auto"/>
                <w:right w:val="none" w:sz="0" w:space="0" w:color="auto"/>
              </w:divBdr>
              <w:divsChild>
                <w:div w:id="1545097497">
                  <w:marLeft w:val="0"/>
                  <w:marRight w:val="0"/>
                  <w:marTop w:val="0"/>
                  <w:marBottom w:val="0"/>
                  <w:divBdr>
                    <w:top w:val="none" w:sz="0" w:space="0" w:color="auto"/>
                    <w:left w:val="none" w:sz="0" w:space="0" w:color="auto"/>
                    <w:bottom w:val="none" w:sz="0" w:space="0" w:color="auto"/>
                    <w:right w:val="none" w:sz="0" w:space="0" w:color="auto"/>
                  </w:divBdr>
                  <w:divsChild>
                    <w:div w:id="20645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98570">
      <w:bodyDiv w:val="1"/>
      <w:marLeft w:val="0"/>
      <w:marRight w:val="0"/>
      <w:marTop w:val="0"/>
      <w:marBottom w:val="0"/>
      <w:divBdr>
        <w:top w:val="none" w:sz="0" w:space="0" w:color="auto"/>
        <w:left w:val="none" w:sz="0" w:space="0" w:color="auto"/>
        <w:bottom w:val="none" w:sz="0" w:space="0" w:color="auto"/>
        <w:right w:val="none" w:sz="0" w:space="0" w:color="auto"/>
      </w:divBdr>
    </w:div>
    <w:div w:id="979306769">
      <w:bodyDiv w:val="1"/>
      <w:marLeft w:val="0"/>
      <w:marRight w:val="0"/>
      <w:marTop w:val="0"/>
      <w:marBottom w:val="0"/>
      <w:divBdr>
        <w:top w:val="none" w:sz="0" w:space="0" w:color="auto"/>
        <w:left w:val="none" w:sz="0" w:space="0" w:color="auto"/>
        <w:bottom w:val="none" w:sz="0" w:space="0" w:color="auto"/>
        <w:right w:val="none" w:sz="0" w:space="0" w:color="auto"/>
      </w:divBdr>
      <w:divsChild>
        <w:div w:id="748502726">
          <w:marLeft w:val="0"/>
          <w:marRight w:val="0"/>
          <w:marTop w:val="0"/>
          <w:marBottom w:val="0"/>
          <w:divBdr>
            <w:top w:val="none" w:sz="0" w:space="0" w:color="auto"/>
            <w:left w:val="none" w:sz="0" w:space="0" w:color="auto"/>
            <w:bottom w:val="none" w:sz="0" w:space="0" w:color="auto"/>
            <w:right w:val="none" w:sz="0" w:space="0" w:color="auto"/>
          </w:divBdr>
          <w:divsChild>
            <w:div w:id="180515592">
              <w:marLeft w:val="0"/>
              <w:marRight w:val="0"/>
              <w:marTop w:val="0"/>
              <w:marBottom w:val="0"/>
              <w:divBdr>
                <w:top w:val="none" w:sz="0" w:space="0" w:color="auto"/>
                <w:left w:val="none" w:sz="0" w:space="0" w:color="auto"/>
                <w:bottom w:val="none" w:sz="0" w:space="0" w:color="auto"/>
                <w:right w:val="none" w:sz="0" w:space="0" w:color="auto"/>
              </w:divBdr>
              <w:divsChild>
                <w:div w:id="7150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2291">
      <w:bodyDiv w:val="1"/>
      <w:marLeft w:val="0"/>
      <w:marRight w:val="0"/>
      <w:marTop w:val="0"/>
      <w:marBottom w:val="0"/>
      <w:divBdr>
        <w:top w:val="none" w:sz="0" w:space="0" w:color="auto"/>
        <w:left w:val="none" w:sz="0" w:space="0" w:color="auto"/>
        <w:bottom w:val="none" w:sz="0" w:space="0" w:color="auto"/>
        <w:right w:val="none" w:sz="0" w:space="0" w:color="auto"/>
      </w:divBdr>
    </w:div>
    <w:div w:id="1243950620">
      <w:bodyDiv w:val="1"/>
      <w:marLeft w:val="0"/>
      <w:marRight w:val="0"/>
      <w:marTop w:val="0"/>
      <w:marBottom w:val="0"/>
      <w:divBdr>
        <w:top w:val="none" w:sz="0" w:space="0" w:color="auto"/>
        <w:left w:val="none" w:sz="0" w:space="0" w:color="auto"/>
        <w:bottom w:val="none" w:sz="0" w:space="0" w:color="auto"/>
        <w:right w:val="none" w:sz="0" w:space="0" w:color="auto"/>
      </w:divBdr>
      <w:divsChild>
        <w:div w:id="1289162541">
          <w:marLeft w:val="0"/>
          <w:marRight w:val="0"/>
          <w:marTop w:val="0"/>
          <w:marBottom w:val="0"/>
          <w:divBdr>
            <w:top w:val="none" w:sz="0" w:space="0" w:color="auto"/>
            <w:left w:val="none" w:sz="0" w:space="0" w:color="auto"/>
            <w:bottom w:val="none" w:sz="0" w:space="0" w:color="auto"/>
            <w:right w:val="none" w:sz="0" w:space="0" w:color="auto"/>
          </w:divBdr>
          <w:divsChild>
            <w:div w:id="1071730435">
              <w:marLeft w:val="0"/>
              <w:marRight w:val="0"/>
              <w:marTop w:val="0"/>
              <w:marBottom w:val="0"/>
              <w:divBdr>
                <w:top w:val="none" w:sz="0" w:space="0" w:color="auto"/>
                <w:left w:val="none" w:sz="0" w:space="0" w:color="auto"/>
                <w:bottom w:val="none" w:sz="0" w:space="0" w:color="auto"/>
                <w:right w:val="none" w:sz="0" w:space="0" w:color="auto"/>
              </w:divBdr>
              <w:divsChild>
                <w:div w:id="876312893">
                  <w:marLeft w:val="0"/>
                  <w:marRight w:val="0"/>
                  <w:marTop w:val="0"/>
                  <w:marBottom w:val="0"/>
                  <w:divBdr>
                    <w:top w:val="none" w:sz="0" w:space="0" w:color="auto"/>
                    <w:left w:val="none" w:sz="0" w:space="0" w:color="auto"/>
                    <w:bottom w:val="none" w:sz="0" w:space="0" w:color="auto"/>
                    <w:right w:val="none" w:sz="0" w:space="0" w:color="auto"/>
                  </w:divBdr>
                  <w:divsChild>
                    <w:div w:id="12579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96530">
      <w:bodyDiv w:val="1"/>
      <w:marLeft w:val="0"/>
      <w:marRight w:val="0"/>
      <w:marTop w:val="0"/>
      <w:marBottom w:val="0"/>
      <w:divBdr>
        <w:top w:val="none" w:sz="0" w:space="0" w:color="auto"/>
        <w:left w:val="none" w:sz="0" w:space="0" w:color="auto"/>
        <w:bottom w:val="none" w:sz="0" w:space="0" w:color="auto"/>
        <w:right w:val="none" w:sz="0" w:space="0" w:color="auto"/>
      </w:divBdr>
      <w:divsChild>
        <w:div w:id="1405034597">
          <w:marLeft w:val="0"/>
          <w:marRight w:val="0"/>
          <w:marTop w:val="0"/>
          <w:marBottom w:val="0"/>
          <w:divBdr>
            <w:top w:val="none" w:sz="0" w:space="0" w:color="auto"/>
            <w:left w:val="none" w:sz="0" w:space="0" w:color="auto"/>
            <w:bottom w:val="none" w:sz="0" w:space="0" w:color="auto"/>
            <w:right w:val="none" w:sz="0" w:space="0" w:color="auto"/>
          </w:divBdr>
          <w:divsChild>
            <w:div w:id="737559756">
              <w:marLeft w:val="0"/>
              <w:marRight w:val="0"/>
              <w:marTop w:val="0"/>
              <w:marBottom w:val="0"/>
              <w:divBdr>
                <w:top w:val="none" w:sz="0" w:space="0" w:color="auto"/>
                <w:left w:val="none" w:sz="0" w:space="0" w:color="auto"/>
                <w:bottom w:val="none" w:sz="0" w:space="0" w:color="auto"/>
                <w:right w:val="none" w:sz="0" w:space="0" w:color="auto"/>
              </w:divBdr>
              <w:divsChild>
                <w:div w:id="570432819">
                  <w:marLeft w:val="0"/>
                  <w:marRight w:val="0"/>
                  <w:marTop w:val="0"/>
                  <w:marBottom w:val="0"/>
                  <w:divBdr>
                    <w:top w:val="none" w:sz="0" w:space="0" w:color="auto"/>
                    <w:left w:val="none" w:sz="0" w:space="0" w:color="auto"/>
                    <w:bottom w:val="none" w:sz="0" w:space="0" w:color="auto"/>
                    <w:right w:val="none" w:sz="0" w:space="0" w:color="auto"/>
                  </w:divBdr>
                  <w:divsChild>
                    <w:div w:id="5282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00627">
      <w:bodyDiv w:val="1"/>
      <w:marLeft w:val="0"/>
      <w:marRight w:val="0"/>
      <w:marTop w:val="0"/>
      <w:marBottom w:val="0"/>
      <w:divBdr>
        <w:top w:val="none" w:sz="0" w:space="0" w:color="auto"/>
        <w:left w:val="none" w:sz="0" w:space="0" w:color="auto"/>
        <w:bottom w:val="none" w:sz="0" w:space="0" w:color="auto"/>
        <w:right w:val="none" w:sz="0" w:space="0" w:color="auto"/>
      </w:divBdr>
    </w:div>
    <w:div w:id="1323657899">
      <w:bodyDiv w:val="1"/>
      <w:marLeft w:val="0"/>
      <w:marRight w:val="0"/>
      <w:marTop w:val="0"/>
      <w:marBottom w:val="0"/>
      <w:divBdr>
        <w:top w:val="none" w:sz="0" w:space="0" w:color="auto"/>
        <w:left w:val="none" w:sz="0" w:space="0" w:color="auto"/>
        <w:bottom w:val="none" w:sz="0" w:space="0" w:color="auto"/>
        <w:right w:val="none" w:sz="0" w:space="0" w:color="auto"/>
      </w:divBdr>
      <w:divsChild>
        <w:div w:id="1635061102">
          <w:marLeft w:val="0"/>
          <w:marRight w:val="0"/>
          <w:marTop w:val="0"/>
          <w:marBottom w:val="0"/>
          <w:divBdr>
            <w:top w:val="none" w:sz="0" w:space="0" w:color="auto"/>
            <w:left w:val="none" w:sz="0" w:space="0" w:color="auto"/>
            <w:bottom w:val="none" w:sz="0" w:space="0" w:color="auto"/>
            <w:right w:val="none" w:sz="0" w:space="0" w:color="auto"/>
          </w:divBdr>
          <w:divsChild>
            <w:div w:id="176040655">
              <w:marLeft w:val="0"/>
              <w:marRight w:val="0"/>
              <w:marTop w:val="0"/>
              <w:marBottom w:val="0"/>
              <w:divBdr>
                <w:top w:val="none" w:sz="0" w:space="0" w:color="auto"/>
                <w:left w:val="none" w:sz="0" w:space="0" w:color="auto"/>
                <w:bottom w:val="none" w:sz="0" w:space="0" w:color="auto"/>
                <w:right w:val="none" w:sz="0" w:space="0" w:color="auto"/>
              </w:divBdr>
              <w:divsChild>
                <w:div w:id="1488742578">
                  <w:marLeft w:val="0"/>
                  <w:marRight w:val="0"/>
                  <w:marTop w:val="0"/>
                  <w:marBottom w:val="0"/>
                  <w:divBdr>
                    <w:top w:val="none" w:sz="0" w:space="0" w:color="auto"/>
                    <w:left w:val="none" w:sz="0" w:space="0" w:color="auto"/>
                    <w:bottom w:val="none" w:sz="0" w:space="0" w:color="auto"/>
                    <w:right w:val="none" w:sz="0" w:space="0" w:color="auto"/>
                  </w:divBdr>
                  <w:divsChild>
                    <w:div w:id="16173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71384">
      <w:bodyDiv w:val="1"/>
      <w:marLeft w:val="0"/>
      <w:marRight w:val="0"/>
      <w:marTop w:val="0"/>
      <w:marBottom w:val="0"/>
      <w:divBdr>
        <w:top w:val="none" w:sz="0" w:space="0" w:color="auto"/>
        <w:left w:val="none" w:sz="0" w:space="0" w:color="auto"/>
        <w:bottom w:val="none" w:sz="0" w:space="0" w:color="auto"/>
        <w:right w:val="none" w:sz="0" w:space="0" w:color="auto"/>
      </w:divBdr>
    </w:div>
    <w:div w:id="1432044404">
      <w:bodyDiv w:val="1"/>
      <w:marLeft w:val="0"/>
      <w:marRight w:val="0"/>
      <w:marTop w:val="0"/>
      <w:marBottom w:val="0"/>
      <w:divBdr>
        <w:top w:val="none" w:sz="0" w:space="0" w:color="auto"/>
        <w:left w:val="none" w:sz="0" w:space="0" w:color="auto"/>
        <w:bottom w:val="none" w:sz="0" w:space="0" w:color="auto"/>
        <w:right w:val="none" w:sz="0" w:space="0" w:color="auto"/>
      </w:divBdr>
      <w:divsChild>
        <w:div w:id="1935629574">
          <w:marLeft w:val="0"/>
          <w:marRight w:val="0"/>
          <w:marTop w:val="0"/>
          <w:marBottom w:val="0"/>
          <w:divBdr>
            <w:top w:val="none" w:sz="0" w:space="0" w:color="auto"/>
            <w:left w:val="none" w:sz="0" w:space="0" w:color="auto"/>
            <w:bottom w:val="none" w:sz="0" w:space="0" w:color="auto"/>
            <w:right w:val="none" w:sz="0" w:space="0" w:color="auto"/>
          </w:divBdr>
          <w:divsChild>
            <w:div w:id="1401947202">
              <w:marLeft w:val="0"/>
              <w:marRight w:val="0"/>
              <w:marTop w:val="0"/>
              <w:marBottom w:val="0"/>
              <w:divBdr>
                <w:top w:val="none" w:sz="0" w:space="0" w:color="auto"/>
                <w:left w:val="none" w:sz="0" w:space="0" w:color="auto"/>
                <w:bottom w:val="none" w:sz="0" w:space="0" w:color="auto"/>
                <w:right w:val="none" w:sz="0" w:space="0" w:color="auto"/>
              </w:divBdr>
              <w:divsChild>
                <w:div w:id="13172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9622">
      <w:bodyDiv w:val="1"/>
      <w:marLeft w:val="0"/>
      <w:marRight w:val="0"/>
      <w:marTop w:val="0"/>
      <w:marBottom w:val="0"/>
      <w:divBdr>
        <w:top w:val="none" w:sz="0" w:space="0" w:color="auto"/>
        <w:left w:val="none" w:sz="0" w:space="0" w:color="auto"/>
        <w:bottom w:val="none" w:sz="0" w:space="0" w:color="auto"/>
        <w:right w:val="none" w:sz="0" w:space="0" w:color="auto"/>
      </w:divBdr>
    </w:div>
    <w:div w:id="1717317411">
      <w:bodyDiv w:val="1"/>
      <w:marLeft w:val="0"/>
      <w:marRight w:val="0"/>
      <w:marTop w:val="0"/>
      <w:marBottom w:val="0"/>
      <w:divBdr>
        <w:top w:val="none" w:sz="0" w:space="0" w:color="auto"/>
        <w:left w:val="none" w:sz="0" w:space="0" w:color="auto"/>
        <w:bottom w:val="none" w:sz="0" w:space="0" w:color="auto"/>
        <w:right w:val="none" w:sz="0" w:space="0" w:color="auto"/>
      </w:divBdr>
      <w:divsChild>
        <w:div w:id="1679653569">
          <w:marLeft w:val="0"/>
          <w:marRight w:val="0"/>
          <w:marTop w:val="0"/>
          <w:marBottom w:val="0"/>
          <w:divBdr>
            <w:top w:val="none" w:sz="0" w:space="0" w:color="auto"/>
            <w:left w:val="none" w:sz="0" w:space="0" w:color="auto"/>
            <w:bottom w:val="none" w:sz="0" w:space="0" w:color="auto"/>
            <w:right w:val="none" w:sz="0" w:space="0" w:color="auto"/>
          </w:divBdr>
          <w:divsChild>
            <w:div w:id="535390862">
              <w:marLeft w:val="0"/>
              <w:marRight w:val="0"/>
              <w:marTop w:val="0"/>
              <w:marBottom w:val="0"/>
              <w:divBdr>
                <w:top w:val="none" w:sz="0" w:space="0" w:color="auto"/>
                <w:left w:val="none" w:sz="0" w:space="0" w:color="auto"/>
                <w:bottom w:val="none" w:sz="0" w:space="0" w:color="auto"/>
                <w:right w:val="none" w:sz="0" w:space="0" w:color="auto"/>
              </w:divBdr>
              <w:divsChild>
                <w:div w:id="2012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2911">
      <w:bodyDiv w:val="1"/>
      <w:marLeft w:val="0"/>
      <w:marRight w:val="0"/>
      <w:marTop w:val="0"/>
      <w:marBottom w:val="0"/>
      <w:divBdr>
        <w:top w:val="none" w:sz="0" w:space="0" w:color="auto"/>
        <w:left w:val="none" w:sz="0" w:space="0" w:color="auto"/>
        <w:bottom w:val="none" w:sz="0" w:space="0" w:color="auto"/>
        <w:right w:val="none" w:sz="0" w:space="0" w:color="auto"/>
      </w:divBdr>
      <w:divsChild>
        <w:div w:id="1588882929">
          <w:marLeft w:val="0"/>
          <w:marRight w:val="0"/>
          <w:marTop w:val="0"/>
          <w:marBottom w:val="0"/>
          <w:divBdr>
            <w:top w:val="none" w:sz="0" w:space="0" w:color="auto"/>
            <w:left w:val="none" w:sz="0" w:space="0" w:color="auto"/>
            <w:bottom w:val="none" w:sz="0" w:space="0" w:color="auto"/>
            <w:right w:val="none" w:sz="0" w:space="0" w:color="auto"/>
          </w:divBdr>
          <w:divsChild>
            <w:div w:id="918296393">
              <w:marLeft w:val="0"/>
              <w:marRight w:val="0"/>
              <w:marTop w:val="0"/>
              <w:marBottom w:val="0"/>
              <w:divBdr>
                <w:top w:val="none" w:sz="0" w:space="0" w:color="auto"/>
                <w:left w:val="none" w:sz="0" w:space="0" w:color="auto"/>
                <w:bottom w:val="none" w:sz="0" w:space="0" w:color="auto"/>
                <w:right w:val="none" w:sz="0" w:space="0" w:color="auto"/>
              </w:divBdr>
              <w:divsChild>
                <w:div w:id="5055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2539">
      <w:bodyDiv w:val="1"/>
      <w:marLeft w:val="0"/>
      <w:marRight w:val="0"/>
      <w:marTop w:val="0"/>
      <w:marBottom w:val="0"/>
      <w:divBdr>
        <w:top w:val="none" w:sz="0" w:space="0" w:color="auto"/>
        <w:left w:val="none" w:sz="0" w:space="0" w:color="auto"/>
        <w:bottom w:val="none" w:sz="0" w:space="0" w:color="auto"/>
        <w:right w:val="none" w:sz="0" w:space="0" w:color="auto"/>
      </w:divBdr>
    </w:div>
    <w:div w:id="1932658021">
      <w:bodyDiv w:val="1"/>
      <w:marLeft w:val="0"/>
      <w:marRight w:val="0"/>
      <w:marTop w:val="0"/>
      <w:marBottom w:val="0"/>
      <w:divBdr>
        <w:top w:val="none" w:sz="0" w:space="0" w:color="auto"/>
        <w:left w:val="none" w:sz="0" w:space="0" w:color="auto"/>
        <w:bottom w:val="none" w:sz="0" w:space="0" w:color="auto"/>
        <w:right w:val="none" w:sz="0" w:space="0" w:color="auto"/>
      </w:divBdr>
    </w:div>
    <w:div w:id="2055883814">
      <w:bodyDiv w:val="1"/>
      <w:marLeft w:val="0"/>
      <w:marRight w:val="0"/>
      <w:marTop w:val="0"/>
      <w:marBottom w:val="0"/>
      <w:divBdr>
        <w:top w:val="none" w:sz="0" w:space="0" w:color="auto"/>
        <w:left w:val="none" w:sz="0" w:space="0" w:color="auto"/>
        <w:bottom w:val="none" w:sz="0" w:space="0" w:color="auto"/>
        <w:right w:val="none" w:sz="0" w:space="0" w:color="auto"/>
      </w:divBdr>
    </w:div>
    <w:div w:id="2083135259">
      <w:bodyDiv w:val="1"/>
      <w:marLeft w:val="0"/>
      <w:marRight w:val="0"/>
      <w:marTop w:val="0"/>
      <w:marBottom w:val="0"/>
      <w:divBdr>
        <w:top w:val="none" w:sz="0" w:space="0" w:color="auto"/>
        <w:left w:val="none" w:sz="0" w:space="0" w:color="auto"/>
        <w:bottom w:val="none" w:sz="0" w:space="0" w:color="auto"/>
        <w:right w:val="none" w:sz="0" w:space="0" w:color="auto"/>
      </w:divBdr>
    </w:div>
    <w:div w:id="2096824433">
      <w:bodyDiv w:val="1"/>
      <w:marLeft w:val="0"/>
      <w:marRight w:val="0"/>
      <w:marTop w:val="0"/>
      <w:marBottom w:val="0"/>
      <w:divBdr>
        <w:top w:val="none" w:sz="0" w:space="0" w:color="auto"/>
        <w:left w:val="none" w:sz="0" w:space="0" w:color="auto"/>
        <w:bottom w:val="none" w:sz="0" w:space="0" w:color="auto"/>
        <w:right w:val="none" w:sz="0" w:space="0" w:color="auto"/>
      </w:divBdr>
      <w:divsChild>
        <w:div w:id="856313331">
          <w:marLeft w:val="0"/>
          <w:marRight w:val="0"/>
          <w:marTop w:val="0"/>
          <w:marBottom w:val="0"/>
          <w:divBdr>
            <w:top w:val="none" w:sz="0" w:space="0" w:color="auto"/>
            <w:left w:val="none" w:sz="0" w:space="0" w:color="auto"/>
            <w:bottom w:val="none" w:sz="0" w:space="0" w:color="auto"/>
            <w:right w:val="none" w:sz="0" w:space="0" w:color="auto"/>
          </w:divBdr>
          <w:divsChild>
            <w:div w:id="443501821">
              <w:marLeft w:val="0"/>
              <w:marRight w:val="0"/>
              <w:marTop w:val="0"/>
              <w:marBottom w:val="0"/>
              <w:divBdr>
                <w:top w:val="none" w:sz="0" w:space="0" w:color="auto"/>
                <w:left w:val="none" w:sz="0" w:space="0" w:color="auto"/>
                <w:bottom w:val="none" w:sz="0" w:space="0" w:color="auto"/>
                <w:right w:val="none" w:sz="0" w:space="0" w:color="auto"/>
              </w:divBdr>
              <w:divsChild>
                <w:div w:id="1539002067">
                  <w:marLeft w:val="0"/>
                  <w:marRight w:val="0"/>
                  <w:marTop w:val="0"/>
                  <w:marBottom w:val="0"/>
                  <w:divBdr>
                    <w:top w:val="none" w:sz="0" w:space="0" w:color="auto"/>
                    <w:left w:val="none" w:sz="0" w:space="0" w:color="auto"/>
                    <w:bottom w:val="none" w:sz="0" w:space="0" w:color="auto"/>
                    <w:right w:val="none" w:sz="0" w:space="0" w:color="auto"/>
                  </w:divBdr>
                  <w:divsChild>
                    <w:div w:id="11164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ccessdata.fda.gov/drugsatfda_docs/nda/2017/209939Orig1s000,209940Orig1s000StatR.pdf" TargetMode="External"/><Relationship Id="rId1" Type="http://schemas.openxmlformats.org/officeDocument/2006/relationships/hyperlink" Target="https://clinicaltrials.gov/ct2/results?cond=&amp;term=letermovir&amp;cntry=&amp;state=&amp;city=&amp;d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7016-F418-4566-8CF6-779EC76D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12187</Words>
  <Characters>69432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2019-06-25T02:00:00Z</dcterms:created>
  <dcterms:modified xsi:type="dcterms:W3CDTF">2019-07-01T02:33:00Z</dcterms:modified>
</cp:coreProperties>
</file>